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3"/>
          <w:szCs w:val="13"/>
        </w:rPr>
      </w:pPr>
    </w:p>
    <w:p>
      <w:pPr>
        <w:spacing w:line="1200"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1410640" cy="7620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640" cy="762000"/>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11"/>
        <w:rPr>
          <w:rFonts w:ascii="Times New Roman" w:hAnsi="Times New Roman" w:cs="Times New Roman" w:eastAsia="Times New Roman" w:hint="default"/>
          <w:sz w:val="17"/>
          <w:szCs w:val="17"/>
        </w:rPr>
      </w:pPr>
    </w:p>
    <w:p>
      <w:pPr>
        <w:spacing w:line="539" w:lineRule="exact" w:before="0"/>
        <w:ind w:left="134" w:right="1113" w:firstLine="0"/>
        <w:jc w:val="center"/>
        <w:rPr>
          <w:rFonts w:ascii="宋体" w:hAnsi="宋体" w:cs="宋体" w:eastAsia="宋体" w:hint="default"/>
          <w:sz w:val="44"/>
          <w:szCs w:val="44"/>
        </w:rPr>
      </w:pPr>
      <w:r>
        <w:rPr>
          <w:rFonts w:ascii="宋体" w:hAnsi="宋体" w:cs="宋体" w:eastAsia="宋体" w:hint="default"/>
          <w:b/>
          <w:bCs/>
          <w:spacing w:val="2"/>
          <w:sz w:val="44"/>
          <w:szCs w:val="44"/>
        </w:rPr>
        <w:t>深圳华大基因股份有限公司</w:t>
      </w:r>
      <w:r>
        <w:rPr>
          <w:rFonts w:ascii="宋体" w:hAnsi="宋体" w:cs="宋体" w:eastAsia="宋体" w:hint="default"/>
          <w:sz w:val="44"/>
          <w:szCs w:val="44"/>
        </w:rPr>
      </w:r>
    </w:p>
    <w:p>
      <w:pPr>
        <w:spacing w:before="394"/>
        <w:ind w:left="134" w:right="1119"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2018</w:t>
      </w:r>
      <w:r>
        <w:rPr>
          <w:rFonts w:ascii="Times New Roman" w:hAnsi="Times New Roman" w:cs="Times New Roman" w:eastAsia="Times New Roman" w:hint="default"/>
          <w:b/>
          <w:bCs/>
          <w:spacing w:val="-8"/>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1"/>
        <w:rPr>
          <w:rFonts w:ascii="宋体" w:hAnsi="宋体" w:cs="宋体" w:eastAsia="宋体" w:hint="default"/>
          <w:b/>
          <w:bCs/>
          <w:sz w:val="43"/>
          <w:szCs w:val="43"/>
        </w:rPr>
      </w:pPr>
    </w:p>
    <w:p>
      <w:pPr>
        <w:spacing w:before="0"/>
        <w:ind w:left="134" w:right="111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74" w:top="1060" w:bottom="1160" w:left="980" w:right="0"/>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left="2802" w:right="1133"/>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52" w:right="1135"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6"/>
          <w:sz w:val="28"/>
          <w:szCs w:val="28"/>
        </w:rPr>
        <w:t>实、准确、完整，不存在虚假记载、误导性陈述或重大遗漏，并承担个别和连带</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的法律责任。</w:t>
      </w:r>
      <w:r>
        <w:rPr>
          <w:rFonts w:ascii="宋体" w:hAnsi="宋体" w:cs="宋体" w:eastAsia="宋体" w:hint="default"/>
          <w:sz w:val="28"/>
          <w:szCs w:val="28"/>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公司负责人尹烨、主管会计工作负责人陈轶青及会计机构负责人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付恬娇声明：保证年度报告中财务报告的真实、准确、完整。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本报告涉及的未来发展战略与规划、经营计划与目标等前瞻性陈述，不构</w:t>
      </w:r>
      <w:r>
        <w:rPr>
          <w:rFonts w:ascii="宋体" w:hAnsi="宋体" w:cs="宋体" w:eastAsia="宋体" w:hint="default"/>
          <w:spacing w:val="2"/>
          <w:sz w:val="28"/>
          <w:szCs w:val="28"/>
        </w:rPr>
      </w:r>
    </w:p>
    <w:p>
      <w:pPr>
        <w:spacing w:line="408" w:lineRule="auto" w:before="0"/>
        <w:ind w:left="152" w:right="986" w:firstLine="0"/>
        <w:jc w:val="left"/>
        <w:rPr>
          <w:rFonts w:ascii="宋体" w:hAnsi="宋体" w:cs="宋体" w:eastAsia="宋体" w:hint="default"/>
          <w:sz w:val="28"/>
          <w:szCs w:val="28"/>
        </w:rPr>
      </w:pPr>
      <w:r>
        <w:rPr>
          <w:rFonts w:ascii="宋体" w:hAnsi="宋体" w:cs="宋体" w:eastAsia="宋体" w:hint="default"/>
          <w:b/>
          <w:bCs/>
          <w:spacing w:val="-2"/>
          <w:sz w:val="28"/>
          <w:szCs w:val="28"/>
        </w:rPr>
        <w:t>成公司对投资者的实质承诺。投资者及相关人士均应对此保持足够的风险认识，</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z w:val="28"/>
          <w:szCs w:val="28"/>
        </w:rPr>
        <w:t>并且应当理解计划、预测与承诺之间的差异。</w:t>
      </w:r>
      <w:r>
        <w:rPr>
          <w:rFonts w:ascii="宋体" w:hAnsi="宋体" w:cs="宋体" w:eastAsia="宋体" w:hint="default"/>
          <w:sz w:val="28"/>
          <w:szCs w:val="28"/>
        </w:rPr>
      </w:r>
    </w:p>
    <w:p>
      <w:pPr>
        <w:spacing w:line="398" w:lineRule="auto" w:before="162"/>
        <w:ind w:left="152" w:right="1130"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Times New Roman" w:hAnsi="Times New Roman" w:cs="Times New Roman" w:eastAsia="Times New Roman" w:hint="default"/>
          <w:b/>
          <w:bCs/>
          <w:w w:val="100"/>
          <w:sz w:val="28"/>
          <w:szCs w:val="28"/>
        </w:rPr>
        <w:t> </w:t>
      </w:r>
      <w:r>
        <w:rPr>
          <w:rFonts w:ascii="宋体" w:hAnsi="宋体" w:cs="宋体" w:eastAsia="宋体" w:hint="default"/>
          <w:b/>
          <w:bCs/>
          <w:spacing w:val="2"/>
          <w:sz w:val="28"/>
          <w:szCs w:val="28"/>
        </w:rPr>
        <w:t>部分，详细阐述了公司经营中可能存在的风险及应对措施，敬请投资者关注相</w:t>
      </w:r>
      <w:r>
        <w:rPr>
          <w:rFonts w:ascii="宋体" w:hAnsi="宋体" w:cs="宋体" w:eastAsia="宋体" w:hint="default"/>
          <w:b/>
          <w:bCs/>
          <w:w w:val="99"/>
          <w:sz w:val="28"/>
          <w:szCs w:val="28"/>
        </w:rPr>
        <w:t> </w:t>
      </w:r>
      <w:r>
        <w:rPr>
          <w:rFonts w:ascii="宋体" w:hAnsi="宋体" w:cs="宋体" w:eastAsia="宋体" w:hint="default"/>
          <w:b/>
          <w:bCs/>
          <w:sz w:val="28"/>
          <w:szCs w:val="28"/>
        </w:rPr>
        <w:t>关内容。</w:t>
      </w:r>
      <w:r>
        <w:rPr>
          <w:rFonts w:ascii="宋体" w:hAnsi="宋体" w:cs="宋体" w:eastAsia="宋体" w:hint="default"/>
          <w:sz w:val="28"/>
          <w:szCs w:val="28"/>
        </w:rPr>
      </w:r>
    </w:p>
    <w:p>
      <w:pPr>
        <w:spacing w:before="173"/>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400,100,000</w:t>
      </w:r>
      <w:r>
        <w:rPr>
          <w:rFonts w:ascii="Times New Roman" w:hAnsi="Times New Roman" w:cs="Times New Roman" w:eastAsia="Times New Roman" w:hint="default"/>
          <w:b/>
          <w:bCs/>
          <w:spacing w:val="10"/>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7"/>
        <w:ind w:left="152" w:right="986"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1.00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6"/>
        <w:ind w:left="152" w:right="1133"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4" w:header="748" w:top="1060" w:bottom="1160" w:left="980" w:right="0"/>
          <w:pgNumType w:start="2"/>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spacing w:line="460" w:lineRule="exact" w:before="0"/>
        <w:ind w:left="134" w:right="1112" w:firstLine="0"/>
        <w:jc w:val="center"/>
        <w:rPr>
          <w:rFonts w:ascii="宋体" w:hAnsi="宋体" w:cs="宋体" w:eastAsia="宋体" w:hint="default"/>
          <w:sz w:val="36"/>
          <w:szCs w:val="36"/>
        </w:rPr>
      </w:pPr>
      <w:r>
        <w:rPr>
          <w:rFonts w:ascii="宋体" w:hAnsi="宋体" w:cs="宋体" w:eastAsia="宋体" w:hint="default"/>
          <w:b/>
          <w:bCs/>
          <w:sz w:val="36"/>
          <w:szCs w:val="36"/>
        </w:rPr>
        <w:t>目</w:t>
      </w:r>
      <w:r>
        <w:rPr>
          <w:rFonts w:ascii="宋体" w:hAnsi="宋体" w:cs="宋体" w:eastAsia="宋体" w:hint="default"/>
          <w:b/>
          <w:bCs/>
          <w:spacing w:val="-2"/>
          <w:sz w:val="36"/>
          <w:szCs w:val="36"/>
        </w:rPr>
        <w:t> </w:t>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4" w:val="right" w:leader="dot"/>
            </w:tabs>
            <w:spacing w:line="240" w:lineRule="auto" w:before="817"/>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rPr>
              <w:t>13</w:t>
            </w:r>
          </w:hyperlink>
        </w:p>
        <w:p>
          <w:pPr>
            <w:pStyle w:val="TOC1"/>
            <w:tabs>
              <w:tab w:pos="9785" w:val="right" w:leader="dot"/>
            </w:tabs>
            <w:spacing w:line="240" w:lineRule="auto" w:before="278"/>
            <w:ind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rPr>
              <w:t>17</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rPr>
              <w:t>38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r>
            <w:r>
              <w:rPr>
                <w:rFonts w:ascii="Times New Roman" w:hAnsi="Times New Roman" w:cs="Times New Roman" w:eastAsia="Times New Roman" w:hint="default"/>
              </w:rPr>
              <w:t>77</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spacing w:val="-4"/>
              </w:rPr>
              <w:t>118</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r>
            <w:r>
              <w:rPr>
                <w:rFonts w:ascii="Times New Roman" w:hAnsi="Times New Roman" w:cs="Times New Roman" w:eastAsia="Times New Roman" w:hint="default"/>
              </w:rPr>
              <w:t>129</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130</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8">
            <w:r>
              <w:rPr/>
              <w:t>第九节</w:t>
            </w:r>
            <w:r>
              <w:rPr>
                <w:spacing w:val="-1"/>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rPr>
              <w:t>140</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r>
            <w:r>
              <w:rPr>
                <w:rFonts w:ascii="Times New Roman" w:hAnsi="Times New Roman" w:cs="Times New Roman" w:eastAsia="Times New Roman" w:hint="default"/>
              </w:rPr>
              <w:t>146</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rPr>
              <w:t>147</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272</w:t>
            </w:r>
          </w:hyperlink>
        </w:p>
        <w:p>
          <w:pPr/>
          <w:r>
            <w:fldChar w:fldCharType="end"/>
          </w:r>
        </w:p>
      </w:sdtContent>
    </w:sdt>
    <w:p>
      <w:pPr>
        <w:spacing w:after="0"/>
        <w:sectPr>
          <w:pgSz w:w="11910" w:h="16840"/>
          <w:pgMar w:header="748" w:footer="974" w:top="1060" w:bottom="1160" w:left="980" w:right="0"/>
        </w:sectPr>
      </w:pPr>
    </w:p>
    <w:p>
      <w:pPr>
        <w:spacing w:before="942"/>
        <w:ind w:left="134" w:right="111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公司、本公司、华大基因</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深圳华大基因股份有限公司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深圳华大基因科技有限公司，系华大基因控股股东</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深圳华大基因科技服务有限公司，系华大基因一级子公司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本溪医检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本溪华大医学检验所有限公司，系华大基因一级子公司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北京优康</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北京华大优康科技有限公司，系华大基因一级子公司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北京华大医学检验所有限公司，系华大基因一级子公司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天津华大</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天津华大基因科技有限公司，系华大基因一级子公司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潍坊基因科技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潍坊华大基因健康科技有限公司，系华大基因一级子公司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南京基因科技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南京华大基因科技有限公司，系华大基因一级子公司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武汉华大医学检验所有限公司，系华大基因一级子公司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广州华大基因医学检验所有限公司，系华大基因一级子公司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深圳临检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深圳华大临床检验中心，系华大基因一级子公司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云南医学</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云南华大基因医学有限公司，系华大基因一级子公司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天津华大医学检验所有限公司，系华大基因一级子公司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南京华大医学检验所有限公司，系华大基因二级子公司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上海华大医学检验所有限公司，系华大基因二级子公司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长垣医检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长垣华大医学检验所有限公司，系华大基因二级子公司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重庆华大医学检验所有限公司，系华大基因二级子公司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安徽华大医学检验所有限公司，系华大基因二级子公司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昆华医检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云南华大昆华医学检验所有限公司，系华大基因二级子公司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武汉生物科技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华大生物科技（武汉）有限公司，系华大基因一级子公司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北京六合</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9"/>
              <w:jc w:val="left"/>
              <w:rPr>
                <w:rFonts w:ascii="宋体" w:hAnsi="宋体" w:cs="宋体" w:eastAsia="宋体" w:hint="default"/>
                <w:sz w:val="18"/>
                <w:szCs w:val="18"/>
              </w:rPr>
            </w:pPr>
            <w:r>
              <w:rPr>
                <w:rFonts w:ascii="宋体" w:hAnsi="宋体" w:cs="宋体" w:eastAsia="宋体" w:hint="default"/>
                <w:sz w:val="18"/>
                <w:szCs w:val="18"/>
              </w:rPr>
              <w:t>北京六合华大基因科技股份有限公司，后变更为北京六合华大基因 科技有限公司，系华大基因二级子公司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北京吉比爱</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9"/>
              <w:jc w:val="left"/>
              <w:rPr>
                <w:rFonts w:ascii="宋体" w:hAnsi="宋体" w:cs="宋体" w:eastAsia="宋体" w:hint="default"/>
                <w:sz w:val="18"/>
                <w:szCs w:val="18"/>
              </w:rPr>
            </w:pPr>
            <w:r>
              <w:rPr>
                <w:rFonts w:ascii="宋体" w:hAnsi="宋体" w:cs="宋体" w:eastAsia="宋体" w:hint="default"/>
                <w:sz w:val="18"/>
                <w:szCs w:val="18"/>
              </w:rPr>
              <w:t>吉比爱生物技术（北京）有限公司，后更名为北京华大吉比爱生物 技术有限公司，系华大基因二级子公司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贵州医检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贵州华大医学检验所有限公司，系华大基因二级子公司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秦皇岛华大</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秦皇岛华大基因科技有限公司，系华大基因一级子公司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无锡青兰</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华大青兰生物科技（无锡）有限公司，系华大基因三级子公司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美洲科技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BGI Americas</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，系华大基因三级子公司</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5"/>
        <w:gridCol w:w="620"/>
        <w:gridCol w:w="5425"/>
      </w:tblGrid>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香港科技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62"/>
              <w:jc w:val="left"/>
              <w:rPr>
                <w:rFonts w:ascii="宋体" w:hAnsi="宋体" w:cs="宋体" w:eastAsia="宋体" w:hint="default"/>
                <w:sz w:val="18"/>
                <w:szCs w:val="18"/>
              </w:rPr>
            </w:pPr>
            <w:r>
              <w:rPr>
                <w:rFonts w:ascii="宋体" w:hAnsi="宋体" w:cs="宋体" w:eastAsia="宋体" w:hint="default"/>
                <w:sz w:val="18"/>
                <w:szCs w:val="18"/>
              </w:rPr>
              <w:t>香港华大基因科技服务有限公司，英文名称为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BGI</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TECH</w:t>
            </w:r>
            <w:r>
              <w:rPr>
                <w:rFonts w:ascii="Times New Roman" w:hAnsi="Times New Roman" w:cs="Times New Roman" w:eastAsia="Times New Roman" w:hint="default"/>
                <w:sz w:val="18"/>
                <w:szCs w:val="18"/>
              </w:rPr>
              <w:t> SOLUTIONS  </w:t>
            </w:r>
            <w:r>
              <w:rPr>
                <w:rFonts w:ascii="宋体" w:hAnsi="宋体" w:cs="宋体" w:eastAsia="宋体" w:hint="default"/>
                <w:sz w:val="18"/>
                <w:szCs w:val="18"/>
              </w:rPr>
              <w:t>（</w:t>
            </w:r>
            <w:r>
              <w:rPr>
                <w:rFonts w:ascii="Times New Roman" w:hAnsi="Times New Roman" w:cs="Times New Roman" w:eastAsia="Times New Roman" w:hint="default"/>
                <w:sz w:val="18"/>
                <w:szCs w:val="18"/>
              </w:rPr>
              <w:t>HONGKONG</w:t>
            </w:r>
            <w:r>
              <w:rPr>
                <w:rFonts w:ascii="宋体" w:hAnsi="宋体" w:cs="宋体" w:eastAsia="宋体" w:hint="default"/>
                <w:sz w:val="18"/>
                <w:szCs w:val="18"/>
              </w:rPr>
              <w:t>） </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，系华大基因二级子</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香港医学</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华大基因健康科技（香港）有限公司，英文名称为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BGI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HEALTH</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COMPANY</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，系华大基因一级子公司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欧洲医学</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BGI EUROPE</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A/S</w:t>
            </w:r>
            <w:r>
              <w:rPr>
                <w:rFonts w:ascii="宋体" w:hAnsi="宋体" w:cs="宋体" w:eastAsia="宋体" w:hint="default"/>
                <w:sz w:val="18"/>
                <w:szCs w:val="18"/>
              </w:rPr>
              <w:t>，系华大基因一级子公司</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优康门诊</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69"/>
              <w:jc w:val="left"/>
              <w:rPr>
                <w:rFonts w:ascii="宋体" w:hAnsi="宋体" w:cs="宋体" w:eastAsia="宋体" w:hint="default"/>
                <w:sz w:val="18"/>
                <w:szCs w:val="18"/>
              </w:rPr>
            </w:pPr>
            <w:r>
              <w:rPr>
                <w:rFonts w:ascii="宋体" w:hAnsi="宋体" w:cs="宋体" w:eastAsia="宋体" w:hint="default"/>
                <w:sz w:val="18"/>
                <w:szCs w:val="18"/>
              </w:rPr>
              <w:t>深圳华大基因股份有限公司深圳华大优康门诊部，系华大基因分公 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长沙梅溪湖医检所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长沙华大梅溪湖医学检验所有限公司，系华大基因合营企业</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苏州泓迅</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苏州泓迅生物科技股份有限公司，系华大基因联营企业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华大通瀛</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北京华大通瀛科技有限公司，系华大基因联营企业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北京吉因加</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北京吉因加科技有限公司，系华大基因参股企业</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苏州薄荷</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8"/>
              <w:jc w:val="left"/>
              <w:rPr>
                <w:rFonts w:ascii="宋体" w:hAnsi="宋体" w:cs="宋体" w:eastAsia="宋体" w:hint="default"/>
                <w:sz w:val="18"/>
                <w:szCs w:val="18"/>
              </w:rPr>
            </w:pPr>
            <w:r>
              <w:rPr>
                <w:rFonts w:ascii="宋体" w:hAnsi="宋体" w:cs="宋体" w:eastAsia="宋体" w:hint="default"/>
                <w:spacing w:val="-3"/>
                <w:sz w:val="18"/>
                <w:szCs w:val="18"/>
              </w:rPr>
              <w:t>苏州工业园区薄荷创业投资合伙企业（有限合伙），系华大基因参股</w:t>
            </w:r>
            <w:r>
              <w:rPr>
                <w:rFonts w:ascii="宋体" w:hAnsi="宋体" w:cs="宋体" w:eastAsia="宋体" w:hint="default"/>
                <w:sz w:val="18"/>
                <w:szCs w:val="18"/>
              </w:rPr>
              <w:t> 企业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何氏眼科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辽宁何氏眼科医院股份有限公司，系华大基因参股企业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北京聚道</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北京聚道科技有限公司，系华大基因参股企业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量化健康</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北京量化健康科技有限公司，系华大基因参股企业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康美华大</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康美华大基因技术有限公司，系华大基因参股企业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华大智造</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深圳华大智造科技有限公司，系华大基因关联方</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武汉智造</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武汉华大智造科技有限公司，系华大基因关联方</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华大研究院</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深圳华大生命科学研究院，系华大基因关联方</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光基金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深圳市关爱行动公益基金会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光基金公益基金，系华大基因关联方</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华基金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深圳市广电公益基金会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华基金公益基金，系华大基因关联方</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华大三生园</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9"/>
              <w:jc w:val="both"/>
              <w:rPr>
                <w:rFonts w:ascii="宋体" w:hAnsi="宋体" w:cs="宋体" w:eastAsia="宋体" w:hint="default"/>
                <w:sz w:val="18"/>
                <w:szCs w:val="18"/>
              </w:rPr>
            </w:pPr>
            <w:r>
              <w:rPr>
                <w:rFonts w:ascii="宋体" w:hAnsi="宋体" w:cs="宋体" w:eastAsia="宋体" w:hint="default"/>
                <w:sz w:val="18"/>
                <w:szCs w:val="18"/>
              </w:rPr>
              <w:t>深圳华大生物能源科技有限公司，后更名为深圳华大农业与循环经 济科技有限公司，现更名为深圳华大三生园科技有限公司，系华大 基因股东及关联方</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华大投资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深圳前海华大基因投资企业（有限合伙）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和玉高林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深圳和玉高林股权投资合伙企业（有限合伙）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丰悦泰和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北京丰悦泰和股权投资合伙企业（有限合伙）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中国人寿</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中国人寿保险（集团）公司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上海珍尤</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上海珍尤医疗投资合伙企业（有限合伙）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乐华源城</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深圳乐华源城投资有限公司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有孚创业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深圳市有孚创业投资企业（有限合伙）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国华腾飞</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深圳国华腾飞创新投资基金企业（有限合伙）</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金翼汇顺</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深圳市金翼汇顺健康产业投资合伙企业（有限合伙）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青岛金石</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青岛金石灏汭投资有限公司</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北京国投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北京国投协力华大股权投资中心（有限合伙）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中金佳成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中金佳成（天津）医疗投资中心（有限合伙）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盛桥新领域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深圳市盛桥新领域投资合伙企业（有限合伙）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上海云锋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上海云锋股权投资中心（有限合伙）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中小企业基因投资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中小企业基因（深圳）投资合伙企业（有限合伙）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宁波博源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宁波博源卓越股权投资合伙企业（有限合伙）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国信弘盛</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深圳市国信弘盛股权投资基金（有限合伙）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南海成长</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深圳市南海成长创赢投资合伙企业（有限合伙）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盛桥新健康</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深圳市盛桥新健康投资合伙企业（有限合伙）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盛桥创鑫</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深圳市盛桥创鑫投资合伙企业（有限合伙）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天津高林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天津高林同创股权投资合伙企业（有限合伙）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华弘资本</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深圳市华弘资本管理有限公司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东土盛唐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深圳市东土盛唐投资管理合伙企业（有限合伙）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苏州松禾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苏州松禾成长二号创业投资中心（有限合伙）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上海腾希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上海腾希投资合伙企业（有限合伙）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红土生物</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深圳市红土生物创业投资有限公司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深创投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西安尔湾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西安尔湾投资有限合伙企业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华夏人寿</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华夏人寿保险股份有限公司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上海开物</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上海开物投资合伙企业（有限合伙）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深圳宸时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深圳宸时资本管理有限公司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常春藤</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深圳常春藤股权投资合伙企业（有限合伙）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锋茂投资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霍尔果斯锋茂股权投资管理合伙企业（有限合伙）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上海国和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上海国和现代服务业股权投资基金合伙企业（有限合伙）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汇晟资产</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萍乡市汇晟资产管理合伙企业（有限合伙）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宁波软银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宁波软银天维创业投资合伙企业（有限合伙）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荣之联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北京荣之联科技股份有限公司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创润投资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深圳市创润投资合伙企业（有限合伙）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苏州软银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苏州软银天维创业投资合伙企业（有限合伙）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海百合</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上海海百合投资发展中心（有限合伙）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深港产学研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成都光控</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成都光控西部创业投资有限公司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上海景林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上海景林景麒投资中心（有限合伙）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湘江发展集团</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湖南湘江新区发展集团有限公司</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CAP </w:t>
            </w:r>
            <w:r>
              <w:rPr>
                <w:rFonts w:ascii="宋体" w:hAnsi="宋体" w:cs="宋体" w:eastAsia="宋体" w:hint="default"/>
                <w:sz w:val="18"/>
                <w:szCs w:val="18"/>
              </w:rPr>
              <w:t>认证</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美国病理学家协会认证</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CE</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Conformité</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Européenne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的缩写，指欧洲合格评定。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CFDA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国家食品药品监督管理总局</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CLIA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471"/>
              <w:jc w:val="left"/>
              <w:rPr>
                <w:rFonts w:ascii="宋体" w:hAnsi="宋体" w:cs="宋体" w:eastAsia="宋体" w:hint="default"/>
                <w:sz w:val="18"/>
                <w:szCs w:val="18"/>
              </w:rPr>
            </w:pPr>
            <w:r>
              <w:rPr>
                <w:rFonts w:ascii="宋体" w:hAnsi="宋体" w:cs="宋体" w:eastAsia="宋体" w:hint="default"/>
                <w:sz w:val="18"/>
                <w:szCs w:val="18"/>
              </w:rPr>
              <w:t>是美国临床实验室改进修正案 </w:t>
            </w:r>
            <w:r>
              <w:rPr>
                <w:rFonts w:ascii="Times New Roman" w:hAnsi="Times New Roman" w:cs="Times New Roman" w:eastAsia="Times New Roman" w:hint="default"/>
                <w:sz w:val="18"/>
                <w:szCs w:val="18"/>
              </w:rPr>
              <w:t>(Clinical Laboratory</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Improvement</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z w:val="18"/>
                <w:szCs w:val="18"/>
              </w:rPr>
              <w:t>Amendments)</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的简写，旨在对临床实验室进行规范和监管。</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FDA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美国食品药品监督管理局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LDT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英文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Laboratory</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Developed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4"/>
                <w:sz w:val="18"/>
                <w:szCs w:val="18"/>
              </w:rPr>
              <w:t>Test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的缩写，指临床实验室自建项目。</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NMPA</w:t>
            </w:r>
            <w:r>
              <w:rPr>
                <w:rFonts w:ascii="宋体" w:hAnsi="宋体" w:cs="宋体" w:eastAsia="宋体" w:hint="default"/>
                <w:spacing w:val="-3"/>
                <w:sz w:val="18"/>
                <w:szCs w:val="18"/>
              </w:rPr>
              <w:t>、药监局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国家药品监督管理局</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证监会指定创业板信息披露网站</w:t>
            </w:r>
            <w:r>
              <w:rPr>
                <w:rFonts w:ascii="宋体" w:hAnsi="宋体" w:cs="宋体" w:eastAsia="宋体" w:hint="default"/>
                <w:spacing w:val="-22"/>
                <w:sz w:val="18"/>
                <w:szCs w:val="18"/>
              </w:rPr>
              <w:t> </w:t>
            </w:r>
            <w:hyperlink r:id="rId9">
              <w:r>
                <w:rPr>
                  <w:rFonts w:ascii="Times New Roman" w:hAnsi="Times New Roman" w:cs="Times New Roman" w:eastAsia="Times New Roman" w:hint="default"/>
                  <w:sz w:val="18"/>
                  <w:szCs w:val="18"/>
                </w:rPr>
                <w:t>http://www.cninfo.com.cn</w:t>
              </w:r>
            </w:hyperlink>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国家卫健委</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国家卫生健康委员会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AFP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1"/>
                <w:w w:val="100"/>
                <w:sz w:val="18"/>
                <w:szCs w:val="18"/>
              </w:rPr>
              <w:t>甲胎蛋白（</w:t>
            </w:r>
            <w:r>
              <w:rPr>
                <w:rFonts w:ascii="Times New Roman" w:hAnsi="Times New Roman" w:cs="Times New Roman" w:eastAsia="Times New Roman" w:hint="default"/>
                <w:spacing w:val="-1"/>
                <w:w w:val="100"/>
                <w:sz w:val="18"/>
                <w:szCs w:val="18"/>
              </w:rPr>
              <w:t>Alpha</w:t>
            </w:r>
            <w:r>
              <w:rPr>
                <w:rFonts w:ascii="Times New Roman" w:hAnsi="Times New Roman" w:cs="Times New Roman" w:eastAsia="Times New Roman" w:hint="default"/>
                <w:spacing w:val="22"/>
                <w:w w:val="100"/>
                <w:sz w:val="18"/>
                <w:szCs w:val="18"/>
              </w:rPr>
              <w:t> </w:t>
            </w:r>
            <w:r>
              <w:rPr>
                <w:rFonts w:ascii="Times New Roman" w:hAnsi="Times New Roman" w:cs="Times New Roman" w:eastAsia="Times New Roman" w:hint="default"/>
                <w:spacing w:val="-4"/>
                <w:w w:val="100"/>
                <w:sz w:val="18"/>
                <w:szCs w:val="18"/>
              </w:rPr>
              <w:t>Fetoprotein</w:t>
            </w:r>
            <w:r>
              <w:rPr>
                <w:rFonts w:ascii="宋体" w:hAnsi="宋体" w:cs="宋体" w:eastAsia="宋体" w:hint="default"/>
                <w:spacing w:val="-4"/>
                <w:w w:val="100"/>
                <w:sz w:val="18"/>
                <w:szCs w:val="18"/>
              </w:rPr>
              <w:t>），可作为肝癌等多种肿瘤的广谱肿瘤标</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志物。</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BGI</w:t>
            </w:r>
            <w:r>
              <w:rPr>
                <w:rFonts w:ascii="Times New Roman"/>
                <w:spacing w:val="-2"/>
                <w:sz w:val="18"/>
              </w:rPr>
              <w:t> </w:t>
            </w:r>
            <w:r>
              <w:rPr>
                <w:rFonts w:ascii="Times New Roman"/>
                <w:sz w:val="18"/>
              </w:rPr>
              <w:t>CSPro</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73"/>
              <w:jc w:val="left"/>
              <w:rPr>
                <w:rFonts w:ascii="宋体" w:hAnsi="宋体" w:cs="宋体" w:eastAsia="宋体" w:hint="default"/>
                <w:sz w:val="18"/>
                <w:szCs w:val="18"/>
              </w:rPr>
            </w:pPr>
            <w:r>
              <w:rPr>
                <w:rFonts w:ascii="宋体" w:hAnsi="宋体" w:cs="宋体" w:eastAsia="宋体" w:hint="default"/>
                <w:sz w:val="18"/>
                <w:szCs w:val="18"/>
              </w:rPr>
              <w:t>英文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BGI</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Certified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Service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Provider </w:t>
            </w:r>
            <w:r>
              <w:rPr>
                <w:rFonts w:ascii="宋体" w:hAnsi="宋体" w:cs="宋体" w:eastAsia="宋体" w:hint="default"/>
                <w:sz w:val="18"/>
                <w:szCs w:val="18"/>
              </w:rPr>
              <w:t>的简写，指华大基因认证的服务</w:t>
            </w:r>
            <w:r>
              <w:rPr>
                <w:rFonts w:ascii="宋体" w:hAnsi="宋体" w:cs="宋体" w:eastAsia="宋体" w:hint="default"/>
                <w:w w:val="99"/>
                <w:sz w:val="18"/>
                <w:szCs w:val="18"/>
              </w:rPr>
              <w:t> </w:t>
            </w:r>
            <w:r>
              <w:rPr>
                <w:rFonts w:ascii="宋体" w:hAnsi="宋体" w:cs="宋体" w:eastAsia="宋体" w:hint="default"/>
                <w:sz w:val="18"/>
                <w:szCs w:val="18"/>
              </w:rPr>
              <w:t>提供方（实验室）</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CA125</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糖类抗原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125</w:t>
            </w:r>
            <w:r>
              <w:rPr>
                <w:rFonts w:ascii="宋体" w:hAnsi="宋体" w:cs="宋体" w:eastAsia="宋体" w:hint="default"/>
                <w:sz w:val="18"/>
                <w:szCs w:val="18"/>
              </w:rPr>
              <w:t>，可作为卵巢癌等多种肿瘤的广谱肿瘤标志物。</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CA15-3</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糖类抗原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15-3</w:t>
            </w:r>
            <w:r>
              <w:rPr>
                <w:rFonts w:ascii="宋体" w:hAnsi="宋体" w:cs="宋体" w:eastAsia="宋体" w:hint="default"/>
                <w:sz w:val="18"/>
                <w:szCs w:val="18"/>
              </w:rPr>
              <w:t>，可作为乳腺癌等多种肿瘤的广谱肿瘤标志物。</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CA19-9</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334"/>
              <w:jc w:val="left"/>
              <w:rPr>
                <w:rFonts w:ascii="宋体" w:hAnsi="宋体" w:cs="宋体" w:eastAsia="宋体" w:hint="default"/>
                <w:sz w:val="18"/>
                <w:szCs w:val="18"/>
              </w:rPr>
            </w:pPr>
            <w:r>
              <w:rPr>
                <w:rFonts w:ascii="宋体" w:hAnsi="宋体" w:cs="宋体" w:eastAsia="宋体" w:hint="default"/>
                <w:sz w:val="18"/>
                <w:szCs w:val="18"/>
              </w:rPr>
              <w:t>糖类抗原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w:t>
            </w:r>
            <w:r>
              <w:rPr>
                <w:rFonts w:ascii="宋体" w:hAnsi="宋体" w:cs="宋体" w:eastAsia="宋体" w:hint="default"/>
                <w:sz w:val="18"/>
                <w:szCs w:val="18"/>
              </w:rPr>
              <w:t>，可作为胰腺癌、结直肠癌等多种肿瘤的肿瘤标志 物。</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cDNA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具有与某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链呈互补碱基序列的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DNA</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CEA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04"/>
              <w:jc w:val="left"/>
              <w:rPr>
                <w:rFonts w:ascii="宋体" w:hAnsi="宋体" w:cs="宋体" w:eastAsia="宋体" w:hint="default"/>
                <w:sz w:val="18"/>
                <w:szCs w:val="18"/>
              </w:rPr>
            </w:pPr>
            <w:r>
              <w:rPr>
                <w:rFonts w:ascii="宋体" w:hAnsi="宋体" w:cs="宋体" w:eastAsia="宋体" w:hint="default"/>
                <w:spacing w:val="-1"/>
                <w:w w:val="100"/>
                <w:sz w:val="18"/>
                <w:szCs w:val="18"/>
              </w:rPr>
              <w:t>癌胚抗原（</w:t>
            </w:r>
            <w:r>
              <w:rPr>
                <w:rFonts w:ascii="Times New Roman" w:hAnsi="Times New Roman" w:cs="Times New Roman" w:eastAsia="Times New Roman" w:hint="default"/>
                <w:spacing w:val="-1"/>
                <w:w w:val="100"/>
                <w:sz w:val="18"/>
                <w:szCs w:val="18"/>
              </w:rPr>
              <w:t>Carcinoembryonic</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pacing w:val="-5"/>
                <w:w w:val="100"/>
                <w:sz w:val="18"/>
                <w:szCs w:val="18"/>
              </w:rPr>
              <w:t>Antigen</w:t>
            </w:r>
            <w:r>
              <w:rPr>
                <w:rFonts w:ascii="宋体" w:hAnsi="宋体" w:cs="宋体" w:eastAsia="宋体" w:hint="default"/>
                <w:spacing w:val="-5"/>
                <w:w w:val="100"/>
                <w:sz w:val="18"/>
                <w:szCs w:val="18"/>
              </w:rPr>
              <w:t>），可作为结直肠癌等多种肿瘤</w:t>
            </w:r>
            <w:r>
              <w:rPr>
                <w:rFonts w:ascii="宋体" w:hAnsi="宋体" w:cs="宋体" w:eastAsia="宋体" w:hint="default"/>
                <w:spacing w:val="-72"/>
                <w:w w:val="100"/>
                <w:sz w:val="18"/>
                <w:szCs w:val="18"/>
              </w:rPr>
              <w:t> </w:t>
            </w:r>
            <w:r>
              <w:rPr>
                <w:rFonts w:ascii="宋体" w:hAnsi="宋体" w:cs="宋体" w:eastAsia="宋体" w:hint="default"/>
                <w:spacing w:val="-72"/>
                <w:w w:val="100"/>
                <w:sz w:val="18"/>
                <w:szCs w:val="18"/>
              </w:rPr>
            </w:r>
            <w:r>
              <w:rPr>
                <w:rFonts w:ascii="宋体" w:hAnsi="宋体" w:cs="宋体" w:eastAsia="宋体" w:hint="default"/>
                <w:sz w:val="18"/>
                <w:szCs w:val="18"/>
              </w:rPr>
              <w:t>的广谱肿瘤标志物。</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cfDNA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英文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cell</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free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的简写</w:t>
            </w:r>
            <w:r>
              <w:rPr>
                <w:rFonts w:ascii="Times New Roman" w:hAnsi="Times New Roman" w:cs="Times New Roman" w:eastAsia="Times New Roman" w:hint="default"/>
                <w:sz w:val="18"/>
                <w:szCs w:val="18"/>
              </w:rPr>
              <w:t>,</w:t>
            </w:r>
            <w:r>
              <w:rPr>
                <w:rFonts w:ascii="宋体" w:hAnsi="宋体" w:cs="宋体" w:eastAsia="宋体" w:hint="default"/>
                <w:sz w:val="18"/>
                <w:szCs w:val="18"/>
              </w:rPr>
              <w:t>指细胞游离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DNA</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DIA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英文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Data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Independent</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Acquisition </w:t>
            </w:r>
            <w:r>
              <w:rPr>
                <w:rFonts w:ascii="宋体" w:hAnsi="宋体" w:cs="宋体" w:eastAsia="宋体" w:hint="default"/>
                <w:sz w:val="18"/>
                <w:szCs w:val="18"/>
              </w:rPr>
              <w:t>的缩写，指数据非依赖性采集技术</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DNA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349"/>
              <w:jc w:val="left"/>
              <w:rPr>
                <w:rFonts w:ascii="宋体" w:hAnsi="宋体" w:cs="宋体" w:eastAsia="宋体" w:hint="default"/>
                <w:sz w:val="18"/>
                <w:szCs w:val="18"/>
              </w:rPr>
            </w:pPr>
            <w:r>
              <w:rPr>
                <w:rFonts w:ascii="宋体" w:hAnsi="宋体" w:cs="宋体" w:eastAsia="宋体" w:hint="default"/>
                <w:sz w:val="18"/>
                <w:szCs w:val="18"/>
              </w:rPr>
              <w:t>是脱氧核糖核酸的英文缩写，是一种生物大分子，可组成遗传指 令，引导生物发育与生命机能运作。</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DNA </w:t>
            </w:r>
            <w:r>
              <w:rPr>
                <w:rFonts w:ascii="宋体" w:hAnsi="宋体" w:cs="宋体" w:eastAsia="宋体" w:hint="default"/>
                <w:sz w:val="18"/>
                <w:szCs w:val="18"/>
              </w:rPr>
              <w:t>测序（</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sequencing</w:t>
            </w:r>
            <w:r>
              <w:rPr>
                <w:rFonts w:ascii="宋体" w:hAnsi="宋体" w:cs="宋体" w:eastAsia="宋体"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60"/>
              <w:jc w:val="left"/>
              <w:rPr>
                <w:rFonts w:ascii="宋体" w:hAnsi="宋体" w:cs="宋体" w:eastAsia="宋体" w:hint="default"/>
                <w:sz w:val="18"/>
                <w:szCs w:val="18"/>
              </w:rPr>
            </w:pPr>
            <w:r>
              <w:rPr>
                <w:rFonts w:ascii="宋体" w:hAnsi="宋体" w:cs="宋体" w:eastAsia="宋体" w:hint="default"/>
                <w:sz w:val="18"/>
                <w:szCs w:val="18"/>
              </w:rPr>
              <w:t>是指分析特定</w:t>
            </w:r>
            <w:r>
              <w:rPr>
                <w:rFonts w:ascii="宋体" w:hAnsi="宋体" w:cs="宋体" w:eastAsia="宋体" w:hint="default"/>
                <w:spacing w:val="-41"/>
                <w:sz w:val="18"/>
                <w:szCs w:val="18"/>
              </w:rPr>
              <w:t> </w:t>
            </w:r>
            <w:r>
              <w:rPr>
                <w:rFonts w:ascii="Times New Roman" w:hAnsi="Times New Roman" w:cs="Times New Roman" w:eastAsia="Times New Roman" w:hint="default"/>
                <w:spacing w:val="-1"/>
                <w:w w:val="99"/>
                <w:sz w:val="18"/>
                <w:szCs w:val="18"/>
              </w:rPr>
              <w:t>DNA</w:t>
            </w:r>
            <w:r>
              <w:rPr>
                <w:rFonts w:ascii="Times New Roman" w:hAnsi="Times New Roman" w:cs="Times New Roman" w:eastAsia="Times New Roman" w:hint="default"/>
                <w:w w:val="99"/>
                <w:sz w:val="18"/>
                <w:szCs w:val="18"/>
              </w:rPr>
              <w:t> </w:t>
            </w:r>
            <w:r>
              <w:rPr>
                <w:rFonts w:ascii="宋体" w:hAnsi="宋体" w:cs="宋体" w:eastAsia="宋体" w:hint="default"/>
                <w:spacing w:val="-5"/>
                <w:w w:val="99"/>
                <w:sz w:val="18"/>
                <w:szCs w:val="18"/>
              </w:rPr>
              <w:t>片段的碱基序列，也就是腺嘌呤（</w:t>
            </w:r>
            <w:r>
              <w:rPr>
                <w:rFonts w:ascii="Times New Roman" w:hAnsi="Times New Roman" w:cs="Times New Roman" w:eastAsia="Times New Roman" w:hint="default"/>
                <w:spacing w:val="-5"/>
                <w:w w:val="99"/>
                <w:sz w:val="18"/>
                <w:szCs w:val="18"/>
              </w:rPr>
              <w:t>A</w:t>
            </w:r>
            <w:r>
              <w:rPr>
                <w:rFonts w:ascii="宋体" w:hAnsi="宋体" w:cs="宋体" w:eastAsia="宋体" w:hint="default"/>
                <w:spacing w:val="-5"/>
                <w:w w:val="99"/>
                <w:sz w:val="18"/>
                <w:szCs w:val="18"/>
              </w:rPr>
              <w:t>）、胸腺嘧</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pacing w:val="-4"/>
                <w:sz w:val="18"/>
                <w:szCs w:val="18"/>
              </w:rPr>
              <w:t>啶（</w:t>
            </w:r>
            <w:r>
              <w:rPr>
                <w:rFonts w:ascii="Times New Roman" w:hAnsi="Times New Roman" w:cs="Times New Roman" w:eastAsia="Times New Roman" w:hint="default"/>
                <w:spacing w:val="-4"/>
                <w:sz w:val="18"/>
                <w:szCs w:val="18"/>
              </w:rPr>
              <w:t>T</w:t>
            </w:r>
            <w:r>
              <w:rPr>
                <w:rFonts w:ascii="宋体" w:hAnsi="宋体" w:cs="宋体" w:eastAsia="宋体" w:hint="default"/>
                <w:spacing w:val="-4"/>
                <w:sz w:val="18"/>
                <w:szCs w:val="18"/>
              </w:rPr>
              <w:t>）、胞嘧啶（</w:t>
            </w:r>
            <w:r>
              <w:rPr>
                <w:rFonts w:ascii="Times New Roman" w:hAnsi="Times New Roman" w:cs="Times New Roman" w:eastAsia="Times New Roman" w:hint="default"/>
                <w:spacing w:val="-4"/>
                <w:sz w:val="18"/>
                <w:szCs w:val="18"/>
              </w:rPr>
              <w:t>C</w:t>
            </w:r>
            <w:r>
              <w:rPr>
                <w:rFonts w:ascii="宋体" w:hAnsi="宋体" w:cs="宋体" w:eastAsia="宋体" w:hint="default"/>
                <w:spacing w:val="-4"/>
                <w:sz w:val="18"/>
                <w:szCs w:val="18"/>
              </w:rPr>
              <w:t>）与鸟嘌呤的（</w:t>
            </w:r>
            <w:r>
              <w:rPr>
                <w:rFonts w:ascii="Times New Roman" w:hAnsi="Times New Roman" w:cs="Times New Roman" w:eastAsia="Times New Roman" w:hint="default"/>
                <w:spacing w:val="-4"/>
                <w:sz w:val="18"/>
                <w:szCs w:val="18"/>
              </w:rPr>
              <w:t>G</w:t>
            </w:r>
            <w:r>
              <w:rPr>
                <w:rFonts w:ascii="宋体" w:hAnsi="宋体" w:cs="宋体" w:eastAsia="宋体" w:hint="default"/>
                <w:spacing w:val="-4"/>
                <w:sz w:val="18"/>
                <w:szCs w:val="18"/>
              </w:rPr>
              <w:t>）排列方式。目前应用最广泛</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的是由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Frederick</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Sanger </w:t>
            </w:r>
            <w:r>
              <w:rPr>
                <w:rFonts w:ascii="宋体" w:hAnsi="宋体" w:cs="宋体" w:eastAsia="宋体" w:hint="default"/>
                <w:sz w:val="18"/>
                <w:szCs w:val="18"/>
              </w:rPr>
              <w:t>发明的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Sanger </w:t>
            </w:r>
            <w:r>
              <w:rPr>
                <w:rFonts w:ascii="宋体" w:hAnsi="宋体" w:cs="宋体" w:eastAsia="宋体" w:hint="default"/>
                <w:sz w:val="18"/>
                <w:szCs w:val="18"/>
              </w:rPr>
              <w:t>双脱氧链终止法，</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sequencing technology</w:t>
            </w:r>
            <w:r>
              <w:rPr>
                <w:rFonts w:ascii="宋体" w:hAnsi="宋体" w:cs="宋体" w:eastAsia="宋体" w:hint="default"/>
                <w:sz w:val="18"/>
                <w:szCs w:val="18"/>
              </w:rPr>
              <w:t>，在分子生物学研究中，</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的序列分析是进 一步研究和改造目的基因的基础。</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病毒</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47"/>
              <w:jc w:val="left"/>
              <w:rPr>
                <w:rFonts w:ascii="宋体" w:hAnsi="宋体" w:cs="宋体" w:eastAsia="宋体" w:hint="default"/>
                <w:sz w:val="18"/>
                <w:szCs w:val="18"/>
              </w:rPr>
            </w:pPr>
            <w:r>
              <w:rPr>
                <w:rFonts w:ascii="宋体" w:hAnsi="宋体" w:cs="宋体" w:eastAsia="宋体" w:hint="default"/>
                <w:sz w:val="18"/>
                <w:szCs w:val="18"/>
              </w:rPr>
              <w:t>英文名</w:t>
            </w:r>
            <w:r>
              <w:rPr>
                <w:rFonts w:ascii="宋体" w:hAnsi="宋体" w:cs="宋体" w:eastAsia="宋体" w:hint="default"/>
                <w:spacing w:val="-43"/>
                <w:sz w:val="18"/>
                <w:szCs w:val="18"/>
              </w:rPr>
              <w:t> </w:t>
            </w:r>
            <w:r>
              <w:rPr>
                <w:rFonts w:ascii="Times New Roman" w:hAnsi="Times New Roman" w:cs="Times New Roman" w:eastAsia="Times New Roman" w:hint="default"/>
                <w:w w:val="100"/>
                <w:sz w:val="18"/>
                <w:szCs w:val="18"/>
              </w:rPr>
              <w:t>Epstein-Barr</w:t>
            </w:r>
            <w:r>
              <w:rPr>
                <w:rFonts w:ascii="Times New Roman" w:hAnsi="Times New Roman" w:cs="Times New Roman" w:eastAsia="Times New Roman" w:hint="default"/>
                <w:spacing w:val="2"/>
                <w:w w:val="100"/>
                <w:sz w:val="18"/>
                <w:szCs w:val="18"/>
              </w:rPr>
              <w:t> </w:t>
            </w:r>
            <w:r>
              <w:rPr>
                <w:rFonts w:ascii="Times New Roman" w:hAnsi="Times New Roman" w:cs="Times New Roman" w:eastAsia="Times New Roman" w:hint="default"/>
                <w:spacing w:val="-4"/>
                <w:w w:val="99"/>
                <w:sz w:val="18"/>
                <w:szCs w:val="18"/>
              </w:rPr>
              <w:t>virus</w:t>
            </w:r>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EBV</w:t>
            </w:r>
            <w:r>
              <w:rPr>
                <w:rFonts w:ascii="宋体" w:hAnsi="宋体" w:cs="宋体" w:eastAsia="宋体" w:hint="default"/>
                <w:spacing w:val="-4"/>
                <w:w w:val="99"/>
                <w:sz w:val="18"/>
                <w:szCs w:val="18"/>
              </w:rPr>
              <w:t>），是疱疹病毒科嗜淋巴细胞病毒属</w:t>
            </w:r>
            <w:r>
              <w:rPr>
                <w:rFonts w:ascii="宋体" w:hAnsi="宋体" w:cs="宋体" w:eastAsia="宋体" w:hint="default"/>
                <w:sz w:val="18"/>
                <w:szCs w:val="18"/>
              </w:rPr>
              <w:t> 的成员。</w:t>
            </w:r>
          </w:p>
        </w:tc>
      </w:tr>
      <w:tr>
        <w:trPr>
          <w:trHeight w:val="67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HALOS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源自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High-Throughput</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Analysis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for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Omics,High</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Analysis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in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one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step,</w:t>
            </w:r>
            <w:r>
              <w:rPr>
                <w:rFonts w:ascii="宋体" w:hAnsi="宋体" w:cs="宋体" w:eastAsia="宋体" w:hint="default"/>
                <w:sz w:val="18"/>
                <w:szCs w:val="18"/>
              </w:rPr>
              <w:t>简 化为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HALOS,</w:t>
            </w:r>
            <w:r>
              <w:rPr>
                <w:rFonts w:ascii="宋体" w:hAnsi="宋体" w:cs="宋体" w:eastAsia="宋体" w:hint="default"/>
                <w:sz w:val="18"/>
                <w:szCs w:val="18"/>
              </w:rPr>
              <w:t>为公司自主研发设计的本地自动化基因分析一体机的</w:t>
            </w:r>
          </w:p>
        </w:tc>
      </w:tr>
    </w:tbl>
    <w:p>
      <w:pPr>
        <w:spacing w:after="0" w:line="30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5"/>
        <w:gridCol w:w="620"/>
        <w:gridCol w:w="5425"/>
      </w:tblGrid>
      <w:tr>
        <w:trPr>
          <w:trHeight w:val="363"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HLA</w:t>
            </w:r>
            <w:r>
              <w:rPr>
                <w:rFonts w:ascii="宋体" w:hAnsi="宋体" w:cs="宋体" w:eastAsia="宋体" w:hint="default"/>
                <w:sz w:val="18"/>
                <w:szCs w:val="18"/>
              </w:rPr>
              <w:t>（</w:t>
            </w:r>
            <w:r>
              <w:rPr>
                <w:rFonts w:ascii="Times New Roman" w:hAnsi="Times New Roman" w:cs="Times New Roman" w:eastAsia="Times New Roman" w:hint="default"/>
                <w:sz w:val="18"/>
                <w:szCs w:val="18"/>
              </w:rPr>
              <w:t>human leukocyte</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antigen</w:t>
            </w:r>
            <w:r>
              <w:rPr>
                <w:rFonts w:ascii="宋体" w:hAnsi="宋体" w:cs="宋体" w:eastAsia="宋体"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是人类白细胞抗原的英文，是具有高度多态性的同种异体抗原，其 化学本质为一类糖蛋白，由一条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α</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重链（被糖基化的）和一条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β </w:t>
            </w:r>
            <w:r>
              <w:rPr>
                <w:rFonts w:ascii="宋体" w:hAnsi="宋体" w:cs="宋体" w:eastAsia="宋体" w:hint="default"/>
                <w:sz w:val="18"/>
                <w:szCs w:val="18"/>
              </w:rPr>
              <w:t>轻 链非共价结合而成。其肽链的氨基端向外（约占整个分子的</w:t>
            </w:r>
            <w:r>
              <w:rPr>
                <w:rFonts w:ascii="宋体" w:hAnsi="宋体" w:cs="宋体" w:eastAsia="宋体" w:hint="default"/>
                <w:spacing w:val="-44"/>
                <w:sz w:val="18"/>
                <w:szCs w:val="18"/>
              </w:rPr>
              <w:t> </w:t>
            </w:r>
            <w:r>
              <w:rPr>
                <w:rFonts w:ascii="Times New Roman" w:hAnsi="Times New Roman" w:cs="Times New Roman" w:eastAsia="Times New Roman" w:hint="default"/>
                <w:spacing w:val="-37"/>
                <w:w w:val="100"/>
                <w:sz w:val="18"/>
                <w:szCs w:val="18"/>
              </w:rPr>
              <w:t>3/4</w:t>
            </w:r>
            <w:r>
              <w:rPr>
                <w:rFonts w:ascii="宋体" w:hAnsi="宋体" w:cs="宋体" w:eastAsia="宋体" w:hint="default"/>
                <w:spacing w:val="-37"/>
                <w:w w:val="100"/>
                <w:sz w:val="18"/>
                <w:szCs w:val="18"/>
              </w:rPr>
              <w:t>），</w:t>
            </w:r>
            <w:r>
              <w:rPr>
                <w:rFonts w:ascii="宋体" w:hAnsi="宋体" w:cs="宋体" w:eastAsia="宋体" w:hint="default"/>
                <w:spacing w:val="-88"/>
                <w:w w:val="100"/>
                <w:sz w:val="18"/>
                <w:szCs w:val="18"/>
              </w:rPr>
              <w:t> </w:t>
            </w:r>
            <w:r>
              <w:rPr>
                <w:rFonts w:ascii="宋体" w:hAnsi="宋体" w:cs="宋体" w:eastAsia="宋体" w:hint="default"/>
                <w:sz w:val="18"/>
                <w:szCs w:val="18"/>
              </w:rPr>
              <w:t>羧基端穿入细胞质，中间疏水部分在胞膜中。</w:t>
            </w:r>
            <w:r>
              <w:rPr>
                <w:rFonts w:ascii="Times New Roman" w:hAnsi="Times New Roman" w:cs="Times New Roman" w:eastAsia="Times New Roman" w:hint="default"/>
                <w:sz w:val="18"/>
                <w:szCs w:val="18"/>
              </w:rPr>
              <w:t>HLA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按其分布和功能 分为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 </w:t>
            </w:r>
            <w:r>
              <w:rPr>
                <w:rFonts w:ascii="宋体" w:hAnsi="宋体" w:cs="宋体" w:eastAsia="宋体" w:hint="default"/>
                <w:sz w:val="18"/>
                <w:szCs w:val="18"/>
              </w:rPr>
              <w:t>类抗原和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II </w:t>
            </w:r>
            <w:r>
              <w:rPr>
                <w:rFonts w:ascii="宋体" w:hAnsi="宋体" w:cs="宋体" w:eastAsia="宋体" w:hint="default"/>
                <w:sz w:val="18"/>
                <w:szCs w:val="18"/>
              </w:rPr>
              <w:t>类抗原。</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IgG</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免疫球蛋白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IgM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免疫球蛋白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InDel</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57"/>
              <w:jc w:val="left"/>
              <w:rPr>
                <w:rFonts w:ascii="宋体" w:hAnsi="宋体" w:cs="宋体" w:eastAsia="宋体" w:hint="default"/>
                <w:sz w:val="18"/>
                <w:szCs w:val="18"/>
              </w:rPr>
            </w:pPr>
            <w:r>
              <w:rPr>
                <w:rFonts w:ascii="宋体" w:hAnsi="宋体" w:cs="宋体" w:eastAsia="宋体" w:hint="default"/>
                <w:spacing w:val="-3"/>
                <w:w w:val="100"/>
                <w:sz w:val="18"/>
                <w:szCs w:val="18"/>
              </w:rPr>
              <w:t>插入</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缺失突变的英文简写（</w:t>
            </w:r>
            <w:r>
              <w:rPr>
                <w:rFonts w:ascii="Times New Roman" w:hAnsi="Times New Roman" w:cs="Times New Roman" w:eastAsia="Times New Roman" w:hint="default"/>
                <w:spacing w:val="-3"/>
                <w:w w:val="100"/>
                <w:sz w:val="18"/>
                <w:szCs w:val="18"/>
              </w:rPr>
              <w:t>Insertion/Deletion</w:t>
            </w:r>
            <w:r>
              <w:rPr>
                <w:rFonts w:ascii="宋体" w:hAnsi="宋体" w:cs="宋体" w:eastAsia="宋体" w:hint="default"/>
                <w:spacing w:val="-3"/>
                <w:w w:val="100"/>
                <w:sz w:val="18"/>
                <w:szCs w:val="18"/>
              </w:rPr>
              <w:t>），是指由于碱基插入</w:t>
            </w:r>
            <w:r>
              <w:rPr>
                <w:rFonts w:ascii="宋体" w:hAnsi="宋体" w:cs="宋体" w:eastAsia="宋体" w:hint="default"/>
                <w:spacing w:val="-60"/>
                <w:w w:val="100"/>
                <w:sz w:val="18"/>
                <w:szCs w:val="18"/>
              </w:rPr>
              <w:t> </w:t>
            </w:r>
            <w:r>
              <w:rPr>
                <w:rFonts w:ascii="宋体" w:hAnsi="宋体" w:cs="宋体" w:eastAsia="宋体" w:hint="default"/>
                <w:spacing w:val="-60"/>
                <w:w w:val="100"/>
                <w:sz w:val="18"/>
                <w:szCs w:val="18"/>
              </w:rPr>
            </w:r>
            <w:r>
              <w:rPr>
                <w:rFonts w:ascii="宋体" w:hAnsi="宋体" w:cs="宋体" w:eastAsia="宋体" w:hint="default"/>
                <w:sz w:val="18"/>
                <w:szCs w:val="18"/>
              </w:rPr>
              <w:t>或者缺失造成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序列的变化。基因组的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InDel </w:t>
            </w:r>
            <w:r>
              <w:rPr>
                <w:rFonts w:ascii="宋体" w:hAnsi="宋体" w:cs="宋体" w:eastAsia="宋体" w:hint="default"/>
                <w:sz w:val="18"/>
                <w:szCs w:val="18"/>
              </w:rPr>
              <w:t>突变可产生多态 性，也可能导致遗传性疾病。</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miRNA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99"/>
              <w:jc w:val="both"/>
              <w:rPr>
                <w:rFonts w:ascii="宋体" w:hAnsi="宋体" w:cs="宋体" w:eastAsia="宋体" w:hint="default"/>
                <w:sz w:val="18"/>
                <w:szCs w:val="18"/>
              </w:rPr>
            </w:pPr>
            <w:r>
              <w:rPr>
                <w:rFonts w:ascii="宋体" w:hAnsi="宋体" w:cs="宋体" w:eastAsia="宋体" w:hint="default"/>
                <w:sz w:val="18"/>
                <w:szCs w:val="18"/>
              </w:rPr>
              <w:t>是在真核生物中发现的一类内源性的具有调控功能的非编码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RNA</w:t>
            </w:r>
            <w:r>
              <w:rPr>
                <w:rFonts w:ascii="宋体" w:hAnsi="宋体" w:cs="宋体" w:eastAsia="宋体" w:hint="default"/>
                <w:sz w:val="18"/>
                <w:szCs w:val="18"/>
              </w:rPr>
              <w:t>， 其大小长约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个核苷酸，主要通过结合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mRNA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而选择性调控 基因的表达。</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mRNA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98"/>
              <w:jc w:val="left"/>
              <w:rPr>
                <w:rFonts w:ascii="宋体" w:hAnsi="宋体" w:cs="宋体" w:eastAsia="宋体" w:hint="default"/>
                <w:sz w:val="18"/>
                <w:szCs w:val="18"/>
              </w:rPr>
            </w:pPr>
            <w:r>
              <w:rPr>
                <w:rFonts w:ascii="宋体" w:hAnsi="宋体" w:cs="宋体" w:eastAsia="宋体" w:hint="default"/>
                <w:sz w:val="18"/>
                <w:szCs w:val="18"/>
              </w:rPr>
              <w:t>是信使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的英文缩写，是由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的一条链作为模板转录而来 的、携带遗传信息的能指导蛋白质合成的一类单链核糖核酸。</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MSI</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20"/>
              <w:jc w:val="both"/>
              <w:rPr>
                <w:rFonts w:ascii="宋体" w:hAnsi="宋体" w:cs="宋体" w:eastAsia="宋体" w:hint="default"/>
                <w:sz w:val="18"/>
                <w:szCs w:val="18"/>
              </w:rPr>
            </w:pPr>
            <w:r>
              <w:rPr>
                <w:rFonts w:ascii="宋体" w:hAnsi="宋体" w:cs="宋体" w:eastAsia="宋体" w:hint="default"/>
                <w:spacing w:val="-1"/>
                <w:w w:val="100"/>
                <w:sz w:val="18"/>
                <w:szCs w:val="18"/>
              </w:rPr>
              <w:t>微卫星不稳定（</w:t>
            </w:r>
            <w:r>
              <w:rPr>
                <w:rFonts w:ascii="Times New Roman" w:hAnsi="Times New Roman" w:cs="Times New Roman" w:eastAsia="Times New Roman" w:hint="default"/>
                <w:spacing w:val="-1"/>
                <w:w w:val="100"/>
                <w:sz w:val="18"/>
                <w:szCs w:val="18"/>
              </w:rPr>
              <w:t>Microsatellite</w:t>
            </w:r>
            <w:r>
              <w:rPr>
                <w:rFonts w:ascii="Times New Roman" w:hAnsi="Times New Roman" w:cs="Times New Roman" w:eastAsia="Times New Roman" w:hint="default"/>
                <w:spacing w:val="7"/>
                <w:w w:val="100"/>
                <w:sz w:val="18"/>
                <w:szCs w:val="18"/>
              </w:rPr>
              <w:t> </w:t>
            </w:r>
            <w:r>
              <w:rPr>
                <w:rFonts w:ascii="Times New Roman" w:hAnsi="Times New Roman" w:cs="Times New Roman" w:eastAsia="Times New Roman" w:hint="default"/>
                <w:spacing w:val="-6"/>
                <w:w w:val="100"/>
                <w:sz w:val="18"/>
                <w:szCs w:val="18"/>
              </w:rPr>
              <w:t>Instability</w:t>
            </w:r>
            <w:r>
              <w:rPr>
                <w:rFonts w:ascii="宋体" w:hAnsi="宋体" w:cs="宋体" w:eastAsia="宋体" w:hint="default"/>
                <w:spacing w:val="-6"/>
                <w:w w:val="100"/>
                <w:sz w:val="18"/>
                <w:szCs w:val="18"/>
              </w:rPr>
              <w:t>），是指由于在</w:t>
            </w:r>
            <w:r>
              <w:rPr>
                <w:rFonts w:ascii="宋体" w:hAnsi="宋体" w:cs="宋体" w:eastAsia="宋体" w:hint="default"/>
                <w:spacing w:val="-37"/>
                <w:w w:val="100"/>
                <w:sz w:val="18"/>
                <w:szCs w:val="18"/>
              </w:rPr>
              <w:t> </w:t>
            </w:r>
            <w:r>
              <w:rPr>
                <w:rFonts w:ascii="Times New Roman" w:hAnsi="Times New Roman" w:cs="Times New Roman" w:eastAsia="Times New Roman" w:hint="default"/>
                <w:w w:val="99"/>
                <w:sz w:val="18"/>
                <w:szCs w:val="18"/>
              </w:rPr>
              <w:t>DNA</w:t>
            </w:r>
            <w:r>
              <w:rPr>
                <w:rFonts w:ascii="Times New Roman" w:hAnsi="Times New Roman" w:cs="Times New Roman" w:eastAsia="Times New Roman" w:hint="default"/>
                <w:spacing w:val="4"/>
                <w:w w:val="99"/>
                <w:sz w:val="18"/>
                <w:szCs w:val="18"/>
              </w:rPr>
              <w:t> </w:t>
            </w:r>
            <w:r>
              <w:rPr>
                <w:rFonts w:ascii="宋体" w:hAnsi="宋体" w:cs="宋体" w:eastAsia="宋体" w:hint="default"/>
                <w:sz w:val="18"/>
                <w:szCs w:val="18"/>
              </w:rPr>
              <w:t>复制时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插入</w:t>
            </w:r>
            <w:r>
              <w:rPr>
                <w:rFonts w:ascii="Times New Roman" w:hAnsi="Times New Roman" w:cs="Times New Roman" w:eastAsia="Times New Roman" w:hint="default"/>
                <w:sz w:val="18"/>
                <w:szCs w:val="18"/>
              </w:rPr>
              <w:t>/</w:t>
            </w:r>
            <w:r>
              <w:rPr>
                <w:rFonts w:ascii="宋体" w:hAnsi="宋体" w:cs="宋体" w:eastAsia="宋体" w:hint="default"/>
                <w:sz w:val="18"/>
                <w:szCs w:val="18"/>
              </w:rPr>
              <w:t>缺失突变引起的微卫星序列长度变化的现象，常由错配修复功 能缺陷引起，可作为肿瘤生物标志物用于林奇综合征诊断和预后评 估，和预测免疫检查点抑制剂疗效。</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nt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1"/>
              <w:ind w:left="24" w:right="53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Nucleotide </w:t>
            </w:r>
            <w:r>
              <w:rPr>
                <w:rFonts w:ascii="宋体" w:hAnsi="宋体" w:cs="宋体" w:eastAsia="宋体" w:hint="default"/>
                <w:sz w:val="18"/>
                <w:szCs w:val="18"/>
              </w:rPr>
              <w:t>的简写</w:t>
            </w:r>
            <w:r>
              <w:rPr>
                <w:rFonts w:ascii="Times New Roman" w:hAnsi="Times New Roman" w:cs="Times New Roman" w:eastAsia="Times New Roman" w:hint="default"/>
                <w:sz w:val="18"/>
                <w:szCs w:val="18"/>
              </w:rPr>
              <w:t>, </w:t>
            </w:r>
            <w:r>
              <w:rPr>
                <w:rFonts w:ascii="宋体" w:hAnsi="宋体" w:cs="宋体" w:eastAsia="宋体" w:hint="default"/>
                <w:sz w:val="18"/>
                <w:szCs w:val="18"/>
              </w:rPr>
              <w:t>即核苷酸数，通常用于描述单链，如</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RNA, primer</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Oligo</w:t>
            </w:r>
            <w:r>
              <w:rPr>
                <w:rFonts w:ascii="Times New Roman"/>
                <w:spacing w:val="-1"/>
                <w:sz w:val="18"/>
              </w:rPr>
              <w:t> </w:t>
            </w:r>
            <w:r>
              <w:rPr>
                <w:rFonts w:ascii="Times New Roman"/>
                <w:sz w:val="18"/>
              </w:rPr>
              <w:t>Pools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9"/>
              <w:jc w:val="both"/>
              <w:rPr>
                <w:rFonts w:ascii="宋体" w:hAnsi="宋体" w:cs="宋体" w:eastAsia="宋体" w:hint="default"/>
                <w:sz w:val="18"/>
                <w:szCs w:val="18"/>
              </w:rPr>
            </w:pPr>
            <w:r>
              <w:rPr>
                <w:rFonts w:ascii="宋体" w:hAnsi="宋体" w:cs="宋体" w:eastAsia="宋体" w:hint="default"/>
                <w:sz w:val="18"/>
                <w:szCs w:val="18"/>
              </w:rPr>
              <w:t>利用电化学技术，在一张芯片上同时合成上万条引物，合成后将引 物从芯片上洗脱下来，即可得到含有上万条引物的混合溶液，即引 </w:t>
            </w:r>
            <w:r>
              <w:rPr>
                <w:rFonts w:ascii="宋体" w:hAnsi="宋体" w:cs="宋体" w:eastAsia="宋体" w:hint="default"/>
                <w:spacing w:val="-1"/>
                <w:sz w:val="18"/>
                <w:szCs w:val="18"/>
              </w:rPr>
              <w:t>物池（</w:t>
            </w:r>
            <w:r>
              <w:rPr>
                <w:rFonts w:ascii="Times New Roman" w:hAnsi="Times New Roman" w:cs="Times New Roman" w:eastAsia="Times New Roman" w:hint="default"/>
                <w:spacing w:val="-1"/>
                <w:sz w:val="18"/>
                <w:szCs w:val="18"/>
              </w:rPr>
              <w:t>Oligo</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pacing w:val="-27"/>
                <w:w w:val="99"/>
                <w:sz w:val="18"/>
                <w:szCs w:val="18"/>
              </w:rPr>
              <w:t>Pools</w:t>
            </w:r>
            <w:r>
              <w:rPr>
                <w:rFonts w:ascii="宋体" w:hAnsi="宋体" w:cs="宋体" w:eastAsia="宋体" w:hint="default"/>
                <w:spacing w:val="-27"/>
                <w:w w:val="99"/>
                <w:sz w:val="18"/>
                <w:szCs w:val="18"/>
              </w:rPr>
              <w:t>）。</w:t>
            </w:r>
            <w:r>
              <w:rPr>
                <w:rFonts w:ascii="宋体" w:hAnsi="宋体" w:cs="宋体" w:eastAsia="宋体" w:hint="default"/>
                <w:w w:val="99"/>
                <w:sz w:val="18"/>
                <w:szCs w:val="18"/>
              </w:rPr>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PCR</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是聚合酶链式反应的英文缩写，是在体外快速扩增目的基因或特定</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片段的一种十分有效的技术。</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克隆</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即将一个基因从一个载体转移到另一个载体的过程。</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荧光探针结合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PCR</w:t>
            </w:r>
            <w:r>
              <w:rPr>
                <w:rFonts w:ascii="宋体" w:hAnsi="宋体" w:cs="宋体" w:eastAsia="宋体" w:hint="default"/>
                <w:sz w:val="18"/>
                <w:szCs w:val="18"/>
              </w:rPr>
              <w:t>（聚合酶链式反应）扩增技术的检测方法</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PSA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9"/>
              <w:jc w:val="left"/>
              <w:rPr>
                <w:rFonts w:ascii="宋体" w:hAnsi="宋体" w:cs="宋体" w:eastAsia="宋体" w:hint="default"/>
                <w:sz w:val="18"/>
                <w:szCs w:val="18"/>
              </w:rPr>
            </w:pPr>
            <w:r>
              <w:rPr>
                <w:rFonts w:ascii="宋体" w:hAnsi="宋体" w:cs="宋体" w:eastAsia="宋体" w:hint="default"/>
                <w:spacing w:val="-1"/>
                <w:w w:val="100"/>
                <w:sz w:val="18"/>
                <w:szCs w:val="18"/>
              </w:rPr>
              <w:t>前列腺特异抗原（</w:t>
            </w:r>
            <w:r>
              <w:rPr>
                <w:rFonts w:ascii="Times New Roman" w:hAnsi="Times New Roman" w:cs="Times New Roman" w:eastAsia="Times New Roman" w:hint="default"/>
                <w:spacing w:val="-1"/>
                <w:w w:val="100"/>
                <w:sz w:val="18"/>
                <w:szCs w:val="18"/>
              </w:rPr>
              <w:t>Prostate</w:t>
            </w:r>
            <w:r>
              <w:rPr>
                <w:rFonts w:ascii="Times New Roman" w:hAnsi="Times New Roman" w:cs="Times New Roman" w:eastAsia="Times New Roman" w:hint="default"/>
                <w:spacing w:val="8"/>
                <w:w w:val="100"/>
                <w:sz w:val="18"/>
                <w:szCs w:val="18"/>
              </w:rPr>
              <w:t> </w:t>
            </w:r>
            <w:r>
              <w:rPr>
                <w:rFonts w:ascii="Times New Roman" w:hAnsi="Times New Roman" w:cs="Times New Roman" w:eastAsia="Times New Roman" w:hint="default"/>
                <w:spacing w:val="-1"/>
                <w:w w:val="100"/>
                <w:sz w:val="18"/>
                <w:szCs w:val="18"/>
              </w:rPr>
              <w:t>Specific</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pacing w:val="-5"/>
                <w:w w:val="100"/>
                <w:sz w:val="18"/>
                <w:szCs w:val="18"/>
              </w:rPr>
              <w:t>Antigen</w:t>
            </w:r>
            <w:r>
              <w:rPr>
                <w:rFonts w:ascii="宋体" w:hAnsi="宋体" w:cs="宋体" w:eastAsia="宋体" w:hint="default"/>
                <w:spacing w:val="-5"/>
                <w:w w:val="100"/>
                <w:sz w:val="18"/>
                <w:szCs w:val="18"/>
              </w:rPr>
              <w:t>），可作为前列腺癌的肿瘤</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z w:val="18"/>
                <w:szCs w:val="18"/>
              </w:rPr>
              <w:t>标志物。</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Q-PCR</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定量即时聚合酶链锁反应，是一种在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扩增反应中，以荧光染剂 侦测每次聚合酶链氏反应（</w:t>
            </w:r>
            <w:r>
              <w:rPr>
                <w:rFonts w:ascii="Times New Roman" w:hAnsi="Times New Roman" w:cs="Times New Roman" w:eastAsia="Times New Roman" w:hint="default"/>
                <w:sz w:val="18"/>
                <w:szCs w:val="18"/>
              </w:rPr>
              <w:t>PCR</w:t>
            </w:r>
            <w:r>
              <w:rPr>
                <w:rFonts w:ascii="宋体" w:hAnsi="宋体" w:cs="宋体" w:eastAsia="宋体" w:hint="default"/>
                <w:sz w:val="18"/>
                <w:szCs w:val="18"/>
              </w:rPr>
              <w:t>）循环后产物总量的方法技术。</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RNA</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04"/>
              <w:jc w:val="left"/>
              <w:rPr>
                <w:rFonts w:ascii="宋体" w:hAnsi="宋体" w:cs="宋体" w:eastAsia="宋体" w:hint="default"/>
                <w:sz w:val="18"/>
                <w:szCs w:val="18"/>
              </w:rPr>
            </w:pPr>
            <w:r>
              <w:rPr>
                <w:rFonts w:ascii="宋体" w:hAnsi="宋体" w:cs="宋体" w:eastAsia="宋体" w:hint="default"/>
                <w:sz w:val="18"/>
                <w:szCs w:val="18"/>
              </w:rPr>
              <w:t>是核糖核酸的英文缩写，是存在于生物细胞以及部分病毒、类病毒 中的遗传信息载体。</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由核糖核苷酸经磷酸二酯键缩合而成长链 状分子。</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SARS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冠状病毒</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严重急性呼吸道综合征病毒，是引起非典型肺炎的病原体，是在 </w:t>
            </w:r>
            <w:r>
              <w:rPr>
                <w:rFonts w:ascii="Times New Roman" w:hAnsi="Times New Roman" w:cs="Times New Roman" w:eastAsia="Times New Roman" w:hint="default"/>
                <w:sz w:val="18"/>
                <w:szCs w:val="18"/>
              </w:rPr>
              <w:t>2002 </w:t>
            </w:r>
            <w:r>
              <w:rPr>
                <w:rFonts w:ascii="宋体" w:hAnsi="宋体" w:cs="宋体" w:eastAsia="宋体" w:hint="default"/>
                <w:sz w:val="18"/>
                <w:szCs w:val="18"/>
              </w:rPr>
              <w:t>年冬到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2003 </w:t>
            </w:r>
            <w:r>
              <w:rPr>
                <w:rFonts w:ascii="宋体" w:hAnsi="宋体" w:cs="宋体" w:eastAsia="宋体" w:hint="default"/>
                <w:sz w:val="18"/>
                <w:szCs w:val="18"/>
              </w:rPr>
              <w:t>年春肆虐全球的严重急性呼吸综合征（</w:t>
            </w:r>
            <w:r>
              <w:rPr>
                <w:rFonts w:ascii="Times New Roman" w:hAnsi="Times New Roman" w:cs="Times New Roman" w:eastAsia="Times New Roman" w:hint="default"/>
                <w:sz w:val="18"/>
                <w:szCs w:val="18"/>
              </w:rPr>
              <w:t>SARS</w:t>
            </w:r>
            <w:r>
              <w:rPr>
                <w:rFonts w:ascii="宋体" w:hAnsi="宋体" w:cs="宋体" w:eastAsia="宋体" w:hint="default"/>
                <w:sz w:val="18"/>
                <w:szCs w:val="18"/>
              </w:rPr>
              <w:t>、传 染性非典型肺炎）的元凶。</w:t>
            </w:r>
          </w:p>
        </w:tc>
      </w:tr>
    </w:tbl>
    <w:p>
      <w:pPr>
        <w:spacing w:after="0" w:line="309"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5"/>
        <w:gridCol w:w="620"/>
        <w:gridCol w:w="5425"/>
      </w:tblGrid>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stLFR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英文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single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tube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Long</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Fragment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Read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的缩写，指单管长片段读取技 术，是一种新型的建库技术</w:t>
            </w:r>
            <w:r>
              <w:rPr>
                <w:rFonts w:ascii="Times New Roman" w:hAnsi="Times New Roman" w:cs="Times New Roman" w:eastAsia="Times New Roman" w:hint="default"/>
                <w:sz w:val="18"/>
                <w:szCs w:val="18"/>
              </w:rPr>
              <w:t>, </w:t>
            </w:r>
            <w:r>
              <w:rPr>
                <w:rFonts w:ascii="宋体" w:hAnsi="宋体" w:cs="宋体" w:eastAsia="宋体" w:hint="default"/>
                <w:sz w:val="18"/>
                <w:szCs w:val="18"/>
              </w:rPr>
              <w:t>可用于 </w:t>
            </w:r>
            <w:r>
              <w:rPr>
                <w:rFonts w:ascii="Times New Roman" w:hAnsi="Times New Roman" w:cs="Times New Roman" w:eastAsia="Times New Roman" w:hint="default"/>
                <w:sz w:val="18"/>
                <w:szCs w:val="18"/>
              </w:rPr>
              <w:t>WGS,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单体型分析和重叠群拼 接。它基于将相同的条形码序列添加到原始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分子的亚片段</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co-barcoding</w:t>
            </w:r>
            <w:r>
              <w:rPr>
                <w:rFonts w:ascii="宋体" w:hAnsi="宋体" w:cs="宋体" w:eastAsia="宋体" w:hint="default"/>
                <w:sz w:val="18"/>
                <w:szCs w:val="18"/>
              </w:rPr>
              <w:t>）上。</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Times New Roman" w:hAnsi="Times New Roman" w:cs="Times New Roman" w:eastAsia="Times New Roman" w:hint="default"/>
                <w:sz w:val="18"/>
                <w:szCs w:val="18"/>
              </w:rPr>
            </w:pPr>
            <w:r>
              <w:rPr>
                <w:rFonts w:ascii="Times New Roman"/>
                <w:sz w:val="18"/>
              </w:rPr>
              <w:t>TMB</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肿瘤突变负荷（</w:t>
            </w:r>
            <w:r>
              <w:rPr>
                <w:rFonts w:ascii="Times New Roman" w:hAnsi="Times New Roman" w:cs="Times New Roman" w:eastAsia="Times New Roman" w:hint="default"/>
                <w:spacing w:val="-10"/>
                <w:w w:val="100"/>
                <w:sz w:val="18"/>
                <w:szCs w:val="18"/>
              </w:rPr>
              <w:t>T</w:t>
            </w:r>
            <w:r>
              <w:rPr>
                <w:rFonts w:ascii="Times New Roman" w:hAnsi="Times New Roman" w:cs="Times New Roman" w:eastAsia="Times New Roman" w:hint="default"/>
                <w:spacing w:val="3"/>
                <w:sz w:val="18"/>
                <w:szCs w:val="18"/>
              </w:rPr>
              <w:t>u</w:t>
            </w:r>
            <w:r>
              <w:rPr>
                <w:rFonts w:ascii="Times New Roman" w:hAnsi="Times New Roman" w:cs="Times New Roman" w:eastAsia="Times New Roman" w:hint="default"/>
                <w:spacing w:val="-4"/>
                <w:w w:val="100"/>
                <w:sz w:val="18"/>
                <w:szCs w:val="18"/>
              </w:rPr>
              <w:t>m</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r </w:t>
            </w:r>
            <w:r>
              <w:rPr>
                <w:rFonts w:ascii="Times New Roman" w:hAnsi="Times New Roman" w:cs="Times New Roman" w:eastAsia="Times New Roman" w:hint="default"/>
                <w:w w:val="99"/>
                <w:sz w:val="18"/>
                <w:szCs w:val="18"/>
              </w:rPr>
              <w:t>M</w:t>
            </w:r>
            <w:r>
              <w:rPr>
                <w:rFonts w:ascii="Times New Roman" w:hAnsi="Times New Roman" w:cs="Times New Roman" w:eastAsia="Times New Roman" w:hint="default"/>
                <w:spacing w:val="1"/>
                <w:sz w:val="18"/>
                <w:szCs w:val="18"/>
              </w:rPr>
              <w:t>u</w:t>
            </w:r>
            <w:r>
              <w:rPr>
                <w:rFonts w:ascii="Times New Roman" w:hAnsi="Times New Roman" w:cs="Times New Roman" w:eastAsia="Times New Roman" w:hint="default"/>
                <w:w w:val="100"/>
                <w:sz w:val="18"/>
                <w:szCs w:val="18"/>
              </w:rPr>
              <w:t>tati</w:t>
            </w:r>
            <w:r>
              <w:rPr>
                <w:rFonts w:ascii="Times New Roman" w:hAnsi="Times New Roman" w:cs="Times New Roman" w:eastAsia="Times New Roman" w:hint="default"/>
                <w:spacing w:val="-1"/>
                <w:w w:val="100"/>
                <w:sz w:val="18"/>
                <w:szCs w:val="18"/>
              </w:rPr>
              <w:t>o</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Bur</w:t>
            </w:r>
            <w:r>
              <w:rPr>
                <w:rFonts w:ascii="Times New Roman" w:hAnsi="Times New Roman" w:cs="Times New Roman" w:eastAsia="Times New Roman" w:hint="default"/>
                <w:spacing w:val="1"/>
                <w:sz w:val="18"/>
                <w:szCs w:val="18"/>
              </w:rPr>
              <w:t>d</w:t>
            </w:r>
            <w:r>
              <w:rPr>
                <w:rFonts w:ascii="Times New Roman" w:hAnsi="Times New Roman" w:cs="Times New Roman" w:eastAsia="Times New Roman" w:hint="default"/>
                <w:spacing w:val="-1"/>
                <w:w w:val="100"/>
                <w:sz w:val="18"/>
                <w:szCs w:val="18"/>
              </w:rPr>
              <w:t>e</w:t>
            </w:r>
            <w:r>
              <w:rPr>
                <w:rFonts w:ascii="Times New Roman" w:hAnsi="Times New Roman" w:cs="Times New Roman" w:eastAsia="Times New Roman" w:hint="default"/>
                <w:spacing w:val="2"/>
                <w:sz w:val="18"/>
                <w:szCs w:val="18"/>
              </w:rPr>
              <w:t>n</w:t>
            </w:r>
            <w:r>
              <w:rPr>
                <w:rFonts w:ascii="宋体" w:hAnsi="宋体" w:cs="宋体" w:eastAsia="宋体" w:hint="default"/>
                <w:spacing w:val="-92"/>
                <w:sz w:val="18"/>
                <w:szCs w:val="18"/>
              </w:rPr>
              <w:t>）</w:t>
            </w:r>
            <w:r>
              <w:rPr>
                <w:rFonts w:ascii="宋体" w:hAnsi="宋体" w:cs="宋体" w:eastAsia="宋体" w:hint="default"/>
                <w:sz w:val="18"/>
                <w:szCs w:val="18"/>
              </w:rPr>
              <w:t>，是指肿瘤样本每</w:t>
            </w:r>
            <w:r>
              <w:rPr>
                <w:rFonts w:ascii="宋体" w:hAnsi="宋体" w:cs="宋体" w:eastAsia="宋体" w:hint="default"/>
                <w:spacing w:val="-3"/>
                <w:sz w:val="18"/>
                <w:szCs w:val="18"/>
              </w:rPr>
              <w:t>兆</w:t>
            </w:r>
            <w:r>
              <w:rPr>
                <w:rFonts w:ascii="宋体" w:hAnsi="宋体" w:cs="宋体" w:eastAsia="宋体" w:hint="default"/>
                <w:sz w:val="18"/>
                <w:szCs w:val="18"/>
              </w:rPr>
              <w:t>碱基</w:t>
            </w:r>
          </w:p>
          <w:p>
            <w:pPr>
              <w:pStyle w:val="TableParagraph"/>
              <w:spacing w:line="300" w:lineRule="auto" w:before="60"/>
              <w:ind w:left="24" w:right="4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Mb</w:t>
            </w:r>
            <w:r>
              <w:rPr>
                <w:rFonts w:ascii="宋体" w:hAnsi="宋体" w:cs="宋体" w:eastAsia="宋体" w:hint="default"/>
                <w:sz w:val="18"/>
                <w:szCs w:val="18"/>
              </w:rPr>
              <w:t>）中体细胞内编码蛋白的碱基替换、插入</w:t>
            </w:r>
            <w:r>
              <w:rPr>
                <w:rFonts w:ascii="Times New Roman" w:hAnsi="Times New Roman" w:cs="Times New Roman" w:eastAsia="Times New Roman" w:hint="default"/>
                <w:sz w:val="18"/>
                <w:szCs w:val="18"/>
              </w:rPr>
              <w:t>/</w:t>
            </w:r>
            <w:r>
              <w:rPr>
                <w:rFonts w:ascii="宋体" w:hAnsi="宋体" w:cs="宋体" w:eastAsia="宋体" w:hint="default"/>
                <w:sz w:val="18"/>
                <w:szCs w:val="18"/>
              </w:rPr>
              <w:t>缺失等形式突变的总 </w:t>
            </w:r>
            <w:r>
              <w:rPr>
                <w:rFonts w:ascii="宋体" w:hAnsi="宋体" w:cs="宋体" w:eastAsia="宋体" w:hint="default"/>
                <w:spacing w:val="-3"/>
                <w:w w:val="100"/>
                <w:sz w:val="18"/>
                <w:szCs w:val="18"/>
              </w:rPr>
              <w:t>数，单位为突变</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兆碱基（</w:t>
            </w:r>
            <w:r>
              <w:rPr>
                <w:rFonts w:ascii="Times New Roman" w:hAnsi="Times New Roman" w:cs="Times New Roman" w:eastAsia="Times New Roman" w:hint="default"/>
                <w:spacing w:val="-3"/>
                <w:w w:val="100"/>
                <w:sz w:val="18"/>
                <w:szCs w:val="18"/>
              </w:rPr>
              <w:t>Muts/Mb</w:t>
            </w:r>
            <w:r>
              <w:rPr>
                <w:rFonts w:ascii="宋体" w:hAnsi="宋体" w:cs="宋体" w:eastAsia="宋体" w:hint="default"/>
                <w:spacing w:val="-3"/>
                <w:w w:val="100"/>
                <w:sz w:val="18"/>
                <w:szCs w:val="18"/>
              </w:rPr>
              <w:t>），可作为肿瘤生物标志物用于预</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测免疫检查点抑制剂疗效。</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ToRCH</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一组病原微生物的英文名称缩写，其中</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T</w:t>
            </w:r>
            <w:r>
              <w:rPr>
                <w:rFonts w:ascii="宋体" w:hAnsi="宋体" w:cs="宋体" w:eastAsia="宋体" w:hint="default"/>
                <w:sz w:val="18"/>
                <w:szCs w:val="18"/>
              </w:rPr>
              <w:t>（</w:t>
            </w:r>
            <w:r>
              <w:rPr>
                <w:rFonts w:ascii="Times New Roman" w:hAnsi="Times New Roman" w:cs="Times New Roman" w:eastAsia="Times New Roman" w:hint="default"/>
                <w:sz w:val="18"/>
                <w:szCs w:val="18"/>
              </w:rPr>
              <w:t>Toxoplasma)</w:t>
            </w:r>
            <w:r>
              <w:rPr>
                <w:rFonts w:ascii="宋体" w:hAnsi="宋体" w:cs="宋体" w:eastAsia="宋体" w:hint="default"/>
                <w:sz w:val="18"/>
                <w:szCs w:val="18"/>
              </w:rPr>
              <w:t>指弓形虫，</w:t>
            </w:r>
            <w:r>
              <w:rPr>
                <w:rFonts w:ascii="Times New Roman" w:hAnsi="Times New Roman" w:cs="Times New Roman" w:eastAsia="Times New Roman" w:hint="default"/>
                <w:sz w:val="18"/>
                <w:szCs w:val="18"/>
              </w:rPr>
              <w:t>O</w:t>
            </w:r>
          </w:p>
          <w:p>
            <w:pPr>
              <w:pStyle w:val="TableParagraph"/>
              <w:spacing w:line="300"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Others</w:t>
            </w:r>
            <w:r>
              <w:rPr>
                <w:rFonts w:ascii="宋体" w:hAnsi="宋体" w:cs="宋体" w:eastAsia="宋体" w:hint="default"/>
                <w:sz w:val="18"/>
                <w:szCs w:val="18"/>
              </w:rPr>
              <w:t>）指其他病原微生物，如梅毒螺旋体、带状疱疹病毒、细小 病毒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B19</w:t>
            </w:r>
            <w:r>
              <w:rPr>
                <w:rFonts w:ascii="宋体" w:hAnsi="宋体" w:cs="宋体" w:eastAsia="宋体" w:hint="default"/>
                <w:sz w:val="18"/>
                <w:szCs w:val="18"/>
              </w:rPr>
              <w:t>、柯萨奇病毒等，</w:t>
            </w:r>
            <w:r>
              <w:rPr>
                <w:rFonts w:ascii="Times New Roman" w:hAnsi="Times New Roman" w:cs="Times New Roman" w:eastAsia="Times New Roman" w:hint="default"/>
                <w:sz w:val="18"/>
                <w:szCs w:val="18"/>
              </w:rPr>
              <w:t>R(Rubella.Virus)</w:t>
            </w:r>
            <w:r>
              <w:rPr>
                <w:rFonts w:ascii="宋体" w:hAnsi="宋体" w:cs="宋体" w:eastAsia="宋体" w:hint="default"/>
                <w:sz w:val="18"/>
                <w:szCs w:val="18"/>
              </w:rPr>
              <w:t>是风疹病毒， </w:t>
            </w:r>
            <w:r>
              <w:rPr>
                <w:rFonts w:ascii="Times New Roman" w:hAnsi="Times New Roman" w:cs="Times New Roman" w:eastAsia="Times New Roman" w:hint="default"/>
                <w:sz w:val="18"/>
                <w:szCs w:val="18"/>
              </w:rPr>
              <w:t>C(Cytomegalo.Virus)</w:t>
            </w:r>
            <w:r>
              <w:rPr>
                <w:rFonts w:ascii="宋体" w:hAnsi="宋体" w:cs="宋体" w:eastAsia="宋体" w:hint="default"/>
                <w:sz w:val="18"/>
                <w:szCs w:val="18"/>
              </w:rPr>
              <w:t>是巨细胞病毒，</w:t>
            </w:r>
            <w:r>
              <w:rPr>
                <w:rFonts w:ascii="Times New Roman" w:hAnsi="Times New Roman" w:cs="Times New Roman" w:eastAsia="Times New Roman" w:hint="default"/>
                <w:sz w:val="18"/>
                <w:szCs w:val="18"/>
              </w:rPr>
              <w:t>H(Herpes.Virus)</w:t>
            </w:r>
            <w:r>
              <w:rPr>
                <w:rFonts w:ascii="宋体" w:hAnsi="宋体" w:cs="宋体" w:eastAsia="宋体" w:hint="default"/>
                <w:sz w:val="18"/>
                <w:szCs w:val="18"/>
              </w:rPr>
              <w:t>即是单纯疱疹</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I/II</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型。</w:t>
            </w:r>
          </w:p>
        </w:tc>
      </w:tr>
      <w:tr>
        <w:trPr>
          <w:trHeight w:val="165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表观基因组学</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一直被认为是决定生命遗传信息的核心物质，但是近些年新的 研究表明，生命遗传信息从来就不是基因所能完全决定的，比如科 学家们发现，可以在不影响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序列的情况下改变基因组的修饰， 这种改变不仅可以影响个体的发育，而且还可以遗传下去。这种在 基因组的水平上研究表观遗传修饰的领域被称为</w:t>
            </w:r>
            <w:r>
              <w:rPr>
                <w:rFonts w:ascii="Times New Roman" w:hAnsi="Times New Roman" w:cs="Times New Roman" w:eastAsia="Times New Roman" w:hint="default"/>
                <w:sz w:val="18"/>
                <w:szCs w:val="18"/>
              </w:rPr>
              <w:t>“</w:t>
            </w:r>
            <w:r>
              <w:rPr>
                <w:rFonts w:ascii="宋体" w:hAnsi="宋体" w:cs="宋体" w:eastAsia="宋体" w:hint="default"/>
                <w:sz w:val="18"/>
                <w:szCs w:val="18"/>
              </w:rPr>
              <w:t>表观基因组学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表观遗传</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是指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序列不发生变化，但基因表达却发生了可遗传的改变。这 种改变是细胞内除了遗传信息以外的其它可遗传物质发生的改变， 且这种改变在发育和细胞增殖过程中能稳定传递。</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表型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69"/>
              <w:jc w:val="left"/>
              <w:rPr>
                <w:rFonts w:ascii="宋体" w:hAnsi="宋体" w:cs="宋体" w:eastAsia="宋体" w:hint="default"/>
                <w:sz w:val="18"/>
                <w:szCs w:val="18"/>
              </w:rPr>
            </w:pPr>
            <w:r>
              <w:rPr>
                <w:rFonts w:ascii="宋体" w:hAnsi="宋体" w:cs="宋体" w:eastAsia="宋体" w:hint="default"/>
                <w:sz w:val="18"/>
                <w:szCs w:val="18"/>
              </w:rPr>
              <w:t>指个体形态、功能等各方面的表现，如身高、肤色、血型、酶活 力、药物耐受力乃至性格等等。就是说个体外表行为表现和具有的 行为模式。</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病原微生物</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可以侵犯人体，引起感染甚至传染病的微生物。</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产前筛查</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69"/>
              <w:jc w:val="left"/>
              <w:rPr>
                <w:rFonts w:ascii="宋体" w:hAnsi="宋体" w:cs="宋体" w:eastAsia="宋体" w:hint="default"/>
                <w:sz w:val="18"/>
                <w:szCs w:val="18"/>
              </w:rPr>
            </w:pPr>
            <w:r>
              <w:rPr>
                <w:rFonts w:ascii="宋体" w:hAnsi="宋体" w:cs="宋体" w:eastAsia="宋体" w:hint="default"/>
                <w:sz w:val="18"/>
                <w:szCs w:val="18"/>
              </w:rPr>
              <w:t>是一种通过抽取孕妇血清，检测母体血清中甲型胎儿蛋白、绒毛促 性腺激素和游离雌三醇的浓度，并结合孕妇的预产期、体重、年龄 和采血时的孕周等，计算生出先天缺陷胎儿的危险系数的检测方 法。</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代谢组学</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69"/>
              <w:jc w:val="left"/>
              <w:rPr>
                <w:rFonts w:ascii="宋体" w:hAnsi="宋体" w:cs="宋体" w:eastAsia="宋体" w:hint="default"/>
                <w:sz w:val="18"/>
                <w:szCs w:val="18"/>
              </w:rPr>
            </w:pPr>
            <w:r>
              <w:rPr>
                <w:rFonts w:ascii="宋体" w:hAnsi="宋体" w:cs="宋体" w:eastAsia="宋体" w:hint="default"/>
                <w:sz w:val="18"/>
                <w:szCs w:val="18"/>
              </w:rPr>
              <w:t>效仿基因组学和蛋白质组学的研究思想，对生物体内所有代谢物进 行定量分析，并寻找代谢物与生理病理变化的相对关系的研究方 式，是系统生物学的组成部分。其研究对象大都是相对分子质量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以内的小分子物质。</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单核苷酸多态性（</w:t>
            </w:r>
            <w:r>
              <w:rPr>
                <w:rFonts w:ascii="Times New Roman" w:hAnsi="Times New Roman" w:cs="Times New Roman" w:eastAsia="Times New Roman" w:hint="default"/>
                <w:sz w:val="18"/>
                <w:szCs w:val="18"/>
              </w:rPr>
              <w:t>SNP</w:t>
            </w:r>
            <w:r>
              <w:rPr>
                <w:rFonts w:ascii="宋体" w:hAnsi="宋体" w:cs="宋体" w:eastAsia="宋体"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34"/>
              <w:jc w:val="left"/>
              <w:rPr>
                <w:rFonts w:ascii="宋体" w:hAnsi="宋体" w:cs="宋体" w:eastAsia="宋体" w:hint="default"/>
                <w:sz w:val="18"/>
                <w:szCs w:val="18"/>
              </w:rPr>
            </w:pPr>
            <w:r>
              <w:rPr>
                <w:rFonts w:ascii="宋体" w:hAnsi="宋体" w:cs="宋体" w:eastAsia="宋体" w:hint="default"/>
                <w:sz w:val="18"/>
                <w:szCs w:val="18"/>
              </w:rPr>
              <w:t>是指在基因组水平上由单个核苷酸的变异所引起的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序列多态 性。它是人类可遗传的变异中最常见的一种。占所有已知多态性的 </w:t>
            </w:r>
            <w:r>
              <w:rPr>
                <w:rFonts w:ascii="Times New Roman" w:hAnsi="Times New Roman" w:cs="Times New Roman" w:eastAsia="Times New Roman" w:hint="default"/>
                <w:sz w:val="18"/>
                <w:szCs w:val="18"/>
              </w:rPr>
              <w:t>90%</w:t>
            </w:r>
            <w:r>
              <w:rPr>
                <w:rFonts w:ascii="宋体" w:hAnsi="宋体" w:cs="宋体" w:eastAsia="宋体" w:hint="default"/>
                <w:sz w:val="18"/>
                <w:szCs w:val="18"/>
              </w:rPr>
              <w:t>以上。</w:t>
            </w:r>
            <w:r>
              <w:rPr>
                <w:rFonts w:ascii="Times New Roman" w:hAnsi="Times New Roman" w:cs="Times New Roman" w:eastAsia="Times New Roman" w:hint="default"/>
                <w:sz w:val="18"/>
                <w:szCs w:val="18"/>
              </w:rPr>
              <w:t>SNP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在人类基因组中广泛存在，平均每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个碱 基对中就有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个，估计其总数可达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万个甚至更多。</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单基因遗传病</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是指受一对等位基因控制的遗传病，有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多种，并且每年在以</w:t>
            </w:r>
          </w:p>
          <w:p>
            <w:pPr>
              <w:pStyle w:val="TableParagraph"/>
              <w:spacing w:line="300" w:lineRule="auto" w:before="63"/>
              <w:ind w:left="24"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10-50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种的速度递增，单基因遗传病已经对人类健康构成了较大的威 胁。较常见的有红绿色盲、血友病、白化病等。</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蛋白质组学</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以蛋白质组为研究对象，研究细胞、组织或生物体蛋白质组成及其</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5"/>
        <w:gridCol w:w="620"/>
        <w:gridCol w:w="5425"/>
      </w:tblGrid>
      <w:tr>
        <w:trPr>
          <w:trHeight w:val="363"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变化规律的科学。</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多态性</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是指以适当频率在一个群体的某个特定遗传位点（基因序列或非基 因序列）发生两种或两种以上变异的现象，可通过直接分析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或 基因产物来确定。</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寡核苷酸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3"/>
              <w:jc w:val="both"/>
              <w:rPr>
                <w:rFonts w:ascii="宋体" w:hAnsi="宋体" w:cs="宋体" w:eastAsia="宋体" w:hint="default"/>
                <w:sz w:val="18"/>
                <w:szCs w:val="18"/>
              </w:rPr>
            </w:pPr>
            <w:r>
              <w:rPr>
                <w:rFonts w:ascii="宋体" w:hAnsi="宋体" w:cs="宋体" w:eastAsia="宋体" w:hint="default"/>
                <w:sz w:val="18"/>
                <w:szCs w:val="18"/>
              </w:rPr>
              <w:t>是一类只有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个以下碱基的短链核苷酸的总称（包括脱氧核糖核酸 </w:t>
            </w:r>
            <w:r>
              <w:rPr>
                <w:rFonts w:ascii="Times New Roman" w:hAnsi="Times New Roman" w:cs="Times New Roman" w:eastAsia="Times New Roman" w:hint="default"/>
                <w:spacing w:val="-1"/>
                <w:w w:val="99"/>
                <w:sz w:val="18"/>
                <w:szCs w:val="18"/>
              </w:rPr>
              <w:t>DNA</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或核糖核酸</w:t>
            </w:r>
            <w:r>
              <w:rPr>
                <w:rFonts w:ascii="宋体" w:hAnsi="宋体" w:cs="宋体" w:eastAsia="宋体" w:hint="default"/>
                <w:spacing w:val="-40"/>
                <w:sz w:val="18"/>
                <w:szCs w:val="18"/>
              </w:rPr>
              <w:t> </w:t>
            </w:r>
            <w:r>
              <w:rPr>
                <w:rFonts w:ascii="Times New Roman" w:hAnsi="Times New Roman" w:cs="Times New Roman" w:eastAsia="Times New Roman" w:hint="default"/>
                <w:w w:val="99"/>
                <w:sz w:val="18"/>
                <w:szCs w:val="18"/>
              </w:rPr>
              <w:t>RNA</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5"/>
                <w:sz w:val="18"/>
                <w:szCs w:val="18"/>
              </w:rPr>
              <w:t>内的核苷酸），寡核苷酸可以很容易地和它们</w:t>
            </w:r>
            <w:r>
              <w:rPr>
                <w:rFonts w:ascii="宋体" w:hAnsi="宋体" w:cs="宋体" w:eastAsia="宋体" w:hint="default"/>
                <w:sz w:val="18"/>
                <w:szCs w:val="18"/>
              </w:rPr>
              <w:t> 的互补区域结合，所以常用来作为探针确定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的结构， 经常用于基因芯片、电泳、荧光原位杂交等过程中。</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核苷酸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69"/>
              <w:jc w:val="both"/>
              <w:rPr>
                <w:rFonts w:ascii="宋体" w:hAnsi="宋体" w:cs="宋体" w:eastAsia="宋体" w:hint="default"/>
                <w:sz w:val="18"/>
                <w:szCs w:val="18"/>
              </w:rPr>
            </w:pPr>
            <w:r>
              <w:rPr>
                <w:rFonts w:ascii="宋体" w:hAnsi="宋体" w:cs="宋体" w:eastAsia="宋体" w:hint="default"/>
                <w:sz w:val="18"/>
                <w:szCs w:val="18"/>
              </w:rPr>
              <w:t>是一类由嘌呤碱或嘧啶碱、核糖或脱氧核糖以及磷酸三种物质组成 的化合物，又称核甙酸。核苷酸主要参与构成核酸，许多单核苷酸 也具有多种重要的生物学功能，如与能量代谢有关的三磷酸腺苷</w:t>
            </w:r>
          </w:p>
          <w:p>
            <w:pPr>
              <w:pStyle w:val="TableParagraph"/>
              <w:spacing w:line="240" w:lineRule="auto" w:before="17"/>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20"/>
                <w:w w:val="99"/>
                <w:sz w:val="18"/>
                <w:szCs w:val="18"/>
              </w:rPr>
              <w:t>A</w:t>
            </w:r>
            <w:r>
              <w:rPr>
                <w:rFonts w:ascii="Times New Roman" w:hAnsi="Times New Roman" w:cs="Times New Roman" w:eastAsia="Times New Roman" w:hint="default"/>
                <w:spacing w:val="-2"/>
                <w:w w:val="100"/>
                <w:sz w:val="18"/>
                <w:szCs w:val="18"/>
              </w:rPr>
              <w:t>T</w:t>
            </w:r>
            <w:r>
              <w:rPr>
                <w:rFonts w:ascii="Times New Roman" w:hAnsi="Times New Roman" w:cs="Times New Roman" w:eastAsia="Times New Roman" w:hint="default"/>
                <w:spacing w:val="3"/>
                <w:w w:val="99"/>
                <w:sz w:val="18"/>
                <w:szCs w:val="18"/>
              </w:rPr>
              <w:t>P</w:t>
            </w:r>
            <w:r>
              <w:rPr>
                <w:rFonts w:ascii="宋体" w:hAnsi="宋体" w:cs="宋体" w:eastAsia="宋体" w:hint="default"/>
                <w:spacing w:val="-92"/>
                <w:sz w:val="18"/>
                <w:szCs w:val="18"/>
              </w:rPr>
              <w:t>）</w:t>
            </w:r>
            <w:r>
              <w:rPr>
                <w:rFonts w:ascii="宋体" w:hAnsi="宋体" w:cs="宋体" w:eastAsia="宋体" w:hint="default"/>
                <w:sz w:val="18"/>
                <w:szCs w:val="18"/>
              </w:rPr>
              <w:t>、脱氢辅酶等。</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宏基因组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9"/>
              <w:jc w:val="both"/>
              <w:rPr>
                <w:rFonts w:ascii="宋体" w:hAnsi="宋体" w:cs="宋体" w:eastAsia="宋体" w:hint="default"/>
                <w:sz w:val="18"/>
                <w:szCs w:val="18"/>
              </w:rPr>
            </w:pPr>
            <w:r>
              <w:rPr>
                <w:rFonts w:ascii="宋体" w:hAnsi="宋体" w:cs="宋体" w:eastAsia="宋体" w:hint="default"/>
                <w:sz w:val="18"/>
                <w:szCs w:val="18"/>
              </w:rPr>
              <w:t>是生境中全部微小生物遗传物质的总和。它包含了可培养的和未可 培养的微生物的基因，目前主要指环境样品中的细菌和真菌的基因 组总和。</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宏基因组学</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又称微生物环境基因组学、元基因组学。通过直接从环境样品中提 取全部微生物的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DNA,</w:t>
            </w:r>
            <w:r>
              <w:rPr>
                <w:rFonts w:ascii="宋体" w:hAnsi="宋体" w:cs="宋体" w:eastAsia="宋体" w:hint="default"/>
                <w:sz w:val="18"/>
                <w:szCs w:val="18"/>
              </w:rPr>
              <w:t>构建宏基因组文库，利用基因组学的研究策略 研究环境样品所包含的全部微生物的遗传组成及其群落功能。</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基因</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69"/>
              <w:jc w:val="left"/>
              <w:rPr>
                <w:rFonts w:ascii="宋体" w:hAnsi="宋体" w:cs="宋体" w:eastAsia="宋体" w:hint="default"/>
                <w:sz w:val="18"/>
                <w:szCs w:val="18"/>
              </w:rPr>
            </w:pPr>
            <w:r>
              <w:rPr>
                <w:rFonts w:ascii="宋体" w:hAnsi="宋体" w:cs="宋体" w:eastAsia="宋体" w:hint="default"/>
                <w:sz w:val="18"/>
                <w:szCs w:val="18"/>
              </w:rPr>
              <w:t>能够编码蛋白质或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的核酸序列，包括基因的编码序列（外显 子）和编码区前后具有基因表达调控作用的序列和单个编码序列间 </w:t>
            </w:r>
            <w:r>
              <w:rPr>
                <w:rFonts w:ascii="宋体" w:hAnsi="宋体" w:cs="宋体" w:eastAsia="宋体" w:hint="default"/>
                <w:spacing w:val="-9"/>
                <w:sz w:val="18"/>
                <w:szCs w:val="18"/>
              </w:rPr>
              <w:t>的间隔序列（内含子）。</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基因表达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是指细胞在生命过程中，把储存在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顺序中遗传信息经过转录和 翻译，转变成具有生物活性的蛋白质分子。</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基因分型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是利用生物学检测方法测定个体基因型的技术，又称为基因型分 </w:t>
            </w:r>
            <w:r>
              <w:rPr>
                <w:rFonts w:ascii="宋体" w:hAnsi="宋体" w:cs="宋体" w:eastAsia="宋体" w:hint="default"/>
                <w:spacing w:val="-4"/>
                <w:w w:val="99"/>
                <w:sz w:val="18"/>
                <w:szCs w:val="18"/>
              </w:rPr>
              <w:t>析。使用技术包括聚合酶链反应（</w:t>
            </w:r>
            <w:r>
              <w:rPr>
                <w:rFonts w:ascii="Times New Roman" w:hAnsi="Times New Roman" w:cs="Times New Roman" w:eastAsia="Times New Roman" w:hint="default"/>
                <w:spacing w:val="-4"/>
                <w:w w:val="99"/>
                <w:sz w:val="18"/>
                <w:szCs w:val="18"/>
              </w:rPr>
              <w:t>PCR</w:t>
            </w:r>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DNA</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片段分析、寡核苷酸 探针、基因测序、核酸杂交、基因芯片技术等。</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基因组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9"/>
              <w:jc w:val="both"/>
              <w:rPr>
                <w:rFonts w:ascii="宋体" w:hAnsi="宋体" w:cs="宋体" w:eastAsia="宋体" w:hint="default"/>
                <w:sz w:val="18"/>
                <w:szCs w:val="18"/>
              </w:rPr>
            </w:pPr>
            <w:r>
              <w:rPr>
                <w:rFonts w:ascii="宋体" w:hAnsi="宋体" w:cs="宋体" w:eastAsia="宋体" w:hint="default"/>
                <w:sz w:val="18"/>
                <w:szCs w:val="18"/>
              </w:rPr>
              <w:t>是一个细胞或者生物体所携带的一套完整的单倍体序列，包括全套 基因和间隔序列，它指单倍体细胞中包括编码序列和非编码序列在 内的全部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分子。</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基因组学</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69"/>
              <w:jc w:val="both"/>
              <w:rPr>
                <w:rFonts w:ascii="宋体" w:hAnsi="宋体" w:cs="宋体" w:eastAsia="宋体" w:hint="default"/>
                <w:sz w:val="18"/>
                <w:szCs w:val="18"/>
              </w:rPr>
            </w:pPr>
            <w:r>
              <w:rPr>
                <w:rFonts w:ascii="宋体" w:hAnsi="宋体" w:cs="宋体" w:eastAsia="宋体" w:hint="default"/>
                <w:sz w:val="18"/>
                <w:szCs w:val="18"/>
              </w:rPr>
              <w:t>是研究生物基因组和如何利用基因的一门学问，用于概括涉及基因 作图、测序和整个基因组功能分析的遗传学分支。该学科提供基因 组信息以及相关数据系统利用，试图解决生物，医学，和工业领域 的重大问题。</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甲基化</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2"/>
              <w:jc w:val="both"/>
              <w:rPr>
                <w:rFonts w:ascii="宋体" w:hAnsi="宋体" w:cs="宋体" w:eastAsia="宋体" w:hint="default"/>
                <w:sz w:val="18"/>
                <w:szCs w:val="18"/>
              </w:rPr>
            </w:pPr>
            <w:r>
              <w:rPr>
                <w:rFonts w:ascii="宋体" w:hAnsi="宋体" w:cs="宋体" w:eastAsia="宋体" w:hint="default"/>
                <w:sz w:val="18"/>
                <w:szCs w:val="18"/>
              </w:rPr>
              <w:t>是指从活性甲基化合物（如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w:t>
            </w:r>
            <w:r>
              <w:rPr>
                <w:rFonts w:ascii="宋体" w:hAnsi="宋体" w:cs="宋体" w:eastAsia="宋体" w:hint="default"/>
                <w:sz w:val="18"/>
                <w:szCs w:val="18"/>
              </w:rPr>
              <w:t>腺苷基甲硫氨酸）上将甲基催化转移</w:t>
            </w:r>
            <w:r>
              <w:rPr>
                <w:rFonts w:ascii="宋体" w:hAnsi="宋体" w:cs="宋体" w:eastAsia="宋体" w:hint="default"/>
                <w:w w:val="99"/>
                <w:sz w:val="18"/>
                <w:szCs w:val="18"/>
              </w:rPr>
              <w:t> </w:t>
            </w:r>
            <w:r>
              <w:rPr>
                <w:rFonts w:ascii="宋体" w:hAnsi="宋体" w:cs="宋体" w:eastAsia="宋体" w:hint="default"/>
                <w:sz w:val="18"/>
                <w:szCs w:val="18"/>
              </w:rPr>
              <w:t>到其他化合物的过程。可形成各种甲基化合物，或是对某些蛋白质</w:t>
            </w:r>
            <w:r>
              <w:rPr>
                <w:rFonts w:ascii="宋体" w:hAnsi="宋体" w:cs="宋体" w:eastAsia="宋体" w:hint="default"/>
                <w:w w:val="99"/>
                <w:sz w:val="18"/>
                <w:szCs w:val="18"/>
              </w:rPr>
              <w:t> </w:t>
            </w:r>
            <w:r>
              <w:rPr>
                <w:rFonts w:ascii="宋体" w:hAnsi="宋体" w:cs="宋体" w:eastAsia="宋体" w:hint="default"/>
                <w:sz w:val="18"/>
                <w:szCs w:val="18"/>
              </w:rPr>
              <w:t>或核酸等进行化学修饰形成甲基化产物。在生物系统内，甲基化是</w:t>
            </w:r>
            <w:r>
              <w:rPr>
                <w:rFonts w:ascii="宋体" w:hAnsi="宋体" w:cs="宋体" w:eastAsia="宋体" w:hint="default"/>
                <w:w w:val="99"/>
                <w:sz w:val="18"/>
                <w:szCs w:val="18"/>
              </w:rPr>
              <w:t> </w:t>
            </w:r>
            <w:r>
              <w:rPr>
                <w:rFonts w:ascii="宋体" w:hAnsi="宋体" w:cs="宋体" w:eastAsia="宋体" w:hint="default"/>
                <w:sz w:val="18"/>
                <w:szCs w:val="18"/>
              </w:rPr>
              <w:t>经酶催化的，这种甲基化涉及重金属修饰、基因表达的调控、蛋白</w:t>
            </w:r>
            <w:r>
              <w:rPr>
                <w:rFonts w:ascii="宋体" w:hAnsi="宋体" w:cs="宋体" w:eastAsia="宋体" w:hint="default"/>
                <w:w w:val="99"/>
                <w:sz w:val="18"/>
                <w:szCs w:val="18"/>
              </w:rPr>
              <w:t> </w:t>
            </w:r>
            <w:r>
              <w:rPr>
                <w:rFonts w:ascii="宋体" w:hAnsi="宋体" w:cs="宋体" w:eastAsia="宋体" w:hint="default"/>
                <w:sz w:val="18"/>
                <w:szCs w:val="18"/>
              </w:rPr>
              <w:t>质功能的调节以及核糖核酸（</w:t>
            </w:r>
            <w:r>
              <w:rPr>
                <w:rFonts w:ascii="Times New Roman" w:hAnsi="Times New Roman" w:cs="Times New Roman" w:eastAsia="Times New Roman" w:hint="default"/>
                <w:sz w:val="18"/>
                <w:szCs w:val="18"/>
              </w:rPr>
              <w:t>RNA</w:t>
            </w:r>
            <w:r>
              <w:rPr>
                <w:rFonts w:ascii="宋体" w:hAnsi="宋体" w:cs="宋体" w:eastAsia="宋体" w:hint="default"/>
                <w:sz w:val="18"/>
                <w:szCs w:val="18"/>
              </w:rPr>
              <w:t>）加工。</w:t>
            </w:r>
          </w:p>
        </w:tc>
      </w:tr>
      <w:tr>
        <w:trPr>
          <w:trHeight w:val="98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碱基</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67"/>
              <w:jc w:val="left"/>
              <w:rPr>
                <w:rFonts w:ascii="宋体" w:hAnsi="宋体" w:cs="宋体" w:eastAsia="宋体" w:hint="default"/>
                <w:sz w:val="18"/>
                <w:szCs w:val="18"/>
              </w:rPr>
            </w:pPr>
            <w:r>
              <w:rPr>
                <w:rFonts w:ascii="宋体" w:hAnsi="宋体" w:cs="宋体" w:eastAsia="宋体" w:hint="default"/>
                <w:sz w:val="18"/>
                <w:szCs w:val="18"/>
              </w:rPr>
              <w:t>是嘌呤和嘧啶的衍生物，是核酸、核苷、核苷酸的成分。</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和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的主要碱基略有不同，其重要区别是：胸腺嘧啶是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的主 要嘧啶碱，在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中极少见；相反，尿嘧啶是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的主要嘧啶</w:t>
            </w:r>
          </w:p>
        </w:tc>
      </w:tr>
    </w:tbl>
    <w:p>
      <w:pPr>
        <w:spacing w:after="0" w:line="30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5"/>
        <w:gridCol w:w="620"/>
        <w:gridCol w:w="5425"/>
      </w:tblGrid>
      <w:tr>
        <w:trPr>
          <w:trHeight w:val="363"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碱，在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中则是稀有的。</w:t>
            </w:r>
          </w:p>
        </w:tc>
      </w:tr>
      <w:tr>
        <w:trPr>
          <w:trHeight w:val="196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焦磷酸测序</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9"/>
              <w:jc w:val="both"/>
              <w:rPr>
                <w:rFonts w:ascii="宋体" w:hAnsi="宋体" w:cs="宋体" w:eastAsia="宋体" w:hint="default"/>
                <w:sz w:val="18"/>
                <w:szCs w:val="18"/>
              </w:rPr>
            </w:pPr>
            <w:r>
              <w:rPr>
                <w:rFonts w:ascii="宋体" w:hAnsi="宋体" w:cs="宋体" w:eastAsia="宋体" w:hint="default"/>
                <w:sz w:val="18"/>
                <w:szCs w:val="18"/>
              </w:rPr>
              <w:t>是一种新型的酶联级联测序技术，焦磷酸测序法适于对已知的短序 列的测序分析，其可重复性和精确性能与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Sanger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测序法相媲 美，而速度却大大的提高。焦磷酸测序技术产品具备同时对大量样 品进行测序分析的能力，为大通量、低成本、适时、快速、直观地 进行单核苷酸多态性研究和临床检验提供了非常理想的技术操作平 台。</w:t>
            </w:r>
          </w:p>
        </w:tc>
      </w:tr>
      <w:tr>
        <w:trPr>
          <w:trHeight w:val="165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内含子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是断裂基因的非编码区，可被转录，但在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mRNA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加工过程中会被剪 切掉，故成熟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mRNA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上无内含子编码序列。内含子可能含有</w:t>
            </w:r>
            <w:r>
              <w:rPr>
                <w:rFonts w:ascii="Times New Roman" w:hAnsi="Times New Roman" w:cs="Times New Roman" w:eastAsia="Times New Roman" w:hint="default"/>
                <w:sz w:val="18"/>
                <w:szCs w:val="18"/>
              </w:rPr>
              <w:t>"</w:t>
            </w:r>
            <w:r>
              <w:rPr>
                <w:rFonts w:ascii="宋体" w:hAnsi="宋体" w:cs="宋体" w:eastAsia="宋体" w:hint="default"/>
                <w:sz w:val="18"/>
                <w:szCs w:val="18"/>
              </w:rPr>
              <w:t>旧码 </w:t>
            </w:r>
            <w:r>
              <w:rPr>
                <w:rFonts w:ascii="Times New Roman" w:hAnsi="Times New Roman" w:cs="Times New Roman" w:eastAsia="Times New Roman" w:hint="default"/>
                <w:sz w:val="18"/>
                <w:szCs w:val="18"/>
              </w:rPr>
              <w:t>"</w:t>
            </w:r>
            <w:r>
              <w:rPr>
                <w:rFonts w:ascii="宋体" w:hAnsi="宋体" w:cs="宋体" w:eastAsia="宋体" w:hint="default"/>
                <w:sz w:val="18"/>
                <w:szCs w:val="18"/>
              </w:rPr>
              <w:t>，就是在进化过程中丧失功能的基因部分。正因为内含子对翻译产 物的结构无意义，不受自然选择的压力，所以它比外显子累积有更 多的突变。</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全基因组测序、</w:t>
            </w:r>
            <w:r>
              <w:rPr>
                <w:rFonts w:ascii="Times New Roman" w:hAnsi="Times New Roman" w:cs="Times New Roman" w:eastAsia="Times New Roman" w:hint="default"/>
                <w:sz w:val="18"/>
                <w:szCs w:val="18"/>
              </w:rPr>
              <w:t>WGS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是对未知基因组序列的物种进行个体的基因组测序。</w:t>
            </w:r>
          </w:p>
        </w:tc>
      </w:tr>
      <w:tr>
        <w:trPr>
          <w:trHeight w:val="165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全基因组重测序</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9"/>
              <w:jc w:val="both"/>
              <w:rPr>
                <w:rFonts w:ascii="宋体" w:hAnsi="宋体" w:cs="宋体" w:eastAsia="宋体" w:hint="default"/>
                <w:sz w:val="18"/>
                <w:szCs w:val="18"/>
              </w:rPr>
            </w:pPr>
            <w:r>
              <w:rPr>
                <w:rFonts w:ascii="宋体" w:hAnsi="宋体" w:cs="宋体" w:eastAsia="宋体" w:hint="default"/>
                <w:sz w:val="18"/>
                <w:szCs w:val="18"/>
              </w:rPr>
              <w:t>是对已知基因组序列的物种进行不同个体的基因组测序，并在此基 础上对个体或群体进行差异性分析。它将不同梯度插入片段的测序 文库结合短序列、双末端进行测序，帮助客户在全基因组水平上扫 描并检测与重要性状相关的基因序列差异和结构变异，实现遗传进 化分析及重要性状候选基因预测。</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全外显子组测序、</w:t>
            </w:r>
            <w:r>
              <w:rPr>
                <w:rFonts w:ascii="Times New Roman" w:hAnsi="Times New Roman" w:cs="Times New Roman" w:eastAsia="Times New Roman" w:hint="default"/>
                <w:sz w:val="18"/>
                <w:szCs w:val="18"/>
              </w:rPr>
              <w:t>WES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利用序列捕获技术将全基因组外显子区域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捕捉并富集后进行高 通量测序的基因组分析方法</w:t>
            </w:r>
          </w:p>
        </w:tc>
      </w:tr>
      <w:tr>
        <w:trPr>
          <w:trHeight w:val="165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染色体</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8"/>
              <w:jc w:val="left"/>
              <w:rPr>
                <w:rFonts w:ascii="宋体" w:hAnsi="宋体" w:cs="宋体" w:eastAsia="宋体" w:hint="default"/>
                <w:sz w:val="18"/>
                <w:szCs w:val="18"/>
              </w:rPr>
            </w:pPr>
            <w:r>
              <w:rPr>
                <w:rFonts w:ascii="宋体" w:hAnsi="宋体" w:cs="宋体" w:eastAsia="宋体" w:hint="default"/>
                <w:sz w:val="18"/>
                <w:szCs w:val="18"/>
              </w:rPr>
              <w:t>是细胞内具有遗传性质的遗传物质深度压缩形成的聚合体，易被碱 性染料染成深色，所以叫染色体；其本质是脱氧核糖核酸（</w:t>
            </w:r>
            <w:r>
              <w:rPr>
                <w:rFonts w:ascii="Times New Roman" w:hAnsi="Times New Roman" w:cs="Times New Roman" w:eastAsia="Times New Roman" w:hint="default"/>
                <w:sz w:val="18"/>
                <w:szCs w:val="18"/>
              </w:rPr>
              <w:t>DNA</w:t>
            </w:r>
            <w:r>
              <w:rPr>
                <w:rFonts w:ascii="宋体" w:hAnsi="宋体" w:cs="宋体" w:eastAsia="宋体" w:hint="default"/>
                <w:sz w:val="18"/>
                <w:szCs w:val="18"/>
              </w:rPr>
              <w:t>） </w:t>
            </w:r>
            <w:r>
              <w:rPr>
                <w:rFonts w:ascii="宋体" w:hAnsi="宋体" w:cs="宋体" w:eastAsia="宋体" w:hint="default"/>
                <w:spacing w:val="-3"/>
                <w:sz w:val="18"/>
                <w:szCs w:val="18"/>
              </w:rPr>
              <w:t>和蛋白质的组合（即核蛋白组成的），不均匀地分布于细胞核中，是</w:t>
            </w:r>
            <w:r>
              <w:rPr>
                <w:rFonts w:ascii="宋体" w:hAnsi="宋体" w:cs="宋体" w:eastAsia="宋体" w:hint="default"/>
                <w:sz w:val="18"/>
                <w:szCs w:val="18"/>
              </w:rPr>
              <w:t> 遗传信息（基因）的主要载体，但不是唯一载体（如细胞质内的线 </w:t>
            </w:r>
            <w:r>
              <w:rPr>
                <w:rFonts w:ascii="宋体" w:hAnsi="宋体" w:cs="宋体" w:eastAsia="宋体" w:hint="default"/>
                <w:spacing w:val="-23"/>
                <w:sz w:val="18"/>
                <w:szCs w:val="18"/>
              </w:rPr>
              <w:t>粒体）。</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人乳头瘤病毒（</w:t>
            </w:r>
            <w:r>
              <w:rPr>
                <w:rFonts w:ascii="Times New Roman" w:hAnsi="Times New Roman" w:cs="Times New Roman" w:eastAsia="Times New Roman" w:hint="default"/>
                <w:sz w:val="18"/>
                <w:szCs w:val="18"/>
              </w:rPr>
              <w:t>HPV</w:t>
            </w:r>
            <w:r>
              <w:rPr>
                <w:rFonts w:ascii="宋体" w:hAnsi="宋体" w:cs="宋体" w:eastAsia="宋体"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1"/>
              <w:jc w:val="left"/>
              <w:rPr>
                <w:rFonts w:ascii="宋体" w:hAnsi="宋体" w:cs="宋体" w:eastAsia="宋体" w:hint="default"/>
                <w:sz w:val="18"/>
                <w:szCs w:val="18"/>
              </w:rPr>
            </w:pPr>
            <w:r>
              <w:rPr>
                <w:rFonts w:ascii="宋体" w:hAnsi="宋体" w:cs="宋体" w:eastAsia="宋体" w:hint="default"/>
                <w:sz w:val="18"/>
                <w:szCs w:val="18"/>
              </w:rPr>
              <w:t>是一种属于乳多空病毒科的乳头瘤空泡病毒</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属，是球形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病 毒，能引起人体皮肤黏膜的鳞状上皮增殖。</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生物芯片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杂交探针技术与半导体工业技术相结合的结晶。该技术系指 将大量探针分子固定于支持物上后，与带荧光标记的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或其它样 品分子（例如蛋白，因子或小分子）进行杂交，通过检测每个探针 分子的杂交信号强度进而获取样品分子的数量和序列信息。</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突变（</w:t>
            </w:r>
            <w:r>
              <w:rPr>
                <w:rFonts w:ascii="Times New Roman" w:hAnsi="Times New Roman" w:cs="Times New Roman" w:eastAsia="Times New Roman" w:hint="default"/>
                <w:sz w:val="18"/>
                <w:szCs w:val="18"/>
              </w:rPr>
              <w:t>Mutation</w:t>
            </w:r>
            <w:r>
              <w:rPr>
                <w:rFonts w:ascii="宋体" w:hAnsi="宋体" w:cs="宋体" w:eastAsia="宋体"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9"/>
              <w:jc w:val="both"/>
              <w:rPr>
                <w:rFonts w:ascii="宋体" w:hAnsi="宋体" w:cs="宋体" w:eastAsia="宋体" w:hint="default"/>
                <w:sz w:val="18"/>
                <w:szCs w:val="18"/>
              </w:rPr>
            </w:pPr>
            <w:r>
              <w:rPr>
                <w:rFonts w:ascii="宋体" w:hAnsi="宋体" w:cs="宋体" w:eastAsia="宋体" w:hint="default"/>
                <w:sz w:val="18"/>
                <w:szCs w:val="18"/>
              </w:rPr>
              <w:t>在生物学上是指细胞中的遗传基因（通常指存在于细胞核中的脱氧 核糖核酸）发生的改变。它包括单个碱基改变所引起的点突变，或 多个碱基的缺失、重复和插入。原因可以是细胞分裂时遗传基因的 复制发生错误、或受化学物质、辐射或病毒的影响。</w:t>
            </w:r>
          </w:p>
        </w:tc>
      </w:tr>
      <w:tr>
        <w:trPr>
          <w:trHeight w:val="19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外显子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是断裂基因中的编码序列，它是真核生物基因的一部分，在剪接后 仍会被保存下来，并可在蛋白质生物合成过程中被表达为蛋白质。 外显子是最后出现在成熟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中的基因序列，又称表达序列。既存 在于最初的转录产物中，也存在于成熟的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分子中的核苷酸序 列。术语外显子也指编码相应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外显子的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中的区域。所有 的外显子一同组成了遗传信息，该信息会体现在蛋白质上。</w:t>
            </w:r>
          </w:p>
        </w:tc>
      </w:tr>
    </w:tbl>
    <w:p>
      <w:pPr>
        <w:spacing w:after="0" w:line="307"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3525"/>
        <w:gridCol w:w="620"/>
        <w:gridCol w:w="5425"/>
      </w:tblGrid>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00"/>
              <w:jc w:val="left"/>
              <w:rPr>
                <w:rFonts w:ascii="宋体" w:hAnsi="宋体" w:cs="宋体" w:eastAsia="宋体" w:hint="default"/>
                <w:sz w:val="18"/>
                <w:szCs w:val="18"/>
              </w:rPr>
            </w:pPr>
            <w:r>
              <w:rPr>
                <w:rFonts w:ascii="宋体" w:hAnsi="宋体" w:cs="宋体" w:eastAsia="宋体" w:hint="default"/>
                <w:sz w:val="18"/>
                <w:szCs w:val="18"/>
              </w:rPr>
              <w:t>无创产前基因检测</w:t>
            </w:r>
            <w:r>
              <w:rPr>
                <w:rFonts w:ascii="Times New Roman" w:hAnsi="Times New Roman" w:cs="Times New Roman" w:eastAsia="Times New Roman" w:hint="default"/>
                <w:sz w:val="18"/>
                <w:szCs w:val="18"/>
              </w:rPr>
              <w:t>/</w:t>
            </w:r>
            <w:r>
              <w:rPr>
                <w:rFonts w:ascii="宋体" w:hAnsi="宋体" w:cs="宋体" w:eastAsia="宋体" w:hint="default"/>
                <w:sz w:val="18"/>
                <w:szCs w:val="18"/>
              </w:rPr>
              <w:t>胎儿染色体非整倍体检 测（</w:t>
            </w:r>
            <w:r>
              <w:rPr>
                <w:rFonts w:ascii="Times New Roman" w:hAnsi="Times New Roman" w:cs="Times New Roman" w:eastAsia="Times New Roman" w:hint="default"/>
                <w:sz w:val="18"/>
                <w:szCs w:val="18"/>
              </w:rPr>
              <w:t>NIFTY</w:t>
            </w:r>
            <w:r>
              <w:rPr>
                <w:rFonts w:ascii="宋体" w:hAnsi="宋体" w:cs="宋体" w:eastAsia="宋体"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30"/>
              <w:jc w:val="left"/>
              <w:rPr>
                <w:rFonts w:ascii="宋体" w:hAnsi="宋体" w:cs="宋体" w:eastAsia="宋体" w:hint="default"/>
                <w:sz w:val="18"/>
                <w:szCs w:val="18"/>
              </w:rPr>
            </w:pPr>
            <w:r>
              <w:rPr>
                <w:rFonts w:ascii="宋体" w:hAnsi="宋体" w:cs="宋体" w:eastAsia="宋体" w:hint="default"/>
                <w:sz w:val="18"/>
                <w:szCs w:val="18"/>
              </w:rPr>
              <w:t>又称非侵入式检测，即通过采集孕妇外周血、提取游离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的方 法，获得胎儿患病风险的信息。</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质谱</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69"/>
              <w:jc w:val="both"/>
              <w:rPr>
                <w:rFonts w:ascii="宋体" w:hAnsi="宋体" w:cs="宋体" w:eastAsia="宋体" w:hint="default"/>
                <w:sz w:val="18"/>
                <w:szCs w:val="18"/>
              </w:rPr>
            </w:pPr>
            <w:r>
              <w:rPr>
                <w:rFonts w:ascii="宋体" w:hAnsi="宋体" w:cs="宋体" w:eastAsia="宋体" w:hint="default"/>
                <w:sz w:val="18"/>
                <w:szCs w:val="18"/>
              </w:rPr>
              <w:t>是一种与光谱并列的谱学方法，通常意义上是指广泛应用于各个学 科领域中通过制备、分离、检测气相离子来鉴定化合物的一种专门 技术。</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转录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54"/>
              <w:jc w:val="left"/>
              <w:rPr>
                <w:rFonts w:ascii="Times New Roman" w:hAnsi="Times New Roman" w:cs="Times New Roman" w:eastAsia="Times New Roman" w:hint="default"/>
                <w:sz w:val="18"/>
                <w:szCs w:val="18"/>
              </w:rPr>
            </w:pPr>
            <w:r>
              <w:rPr>
                <w:rFonts w:ascii="宋体" w:hAnsi="宋体" w:cs="宋体" w:eastAsia="宋体" w:hint="default"/>
                <w:sz w:val="18"/>
                <w:szCs w:val="18"/>
              </w:rPr>
              <w:t>是遗传信息由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转换到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聚合）酶促反应过程。作 为蛋白质生物合成的第一步，转录是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mRNA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以及非编码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RNA</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tRNA</w:t>
            </w:r>
            <w:r>
              <w:rPr>
                <w:rFonts w:ascii="宋体" w:hAnsi="宋体" w:cs="宋体" w:eastAsia="宋体" w:hint="default"/>
                <w:sz w:val="18"/>
                <w:szCs w:val="18"/>
              </w:rPr>
              <w:t>、</w:t>
            </w:r>
            <w:r>
              <w:rPr>
                <w:rFonts w:ascii="Times New Roman" w:hAnsi="Times New Roman" w:cs="Times New Roman" w:eastAsia="Times New Roman" w:hint="default"/>
                <w:sz w:val="18"/>
                <w:szCs w:val="18"/>
              </w:rPr>
              <w:t>rRNA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等）的合成步骤。</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转录本</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是由一条基因通过转录形成的一种或多种可供编码蛋白质的成熟的</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mRNA</w:t>
            </w:r>
            <w:r>
              <w:rPr>
                <w:rFonts w:ascii="宋体" w:hAnsi="宋体" w:cs="宋体" w:eastAsia="宋体" w:hint="default"/>
                <w:sz w:val="18"/>
                <w:szCs w:val="18"/>
              </w:rPr>
              <w:t>。</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转录组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69"/>
              <w:jc w:val="left"/>
              <w:rPr>
                <w:rFonts w:ascii="宋体" w:hAnsi="宋体" w:cs="宋体" w:eastAsia="宋体" w:hint="default"/>
                <w:sz w:val="18"/>
                <w:szCs w:val="18"/>
              </w:rPr>
            </w:pPr>
            <w:r>
              <w:rPr>
                <w:rFonts w:ascii="宋体" w:hAnsi="宋体" w:cs="宋体" w:eastAsia="宋体" w:hint="default"/>
                <w:sz w:val="18"/>
                <w:szCs w:val="18"/>
              </w:rPr>
              <w:t>广义上指某一生理条件下，细胞内所有转录产物的集合，包括信使 </w:t>
            </w:r>
            <w:r>
              <w:rPr>
                <w:rFonts w:ascii="Times New Roman" w:hAnsi="Times New Roman" w:cs="Times New Roman" w:eastAsia="Times New Roman" w:hint="default"/>
                <w:sz w:val="18"/>
                <w:szCs w:val="18"/>
              </w:rPr>
              <w:t>RNA</w:t>
            </w:r>
            <w:r>
              <w:rPr>
                <w:rFonts w:ascii="宋体" w:hAnsi="宋体" w:cs="宋体" w:eastAsia="宋体" w:hint="default"/>
                <w:sz w:val="18"/>
                <w:szCs w:val="18"/>
              </w:rPr>
              <w:t>、核糖体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RNA</w:t>
            </w:r>
            <w:r>
              <w:rPr>
                <w:rFonts w:ascii="宋体" w:hAnsi="宋体" w:cs="宋体" w:eastAsia="宋体" w:hint="default"/>
                <w:sz w:val="18"/>
                <w:szCs w:val="18"/>
              </w:rPr>
              <w:t>、转运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及非编码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RNA</w:t>
            </w:r>
            <w:r>
              <w:rPr>
                <w:rFonts w:ascii="宋体" w:hAnsi="宋体" w:cs="宋体" w:eastAsia="宋体" w:hint="default"/>
                <w:sz w:val="18"/>
                <w:szCs w:val="18"/>
              </w:rPr>
              <w:t>；狭义上指所有 </w:t>
            </w:r>
            <w:r>
              <w:rPr>
                <w:rFonts w:ascii="Times New Roman" w:hAnsi="Times New Roman" w:cs="Times New Roman" w:eastAsia="Times New Roman" w:hint="default"/>
                <w:sz w:val="18"/>
                <w:szCs w:val="18"/>
              </w:rPr>
              <w:t>mRNA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的集合。</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组学</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69"/>
              <w:jc w:val="both"/>
              <w:rPr>
                <w:rFonts w:ascii="宋体" w:hAnsi="宋体" w:cs="宋体" w:eastAsia="宋体" w:hint="default"/>
                <w:sz w:val="18"/>
                <w:szCs w:val="18"/>
              </w:rPr>
            </w:pPr>
            <w:r>
              <w:rPr>
                <w:rFonts w:ascii="宋体" w:hAnsi="宋体" w:cs="宋体" w:eastAsia="宋体" w:hint="default"/>
                <w:sz w:val="18"/>
                <w:szCs w:val="18"/>
              </w:rPr>
              <w:t>指生物学中对各类研究对象（一般为生物分子）的集合所进行的系 统性研究，主要包括基因组学，蛋白组学，代谢组学，转录组学， 脂类组学，免疫组学，糖组学和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组学等。</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报告期、本报告期、本期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本报告期末、期末</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深圳华大基因股份有限公司董事会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公司章程或章程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深圳华大基因股份有限公司章程</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深圳华大基因股份有限公司股东大会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深圳华大基因股份有限公司监事会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上年度末、上年同期末、期初</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上年同期、上期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1133"/>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2283"/>
        <w:gridCol w:w="2955"/>
        <w:gridCol w:w="2155"/>
        <w:gridCol w:w="2177"/>
      </w:tblGrid>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华大基因</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300676</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深圳华大基因股份有限公司</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华大基因</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left"/>
              <w:rPr>
                <w:rFonts w:ascii="Times New Roman" w:hAnsi="Times New Roman" w:cs="Times New Roman" w:eastAsia="Times New Roman" w:hint="default"/>
                <w:sz w:val="18"/>
                <w:szCs w:val="18"/>
              </w:rPr>
            </w:pPr>
            <w:r>
              <w:rPr>
                <w:rFonts w:ascii="Times New Roman"/>
                <w:sz w:val="18"/>
              </w:rPr>
              <w:t>BGI Genomics</w:t>
            </w:r>
            <w:r>
              <w:rPr>
                <w:rFonts w:ascii="Times New Roman"/>
                <w:spacing w:val="-7"/>
                <w:sz w:val="18"/>
              </w:rPr>
              <w:t> </w:t>
            </w:r>
            <w:r>
              <w:rPr>
                <w:rFonts w:ascii="Times New Roman"/>
                <w:sz w:val="18"/>
              </w:rPr>
              <w:t>Co.,Ltd.</w:t>
            </w:r>
          </w:p>
        </w:tc>
      </w:tr>
      <w:tr>
        <w:trPr>
          <w:trHeight w:val="715"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67"/>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BGI</w:t>
            </w:r>
            <w:r>
              <w:rPr>
                <w:rFonts w:ascii="Times New Roman"/>
                <w:spacing w:val="-5"/>
                <w:sz w:val="18"/>
              </w:rPr>
              <w:t> </w:t>
            </w:r>
            <w:r>
              <w:rPr>
                <w:rFonts w:ascii="Times New Roman"/>
                <w:sz w:val="18"/>
              </w:rPr>
              <w:t>Genomics</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尹烨</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深圳市盐田区洪安三街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号华大综合园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层</w:t>
            </w:r>
            <w:r>
              <w:rPr>
                <w:rFonts w:ascii="Times New Roman" w:hAnsi="Times New Roman" w:cs="Times New Roman" w:eastAsia="Times New Roman" w:hint="default"/>
                <w:sz w:val="18"/>
                <w:szCs w:val="18"/>
              </w:rPr>
              <w:t>-14 </w:t>
            </w:r>
            <w:r>
              <w:rPr>
                <w:rFonts w:ascii="宋体" w:hAnsi="宋体" w:cs="宋体" w:eastAsia="宋体" w:hint="default"/>
                <w:sz w:val="18"/>
                <w:szCs w:val="18"/>
              </w:rPr>
              <w:t>层</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518083</w:t>
            </w:r>
          </w:p>
        </w:tc>
      </w:tr>
      <w:tr>
        <w:trPr>
          <w:trHeight w:val="403"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深圳市盐田区洪安三街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号华大综合园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层</w:t>
            </w:r>
            <w:r>
              <w:rPr>
                <w:rFonts w:ascii="Times New Roman" w:hAnsi="Times New Roman" w:cs="Times New Roman" w:eastAsia="Times New Roman" w:hint="default"/>
                <w:sz w:val="18"/>
                <w:szCs w:val="18"/>
              </w:rPr>
              <w:t>-14 </w:t>
            </w:r>
            <w:r>
              <w:rPr>
                <w:rFonts w:ascii="宋体" w:hAnsi="宋体" w:cs="宋体" w:eastAsia="宋体" w:hint="default"/>
                <w:sz w:val="18"/>
                <w:szCs w:val="18"/>
              </w:rPr>
              <w:t>层</w:t>
            </w:r>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518083</w:t>
            </w:r>
          </w:p>
        </w:tc>
      </w:tr>
      <w:tr>
        <w:trPr>
          <w:trHeight w:val="404"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hyperlink r:id="rId10">
              <w:r>
                <w:rPr>
                  <w:rFonts w:ascii="Times New Roman"/>
                  <w:sz w:val="18"/>
                </w:rPr>
                <w:t>http://www.bgi.com</w:t>
              </w:r>
            </w:hyperlink>
          </w:p>
        </w:tc>
      </w:tr>
      <w:tr>
        <w:trPr>
          <w:trHeight w:val="401" w:hRule="exact"/>
        </w:trPr>
        <w:tc>
          <w:tcPr>
            <w:tcW w:w="2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hyperlink r:id="rId11">
              <w:r>
                <w:rPr>
                  <w:rFonts w:ascii="Times New Roman"/>
                  <w:sz w:val="18"/>
                </w:rPr>
                <w:t>ir@bgi.com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徐茜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敖莉萍</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深圳市盐田区洪安三街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号华大综合</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层</w:t>
            </w:r>
            <w:r>
              <w:rPr>
                <w:rFonts w:ascii="Times New Roman" w:hAnsi="Times New Roman" w:cs="Times New Roman" w:eastAsia="Times New Roman" w:hint="default"/>
                <w:sz w:val="18"/>
                <w:szCs w:val="18"/>
              </w:rPr>
              <w:t>-14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深圳市盐田区洪安三街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号华大综合</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层</w:t>
            </w:r>
            <w:r>
              <w:rPr>
                <w:rFonts w:ascii="Times New Roman" w:hAnsi="Times New Roman" w:cs="Times New Roman" w:eastAsia="Times New Roman" w:hint="default"/>
                <w:sz w:val="18"/>
                <w:szCs w:val="18"/>
              </w:rPr>
              <w:t>-14 </w:t>
            </w:r>
            <w:r>
              <w:rPr>
                <w:rFonts w:ascii="宋体" w:hAnsi="宋体" w:cs="宋体" w:eastAsia="宋体" w:hint="default"/>
                <w:sz w:val="18"/>
                <w:szCs w:val="18"/>
              </w:rPr>
              <w:t>层</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0755-36307065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0755-36307065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0755-36307035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0755-36307035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ir@bgi.com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ir@bgi.com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992"/>
        <w:gridCol w:w="5576"/>
      </w:tblGrid>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3"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2"/>
                <w:sz w:val="18"/>
                <w:szCs w:val="18"/>
              </w:rPr>
              <w:t> </w:t>
            </w:r>
            <w:hyperlink r:id="rId9">
              <w:r>
                <w:rPr>
                  <w:rFonts w:ascii="Times New Roman" w:hAnsi="Times New Roman" w:cs="Times New Roman" w:eastAsia="Times New Roman" w:hint="default"/>
                  <w:sz w:val="18"/>
                  <w:szCs w:val="18"/>
                </w:rPr>
                <w:t>http://www.cninfo.com.cn</w:t>
              </w:r>
            </w:hyperlink>
          </w:p>
        </w:tc>
      </w:tr>
      <w:tr>
        <w:trPr>
          <w:trHeight w:val="401"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公司证券部办公室</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33"/>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663"/>
        <w:gridCol w:w="6906"/>
      </w:tblGrid>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北京市东城区东长安街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号东方广场安永大楼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01-12 </w:t>
            </w:r>
            <w:r>
              <w:rPr>
                <w:rFonts w:ascii="宋体" w:hAnsi="宋体" w:cs="宋体" w:eastAsia="宋体" w:hint="default"/>
                <w:sz w:val="18"/>
                <w:szCs w:val="18"/>
              </w:rPr>
              <w:t>室</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李剑光、邓冬梅</w:t>
            </w:r>
          </w:p>
        </w:tc>
      </w:tr>
    </w:tbl>
    <w:p>
      <w:pPr>
        <w:pStyle w:val="BodyText"/>
        <w:spacing w:line="240" w:lineRule="auto" w:before="51"/>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6" w:right="195"/>
              <w:jc w:val="left"/>
              <w:rPr>
                <w:rFonts w:ascii="宋体" w:hAnsi="宋体" w:cs="宋体" w:eastAsia="宋体" w:hint="default"/>
                <w:sz w:val="18"/>
                <w:szCs w:val="18"/>
              </w:rPr>
            </w:pPr>
            <w:r>
              <w:rPr>
                <w:rFonts w:ascii="宋体" w:hAnsi="宋体" w:cs="宋体" w:eastAsia="宋体" w:hint="default"/>
                <w:sz w:val="18"/>
                <w:szCs w:val="18"/>
              </w:rPr>
              <w:t>广东省深圳市福田区中心三 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号中信证券大厦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路明、焦延延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1133"/>
        <w:jc w:val="left"/>
      </w:pPr>
      <w:r>
        <w:rPr/>
        <w:t>公司聘请的报告期内履行持续督导职责的财务顾问</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348" w:lineRule="auto" w:before="117"/>
        <w:ind w:right="91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追溯调整或重述原因 会计政策变更</w:t>
      </w:r>
    </w:p>
    <w:p>
      <w:pPr>
        <w:spacing w:line="240" w:lineRule="auto" w:before="0"/>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1952"/>
        <w:gridCol w:w="1419"/>
        <w:gridCol w:w="1392"/>
        <w:gridCol w:w="1443"/>
        <w:gridCol w:w="958"/>
        <w:gridCol w:w="1453"/>
        <w:gridCol w:w="1418"/>
      </w:tblGrid>
      <w:tr>
        <w:trPr>
          <w:trHeight w:val="161" w:hRule="exact"/>
        </w:trPr>
        <w:tc>
          <w:tcPr>
            <w:tcW w:w="1952"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95" w:right="23" w:hanging="272"/>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871"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52"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28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58" w:type="dxa"/>
            <w:vMerge/>
            <w:tcBorders>
              <w:left w:val="single" w:sz="4" w:space="0" w:color="000000"/>
              <w:right w:val="single" w:sz="4" w:space="0" w:color="000000"/>
            </w:tcBorders>
            <w:shd w:val="clear" w:color="auto" w:fill="D2D2D2"/>
          </w:tcPr>
          <w:p>
            <w:pPr/>
          </w:p>
        </w:tc>
        <w:tc>
          <w:tcPr>
            <w:tcW w:w="287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66" w:hRule="exact"/>
        </w:trPr>
        <w:tc>
          <w:tcPr>
            <w:tcW w:w="1952"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2871"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952"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2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4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0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5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2,536,406,105.62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2,095,544,271.44</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2,095,544,271.44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21.04%</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1,711,498,253.66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1,711,498,253.66</w:t>
            </w:r>
          </w:p>
        </w:tc>
      </w:tr>
      <w:tr>
        <w:trPr>
          <w:trHeight w:val="715"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归属于上市公司股东的 净利润（元）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386,645,517.08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398,091,510.29</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398,091,510.29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332,690,944.77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332,690,944.77</w:t>
            </w:r>
          </w:p>
        </w:tc>
      </w:tr>
      <w:tr>
        <w:trPr>
          <w:trHeight w:val="1025"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归属于上市公司股东的 扣除非经常性损益的净 利润（元）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309,176,267.37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319,933,545.42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319,933,545.42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237,357,092.83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237,357,092.83</w:t>
            </w:r>
          </w:p>
        </w:tc>
      </w:tr>
      <w:tr>
        <w:trPr>
          <w:trHeight w:val="715"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经营活动产生的现金流 量净额（元）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14,687,326.67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226,570,847.98</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243,660,427.98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-93.97%</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234,073,624.17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246,673,624.17</w:t>
            </w: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0.97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-7.62%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0.92</w:t>
            </w: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0.97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-7.62%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0.92</w:t>
            </w: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9.16%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10.75%</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-1.59%</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10.38%</w:t>
            </w:r>
          </w:p>
        </w:tc>
      </w:tr>
      <w:tr>
        <w:trPr>
          <w:trHeight w:val="161" w:hRule="exact"/>
        </w:trPr>
        <w:tc>
          <w:tcPr>
            <w:tcW w:w="1952"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5" w:right="23" w:hanging="92"/>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871"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52"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28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58" w:type="dxa"/>
            <w:vMerge/>
            <w:tcBorders>
              <w:left w:val="single" w:sz="4" w:space="0" w:color="000000"/>
              <w:right w:val="single" w:sz="4" w:space="0" w:color="000000"/>
            </w:tcBorders>
            <w:shd w:val="clear" w:color="auto" w:fill="D2D2D2"/>
          </w:tcPr>
          <w:p>
            <w:pPr/>
          </w:p>
        </w:tc>
        <w:tc>
          <w:tcPr>
            <w:tcW w:w="287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6" w:hRule="exact"/>
        </w:trPr>
        <w:tc>
          <w:tcPr>
            <w:tcW w:w="1952"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2871"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1952"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2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4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0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5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5,251,400,301.45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5,111,813,147.52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5,111,813,147.52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2.73%</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4,230,094,229.85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4,230,094,229.85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952"/>
        <w:gridCol w:w="1419"/>
        <w:gridCol w:w="1392"/>
        <w:gridCol w:w="1443"/>
        <w:gridCol w:w="958"/>
        <w:gridCol w:w="1453"/>
        <w:gridCol w:w="1418"/>
      </w:tblGrid>
      <w:tr>
        <w:trPr>
          <w:trHeight w:val="716"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归属于上市公司股东的 净资产（元）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4,164,959,595.03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4,148,624,622.62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4,148,624,622.62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0.39%</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3,359,761,999.47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3,359,761,999.47</w:t>
            </w:r>
          </w:p>
        </w:tc>
      </w:tr>
    </w:tbl>
    <w:p>
      <w:pPr>
        <w:pStyle w:val="BodyText"/>
        <w:spacing w:line="357" w:lineRule="auto" w:before="51"/>
        <w:ind w:right="7334"/>
        <w:jc w:val="left"/>
      </w:pPr>
      <w:r>
        <w:rPr/>
        <w:t>会计政策变更的原因及会计差错更正的情况 会计政策变更原因：</w:t>
      </w:r>
    </w:p>
    <w:p>
      <w:pPr>
        <w:pStyle w:val="BodyText"/>
        <w:spacing w:line="316" w:lineRule="auto" w:before="29"/>
        <w:ind w:right="1125" w:firstLine="360"/>
        <w:jc w:val="left"/>
      </w:pPr>
      <w:r>
        <w:rPr/>
        <w:t>根据《财政部关于修订印发</w:t>
      </w:r>
      <w:r>
        <w:rPr>
          <w:spacing w:val="-47"/>
        </w:rPr>
        <w:t> </w:t>
      </w:r>
      <w:r>
        <w:rPr>
          <w:rFonts w:ascii="宋体" w:hAnsi="宋体" w:cs="宋体" w:eastAsia="宋体" w:hint="default"/>
        </w:rPr>
        <w:t>2018</w:t>
      </w:r>
      <w:r>
        <w:rPr>
          <w:rFonts w:ascii="宋体" w:hAnsi="宋体" w:cs="宋体" w:eastAsia="宋体" w:hint="default"/>
          <w:spacing w:val="-45"/>
        </w:rPr>
        <w:t> </w:t>
      </w:r>
      <w:r>
        <w:rPr/>
        <w:t>年度一般企业财务报表格式的通知》</w:t>
      </w:r>
      <w:r>
        <w:rPr>
          <w:rFonts w:ascii="宋体" w:hAnsi="宋体" w:cs="宋体" w:eastAsia="宋体" w:hint="default"/>
        </w:rPr>
        <w:t>(</w:t>
      </w:r>
      <w:r>
        <w:rPr/>
        <w:t>财会〔</w:t>
      </w:r>
      <w:r>
        <w:rPr>
          <w:rFonts w:ascii="宋体" w:hAnsi="宋体" w:cs="宋体" w:eastAsia="宋体" w:hint="default"/>
        </w:rPr>
        <w:t>2018</w:t>
      </w:r>
      <w:r>
        <w:rPr/>
        <w:t>〕</w:t>
      </w:r>
      <w:r>
        <w:rPr>
          <w:rFonts w:ascii="宋体" w:hAnsi="宋体" w:cs="宋体" w:eastAsia="宋体" w:hint="default"/>
        </w:rPr>
        <w:t>15</w:t>
      </w:r>
      <w:r>
        <w:rPr>
          <w:rFonts w:ascii="宋体" w:hAnsi="宋体" w:cs="宋体" w:eastAsia="宋体" w:hint="default"/>
          <w:spacing w:val="-46"/>
        </w:rPr>
        <w:t> </w:t>
      </w:r>
      <w:r>
        <w:rPr/>
        <w:t>号</w:t>
      </w:r>
      <w:r>
        <w:rPr>
          <w:rFonts w:ascii="宋体" w:hAnsi="宋体" w:cs="宋体" w:eastAsia="宋体" w:hint="default"/>
        </w:rPr>
        <w:t>)</w:t>
      </w:r>
      <w:r>
        <w:rPr/>
        <w:t>及其解读和企业会计准则 的要求编制</w:t>
      </w:r>
      <w:r>
        <w:rPr>
          <w:spacing w:val="-46"/>
        </w:rPr>
        <w:t> </w:t>
      </w:r>
      <w:r>
        <w:rPr>
          <w:rFonts w:ascii="宋体" w:hAnsi="宋体" w:cs="宋体" w:eastAsia="宋体" w:hint="default"/>
        </w:rPr>
        <w:t>2018</w:t>
      </w:r>
      <w:r>
        <w:rPr>
          <w:rFonts w:ascii="宋体" w:hAnsi="宋体" w:cs="宋体" w:eastAsia="宋体" w:hint="default"/>
          <w:spacing w:val="-45"/>
        </w:rPr>
        <w:t> </w:t>
      </w:r>
      <w:r>
        <w:rPr/>
        <w:t>年度财务报表，编制现金流量表时，将原作为投资活动的现金流量，变更作为经营活动的现金流量。公司 相应追溯调整了比较数据，此项会计政策变更采用追溯调整法。该会计政策变更减少了合并及公司现金流量表中投资活动 产生的现金流量净额并以相同金额增加了经营活动现金产生的现金流量净额，但对现金和现金等价物净增加额无影响。</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r>
        <w:rPr/>
        <w:t>六、分季度主要财务指标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621"/>
        <w:gridCol w:w="1741"/>
        <w:gridCol w:w="1738"/>
        <w:gridCol w:w="1741"/>
        <w:gridCol w:w="1730"/>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516,316,049.50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624,485,912.61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673,146,189.76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722,457,953.75</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100,749,784.46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106,995,971.16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112,414,476.26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66,485,285.20</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80,228,142.11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87,315,066.89</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99,402,395.34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42,230,663.03</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-152,611,892.46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73,568,085.80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-75,746,147.78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169,477,281.11</w:t>
            </w:r>
          </w:p>
        </w:tc>
      </w:tr>
    </w:tbl>
    <w:p>
      <w:pPr>
        <w:pStyle w:val="BodyText"/>
        <w:spacing w:line="240" w:lineRule="auto" w:before="51"/>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16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296"/>
        <w:gridCol w:w="1519"/>
        <w:gridCol w:w="1522"/>
        <w:gridCol w:w="1522"/>
        <w:gridCol w:w="1709"/>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-76,843.75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-1,274,044.68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12,648,799.07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38,557,417.24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32,043,629.59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34,412,524.63</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3296"/>
        <w:gridCol w:w="1519"/>
        <w:gridCol w:w="1522"/>
        <w:gridCol w:w="1522"/>
        <w:gridCol w:w="1709"/>
      </w:tblGrid>
      <w:tr>
        <w:trPr>
          <w:trHeight w:val="67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4" w:right="2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43,865,672.97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68,654,207.02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72,475,891.23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2,088,460.93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1,587,462.97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3,934,451.66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-3,665,818.69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-9,837,215.53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-5,398,306.17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8,897,267.97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3"/>
              <w:jc w:val="left"/>
              <w:rPr>
                <w:rFonts w:ascii="宋体" w:hAnsi="宋体" w:cs="宋体" w:eastAsia="宋体" w:hint="default"/>
                <w:sz w:val="18"/>
                <w:szCs w:val="18"/>
              </w:rPr>
            </w:pPr>
            <w:r>
              <w:rPr>
                <w:rFonts w:ascii="宋体" w:hAnsi="宋体" w:cs="宋体" w:eastAsia="宋体" w:hint="default"/>
                <w:sz w:val="18"/>
                <w:szCs w:val="18"/>
              </w:rPr>
              <w:t>处置联营公司股权产 生的投资收益</w:t>
            </w: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10,598,347.37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12,002,806.82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20,081,316.51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1,598,559.59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1,013,267.68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2,658,191.97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77,469,249.71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78,157,964.87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95,333,851.94</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对公司根据《公开发行证券的公司信息披露解释性公告第</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非经常性损益》定义界定的非经常性损益项目，以及把</w:t>
      </w:r>
    </w:p>
    <w:p>
      <w:pPr>
        <w:pStyle w:val="BodyText"/>
        <w:spacing w:line="300" w:lineRule="auto" w:before="63"/>
        <w:ind w:right="1216"/>
        <w:jc w:val="left"/>
      </w:pPr>
      <w:r>
        <w:rPr/>
        <w:t>《公开发行证券的公司信息披露解释性公告第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非经常性损益》中列举的非经常性损益项目界定为经常性损益的项 目，应说明原因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216"/>
        <w:jc w:val="left"/>
      </w:pPr>
      <w:r>
        <w:rPr/>
        <w:t>公司报告期不存在将根据《公开发行证券的公司信息披露解释性公告第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非经常性损益》定义、列举的非经常性损 益项目界定为经常性损益的项目的情形。</w:t>
      </w:r>
    </w:p>
    <w:p>
      <w:pPr>
        <w:spacing w:after="0" w:line="30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5"/>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1133"/>
        <w:jc w:val="left"/>
      </w:pPr>
      <w:r>
        <w:rPr/>
        <w:t>医疗器械业</w:t>
      </w:r>
    </w:p>
    <w:p>
      <w:pPr>
        <w:pStyle w:val="BodyText"/>
        <w:spacing w:line="240" w:lineRule="auto" w:before="117"/>
        <w:ind w:right="1133"/>
        <w:jc w:val="left"/>
      </w:pPr>
      <w:r>
        <w:rPr/>
        <w:t>公司需遵守《深圳证券交易所创业板行业信息披露指引第</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w:t>
      </w:r>
    </w:p>
    <w:p>
      <w:pPr>
        <w:spacing w:line="240" w:lineRule="auto" w:before="5"/>
        <w:rPr>
          <w:rFonts w:ascii="宋体" w:hAnsi="宋体" w:cs="宋体" w:eastAsia="宋体" w:hint="default"/>
          <w:sz w:val="23"/>
          <w:szCs w:val="23"/>
        </w:rPr>
      </w:pPr>
    </w:p>
    <w:p>
      <w:pPr>
        <w:spacing w:line="381" w:lineRule="auto" w:before="0"/>
        <w:ind w:left="513" w:right="986" w:firstLine="0"/>
        <w:jc w:val="left"/>
        <w:rPr>
          <w:rFonts w:ascii="宋体" w:hAnsi="宋体" w:cs="宋体" w:eastAsia="宋体" w:hint="default"/>
          <w:sz w:val="18"/>
          <w:szCs w:val="18"/>
        </w:rPr>
      </w:pPr>
      <w:r>
        <w:rPr>
          <w:rFonts w:ascii="宋体" w:hAnsi="宋体" w:cs="宋体" w:eastAsia="宋体" w:hint="default"/>
          <w:b/>
          <w:bCs/>
          <w:sz w:val="18"/>
          <w:szCs w:val="18"/>
        </w:rPr>
        <w:t>（一）主要业务、产品及用途</w:t>
      </w:r>
      <w:r>
        <w:rPr>
          <w:rFonts w:ascii="宋体" w:hAnsi="宋体" w:cs="宋体" w:eastAsia="宋体" w:hint="default"/>
          <w:b/>
          <w:bCs/>
          <w:w w:val="99"/>
          <w:sz w:val="18"/>
          <w:szCs w:val="18"/>
        </w:rPr>
        <w:t> </w:t>
      </w:r>
      <w:r>
        <w:rPr>
          <w:rFonts w:ascii="宋体" w:hAnsi="宋体" w:cs="宋体" w:eastAsia="宋体" w:hint="default"/>
          <w:spacing w:val="-5"/>
          <w:w w:val="100"/>
          <w:sz w:val="18"/>
          <w:szCs w:val="18"/>
        </w:rPr>
        <w:t>华大基因作为中国基因行业的奠基者，秉承</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基因科技造福人类</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的愿景，通过近</w:t>
      </w:r>
      <w:r>
        <w:rPr>
          <w:rFonts w:ascii="Times New Roman" w:hAnsi="Times New Roman" w:cs="Times New Roman" w:eastAsia="Times New Roman" w:hint="default"/>
          <w:spacing w:val="-5"/>
          <w:w w:val="100"/>
          <w:sz w:val="18"/>
          <w:szCs w:val="18"/>
        </w:rPr>
        <w:t>20</w:t>
      </w:r>
      <w:r>
        <w:rPr>
          <w:rFonts w:ascii="宋体" w:hAnsi="宋体" w:cs="宋体" w:eastAsia="宋体" w:hint="default"/>
          <w:spacing w:val="-5"/>
          <w:w w:val="100"/>
          <w:sz w:val="18"/>
          <w:szCs w:val="18"/>
        </w:rPr>
        <w:t>年的人才积聚、科研积累和产业积淀，</w:t>
      </w:r>
    </w:p>
    <w:p>
      <w:pPr>
        <w:pStyle w:val="BodyText"/>
        <w:spacing w:line="181" w:lineRule="exact"/>
        <w:ind w:right="986"/>
        <w:jc w:val="left"/>
      </w:pPr>
      <w:r>
        <w:rPr/>
        <w:t>已建成覆盖全球百余个国家和全国所有省市自治区的营销服务网络，成为屈指可数的覆盖本行业全产业链、全应用领域的科</w:t>
      </w:r>
    </w:p>
    <w:p>
      <w:pPr>
        <w:pStyle w:val="BodyText"/>
        <w:spacing w:line="316" w:lineRule="auto" w:before="76"/>
        <w:ind w:right="986"/>
        <w:jc w:val="left"/>
      </w:pPr>
      <w:r>
        <w:rPr>
          <w:spacing w:val="-2"/>
        </w:rPr>
        <w:t>技公司，立足技术先进、配置齐全和规模领先的多组学产出平台，已成为全球屈指可数的基因大数据中心、科学技术服务提</w:t>
      </w:r>
      <w:r>
        <w:rPr>
          <w:spacing w:val="-64"/>
        </w:rPr>
        <w:t> </w:t>
      </w:r>
      <w:r>
        <w:rPr>
          <w:spacing w:val="-64"/>
        </w:rPr>
      </w:r>
      <w:r>
        <w:rPr/>
        <w:t>供商和精准医疗服务运营商。</w:t>
      </w:r>
    </w:p>
    <w:p>
      <w:pPr>
        <w:pStyle w:val="BodyText"/>
        <w:spacing w:line="316" w:lineRule="auto" w:before="57"/>
        <w:ind w:right="1130" w:firstLine="360"/>
        <w:jc w:val="both"/>
      </w:pPr>
      <w:r>
        <w:rPr>
          <w:spacing w:val="-2"/>
        </w:rPr>
        <w:t>公司主营业务为通过基因检测、质谱检测、生物信息分析等手段，为医疗机构、科研机构、企事业单位等提供基因组学</w:t>
      </w:r>
      <w:r>
        <w:rPr/>
        <w:t> </w:t>
      </w:r>
      <w:r>
        <w:rPr>
          <w:spacing w:val="-2"/>
        </w:rPr>
        <w:t>类的检测和研究服务。华大基因以推动生命科学研究进展、生命大数据应用和提高全球医疗健康水平为出发点，基于基因领</w:t>
      </w:r>
      <w:r>
        <w:rPr>
          <w:spacing w:val="-63"/>
        </w:rPr>
        <w:t> </w:t>
      </w:r>
      <w:r>
        <w:rPr>
          <w:spacing w:val="-63"/>
        </w:rPr>
      </w:r>
      <w:r>
        <w:rPr>
          <w:spacing w:val="-2"/>
        </w:rPr>
        <w:t>域研究成果及精准检测技术在民生健康方面的应用，致力于加速科技创新，减少出生缺陷，加强肿瘤防控，抑制重大疾病对</w:t>
      </w:r>
      <w:r>
        <w:rPr>
          <w:spacing w:val="-64"/>
        </w:rPr>
        <w:t> </w:t>
      </w:r>
      <w:r>
        <w:rPr>
          <w:spacing w:val="-64"/>
        </w:rPr>
      </w:r>
      <w:r>
        <w:rPr/>
        <w:t>人类的危害，实现精准治愈感染，全面助力精准医学。</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5"/>
        <w:spacing w:line="240" w:lineRule="auto" w:before="0"/>
        <w:ind w:right="1133"/>
        <w:jc w:val="left"/>
        <w:rPr>
          <w:b w:val="0"/>
          <w:bCs w:val="0"/>
        </w:rPr>
      </w:pPr>
      <w:r>
        <w:rPr>
          <w:rFonts w:ascii="Times New Roman" w:hAnsi="Times New Roman" w:cs="Times New Roman" w:eastAsia="Times New Roman" w:hint="default"/>
        </w:rPr>
        <w:t>1</w:t>
      </w:r>
      <w:r>
        <w:rPr/>
        <w:t>、生育健康基础研究和临床应用服务</w:t>
      </w:r>
      <w:r>
        <w:rPr>
          <w:b w:val="0"/>
          <w:bCs w:val="0"/>
        </w:rPr>
      </w:r>
    </w:p>
    <w:p>
      <w:pPr>
        <w:spacing w:line="240" w:lineRule="auto" w:before="13"/>
        <w:rPr>
          <w:rFonts w:ascii="宋体" w:hAnsi="宋体" w:cs="宋体" w:eastAsia="宋体" w:hint="default"/>
          <w:b/>
          <w:bCs/>
          <w:sz w:val="13"/>
          <w:szCs w:val="13"/>
        </w:rPr>
      </w:pPr>
    </w:p>
    <w:p>
      <w:pPr>
        <w:pStyle w:val="BodyText"/>
        <w:spacing w:line="415" w:lineRule="auto"/>
        <w:ind w:left="513" w:right="986"/>
        <w:jc w:val="left"/>
      </w:pPr>
      <w:r>
        <w:rPr/>
        <w:t>（</w:t>
      </w:r>
      <w:r>
        <w:rPr>
          <w:rFonts w:ascii="Times New Roman" w:hAnsi="Times New Roman" w:cs="Times New Roman" w:eastAsia="Times New Roman" w:hint="default"/>
        </w:rPr>
        <w:t>1</w:t>
      </w:r>
      <w:r>
        <w:rPr/>
        <w:t>）业务概述 </w:t>
      </w:r>
      <w:r>
        <w:rPr>
          <w:spacing w:val="-2"/>
        </w:rPr>
        <w:t>出生缺陷是指婴儿出生前发生的身体结构、功能或代谢异常，是导致早期流产、死胎、婴幼儿死亡和先天残疾的主要原</w:t>
      </w:r>
    </w:p>
    <w:p>
      <w:pPr>
        <w:pStyle w:val="BodyText"/>
        <w:spacing w:line="194" w:lineRule="exact"/>
        <w:ind w:right="1133"/>
        <w:jc w:val="left"/>
      </w:pPr>
      <w:r>
        <w:rPr/>
        <w:t>因。出生缺陷病种多，病因复杂，目前已知的出生缺陷超过</w:t>
      </w:r>
      <w:r>
        <w:rPr>
          <w:rFonts w:ascii="Times New Roman" w:hAnsi="Times New Roman" w:cs="Times New Roman" w:eastAsia="Times New Roman" w:hint="default"/>
        </w:rPr>
        <w:t>8,000</w:t>
      </w:r>
      <w:r>
        <w:rPr/>
        <w:t>种，基因突变等遗传因素和环境因素均可导致出生缺陷发</w:t>
      </w:r>
    </w:p>
    <w:p>
      <w:pPr>
        <w:pStyle w:val="BodyText"/>
        <w:spacing w:line="300" w:lineRule="auto" w:before="63"/>
        <w:ind w:right="1133"/>
        <w:jc w:val="left"/>
      </w:pPr>
      <w:r>
        <w:rPr>
          <w:spacing w:val="-3"/>
        </w:rPr>
        <w:t>生。据估算，我国出生缺陷总发生率约</w:t>
      </w:r>
      <w:r>
        <w:rPr>
          <w:rFonts w:ascii="Times New Roman" w:hAnsi="Times New Roman" w:cs="Times New Roman" w:eastAsia="Times New Roman" w:hint="default"/>
          <w:spacing w:val="-3"/>
        </w:rPr>
        <w:t>5.6</w:t>
      </w:r>
      <w:r>
        <w:rPr>
          <w:spacing w:val="-3"/>
        </w:rPr>
        <w:t>％。出生缺陷严重影响儿童的生存和生活质量，给患儿及其家庭带来巨大痛苦和经</w:t>
      </w:r>
      <w:r>
        <w:rPr>
          <w:spacing w:val="-51"/>
        </w:rPr>
        <w:t> </w:t>
      </w:r>
      <w:r>
        <w:rPr>
          <w:spacing w:val="-51"/>
        </w:rPr>
      </w:r>
      <w:r>
        <w:rPr/>
        <w:t>济负担。</w:t>
      </w:r>
    </w:p>
    <w:p>
      <w:pPr>
        <w:pStyle w:val="BodyText"/>
        <w:spacing w:line="312" w:lineRule="auto" w:before="70"/>
        <w:ind w:right="1129" w:firstLine="360"/>
        <w:jc w:val="both"/>
      </w:pPr>
      <w:r>
        <w:rPr>
          <w:spacing w:val="-2"/>
        </w:rPr>
        <w:t>公司基于高通量测序仪等创新型自主检测平台，遵循国家卫健委发布的出生缺陷综合防治的相关要求，从出生缺陷三级</w:t>
      </w:r>
      <w:r>
        <w:rPr/>
        <w:t> </w:t>
      </w:r>
      <w:r>
        <w:rPr>
          <w:spacing w:val="-2"/>
        </w:rPr>
        <w:t>防控角度出发，涵盖孕前、孕期、新生儿及儿童各阶段，开展与生育健康相关的基础研究和临床应用服务，持续促进医学科</w:t>
      </w:r>
      <w:r>
        <w:rPr>
          <w:spacing w:val="-67"/>
        </w:rPr>
        <w:t> </w:t>
      </w:r>
      <w:r>
        <w:rPr>
          <w:spacing w:val="-67"/>
        </w:rPr>
      </w:r>
      <w:r>
        <w:rPr>
          <w:spacing w:val="-1"/>
        </w:rPr>
        <w:t>研技术成果转化及临床应用推广，旨在全面助力出生缺陷防控，提高儿童健康水平。开展的业务主要包括：</w:t>
      </w:r>
      <w:r>
        <w:rPr>
          <w:rFonts w:ascii="Times New Roman" w:hAnsi="Times New Roman" w:cs="Times New Roman" w:eastAsia="Times New Roman" w:hint="default"/>
          <w:spacing w:val="-1"/>
        </w:rPr>
        <w:t>NIFTY®</w:t>
      </w:r>
      <w:r>
        <w:rPr>
          <w:spacing w:val="-1"/>
        </w:rPr>
        <w:t>胎儿染</w:t>
      </w:r>
      <w:r>
        <w:rPr>
          <w:spacing w:val="-66"/>
        </w:rPr>
        <w:t> </w:t>
      </w:r>
      <w:r>
        <w:rPr>
          <w:spacing w:val="-66"/>
        </w:rPr>
      </w:r>
      <w:r>
        <w:rPr>
          <w:spacing w:val="-1"/>
        </w:rPr>
        <w:t>色体异常无创产前基因检测系列、</w:t>
      </w:r>
      <w:r>
        <w:rPr>
          <w:rFonts w:ascii="Times New Roman" w:hAnsi="Times New Roman" w:cs="Times New Roman" w:eastAsia="Times New Roman" w:hint="default"/>
          <w:spacing w:val="-1"/>
        </w:rPr>
        <w:t>EmbryoSeq</w:t>
      </w:r>
      <w:r>
        <w:rPr>
          <w:spacing w:val="-1"/>
        </w:rPr>
        <w:t>胚胎植入前基因检测系列、康孕染色体检测系列、单基因遗传病基因检测系列</w:t>
      </w:r>
    </w:p>
    <w:p>
      <w:pPr>
        <w:pStyle w:val="BodyText"/>
        <w:spacing w:line="316" w:lineRule="auto" w:before="3"/>
        <w:ind w:right="1034"/>
        <w:jc w:val="left"/>
      </w:pPr>
      <w:r>
        <w:rPr/>
        <w:t>（包含基于全外显子组、全基因组技术的检测）、安孕可单基因遗传病携带者筛查系列、耳聆可遗传性耳聋基因检测系列、</w:t>
      </w:r>
      <w:r>
        <w:rPr>
          <w:spacing w:val="-83"/>
        </w:rPr>
        <w:t> </w:t>
      </w:r>
      <w:r>
        <w:rPr>
          <w:spacing w:val="-83"/>
        </w:rPr>
      </w:r>
      <w:r>
        <w:rPr>
          <w:spacing w:val="-2"/>
        </w:rPr>
        <w:t>地中海贫血基因检测系列、新生儿遗传代谢病检测系列、生育健康临床综合解决方案（包含实验室设计、仪器设备、技术转</w:t>
      </w:r>
      <w:r>
        <w:rPr>
          <w:spacing w:val="-67"/>
        </w:rPr>
        <w:t> </w:t>
      </w:r>
      <w:r>
        <w:rPr>
          <w:spacing w:val="-67"/>
        </w:rPr>
      </w:r>
      <w:r>
        <w:rPr/>
        <w:t>移、人员培训、数据库建设及使用、信息分析及报告解读等）。</w:t>
      </w:r>
    </w:p>
    <w:p>
      <w:pPr>
        <w:pStyle w:val="BodyText"/>
        <w:spacing w:line="240" w:lineRule="auto" w:before="141"/>
        <w:ind w:left="513" w:right="1133"/>
        <w:jc w:val="left"/>
      </w:pPr>
      <w:r>
        <w:rPr/>
        <w:t>（</w:t>
      </w:r>
      <w:r>
        <w:rPr>
          <w:rFonts w:ascii="Times New Roman" w:hAnsi="Times New Roman" w:cs="Times New Roman" w:eastAsia="Times New Roman" w:hint="default"/>
        </w:rPr>
        <w:t>2</w:t>
      </w:r>
      <w:r>
        <w:rPr/>
        <w:t>）具体产品介绍</w:t>
      </w:r>
    </w:p>
    <w:p>
      <w:pPr>
        <w:spacing w:line="240" w:lineRule="auto" w:before="13"/>
        <w:rPr>
          <w:rFonts w:ascii="宋体" w:hAnsi="宋体" w:cs="宋体" w:eastAsia="宋体" w:hint="default"/>
          <w:sz w:val="12"/>
          <w:szCs w:val="12"/>
        </w:rPr>
      </w:pPr>
    </w:p>
    <w:tbl>
      <w:tblPr>
        <w:tblW w:w="0" w:type="auto"/>
        <w:jc w:val="left"/>
        <w:tblInd w:w="152" w:type="dxa"/>
        <w:tblLayout w:type="fixed"/>
        <w:tblCellMar>
          <w:top w:w="0" w:type="dxa"/>
          <w:left w:w="0" w:type="dxa"/>
          <w:bottom w:w="0" w:type="dxa"/>
          <w:right w:w="0" w:type="dxa"/>
        </w:tblCellMar>
        <w:tblLook w:val="01E0"/>
      </w:tblPr>
      <w:tblGrid>
        <w:gridCol w:w="555"/>
        <w:gridCol w:w="1622"/>
        <w:gridCol w:w="3889"/>
        <w:gridCol w:w="3545"/>
      </w:tblGrid>
      <w:tr>
        <w:trPr>
          <w:trHeight w:val="362" w:hRule="exact"/>
        </w:trPr>
        <w:tc>
          <w:tcPr>
            <w:tcW w:w="55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6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446"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8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354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1256" w:hRule="exact"/>
        </w:trPr>
        <w:tc>
          <w:tcPr>
            <w:tcW w:w="5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 w:right="0"/>
              <w:jc w:val="left"/>
              <w:rPr>
                <w:rFonts w:ascii="Times New Roman" w:hAnsi="Times New Roman" w:cs="Times New Roman" w:eastAsia="Times New Roman" w:hint="default"/>
                <w:sz w:val="18"/>
                <w:szCs w:val="18"/>
              </w:rPr>
            </w:pPr>
            <w:r>
              <w:rPr>
                <w:rFonts w:ascii="Times New Roman" w:hAnsi="Times New Roman"/>
                <w:sz w:val="18"/>
              </w:rPr>
              <w:t>NIFTY®</w:t>
            </w:r>
          </w:p>
          <w:p>
            <w:pPr>
              <w:pStyle w:val="TableParagraph"/>
              <w:spacing w:line="259" w:lineRule="auto" w:before="10"/>
              <w:ind w:left="2" w:right="168"/>
              <w:jc w:val="left"/>
              <w:rPr>
                <w:rFonts w:ascii="宋体" w:hAnsi="宋体" w:cs="宋体" w:eastAsia="宋体" w:hint="default"/>
                <w:sz w:val="18"/>
                <w:szCs w:val="18"/>
              </w:rPr>
            </w:pPr>
            <w:r>
              <w:rPr>
                <w:rFonts w:ascii="宋体" w:hAnsi="宋体" w:cs="宋体" w:eastAsia="宋体" w:hint="default"/>
                <w:sz w:val="18"/>
                <w:szCs w:val="18"/>
              </w:rPr>
              <w:t>胎儿染色体异常无 创产前 基因检测系列</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 w:right="22"/>
              <w:jc w:val="left"/>
              <w:rPr>
                <w:rFonts w:ascii="宋体" w:hAnsi="宋体" w:cs="宋体" w:eastAsia="宋体" w:hint="default"/>
                <w:sz w:val="18"/>
                <w:szCs w:val="18"/>
              </w:rPr>
            </w:pPr>
            <w:r>
              <w:rPr>
                <w:rFonts w:ascii="宋体" w:hAnsi="宋体" w:cs="宋体" w:eastAsia="宋体" w:hint="default"/>
                <w:sz w:val="18"/>
                <w:szCs w:val="18"/>
              </w:rPr>
              <w:t>采集孕妇外周血，提取胎儿游离</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DNA</w:t>
            </w:r>
            <w:r>
              <w:rPr>
                <w:rFonts w:ascii="宋体" w:hAnsi="宋体" w:cs="宋体" w:eastAsia="宋体" w:hint="default"/>
                <w:sz w:val="18"/>
                <w:szCs w:val="18"/>
              </w:rPr>
              <w:t>，采用高通 量测序技术，结合生物信息分析，评估胎儿患 </w:t>
            </w:r>
            <w:r>
              <w:rPr>
                <w:rFonts w:ascii="Times New Roman" w:hAnsi="Times New Roman" w:cs="Times New Roman" w:eastAsia="Times New Roman" w:hint="default"/>
                <w:sz w:val="18"/>
                <w:szCs w:val="18"/>
              </w:rPr>
              <w:t>21</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13 </w:t>
            </w:r>
            <w:r>
              <w:rPr>
                <w:rFonts w:ascii="宋体" w:hAnsi="宋体" w:cs="宋体" w:eastAsia="宋体" w:hint="default"/>
                <w:sz w:val="18"/>
                <w:szCs w:val="18"/>
              </w:rPr>
              <w:t>三体综合征等常见染色体异常的风 险。在无创单基因疾病检测领域也取得突破性进 展。</w:t>
            </w:r>
          </w:p>
        </w:tc>
        <w:tc>
          <w:tcPr>
            <w:tcW w:w="35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提供胎儿染色体异常全面筛查方案。</w:t>
            </w:r>
          </w:p>
        </w:tc>
      </w:tr>
      <w:tr>
        <w:trPr>
          <w:trHeight w:val="360" w:hRule="exact"/>
        </w:trPr>
        <w:tc>
          <w:tcPr>
            <w:tcW w:w="55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9"/>
              <w:ind w:left="1" w:right="0"/>
              <w:jc w:val="center"/>
              <w:rPr>
                <w:rFonts w:ascii="Times New Roman" w:hAnsi="Times New Roman" w:cs="Times New Roman" w:eastAsia="Times New Roman" w:hint="default"/>
                <w:sz w:val="18"/>
                <w:szCs w:val="18"/>
              </w:rPr>
            </w:pPr>
            <w:r>
              <w:rPr>
                <w:rFonts w:ascii="Times New Roman"/>
                <w:sz w:val="18"/>
              </w:rPr>
              <w:t>2</w:t>
            </w:r>
          </w:p>
        </w:tc>
        <w:tc>
          <w:tcPr>
            <w:tcW w:w="16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left="2" w:right="0"/>
              <w:jc w:val="left"/>
              <w:rPr>
                <w:rFonts w:ascii="Times New Roman" w:hAnsi="Times New Roman" w:cs="Times New Roman" w:eastAsia="Times New Roman" w:hint="default"/>
                <w:sz w:val="18"/>
                <w:szCs w:val="18"/>
              </w:rPr>
            </w:pPr>
            <w:r>
              <w:rPr>
                <w:rFonts w:ascii="Times New Roman"/>
                <w:sz w:val="18"/>
              </w:rPr>
              <w:t>EmbryoSeq</w:t>
            </w:r>
          </w:p>
        </w:tc>
        <w:tc>
          <w:tcPr>
            <w:tcW w:w="38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33"/>
              <w:jc w:val="center"/>
              <w:rPr>
                <w:rFonts w:ascii="宋体" w:hAnsi="宋体" w:cs="宋体" w:eastAsia="宋体" w:hint="default"/>
                <w:sz w:val="18"/>
                <w:szCs w:val="18"/>
              </w:rPr>
            </w:pPr>
            <w:r>
              <w:rPr>
                <w:rFonts w:ascii="宋体" w:hAnsi="宋体" w:cs="宋体" w:eastAsia="宋体" w:hint="default"/>
                <w:sz w:val="18"/>
                <w:szCs w:val="18"/>
              </w:rPr>
              <w:t>以体外受精</w:t>
            </w:r>
            <w:r>
              <w:rPr>
                <w:rFonts w:ascii="Times New Roman" w:hAnsi="Times New Roman" w:cs="Times New Roman" w:eastAsia="Times New Roman" w:hint="default"/>
                <w:sz w:val="18"/>
                <w:szCs w:val="18"/>
              </w:rPr>
              <w:t>-</w:t>
            </w:r>
            <w:r>
              <w:rPr>
                <w:rFonts w:ascii="宋体" w:hAnsi="宋体" w:cs="宋体" w:eastAsia="宋体" w:hint="default"/>
                <w:sz w:val="18"/>
                <w:szCs w:val="18"/>
              </w:rPr>
              <w:t>胚胎移植技术为基础，结合胚胎显微</w:t>
            </w:r>
          </w:p>
        </w:tc>
        <w:tc>
          <w:tcPr>
            <w:tcW w:w="354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4"/>
              <w:ind w:left="-1" w:right="0"/>
              <w:jc w:val="left"/>
              <w:rPr>
                <w:rFonts w:ascii="宋体" w:hAnsi="宋体" w:cs="宋体" w:eastAsia="宋体" w:hint="default"/>
                <w:sz w:val="18"/>
                <w:szCs w:val="18"/>
              </w:rPr>
            </w:pPr>
            <w:r>
              <w:rPr>
                <w:rFonts w:ascii="宋体" w:hAnsi="宋体" w:cs="宋体" w:eastAsia="宋体" w:hint="default"/>
                <w:sz w:val="18"/>
                <w:szCs w:val="18"/>
              </w:rPr>
              <w:t>为临床选择合适的胚胎植入提供参考依据，</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555"/>
        <w:gridCol w:w="1622"/>
        <w:gridCol w:w="3889"/>
        <w:gridCol w:w="3545"/>
      </w:tblGrid>
      <w:tr>
        <w:trPr>
          <w:trHeight w:val="360" w:hRule="exact"/>
        </w:trPr>
        <w:tc>
          <w:tcPr>
            <w:tcW w:w="55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6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446"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8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354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1003" w:hRule="exact"/>
        </w:trPr>
        <w:tc>
          <w:tcPr>
            <w:tcW w:w="555" w:type="dxa"/>
            <w:tcBorders>
              <w:top w:val="single" w:sz="4" w:space="0" w:color="000000"/>
              <w:left w:val="single" w:sz="12"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2" w:right="528"/>
              <w:jc w:val="left"/>
              <w:rPr>
                <w:rFonts w:ascii="宋体" w:hAnsi="宋体" w:cs="宋体" w:eastAsia="宋体" w:hint="default"/>
                <w:sz w:val="18"/>
                <w:szCs w:val="18"/>
              </w:rPr>
            </w:pPr>
            <w:r>
              <w:rPr>
                <w:rFonts w:ascii="宋体" w:hAnsi="宋体" w:cs="宋体" w:eastAsia="宋体" w:hint="default"/>
                <w:sz w:val="18"/>
                <w:szCs w:val="18"/>
              </w:rPr>
              <w:t>胚胎植入前 基因检测系列</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2" w:right="96"/>
              <w:jc w:val="both"/>
              <w:rPr>
                <w:rFonts w:ascii="宋体" w:hAnsi="宋体" w:cs="宋体" w:eastAsia="宋体" w:hint="default"/>
                <w:sz w:val="18"/>
                <w:szCs w:val="18"/>
              </w:rPr>
            </w:pPr>
            <w:r>
              <w:rPr>
                <w:rFonts w:ascii="宋体" w:hAnsi="宋体" w:cs="宋体" w:eastAsia="宋体" w:hint="default"/>
                <w:sz w:val="18"/>
                <w:szCs w:val="18"/>
              </w:rPr>
              <w:t>操作、高通量测序技术，结合生物信息学分析， 对胚胎的活检细胞进行遗传学检测，提示胚胎染 色体数目及结构异常情况，及胚胎是否遗传父母 的致病突变。</w:t>
            </w:r>
          </w:p>
        </w:tc>
        <w:tc>
          <w:tcPr>
            <w:tcW w:w="3545" w:type="dxa"/>
            <w:tcBorders>
              <w:top w:val="single" w:sz="4" w:space="0" w:color="000000"/>
              <w:left w:val="single" w:sz="4" w:space="0" w:color="000000"/>
              <w:bottom w:val="single" w:sz="4" w:space="0" w:color="000000"/>
              <w:right w:val="single" w:sz="12" w:space="0" w:color="000000"/>
            </w:tcBorders>
          </w:tcPr>
          <w:p>
            <w:pPr>
              <w:pStyle w:val="TableParagraph"/>
              <w:spacing w:line="236" w:lineRule="exact" w:before="13"/>
              <w:ind w:left="-1" w:right="104"/>
              <w:jc w:val="left"/>
              <w:rPr>
                <w:rFonts w:ascii="宋体" w:hAnsi="宋体" w:cs="宋体" w:eastAsia="宋体" w:hint="default"/>
                <w:sz w:val="18"/>
                <w:szCs w:val="18"/>
              </w:rPr>
            </w:pPr>
            <w:r>
              <w:rPr>
                <w:rFonts w:ascii="宋体" w:hAnsi="宋体" w:cs="宋体" w:eastAsia="宋体" w:hint="default"/>
                <w:sz w:val="18"/>
                <w:szCs w:val="18"/>
              </w:rPr>
              <w:t>提高胚胎植入后的妊娠率，降低出生缺陷的 发生风险。</w:t>
            </w:r>
          </w:p>
        </w:tc>
      </w:tr>
      <w:tr>
        <w:trPr>
          <w:trHeight w:val="792" w:hRule="exact"/>
        </w:trPr>
        <w:tc>
          <w:tcPr>
            <w:tcW w:w="5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11"/>
              <w:ind w:left="2" w:right="348"/>
              <w:jc w:val="left"/>
              <w:rPr>
                <w:rFonts w:ascii="宋体" w:hAnsi="宋体" w:cs="宋体" w:eastAsia="宋体" w:hint="default"/>
                <w:sz w:val="18"/>
                <w:szCs w:val="18"/>
              </w:rPr>
            </w:pPr>
            <w:r>
              <w:rPr>
                <w:rFonts w:ascii="宋体" w:hAnsi="宋体" w:cs="宋体" w:eastAsia="宋体" w:hint="default"/>
                <w:sz w:val="18"/>
                <w:szCs w:val="18"/>
              </w:rPr>
              <w:t>康孕 染色体检测系列</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7"/>
              <w:ind w:left="2" w:right="46"/>
              <w:jc w:val="both"/>
              <w:rPr>
                <w:rFonts w:ascii="宋体" w:hAnsi="宋体" w:cs="宋体" w:eastAsia="宋体" w:hint="default"/>
                <w:sz w:val="18"/>
                <w:szCs w:val="18"/>
              </w:rPr>
            </w:pPr>
            <w:r>
              <w:rPr>
                <w:rFonts w:ascii="宋体" w:hAnsi="宋体" w:cs="宋体" w:eastAsia="宋体" w:hint="default"/>
                <w:sz w:val="18"/>
                <w:szCs w:val="18"/>
              </w:rPr>
              <w:t>采集受检样本，采用高通量测序技术，结合短串 联重复序列分析，检测三倍体、</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对染色体非整 倍体、</w:t>
            </w:r>
            <w:r>
              <w:rPr>
                <w:rFonts w:ascii="Times New Roman" w:hAnsi="Times New Roman" w:cs="Times New Roman" w:eastAsia="Times New Roman" w:hint="default"/>
                <w:sz w:val="18"/>
                <w:szCs w:val="18"/>
              </w:rPr>
              <w:t>100Kb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以上缺失</w:t>
            </w:r>
            <w:r>
              <w:rPr>
                <w:rFonts w:ascii="Times New Roman" w:hAnsi="Times New Roman" w:cs="Times New Roman" w:eastAsia="Times New Roman" w:hint="default"/>
                <w:sz w:val="18"/>
                <w:szCs w:val="18"/>
              </w:rPr>
              <w:t>/</w:t>
            </w:r>
            <w:r>
              <w:rPr>
                <w:rFonts w:ascii="宋体" w:hAnsi="宋体" w:cs="宋体" w:eastAsia="宋体" w:hint="default"/>
                <w:sz w:val="18"/>
                <w:szCs w:val="18"/>
              </w:rPr>
              <w:t>重复。</w:t>
            </w:r>
          </w:p>
        </w:tc>
        <w:tc>
          <w:tcPr>
            <w:tcW w:w="35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8"/>
              <w:ind w:left="-1" w:right="104"/>
              <w:jc w:val="left"/>
              <w:rPr>
                <w:rFonts w:ascii="宋体" w:hAnsi="宋体" w:cs="宋体" w:eastAsia="宋体" w:hint="default"/>
                <w:sz w:val="18"/>
                <w:szCs w:val="18"/>
              </w:rPr>
            </w:pPr>
            <w:r>
              <w:rPr>
                <w:rFonts w:ascii="宋体" w:hAnsi="宋体" w:cs="宋体" w:eastAsia="宋体" w:hint="default"/>
                <w:sz w:val="18"/>
                <w:szCs w:val="18"/>
              </w:rPr>
              <w:t>排查自然流产、先天畸形、智力障碍、发育 迟缓等疾病的遗传病因。</w:t>
            </w:r>
          </w:p>
        </w:tc>
      </w:tr>
      <w:tr>
        <w:trPr>
          <w:trHeight w:val="790" w:hRule="exact"/>
        </w:trPr>
        <w:tc>
          <w:tcPr>
            <w:tcW w:w="5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9"/>
              <w:ind w:left="2" w:right="528"/>
              <w:jc w:val="left"/>
              <w:rPr>
                <w:rFonts w:ascii="宋体" w:hAnsi="宋体" w:cs="宋体" w:eastAsia="宋体" w:hint="default"/>
                <w:sz w:val="18"/>
                <w:szCs w:val="18"/>
              </w:rPr>
            </w:pPr>
            <w:r>
              <w:rPr>
                <w:rFonts w:ascii="宋体" w:hAnsi="宋体" w:cs="宋体" w:eastAsia="宋体" w:hint="default"/>
                <w:sz w:val="18"/>
                <w:szCs w:val="18"/>
              </w:rPr>
              <w:t>单基因遗传病 基因检测系列</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 w:right="96"/>
              <w:jc w:val="both"/>
              <w:rPr>
                <w:rFonts w:ascii="宋体" w:hAnsi="宋体" w:cs="宋体" w:eastAsia="宋体" w:hint="default"/>
                <w:sz w:val="18"/>
                <w:szCs w:val="18"/>
              </w:rPr>
            </w:pPr>
            <w:r>
              <w:rPr>
                <w:rFonts w:ascii="宋体" w:hAnsi="宋体" w:cs="宋体" w:eastAsia="宋体" w:hint="default"/>
                <w:sz w:val="18"/>
                <w:szCs w:val="18"/>
              </w:rPr>
              <w:t>采用目标序列捕获和高通量测序等技术，结合生 物信息学分析，获取目标区域的基因变异信息， 发现可疑的致病突变。</w:t>
            </w:r>
          </w:p>
        </w:tc>
        <w:tc>
          <w:tcPr>
            <w:tcW w:w="35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5"/>
              <w:ind w:left="-1" w:right="104"/>
              <w:jc w:val="left"/>
              <w:rPr>
                <w:rFonts w:ascii="宋体" w:hAnsi="宋体" w:cs="宋体" w:eastAsia="宋体" w:hint="default"/>
                <w:sz w:val="18"/>
                <w:szCs w:val="18"/>
              </w:rPr>
            </w:pPr>
            <w:r>
              <w:rPr>
                <w:rFonts w:ascii="宋体" w:hAnsi="宋体" w:cs="宋体" w:eastAsia="宋体" w:hint="default"/>
                <w:sz w:val="18"/>
                <w:szCs w:val="18"/>
              </w:rPr>
              <w:t>为单基因遗传病的临床诊断、治疗和突变筛 查提供全面、准确、科学的检测服务。</w:t>
            </w:r>
          </w:p>
        </w:tc>
      </w:tr>
      <w:tr>
        <w:trPr>
          <w:trHeight w:val="1025" w:hRule="exact"/>
        </w:trPr>
        <w:tc>
          <w:tcPr>
            <w:tcW w:w="5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9"/>
              <w:ind w:left="2" w:right="348"/>
              <w:jc w:val="left"/>
              <w:rPr>
                <w:rFonts w:ascii="宋体" w:hAnsi="宋体" w:cs="宋体" w:eastAsia="宋体" w:hint="default"/>
                <w:sz w:val="18"/>
                <w:szCs w:val="18"/>
              </w:rPr>
            </w:pPr>
            <w:r>
              <w:rPr>
                <w:rFonts w:ascii="宋体" w:hAnsi="宋体" w:cs="宋体" w:eastAsia="宋体" w:hint="default"/>
                <w:sz w:val="18"/>
                <w:szCs w:val="18"/>
              </w:rPr>
              <w:t>安孕可 单基因遗传病 携带者筛查系列</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96"/>
              <w:jc w:val="both"/>
              <w:rPr>
                <w:rFonts w:ascii="宋体" w:hAnsi="宋体" w:cs="宋体" w:eastAsia="宋体" w:hint="default"/>
                <w:sz w:val="18"/>
                <w:szCs w:val="18"/>
              </w:rPr>
            </w:pPr>
            <w:r>
              <w:rPr>
                <w:rFonts w:ascii="宋体" w:hAnsi="宋体" w:cs="宋体" w:eastAsia="宋体" w:hint="default"/>
                <w:sz w:val="18"/>
                <w:szCs w:val="18"/>
              </w:rPr>
              <w:t>采集受检者外周血或唾液样本，采用目标序列捕 获和高通量测序等技术，结合生物信息学分析， 一次性检测上百种常见单基因遗传病致病突变的 携带情况。</w:t>
            </w:r>
          </w:p>
        </w:tc>
        <w:tc>
          <w:tcPr>
            <w:tcW w:w="35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 w:right="104"/>
              <w:jc w:val="both"/>
              <w:rPr>
                <w:rFonts w:ascii="宋体" w:hAnsi="宋体" w:cs="宋体" w:eastAsia="宋体" w:hint="default"/>
                <w:sz w:val="18"/>
                <w:szCs w:val="18"/>
              </w:rPr>
            </w:pPr>
            <w:r>
              <w:rPr>
                <w:rFonts w:ascii="宋体" w:hAnsi="宋体" w:cs="宋体" w:eastAsia="宋体" w:hint="default"/>
                <w:sz w:val="18"/>
                <w:szCs w:val="18"/>
              </w:rPr>
              <w:t>全面、快速、准确地帮助育龄夫妇了解自身 单基因遗传病致病突变的携带情况，评估生 育患儿的风险，为产前诊断及出生缺陷的防 控提供依据。</w:t>
            </w:r>
          </w:p>
        </w:tc>
      </w:tr>
      <w:tr>
        <w:trPr>
          <w:trHeight w:val="1255" w:hRule="exact"/>
        </w:trPr>
        <w:tc>
          <w:tcPr>
            <w:tcW w:w="5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8" w:lineRule="auto"/>
              <w:ind w:left="2" w:right="528"/>
              <w:jc w:val="left"/>
              <w:rPr>
                <w:rFonts w:ascii="宋体" w:hAnsi="宋体" w:cs="宋体" w:eastAsia="宋体" w:hint="default"/>
                <w:sz w:val="18"/>
                <w:szCs w:val="18"/>
              </w:rPr>
            </w:pPr>
            <w:r>
              <w:rPr>
                <w:rFonts w:ascii="宋体" w:hAnsi="宋体" w:cs="宋体" w:eastAsia="宋体" w:hint="default"/>
                <w:sz w:val="18"/>
                <w:szCs w:val="18"/>
              </w:rPr>
              <w:t>耳聆可 遗传性耳聋 基因检测系列</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2" w:right="96"/>
              <w:jc w:val="both"/>
              <w:rPr>
                <w:rFonts w:ascii="宋体" w:hAnsi="宋体" w:cs="宋体" w:eastAsia="宋体" w:hint="default"/>
                <w:sz w:val="18"/>
                <w:szCs w:val="18"/>
              </w:rPr>
            </w:pPr>
            <w:r>
              <w:rPr>
                <w:rFonts w:ascii="宋体" w:hAnsi="宋体" w:cs="宋体" w:eastAsia="宋体" w:hint="default"/>
                <w:sz w:val="18"/>
                <w:szCs w:val="18"/>
              </w:rPr>
              <w:t>采集受检者外周血，采用高通量测序技术，结合 生物信息学分析，明确受检者是否携带耳聋致病 基因突变。</w:t>
            </w:r>
          </w:p>
        </w:tc>
        <w:tc>
          <w:tcPr>
            <w:tcW w:w="3545"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2"/>
              <w:ind w:left="-1" w:right="104"/>
              <w:jc w:val="left"/>
              <w:rPr>
                <w:rFonts w:ascii="宋体" w:hAnsi="宋体" w:cs="宋体" w:eastAsia="宋体" w:hint="default"/>
                <w:sz w:val="18"/>
                <w:szCs w:val="18"/>
              </w:rPr>
            </w:pPr>
            <w:r>
              <w:rPr>
                <w:rFonts w:ascii="宋体" w:hAnsi="宋体" w:cs="宋体" w:eastAsia="宋体" w:hint="default"/>
                <w:sz w:val="18"/>
                <w:szCs w:val="18"/>
              </w:rPr>
              <w:t>提早发现药物性、迟发性耳聋高危儿，提供 用药、生活指导，避免耳聋的发生；发现耳 聋遗传病因，提早干预，指导人工耳蜗植 入；指导科学婚育，降低下一代患耳聋的风 险。</w:t>
            </w:r>
          </w:p>
        </w:tc>
      </w:tr>
      <w:tr>
        <w:trPr>
          <w:trHeight w:val="1025" w:hRule="exact"/>
        </w:trPr>
        <w:tc>
          <w:tcPr>
            <w:tcW w:w="5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8" w:lineRule="auto"/>
              <w:ind w:left="2" w:right="528"/>
              <w:jc w:val="left"/>
              <w:rPr>
                <w:rFonts w:ascii="宋体" w:hAnsi="宋体" w:cs="宋体" w:eastAsia="宋体" w:hint="default"/>
                <w:sz w:val="18"/>
                <w:szCs w:val="18"/>
              </w:rPr>
            </w:pPr>
            <w:r>
              <w:rPr>
                <w:rFonts w:ascii="宋体" w:hAnsi="宋体" w:cs="宋体" w:eastAsia="宋体" w:hint="default"/>
                <w:sz w:val="18"/>
                <w:szCs w:val="18"/>
              </w:rPr>
              <w:t>地中海贫血 基因检测系列</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4"/>
              <w:ind w:left="2" w:right="94"/>
              <w:jc w:val="left"/>
              <w:rPr>
                <w:rFonts w:ascii="宋体" w:hAnsi="宋体" w:cs="宋体" w:eastAsia="宋体" w:hint="default"/>
                <w:sz w:val="18"/>
                <w:szCs w:val="18"/>
              </w:rPr>
            </w:pPr>
            <w:r>
              <w:rPr>
                <w:rFonts w:ascii="宋体" w:hAnsi="宋体" w:cs="宋体" w:eastAsia="宋体" w:hint="default"/>
                <w:sz w:val="18"/>
                <w:szCs w:val="18"/>
              </w:rPr>
              <w:t>采集受检者外周血、脐带血、足跟血或唾液样 本，采用高通量测序技术，结合生物信息学分 析，一次性检测超过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种地中海贫血常见和非 常见的基因变异类型。</w:t>
            </w:r>
          </w:p>
        </w:tc>
        <w:tc>
          <w:tcPr>
            <w:tcW w:w="35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 w:right="104"/>
              <w:jc w:val="both"/>
              <w:rPr>
                <w:rFonts w:ascii="宋体" w:hAnsi="宋体" w:cs="宋体" w:eastAsia="宋体" w:hint="default"/>
                <w:sz w:val="18"/>
                <w:szCs w:val="18"/>
              </w:rPr>
            </w:pPr>
            <w:r>
              <w:rPr>
                <w:rFonts w:ascii="宋体" w:hAnsi="宋体" w:cs="宋体" w:eastAsia="宋体" w:hint="default"/>
                <w:sz w:val="18"/>
                <w:szCs w:val="18"/>
              </w:rPr>
              <w:t>为地中海贫血的防控和治疗提供检测依据， 指导地中海贫血产前诊断及干预，防控重度 地中海贫血；明确地中海贫血携带者的基因 携带情况。</w:t>
            </w:r>
          </w:p>
        </w:tc>
      </w:tr>
      <w:tr>
        <w:trPr>
          <w:trHeight w:val="1025" w:hRule="exact"/>
        </w:trPr>
        <w:tc>
          <w:tcPr>
            <w:tcW w:w="5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09"/>
              <w:ind w:left="2" w:right="168"/>
              <w:jc w:val="left"/>
              <w:rPr>
                <w:rFonts w:ascii="宋体" w:hAnsi="宋体" w:cs="宋体" w:eastAsia="宋体" w:hint="default"/>
                <w:sz w:val="18"/>
                <w:szCs w:val="18"/>
              </w:rPr>
            </w:pPr>
            <w:r>
              <w:rPr>
                <w:rFonts w:ascii="宋体" w:hAnsi="宋体" w:cs="宋体" w:eastAsia="宋体" w:hint="default"/>
                <w:sz w:val="18"/>
                <w:szCs w:val="18"/>
              </w:rPr>
              <w:t>新生儿 遗传代谢病检测系 列</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0"/>
              <w:ind w:left="2" w:right="96"/>
              <w:jc w:val="both"/>
              <w:rPr>
                <w:rFonts w:ascii="宋体" w:hAnsi="宋体" w:cs="宋体" w:eastAsia="宋体" w:hint="default"/>
                <w:sz w:val="18"/>
                <w:szCs w:val="18"/>
              </w:rPr>
            </w:pPr>
            <w:r>
              <w:rPr>
                <w:rFonts w:ascii="宋体" w:hAnsi="宋体" w:cs="宋体" w:eastAsia="宋体" w:hint="default"/>
                <w:sz w:val="18"/>
                <w:szCs w:val="18"/>
              </w:rPr>
              <w:t>采用高通量串联质谱技术对新生儿足跟血干血片 样本中的氨基酸、酰基肉碱的浓度进行分析，一 次性筛查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种遗传代谢病。</w:t>
            </w:r>
          </w:p>
        </w:tc>
        <w:tc>
          <w:tcPr>
            <w:tcW w:w="35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 w:right="104"/>
              <w:jc w:val="left"/>
              <w:rPr>
                <w:rFonts w:ascii="宋体" w:hAnsi="宋体" w:cs="宋体" w:eastAsia="宋体" w:hint="default"/>
                <w:sz w:val="18"/>
                <w:szCs w:val="18"/>
              </w:rPr>
            </w:pPr>
            <w:r>
              <w:rPr>
                <w:rFonts w:ascii="宋体" w:hAnsi="宋体" w:cs="宋体" w:eastAsia="宋体" w:hint="default"/>
                <w:sz w:val="18"/>
                <w:szCs w:val="18"/>
              </w:rPr>
              <w:t>极大地扩展了新生儿遗传代谢病筛查的疾病 谱，提高筛查效率。有助于尽早发现疾病， 及时进行治疗，挽救新生儿，降低出生缺 陷。</w:t>
            </w:r>
          </w:p>
        </w:tc>
      </w:tr>
      <w:tr>
        <w:trPr>
          <w:trHeight w:val="1373" w:hRule="exact"/>
        </w:trPr>
        <w:tc>
          <w:tcPr>
            <w:tcW w:w="55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w:t>
            </w:r>
          </w:p>
        </w:tc>
        <w:tc>
          <w:tcPr>
            <w:tcW w:w="16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 w:right="168"/>
              <w:jc w:val="left"/>
              <w:rPr>
                <w:rFonts w:ascii="宋体" w:hAnsi="宋体" w:cs="宋体" w:eastAsia="宋体" w:hint="default"/>
                <w:sz w:val="18"/>
                <w:szCs w:val="18"/>
              </w:rPr>
            </w:pPr>
            <w:r>
              <w:rPr>
                <w:rFonts w:ascii="宋体" w:hAnsi="宋体" w:cs="宋体" w:eastAsia="宋体" w:hint="default"/>
                <w:sz w:val="18"/>
                <w:szCs w:val="18"/>
              </w:rPr>
              <w:t>生育健康临床综合 解决方案</w:t>
            </w:r>
          </w:p>
        </w:tc>
        <w:tc>
          <w:tcPr>
            <w:tcW w:w="3889" w:type="dxa"/>
            <w:tcBorders>
              <w:top w:val="single" w:sz="4" w:space="0" w:color="000000"/>
              <w:left w:val="single" w:sz="4" w:space="0" w:color="000000"/>
              <w:bottom w:val="single" w:sz="12" w:space="0" w:color="000000"/>
              <w:right w:val="single" w:sz="4" w:space="0" w:color="000000"/>
            </w:tcBorders>
          </w:tcPr>
          <w:p>
            <w:pPr>
              <w:pStyle w:val="TableParagraph"/>
              <w:spacing w:line="237" w:lineRule="auto" w:before="65"/>
              <w:ind w:left="2" w:right="96"/>
              <w:jc w:val="left"/>
              <w:rPr>
                <w:rFonts w:ascii="宋体" w:hAnsi="宋体" w:cs="宋体" w:eastAsia="宋体" w:hint="default"/>
                <w:sz w:val="18"/>
                <w:szCs w:val="18"/>
              </w:rPr>
            </w:pPr>
            <w:r>
              <w:rPr>
                <w:rFonts w:ascii="宋体" w:hAnsi="宋体" w:cs="宋体" w:eastAsia="宋体" w:hint="default"/>
                <w:sz w:val="18"/>
                <w:szCs w:val="18"/>
              </w:rPr>
              <w:t>为医疗机构、第三方检验公司提供实验室设计及 其所需的仪器设备、试剂与分析软件，技术转 移、人员培训、数据库建设及使用、信息分析及 报告解读等综合支撑其提供生育健康相关检测服 务的一体化解决方案。</w:t>
            </w:r>
          </w:p>
        </w:tc>
        <w:tc>
          <w:tcPr>
            <w:tcW w:w="354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104"/>
              <w:jc w:val="left"/>
              <w:rPr>
                <w:rFonts w:ascii="宋体" w:hAnsi="宋体" w:cs="宋体" w:eastAsia="宋体" w:hint="default"/>
                <w:sz w:val="18"/>
                <w:szCs w:val="18"/>
              </w:rPr>
            </w:pPr>
            <w:r>
              <w:rPr>
                <w:rFonts w:ascii="宋体" w:hAnsi="宋体" w:cs="宋体" w:eastAsia="宋体" w:hint="default"/>
                <w:sz w:val="18"/>
                <w:szCs w:val="18"/>
              </w:rPr>
              <w:t>主要应用于实现多组学技术为基础的生育健 康相关业务的本地化检测。</w:t>
            </w:r>
          </w:p>
        </w:tc>
      </w:tr>
    </w:tbl>
    <w:p>
      <w:pPr>
        <w:pStyle w:val="Heading5"/>
        <w:spacing w:line="240" w:lineRule="auto" w:before="53"/>
        <w:ind w:right="1133"/>
        <w:jc w:val="left"/>
        <w:rPr>
          <w:b w:val="0"/>
          <w:bCs w:val="0"/>
        </w:rPr>
      </w:pPr>
      <w:r>
        <w:rPr>
          <w:rFonts w:ascii="Times New Roman" w:hAnsi="Times New Roman" w:cs="Times New Roman" w:eastAsia="Times New Roman" w:hint="default"/>
        </w:rPr>
        <w:t>2</w:t>
      </w:r>
      <w:r>
        <w:rPr/>
        <w:t>、肿瘤防控及转化医学类服务</w:t>
      </w:r>
      <w:r>
        <w:rPr>
          <w:b w:val="0"/>
          <w:bCs w:val="0"/>
        </w:rPr>
      </w:r>
    </w:p>
    <w:p>
      <w:pPr>
        <w:pStyle w:val="BodyText"/>
        <w:spacing w:line="430" w:lineRule="atLeast" w:before="2"/>
        <w:ind w:left="513" w:right="1133" w:hanging="89"/>
        <w:jc w:val="left"/>
      </w:pPr>
      <w:r>
        <w:rPr/>
        <w:t>（</w:t>
      </w:r>
      <w:r>
        <w:rPr>
          <w:rFonts w:ascii="Times New Roman" w:hAnsi="Times New Roman" w:cs="Times New Roman" w:eastAsia="Times New Roman" w:hint="default"/>
        </w:rPr>
        <w:t>1</w:t>
      </w:r>
      <w:r>
        <w:rPr/>
        <w:t>）业务概述 </w:t>
      </w:r>
      <w:r>
        <w:rPr>
          <w:spacing w:val="-2"/>
        </w:rPr>
        <w:t>癌症严重威胁人民群众健康，已成为各国重大公共卫生问题。华大基因始终秉承</w:t>
      </w:r>
      <w:r>
        <w:rPr>
          <w:rFonts w:ascii="Times New Roman" w:hAnsi="Times New Roman" w:cs="Times New Roman" w:eastAsia="Times New Roman" w:hint="default"/>
          <w:spacing w:val="-2"/>
        </w:rPr>
        <w:t>“</w:t>
      </w:r>
      <w:r>
        <w:rPr>
          <w:spacing w:val="-2"/>
        </w:rPr>
        <w:t>基因科技造福人类</w:t>
      </w:r>
      <w:r>
        <w:rPr>
          <w:rFonts w:ascii="Times New Roman" w:hAnsi="Times New Roman" w:cs="Times New Roman" w:eastAsia="Times New Roman" w:hint="default"/>
          <w:spacing w:val="-2"/>
        </w:rPr>
        <w:t>”</w:t>
      </w:r>
      <w:r>
        <w:rPr>
          <w:spacing w:val="-2"/>
        </w:rPr>
        <w:t>的理念，围绕多类</w:t>
      </w:r>
    </w:p>
    <w:p>
      <w:pPr>
        <w:pStyle w:val="BodyText"/>
        <w:spacing w:line="300" w:lineRule="auto" w:before="63"/>
        <w:ind w:right="1133"/>
        <w:jc w:val="left"/>
      </w:pPr>
      <w:r>
        <w:rPr>
          <w:spacing w:val="-2"/>
        </w:rPr>
        <w:t>肿瘤构建肿瘤</w:t>
      </w:r>
      <w:r>
        <w:rPr>
          <w:rFonts w:ascii="Times New Roman" w:hAnsi="Times New Roman" w:cs="Times New Roman" w:eastAsia="Times New Roman" w:hint="default"/>
          <w:spacing w:val="-2"/>
        </w:rPr>
        <w:t>“</w:t>
      </w:r>
      <w:r>
        <w:rPr>
          <w:spacing w:val="-2"/>
        </w:rPr>
        <w:t>预、筛、诊、治、监</w:t>
      </w:r>
      <w:r>
        <w:rPr>
          <w:rFonts w:ascii="Times New Roman" w:hAnsi="Times New Roman" w:cs="Times New Roman" w:eastAsia="Times New Roman" w:hint="default"/>
          <w:spacing w:val="-2"/>
        </w:rPr>
        <w:t>”</w:t>
      </w:r>
      <w:r>
        <w:rPr>
          <w:spacing w:val="-2"/>
        </w:rPr>
        <w:t>闭环，建设和完善肿瘤防控产品线。肿瘤防控及转化医学类服务包括遗传性肿瘤基因检</w:t>
      </w:r>
      <w:r>
        <w:rPr>
          <w:spacing w:val="-45"/>
        </w:rPr>
        <w:t> </w:t>
      </w:r>
      <w:r>
        <w:rPr>
          <w:spacing w:val="-45"/>
        </w:rPr>
      </w:r>
      <w:r>
        <w:rPr/>
        <w:t>测、</w:t>
      </w:r>
      <w:r>
        <w:rPr>
          <w:rFonts w:ascii="Times New Roman" w:hAnsi="Times New Roman" w:cs="Times New Roman" w:eastAsia="Times New Roman" w:hint="default"/>
        </w:rPr>
        <w:t>HPV</w:t>
      </w:r>
      <w:r>
        <w:rPr/>
        <w:t>分型基因检测、肿瘤标志物测定、肿瘤个体化诊疗和用药指导基因检测、肿瘤防控综合解决方案等。</w:t>
      </w:r>
    </w:p>
    <w:p>
      <w:pPr>
        <w:pStyle w:val="BodyText"/>
        <w:spacing w:line="314" w:lineRule="auto" w:before="133"/>
        <w:ind w:right="1034" w:firstLine="360"/>
        <w:jc w:val="left"/>
      </w:pPr>
      <w:r>
        <w:rPr/>
        <w:t>公司作为国家卫健委首批</w:t>
      </w:r>
      <w:r>
        <w:rPr>
          <w:rFonts w:ascii="Times New Roman" w:hAnsi="Times New Roman" w:cs="Times New Roman" w:eastAsia="Times New Roman" w:hint="default"/>
        </w:rPr>
        <w:t>“</w:t>
      </w:r>
      <w:r>
        <w:rPr/>
        <w:t>高通量基因测序技术</w:t>
      </w:r>
      <w:r>
        <w:rPr>
          <w:rFonts w:ascii="Times New Roman" w:hAnsi="Times New Roman" w:cs="Times New Roman" w:eastAsia="Times New Roman" w:hint="default"/>
        </w:rPr>
        <w:t>”</w:t>
      </w:r>
      <w:r>
        <w:rPr/>
        <w:t>临床试点单位开展个体化诊疗基因检测业务，为各级医疗机构提供全面 </w:t>
      </w:r>
      <w:r>
        <w:rPr>
          <w:spacing w:val="-2"/>
        </w:rPr>
        <w:t>医学检验综合解决方案，为患者提供包括靶向治疗和免疫治疗等用药指导和复发监测信息。公司积极与国际知名医药企业开</w:t>
      </w:r>
      <w:r>
        <w:rPr>
          <w:spacing w:val="-64"/>
        </w:rPr>
        <w:t> </w:t>
      </w:r>
      <w:r>
        <w:rPr>
          <w:spacing w:val="-64"/>
        </w:rPr>
      </w:r>
      <w:r>
        <w:rPr>
          <w:spacing w:val="-2"/>
        </w:rPr>
        <w:t>展业务合作，在多年研究经验的基础上拓展开发了致病机理发现、生物标记开发、药物靶位确认和药物风险管控等全套药物</w:t>
      </w:r>
      <w:r>
        <w:rPr>
          <w:spacing w:val="-66"/>
        </w:rPr>
        <w:t> </w:t>
      </w:r>
      <w:r>
        <w:rPr>
          <w:spacing w:val="-66"/>
        </w:rPr>
      </w:r>
      <w:r>
        <w:rPr>
          <w:spacing w:val="-2"/>
        </w:rPr>
        <w:t>基因组学研究业务，布局免疫治疗临床试验伴随诊断业务，有效帮助医药企业解决研发周期长的问题，提高药物的临床批准</w:t>
      </w:r>
      <w:r>
        <w:rPr>
          <w:spacing w:val="-62"/>
        </w:rPr>
        <w:t> </w:t>
      </w:r>
      <w:r>
        <w:rPr>
          <w:spacing w:val="-62"/>
        </w:rPr>
      </w:r>
      <w:r>
        <w:rPr>
          <w:spacing w:val="-2"/>
        </w:rPr>
        <w:t>率，降低药物研发风险。公司还通过具备有效资质的医疗机构、政府民生项目、互联网平台等多个渠道，提高全民对肿瘤早</w:t>
      </w:r>
      <w:r>
        <w:rPr>
          <w:spacing w:val="-67"/>
        </w:rPr>
        <w:t> </w:t>
      </w:r>
      <w:r>
        <w:rPr>
          <w:spacing w:val="-67"/>
        </w:rPr>
      </w:r>
      <w:r>
        <w:rPr/>
        <w:t>防早筛早诊早治意识，将先进的检测技术与现有临床诊疗手段相结合、对高风险人群进行遗传性肿瘤风险评估和相关筛查，</w:t>
      </w:r>
      <w:r>
        <w:rPr>
          <w:spacing w:val="-83"/>
        </w:rPr>
        <w:t> </w:t>
      </w:r>
      <w:r>
        <w:rPr>
          <w:spacing w:val="-83"/>
        </w:rPr>
      </w:r>
      <w:r>
        <w:rPr/>
        <w:t>能够在早期实现对癌症的干预和治疗。</w:t>
      </w:r>
    </w:p>
    <w:p>
      <w:pPr>
        <w:pStyle w:val="BodyText"/>
        <w:spacing w:line="240" w:lineRule="auto" w:before="140"/>
        <w:ind w:left="424" w:right="1133"/>
        <w:jc w:val="left"/>
      </w:pPr>
      <w:r>
        <w:rPr/>
        <w:t>（</w:t>
      </w:r>
      <w:r>
        <w:rPr>
          <w:rFonts w:ascii="Times New Roman" w:hAnsi="Times New Roman" w:cs="Times New Roman" w:eastAsia="Times New Roman" w:hint="default"/>
        </w:rPr>
        <w:t>2</w:t>
      </w:r>
      <w:r>
        <w:rPr/>
        <w:t>）具体产品介绍</w:t>
      </w:r>
    </w:p>
    <w:p>
      <w:pPr>
        <w:spacing w:after="0" w:line="240" w:lineRule="auto"/>
        <w:jc w:val="left"/>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692"/>
        <w:gridCol w:w="1598"/>
        <w:gridCol w:w="3949"/>
        <w:gridCol w:w="3442"/>
      </w:tblGrid>
      <w:tr>
        <w:trPr>
          <w:trHeight w:val="360" w:hRule="exact"/>
        </w:trPr>
        <w:tc>
          <w:tcPr>
            <w:tcW w:w="69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31"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9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344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5"/>
              <w:ind w:right="1345"/>
              <w:jc w:val="right"/>
              <w:rPr>
                <w:rFonts w:ascii="宋体" w:hAnsi="宋体" w:cs="宋体" w:eastAsia="宋体" w:hint="default"/>
                <w:sz w:val="18"/>
                <w:szCs w:val="18"/>
              </w:rPr>
            </w:pPr>
            <w:r>
              <w:rPr>
                <w:rFonts w:ascii="宋体" w:hAnsi="宋体" w:cs="宋体" w:eastAsia="宋体" w:hint="default"/>
                <w:b/>
                <w:bCs/>
                <w:w w:val="95"/>
                <w:sz w:val="18"/>
                <w:szCs w:val="18"/>
              </w:rPr>
              <w:t>主要应用</w:t>
            </w:r>
            <w:r>
              <w:rPr>
                <w:rFonts w:ascii="宋体" w:hAnsi="宋体" w:cs="宋体" w:eastAsia="宋体" w:hint="default"/>
                <w:sz w:val="18"/>
                <w:szCs w:val="18"/>
              </w:rPr>
            </w:r>
          </w:p>
        </w:tc>
      </w:tr>
      <w:tr>
        <w:trPr>
          <w:trHeight w:val="1178" w:hRule="exact"/>
        </w:trPr>
        <w:tc>
          <w:tcPr>
            <w:tcW w:w="6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03" w:right="223"/>
              <w:jc w:val="left"/>
              <w:rPr>
                <w:rFonts w:ascii="宋体" w:hAnsi="宋体" w:cs="宋体" w:eastAsia="宋体" w:hint="default"/>
                <w:sz w:val="18"/>
                <w:szCs w:val="18"/>
              </w:rPr>
            </w:pPr>
            <w:r>
              <w:rPr>
                <w:rFonts w:ascii="宋体" w:hAnsi="宋体" w:cs="宋体" w:eastAsia="宋体" w:hint="default"/>
                <w:sz w:val="18"/>
                <w:szCs w:val="18"/>
              </w:rPr>
              <w:t>遗传性肿瘤基因 检测</w:t>
            </w:r>
          </w:p>
        </w:tc>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本系列产品采集受检者外周血或唾液，结合高</w:t>
            </w:r>
          </w:p>
          <w:p>
            <w:pPr>
              <w:pStyle w:val="TableParagraph"/>
              <w:spacing w:line="232" w:lineRule="exact" w:before="24"/>
              <w:ind w:left="100" w:right="236"/>
              <w:jc w:val="left"/>
              <w:rPr>
                <w:rFonts w:ascii="宋体" w:hAnsi="宋体" w:cs="宋体" w:eastAsia="宋体" w:hint="default"/>
                <w:sz w:val="18"/>
                <w:szCs w:val="18"/>
              </w:rPr>
            </w:pPr>
            <w:r>
              <w:rPr>
                <w:rFonts w:ascii="宋体" w:hAnsi="宋体" w:cs="宋体" w:eastAsia="宋体" w:hint="default"/>
                <w:sz w:val="18"/>
                <w:szCs w:val="18"/>
              </w:rPr>
              <w:t>通量测序技术，检测遗传性乳腺癌、遗传性卵 巢癌、遗传性结直肠癌、遗传性胃癌、遗传性 前列腺癌、遗传性甲状腺癌、视网膜母细胞 瘤、遗传性神经纤维瘤等相关基因。</w:t>
            </w:r>
          </w:p>
        </w:tc>
        <w:tc>
          <w:tcPr>
            <w:tcW w:w="3442"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为肿瘤患者寻找致病基因，为治疗方案</w:t>
            </w:r>
          </w:p>
          <w:p>
            <w:pPr>
              <w:pStyle w:val="TableParagraph"/>
              <w:spacing w:line="232" w:lineRule="exact" w:before="24"/>
              <w:ind w:left="103" w:right="257"/>
              <w:jc w:val="left"/>
              <w:rPr>
                <w:rFonts w:ascii="宋体" w:hAnsi="宋体" w:cs="宋体" w:eastAsia="宋体" w:hint="default"/>
                <w:sz w:val="18"/>
                <w:szCs w:val="18"/>
              </w:rPr>
            </w:pPr>
            <w:r>
              <w:rPr>
                <w:rFonts w:ascii="宋体" w:hAnsi="宋体" w:cs="宋体" w:eastAsia="宋体" w:hint="default"/>
                <w:sz w:val="18"/>
                <w:szCs w:val="18"/>
              </w:rPr>
              <w:t>提供依据；帮助评估肿瘤患者、家属和 有肿瘤家族史的健康人群评估肿瘤的遗 传性风险，提供肿瘤家族风险管理参 考。</w:t>
            </w:r>
          </w:p>
        </w:tc>
      </w:tr>
      <w:tr>
        <w:trPr>
          <w:trHeight w:val="710" w:hRule="exact"/>
        </w:trPr>
        <w:tc>
          <w:tcPr>
            <w:tcW w:w="6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06"/>
              <w:ind w:left="103" w:right="223"/>
              <w:jc w:val="left"/>
              <w:rPr>
                <w:rFonts w:ascii="宋体" w:hAnsi="宋体" w:cs="宋体" w:eastAsia="宋体" w:hint="default"/>
                <w:sz w:val="18"/>
                <w:szCs w:val="18"/>
              </w:rPr>
            </w:pPr>
            <w:r>
              <w:rPr>
                <w:rFonts w:ascii="Times New Roman" w:hAnsi="Times New Roman" w:cs="Times New Roman" w:eastAsia="Times New Roman" w:hint="default"/>
                <w:sz w:val="18"/>
                <w:szCs w:val="18"/>
              </w:rPr>
              <w:t>BRCA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肿瘤个体</w:t>
            </w:r>
            <w:r>
              <w:rPr>
                <w:rFonts w:ascii="宋体" w:hAnsi="宋体" w:cs="宋体" w:eastAsia="宋体" w:hint="default"/>
                <w:w w:val="99"/>
                <w:sz w:val="18"/>
                <w:szCs w:val="18"/>
              </w:rPr>
              <w:t> </w:t>
            </w:r>
            <w:r>
              <w:rPr>
                <w:rFonts w:ascii="宋体" w:hAnsi="宋体" w:cs="宋体" w:eastAsia="宋体" w:hint="default"/>
                <w:sz w:val="18"/>
                <w:szCs w:val="18"/>
              </w:rPr>
              <w:t>化诊疗基因检测</w:t>
            </w:r>
          </w:p>
        </w:tc>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本系列产品采集患者样本，针对卵巢癌、乳腺</w:t>
            </w:r>
          </w:p>
          <w:p>
            <w:pPr>
              <w:pStyle w:val="TableParagraph"/>
              <w:spacing w:line="232" w:lineRule="exact" w:before="23"/>
              <w:ind w:left="100" w:right="144"/>
              <w:jc w:val="left"/>
              <w:rPr>
                <w:rFonts w:ascii="宋体" w:hAnsi="宋体" w:cs="宋体" w:eastAsia="宋体" w:hint="default"/>
                <w:sz w:val="18"/>
                <w:szCs w:val="18"/>
              </w:rPr>
            </w:pPr>
            <w:r>
              <w:rPr>
                <w:rFonts w:ascii="宋体" w:hAnsi="宋体" w:cs="宋体" w:eastAsia="宋体" w:hint="default"/>
                <w:sz w:val="18"/>
                <w:szCs w:val="18"/>
              </w:rPr>
              <w:t>癌患者的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BRCA1/2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基因的胚系突变和体系突变 进行检测。</w:t>
            </w:r>
          </w:p>
        </w:tc>
        <w:tc>
          <w:tcPr>
            <w:tcW w:w="3442" w:type="dxa"/>
            <w:tcBorders>
              <w:top w:val="single" w:sz="4" w:space="0" w:color="000000"/>
              <w:left w:val="single" w:sz="4" w:space="0" w:color="000000"/>
              <w:bottom w:val="single" w:sz="4" w:space="0" w:color="000000"/>
              <w:right w:val="single" w:sz="12"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针对卵巢癌、乳腺癌，精准筛选使用</w:t>
            </w:r>
          </w:p>
          <w:p>
            <w:pPr>
              <w:pStyle w:val="TableParagraph"/>
              <w:spacing w:line="232" w:lineRule="exact" w:before="23"/>
              <w:ind w:left="103" w:right="13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PARP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抑制剂的敏感获益人群，为医生制 定治疗方案提供依据。</w:t>
            </w:r>
          </w:p>
        </w:tc>
      </w:tr>
      <w:tr>
        <w:trPr>
          <w:trHeight w:val="710" w:hRule="exact"/>
        </w:trPr>
        <w:tc>
          <w:tcPr>
            <w:tcW w:w="6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23"/>
              <w:jc w:val="left"/>
              <w:rPr>
                <w:rFonts w:ascii="宋体" w:hAnsi="宋体" w:cs="宋体" w:eastAsia="宋体" w:hint="default"/>
                <w:sz w:val="18"/>
                <w:szCs w:val="18"/>
              </w:rPr>
            </w:pPr>
            <w:r>
              <w:rPr>
                <w:rFonts w:ascii="宋体" w:hAnsi="宋体" w:cs="宋体" w:eastAsia="宋体" w:hint="default"/>
                <w:sz w:val="18"/>
                <w:szCs w:val="18"/>
              </w:rPr>
              <w:t>肺癌个体化诊疗 基因检测</w:t>
            </w:r>
          </w:p>
        </w:tc>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236"/>
              <w:jc w:val="left"/>
              <w:rPr>
                <w:rFonts w:ascii="宋体" w:hAnsi="宋体" w:cs="宋体" w:eastAsia="宋体" w:hint="default"/>
                <w:sz w:val="18"/>
                <w:szCs w:val="18"/>
              </w:rPr>
            </w:pPr>
            <w:r>
              <w:rPr>
                <w:rFonts w:ascii="宋体" w:hAnsi="宋体" w:cs="宋体" w:eastAsia="宋体" w:hint="default"/>
                <w:sz w:val="18"/>
                <w:szCs w:val="18"/>
              </w:rPr>
              <w:t>本系列产品采集患者组织样本，一次性检测肺 癌相关基因，解读肺癌相关的靶向药物。</w:t>
            </w:r>
          </w:p>
        </w:tc>
        <w:tc>
          <w:tcPr>
            <w:tcW w:w="3442" w:type="dxa"/>
            <w:tcBorders>
              <w:top w:val="single" w:sz="4" w:space="0" w:color="000000"/>
              <w:left w:val="single" w:sz="4" w:space="0" w:color="000000"/>
              <w:bottom w:val="single" w:sz="4" w:space="0" w:color="000000"/>
              <w:right w:val="single" w:sz="12"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为肺癌靶向药物治疗提供基因变异结</w:t>
            </w:r>
          </w:p>
          <w:p>
            <w:pPr>
              <w:pStyle w:val="TableParagraph"/>
              <w:spacing w:line="232" w:lineRule="exact" w:before="23"/>
              <w:ind w:left="103" w:right="257"/>
              <w:jc w:val="left"/>
              <w:rPr>
                <w:rFonts w:ascii="宋体" w:hAnsi="宋体" w:cs="宋体" w:eastAsia="宋体" w:hint="default"/>
                <w:sz w:val="18"/>
                <w:szCs w:val="18"/>
              </w:rPr>
            </w:pPr>
            <w:r>
              <w:rPr>
                <w:rFonts w:ascii="宋体" w:hAnsi="宋体" w:cs="宋体" w:eastAsia="宋体" w:hint="default"/>
                <w:sz w:val="18"/>
                <w:szCs w:val="18"/>
              </w:rPr>
              <w:t>果，给临床医生为肺癌患者选择最佳治 疗方案提供依据。</w:t>
            </w:r>
          </w:p>
        </w:tc>
      </w:tr>
      <w:tr>
        <w:trPr>
          <w:trHeight w:val="1177" w:hRule="exact"/>
        </w:trPr>
        <w:tc>
          <w:tcPr>
            <w:tcW w:w="6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03" w:right="223"/>
              <w:jc w:val="left"/>
              <w:rPr>
                <w:rFonts w:ascii="宋体" w:hAnsi="宋体" w:cs="宋体" w:eastAsia="宋体" w:hint="default"/>
                <w:sz w:val="18"/>
                <w:szCs w:val="18"/>
              </w:rPr>
            </w:pPr>
            <w:r>
              <w:rPr>
                <w:rFonts w:ascii="宋体" w:hAnsi="宋体" w:cs="宋体" w:eastAsia="宋体" w:hint="default"/>
                <w:sz w:val="18"/>
                <w:szCs w:val="18"/>
              </w:rPr>
              <w:t>肿瘤化疗用药指 导基因检测</w:t>
            </w:r>
          </w:p>
        </w:tc>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本产品采用高通量测序技术，针对肺癌、结直</w:t>
            </w:r>
          </w:p>
          <w:p>
            <w:pPr>
              <w:pStyle w:val="TableParagraph"/>
              <w:spacing w:line="237" w:lineRule="auto"/>
              <w:ind w:left="100" w:right="236"/>
              <w:jc w:val="both"/>
              <w:rPr>
                <w:rFonts w:ascii="宋体" w:hAnsi="宋体" w:cs="宋体" w:eastAsia="宋体" w:hint="default"/>
                <w:sz w:val="18"/>
                <w:szCs w:val="18"/>
              </w:rPr>
            </w:pPr>
            <w:r>
              <w:rPr>
                <w:rFonts w:ascii="宋体" w:hAnsi="宋体" w:cs="宋体" w:eastAsia="宋体" w:hint="default"/>
                <w:sz w:val="18"/>
                <w:szCs w:val="18"/>
              </w:rPr>
              <w:t>肠癌、卵巢癌、乳腺癌、前列腺癌以及其他所 有实体肿瘤患者的肿瘤组织进行全面的化疗药 物相关基因检测，解读常用肿瘤化疗药物（或 </w:t>
            </w:r>
            <w:r>
              <w:rPr>
                <w:rFonts w:ascii="宋体" w:hAnsi="宋体" w:cs="宋体" w:eastAsia="宋体" w:hint="default"/>
                <w:spacing w:val="-16"/>
                <w:sz w:val="18"/>
                <w:szCs w:val="18"/>
              </w:rPr>
              <w:t>药物组合）。</w:t>
            </w:r>
          </w:p>
        </w:tc>
        <w:tc>
          <w:tcPr>
            <w:tcW w:w="34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03" w:right="257"/>
              <w:jc w:val="left"/>
              <w:rPr>
                <w:rFonts w:ascii="宋体" w:hAnsi="宋体" w:cs="宋体" w:eastAsia="宋体" w:hint="default"/>
                <w:sz w:val="18"/>
                <w:szCs w:val="18"/>
              </w:rPr>
            </w:pPr>
            <w:r>
              <w:rPr>
                <w:rFonts w:ascii="宋体" w:hAnsi="宋体" w:cs="宋体" w:eastAsia="宋体" w:hint="default"/>
                <w:sz w:val="18"/>
                <w:szCs w:val="18"/>
              </w:rPr>
              <w:t>指导肿瘤患者化疗用药，给临床医生为 患者选择最佳治疗方案提供依据。</w:t>
            </w:r>
          </w:p>
        </w:tc>
      </w:tr>
      <w:tr>
        <w:trPr>
          <w:trHeight w:val="1644" w:hRule="exact"/>
        </w:trPr>
        <w:tc>
          <w:tcPr>
            <w:tcW w:w="6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6" w:lineRule="exact" w:before="160"/>
              <w:ind w:left="103" w:right="156"/>
              <w:jc w:val="left"/>
              <w:rPr>
                <w:rFonts w:ascii="宋体" w:hAnsi="宋体" w:cs="宋体" w:eastAsia="宋体" w:hint="default"/>
                <w:sz w:val="18"/>
                <w:szCs w:val="18"/>
              </w:rPr>
            </w:pPr>
            <w:r>
              <w:rPr>
                <w:rFonts w:ascii="宋体" w:hAnsi="宋体" w:cs="宋体" w:eastAsia="宋体" w:hint="default"/>
                <w:sz w:val="18"/>
                <w:szCs w:val="18"/>
              </w:rPr>
              <w:t>肺癌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个体 化用药基因检测</w:t>
            </w:r>
          </w:p>
        </w:tc>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0" w:lineRule="auto" w:before="121"/>
              <w:ind w:left="100" w:right="116"/>
              <w:jc w:val="left"/>
              <w:rPr>
                <w:rFonts w:ascii="宋体" w:hAnsi="宋体" w:cs="宋体" w:eastAsia="宋体" w:hint="default"/>
                <w:sz w:val="18"/>
                <w:szCs w:val="18"/>
              </w:rPr>
            </w:pPr>
            <w:r>
              <w:rPr>
                <w:rFonts w:ascii="宋体" w:hAnsi="宋体" w:cs="宋体" w:eastAsia="宋体" w:hint="default"/>
                <w:sz w:val="18"/>
                <w:szCs w:val="18"/>
              </w:rPr>
              <w:t>使用华大自主研发的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BGI</w:t>
            </w:r>
            <w:r>
              <w:rPr>
                <w:rFonts w:ascii="宋体" w:hAnsi="宋体" w:cs="宋体" w:eastAsia="宋体" w:hint="default"/>
                <w:sz w:val="18"/>
                <w:szCs w:val="18"/>
              </w:rPr>
              <w:t>－超级探针技术，针 对晚期肺癌无法取得组织的患者，通过检测外 周血循环肿瘤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检测常见肺癌靶向药物相关 位点，为医生治疗决策提供依据。</w:t>
            </w:r>
          </w:p>
        </w:tc>
        <w:tc>
          <w:tcPr>
            <w:tcW w:w="3442"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主要用于肺癌晚期初诊无法取得肿瘤组</w:t>
            </w:r>
          </w:p>
          <w:p>
            <w:pPr>
              <w:pStyle w:val="TableParagraph"/>
              <w:spacing w:line="237" w:lineRule="auto" w:before="2"/>
              <w:ind w:left="103" w:right="257"/>
              <w:jc w:val="both"/>
              <w:rPr>
                <w:rFonts w:ascii="宋体" w:hAnsi="宋体" w:cs="宋体" w:eastAsia="宋体" w:hint="default"/>
                <w:sz w:val="18"/>
                <w:szCs w:val="18"/>
              </w:rPr>
            </w:pPr>
            <w:r>
              <w:rPr>
                <w:rFonts w:ascii="宋体" w:hAnsi="宋体" w:cs="宋体" w:eastAsia="宋体" w:hint="default"/>
                <w:sz w:val="18"/>
                <w:szCs w:val="18"/>
              </w:rPr>
              <w:t>织或一线靶向用药出现耐药的患者，此 检测技术打破原有临床上肿瘤组织样本 非常有限和不能持续多次活检监测肿瘤 患者耐药变化的限制，为医生根据肿瘤 进展情况及时调整用药方案提供临床依 据。</w:t>
            </w:r>
          </w:p>
        </w:tc>
      </w:tr>
      <w:tr>
        <w:trPr>
          <w:trHeight w:val="1877" w:hRule="exact"/>
        </w:trPr>
        <w:tc>
          <w:tcPr>
            <w:tcW w:w="6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34" w:lineRule="exact"/>
              <w:ind w:left="103" w:right="223"/>
              <w:jc w:val="left"/>
              <w:rPr>
                <w:rFonts w:ascii="宋体" w:hAnsi="宋体" w:cs="宋体" w:eastAsia="宋体" w:hint="default"/>
                <w:sz w:val="18"/>
                <w:szCs w:val="18"/>
              </w:rPr>
            </w:pPr>
            <w:r>
              <w:rPr>
                <w:rFonts w:ascii="宋体" w:hAnsi="宋体" w:cs="宋体" w:eastAsia="宋体" w:hint="default"/>
                <w:sz w:val="18"/>
                <w:szCs w:val="18"/>
              </w:rPr>
              <w:t>肿瘤个体化诊疗 组织基因检测</w:t>
            </w:r>
          </w:p>
        </w:tc>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7" w:lineRule="auto"/>
              <w:ind w:left="100" w:right="237"/>
              <w:jc w:val="left"/>
              <w:rPr>
                <w:rFonts w:ascii="宋体" w:hAnsi="宋体" w:cs="宋体" w:eastAsia="宋体" w:hint="default"/>
                <w:sz w:val="18"/>
                <w:szCs w:val="18"/>
              </w:rPr>
            </w:pPr>
            <w:r>
              <w:rPr>
                <w:rFonts w:ascii="宋体" w:hAnsi="宋体" w:cs="宋体" w:eastAsia="宋体" w:hint="default"/>
                <w:sz w:val="18"/>
                <w:szCs w:val="18"/>
              </w:rPr>
              <w:t>针对肺癌、结直肠癌、卵巢癌、乳腺癌、前列 腺癌以及其他所有实体肿瘤患者的肿瘤组织进 行全面的靶向药物、化疗药物、免疫治疗药 物、遗传性肿瘤基因检测。</w:t>
            </w:r>
          </w:p>
        </w:tc>
        <w:tc>
          <w:tcPr>
            <w:tcW w:w="3442"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主要用于肺癌、乳腺癌、卵巢癌、子宫</w:t>
            </w:r>
          </w:p>
          <w:p>
            <w:pPr>
              <w:pStyle w:val="TableParagraph"/>
              <w:spacing w:line="237" w:lineRule="auto" w:before="2"/>
              <w:ind w:left="103" w:right="257"/>
              <w:jc w:val="both"/>
              <w:rPr>
                <w:rFonts w:ascii="宋体" w:hAnsi="宋体" w:cs="宋体" w:eastAsia="宋体" w:hint="default"/>
                <w:sz w:val="18"/>
                <w:szCs w:val="18"/>
              </w:rPr>
            </w:pPr>
            <w:r>
              <w:rPr>
                <w:rFonts w:ascii="宋体" w:hAnsi="宋体" w:cs="宋体" w:eastAsia="宋体" w:hint="default"/>
                <w:sz w:val="18"/>
                <w:szCs w:val="18"/>
              </w:rPr>
              <w:t>内膜癌、子宫颈癌、结直肠癌、胃癌、 肝癌、肾癌、胰腺癌、胃肠道间质瘤、 膀胱癌、口腔癌等实体肿瘤组织进行基 因检测，为靶向药物治疗、化疗药物治 疗、免疫治疗提供基因变异结果，预测 肿瘤的家族遗传性风险，给临床医生为 患者选择最佳治疗方案提供依据。</w:t>
            </w:r>
          </w:p>
        </w:tc>
      </w:tr>
      <w:tr>
        <w:trPr>
          <w:trHeight w:val="2578" w:hRule="exact"/>
        </w:trPr>
        <w:tc>
          <w:tcPr>
            <w:tcW w:w="6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8"/>
              <w:jc w:val="center"/>
              <w:rPr>
                <w:rFonts w:ascii="Times New Roman" w:hAnsi="Times New Roman" w:cs="Times New Roman" w:eastAsia="Times New Roman" w:hint="default"/>
                <w:sz w:val="18"/>
                <w:szCs w:val="18"/>
              </w:rPr>
            </w:pPr>
            <w:r>
              <w:rPr>
                <w:rFonts w:ascii="Times New Roman"/>
                <w:sz w:val="18"/>
              </w:rPr>
              <w:t>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肿瘤个体化诊疗</w:t>
            </w: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ctDNA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基因检测</w:t>
            </w:r>
          </w:p>
        </w:tc>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35" w:lineRule="auto"/>
              <w:ind w:left="100" w:right="116"/>
              <w:jc w:val="left"/>
              <w:rPr>
                <w:rFonts w:ascii="宋体" w:hAnsi="宋体" w:cs="宋体" w:eastAsia="宋体" w:hint="default"/>
                <w:sz w:val="18"/>
                <w:szCs w:val="18"/>
              </w:rPr>
            </w:pPr>
            <w:r>
              <w:rPr>
                <w:rFonts w:ascii="宋体" w:hAnsi="宋体" w:cs="宋体" w:eastAsia="宋体" w:hint="default"/>
                <w:sz w:val="18"/>
                <w:szCs w:val="18"/>
              </w:rPr>
              <w:t>针对肺癌、结直肠癌、卵巢癌、乳腺癌、前列 腺癌以及其他所有实体肿瘤患者的外周血循环 肿瘤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进行全面的靶向药物、化疗药物、免 疫治疗药物基因检测，及耐药监测，为临床医 生治疗患者提供参考依据。</w:t>
            </w:r>
          </w:p>
        </w:tc>
        <w:tc>
          <w:tcPr>
            <w:tcW w:w="3442" w:type="dxa"/>
            <w:tcBorders>
              <w:top w:val="single" w:sz="4" w:space="0" w:color="000000"/>
              <w:left w:val="single" w:sz="4" w:space="0" w:color="000000"/>
              <w:bottom w:val="single" w:sz="4" w:space="0" w:color="000000"/>
              <w:right w:val="single" w:sz="12"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主要用于肺癌、乳腺癌、卵巢癌、子宫</w:t>
            </w:r>
          </w:p>
          <w:p>
            <w:pPr>
              <w:pStyle w:val="TableParagraph"/>
              <w:spacing w:line="235" w:lineRule="auto" w:before="3"/>
              <w:ind w:left="103" w:right="137"/>
              <w:jc w:val="left"/>
              <w:rPr>
                <w:rFonts w:ascii="宋体" w:hAnsi="宋体" w:cs="宋体" w:eastAsia="宋体" w:hint="default"/>
                <w:sz w:val="18"/>
                <w:szCs w:val="18"/>
              </w:rPr>
            </w:pPr>
            <w:r>
              <w:rPr>
                <w:rFonts w:ascii="宋体" w:hAnsi="宋体" w:cs="宋体" w:eastAsia="宋体" w:hint="default"/>
                <w:sz w:val="18"/>
                <w:szCs w:val="18"/>
              </w:rPr>
              <w:t>内膜癌、子宫颈癌、结直肠癌、胃癌、 肝癌、肾癌、胰腺癌、胃肠道间质瘤、 膀胱癌、口腔癌等实体肿瘤患者的外周 血中循环肿瘤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检测，此检测技术打 破原有临床上肿瘤组织样本非常有限和 不能持续多次活检监测肿瘤患者耐药变 化的限制，能够实现对肿瘤患者用药有 效情况的及时监测并能为医生根据肿瘤 进展情况及时调整用药方案提供临床依 据。</w:t>
            </w:r>
          </w:p>
        </w:tc>
      </w:tr>
      <w:tr>
        <w:trPr>
          <w:trHeight w:val="1411" w:hRule="exact"/>
        </w:trPr>
        <w:tc>
          <w:tcPr>
            <w:tcW w:w="6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2" w:lineRule="exact"/>
              <w:ind w:left="103" w:right="175"/>
              <w:jc w:val="left"/>
              <w:rPr>
                <w:rFonts w:ascii="宋体" w:hAnsi="宋体" w:cs="宋体" w:eastAsia="宋体" w:hint="default"/>
                <w:sz w:val="18"/>
                <w:szCs w:val="18"/>
              </w:rPr>
            </w:pPr>
            <w:r>
              <w:rPr>
                <w:rFonts w:ascii="Times New Roman" w:hAnsi="Times New Roman" w:cs="Times New Roman" w:eastAsia="Times New Roman" w:hint="default"/>
                <w:sz w:val="18"/>
                <w:szCs w:val="18"/>
              </w:rPr>
              <w:t>HPV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分型基因检 测</w:t>
            </w:r>
          </w:p>
        </w:tc>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采集受检者的宫颈脱落细胞，基于高通量测序</w:t>
            </w:r>
          </w:p>
          <w:p>
            <w:pPr>
              <w:pStyle w:val="TableParagraph"/>
              <w:spacing w:line="232" w:lineRule="exact" w:before="23"/>
              <w:ind w:left="100" w:right="233"/>
              <w:jc w:val="both"/>
              <w:rPr>
                <w:rFonts w:ascii="宋体" w:hAnsi="宋体" w:cs="宋体" w:eastAsia="宋体" w:hint="default"/>
                <w:sz w:val="18"/>
                <w:szCs w:val="18"/>
              </w:rPr>
            </w:pPr>
            <w:r>
              <w:rPr>
                <w:rFonts w:ascii="宋体" w:hAnsi="宋体" w:cs="宋体" w:eastAsia="宋体" w:hint="default"/>
                <w:sz w:val="18"/>
                <w:szCs w:val="18"/>
              </w:rPr>
              <w:t>技术，对世界卫生组织公布的与子宫颈癌发生 高度相关的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种高危型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HPV</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31</w:t>
            </w:r>
            <w:r>
              <w:rPr>
                <w:rFonts w:ascii="宋体" w:hAnsi="宋体" w:cs="宋体" w:eastAsia="宋体" w:hint="default"/>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39</w:t>
            </w:r>
            <w:r>
              <w:rPr>
                <w:rFonts w:ascii="宋体" w:hAnsi="宋体" w:cs="宋体" w:eastAsia="宋体" w:hint="default"/>
                <w:sz w:val="18"/>
                <w:szCs w:val="18"/>
              </w:rPr>
              <w:t>、</w:t>
            </w:r>
            <w:r>
              <w:rPr>
                <w:rFonts w:ascii="Times New Roman" w:hAnsi="Times New Roman" w:cs="Times New Roman" w:eastAsia="Times New Roman" w:hint="default"/>
                <w:sz w:val="18"/>
                <w:szCs w:val="18"/>
              </w:rPr>
              <w:t>45</w:t>
            </w:r>
            <w:r>
              <w:rPr>
                <w:rFonts w:ascii="宋体" w:hAnsi="宋体" w:cs="宋体" w:eastAsia="宋体" w:hint="default"/>
                <w:sz w:val="18"/>
                <w:szCs w:val="18"/>
              </w:rPr>
              <w:t>、</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r>
              <w:rPr>
                <w:rFonts w:ascii="Times New Roman" w:hAnsi="Times New Roman" w:cs="Times New Roman" w:eastAsia="Times New Roman" w:hint="default"/>
                <w:sz w:val="18"/>
                <w:szCs w:val="18"/>
              </w:rPr>
              <w:t>52</w:t>
            </w:r>
            <w:r>
              <w:rPr>
                <w:rFonts w:ascii="宋体" w:hAnsi="宋体" w:cs="宋体" w:eastAsia="宋体" w:hint="default"/>
                <w:sz w:val="18"/>
                <w:szCs w:val="18"/>
              </w:rPr>
              <w:t>、</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r>
              <w:rPr>
                <w:rFonts w:ascii="Times New Roman" w:hAnsi="Times New Roman" w:cs="Times New Roman" w:eastAsia="Times New Roman" w:hint="default"/>
                <w:sz w:val="18"/>
                <w:szCs w:val="18"/>
              </w:rPr>
              <w:t>58</w:t>
            </w:r>
            <w:r>
              <w:rPr>
                <w:rFonts w:ascii="宋体" w:hAnsi="宋体" w:cs="宋体" w:eastAsia="宋体" w:hint="default"/>
                <w:sz w:val="18"/>
                <w:szCs w:val="18"/>
              </w:rPr>
              <w:t>、</w:t>
            </w:r>
            <w:r>
              <w:rPr>
                <w:rFonts w:ascii="Times New Roman" w:hAnsi="Times New Roman" w:cs="Times New Roman" w:eastAsia="Times New Roman" w:hint="default"/>
                <w:sz w:val="18"/>
                <w:szCs w:val="18"/>
              </w:rPr>
              <w:t>59</w:t>
            </w:r>
            <w:r>
              <w:rPr>
                <w:rFonts w:ascii="宋体" w:hAnsi="宋体" w:cs="宋体" w:eastAsia="宋体" w:hint="default"/>
                <w:sz w:val="18"/>
                <w:szCs w:val="18"/>
              </w:rPr>
              <w:t>、</w:t>
            </w:r>
            <w:r>
              <w:rPr>
                <w:rFonts w:ascii="Times New Roman" w:hAnsi="Times New Roman" w:cs="Times New Roman" w:eastAsia="Times New Roman" w:hint="default"/>
                <w:sz w:val="18"/>
                <w:szCs w:val="18"/>
              </w:rPr>
              <w:t>66</w:t>
            </w:r>
            <w:r>
              <w:rPr>
                <w:rFonts w:ascii="宋体" w:hAnsi="宋体" w:cs="宋体" w:eastAsia="宋体" w:hint="default"/>
                <w:sz w:val="18"/>
                <w:szCs w:val="18"/>
              </w:rPr>
              <w:t>、</w:t>
            </w:r>
          </w:p>
          <w:p>
            <w:pPr>
              <w:pStyle w:val="TableParagraph"/>
              <w:spacing w:line="232" w:lineRule="exact" w:before="3"/>
              <w:ind w:left="100" w:right="236"/>
              <w:jc w:val="both"/>
              <w:rPr>
                <w:rFonts w:ascii="宋体" w:hAnsi="宋体" w:cs="宋体" w:eastAsia="宋体" w:hint="default"/>
                <w:sz w:val="18"/>
                <w:szCs w:val="18"/>
              </w:rPr>
            </w:pPr>
            <w:r>
              <w:rPr>
                <w:rFonts w:ascii="Times New Roman" w:hAnsi="Times New Roman" w:cs="Times New Roman" w:eastAsia="Times New Roman" w:hint="default"/>
                <w:sz w:val="18"/>
                <w:szCs w:val="18"/>
              </w:rPr>
              <w:t>68</w:t>
            </w:r>
            <w:r>
              <w:rPr>
                <w:rFonts w:ascii="宋体" w:hAnsi="宋体" w:cs="宋体" w:eastAsia="宋体" w:hint="default"/>
                <w:sz w:val="18"/>
                <w:szCs w:val="18"/>
              </w:rPr>
              <w:t>）进行精准分型。此外，还可提供阳性确诊 及阴性保险服务的解决方案。</w:t>
            </w:r>
          </w:p>
        </w:tc>
        <w:tc>
          <w:tcPr>
            <w:tcW w:w="34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337"/>
              <w:jc w:val="right"/>
              <w:rPr>
                <w:rFonts w:ascii="宋体" w:hAnsi="宋体" w:cs="宋体" w:eastAsia="宋体" w:hint="default"/>
                <w:sz w:val="18"/>
                <w:szCs w:val="18"/>
              </w:rPr>
            </w:pPr>
            <w:r>
              <w:rPr>
                <w:rFonts w:ascii="宋体" w:hAnsi="宋体" w:cs="宋体" w:eastAsia="宋体" w:hint="default"/>
                <w:sz w:val="18"/>
                <w:szCs w:val="18"/>
              </w:rPr>
              <w:t>主要用于子宫颈癌初筛。</w:t>
            </w:r>
          </w:p>
        </w:tc>
      </w:tr>
      <w:tr>
        <w:trPr>
          <w:trHeight w:val="943" w:hRule="exact"/>
        </w:trPr>
        <w:tc>
          <w:tcPr>
            <w:tcW w:w="6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8"/>
              <w:jc w:val="center"/>
              <w:rPr>
                <w:rFonts w:ascii="Times New Roman" w:hAnsi="Times New Roman" w:cs="Times New Roman" w:eastAsia="Times New Roman" w:hint="default"/>
                <w:sz w:val="18"/>
                <w:szCs w:val="18"/>
              </w:rPr>
            </w:pPr>
            <w:r>
              <w:rPr>
                <w:rFonts w:ascii="Times New Roman"/>
                <w:sz w:val="18"/>
              </w:rPr>
              <w:t>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人肿瘤单基因突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变检测试剂盒</w:t>
            </w:r>
          </w:p>
          <w:p>
            <w:pPr>
              <w:pStyle w:val="TableParagraph"/>
              <w:spacing w:line="232" w:lineRule="exact" w:before="23"/>
              <w:ind w:left="103" w:right="1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w:t>
            </w:r>
            <w:r>
              <w:rPr>
                <w:rFonts w:ascii="宋体" w:hAnsi="宋体" w:cs="宋体" w:eastAsia="宋体" w:hint="default"/>
                <w:w w:val="100"/>
                <w:sz w:val="18"/>
                <w:szCs w:val="18"/>
              </w:rPr>
              <w:t> </w:t>
            </w:r>
            <w:r>
              <w:rPr>
                <w:rFonts w:ascii="宋体" w:hAnsi="宋体" w:cs="宋体" w:eastAsia="宋体" w:hint="default"/>
                <w:sz w:val="18"/>
                <w:szCs w:val="18"/>
              </w:rPr>
              <w:t>法）</w:t>
            </w:r>
          </w:p>
        </w:tc>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0" w:right="236"/>
              <w:jc w:val="left"/>
              <w:rPr>
                <w:rFonts w:ascii="宋体" w:hAnsi="宋体" w:cs="宋体" w:eastAsia="宋体" w:hint="default"/>
                <w:sz w:val="18"/>
                <w:szCs w:val="18"/>
              </w:rPr>
            </w:pPr>
            <w:r>
              <w:rPr>
                <w:rFonts w:ascii="宋体" w:hAnsi="宋体" w:cs="宋体" w:eastAsia="宋体" w:hint="default"/>
                <w:sz w:val="18"/>
                <w:szCs w:val="18"/>
              </w:rPr>
              <w:t>用于检测癌症患者肿瘤组织中单个肿瘤驱动基 因的多种常见突变，提供突变状态的定性评 估。</w:t>
            </w:r>
          </w:p>
        </w:tc>
        <w:tc>
          <w:tcPr>
            <w:tcW w:w="3442"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89"/>
              <w:ind w:left="103" w:right="257"/>
              <w:jc w:val="both"/>
              <w:rPr>
                <w:rFonts w:ascii="宋体" w:hAnsi="宋体" w:cs="宋体" w:eastAsia="宋体" w:hint="default"/>
                <w:sz w:val="18"/>
                <w:szCs w:val="18"/>
              </w:rPr>
            </w:pPr>
            <w:r>
              <w:rPr>
                <w:rFonts w:ascii="宋体" w:hAnsi="宋体" w:cs="宋体" w:eastAsia="宋体" w:hint="default"/>
                <w:sz w:val="18"/>
                <w:szCs w:val="18"/>
              </w:rPr>
              <w:t>主要用于肺癌及结直肠癌患者进行基因 检测，为医生制定治疗方案提供肿瘤个 体化用药依据。</w:t>
            </w:r>
          </w:p>
        </w:tc>
      </w:tr>
      <w:tr>
        <w:trPr>
          <w:trHeight w:val="711" w:hRule="exact"/>
        </w:trPr>
        <w:tc>
          <w:tcPr>
            <w:tcW w:w="6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六项肿瘤标志物</w:t>
            </w:r>
          </w:p>
          <w:p>
            <w:pPr>
              <w:pStyle w:val="TableParagraph"/>
              <w:spacing w:line="232" w:lineRule="exact" w:before="23"/>
              <w:ind w:left="103" w:right="223"/>
              <w:jc w:val="left"/>
              <w:rPr>
                <w:rFonts w:ascii="宋体" w:hAnsi="宋体" w:cs="宋体" w:eastAsia="宋体" w:hint="default"/>
                <w:sz w:val="18"/>
                <w:szCs w:val="18"/>
              </w:rPr>
            </w:pPr>
            <w:r>
              <w:rPr>
                <w:rFonts w:ascii="宋体" w:hAnsi="宋体" w:cs="宋体" w:eastAsia="宋体" w:hint="default"/>
                <w:sz w:val="18"/>
                <w:szCs w:val="18"/>
              </w:rPr>
              <w:t>测定（微阵列酶 联免疫法）</w:t>
            </w:r>
          </w:p>
        </w:tc>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采集受检者外周血，小样本可一次检测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AFP</w:t>
            </w:r>
            <w:r>
              <w:rPr>
                <w:rFonts w:ascii="宋体" w:hAnsi="宋体" w:cs="宋体" w:eastAsia="宋体" w:hint="default"/>
                <w:sz w:val="18"/>
                <w:szCs w:val="18"/>
              </w:rPr>
              <w:t>、</w:t>
            </w:r>
          </w:p>
          <w:p>
            <w:pPr>
              <w:pStyle w:val="TableParagraph"/>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CEA  </w:t>
            </w:r>
            <w:r>
              <w:rPr>
                <w:rFonts w:ascii="宋体" w:hAnsi="宋体" w:cs="宋体" w:eastAsia="宋体" w:hint="default"/>
                <w:sz w:val="18"/>
                <w:szCs w:val="18"/>
              </w:rPr>
              <w:t>、</w:t>
            </w:r>
            <w:r>
              <w:rPr>
                <w:rFonts w:ascii="Times New Roman" w:hAnsi="Times New Roman" w:cs="Times New Roman" w:eastAsia="Times New Roman" w:hint="default"/>
                <w:sz w:val="18"/>
                <w:szCs w:val="18"/>
              </w:rPr>
              <w:t>CA19-9</w:t>
            </w:r>
            <w:r>
              <w:rPr>
                <w:rFonts w:ascii="宋体" w:hAnsi="宋体" w:cs="宋体" w:eastAsia="宋体" w:hint="default"/>
                <w:sz w:val="18"/>
                <w:szCs w:val="18"/>
              </w:rPr>
              <w:t>、</w:t>
            </w:r>
            <w:r>
              <w:rPr>
                <w:rFonts w:ascii="Times New Roman" w:hAnsi="Times New Roman" w:cs="Times New Roman" w:eastAsia="Times New Roman" w:hint="default"/>
                <w:sz w:val="18"/>
                <w:szCs w:val="18"/>
              </w:rPr>
              <w:t>CA15-3</w:t>
            </w:r>
            <w:r>
              <w:rPr>
                <w:rFonts w:ascii="宋体" w:hAnsi="宋体" w:cs="宋体" w:eastAsia="宋体" w:hint="default"/>
                <w:sz w:val="18"/>
                <w:szCs w:val="18"/>
              </w:rPr>
              <w:t>、</w:t>
            </w:r>
            <w:r>
              <w:rPr>
                <w:rFonts w:ascii="Times New Roman" w:hAnsi="Times New Roman" w:cs="Times New Roman" w:eastAsia="Times New Roman" w:hint="default"/>
                <w:sz w:val="18"/>
                <w:szCs w:val="18"/>
              </w:rPr>
              <w:t>CA125</w:t>
            </w:r>
            <w:r>
              <w:rPr>
                <w:rFonts w:ascii="宋体" w:hAnsi="宋体" w:cs="宋体" w:eastAsia="宋体" w:hint="default"/>
                <w:sz w:val="18"/>
                <w:szCs w:val="18"/>
              </w:rPr>
              <w:t>、</w:t>
            </w:r>
            <w:r>
              <w:rPr>
                <w:rFonts w:ascii="Times New Roman" w:hAnsi="Times New Roman" w:cs="Times New Roman" w:eastAsia="Times New Roman" w:hint="default"/>
                <w:sz w:val="18"/>
                <w:szCs w:val="18"/>
              </w:rPr>
              <w:t>PSA</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六个</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肿瘤标志物指标</w:t>
            </w:r>
          </w:p>
        </w:tc>
        <w:tc>
          <w:tcPr>
            <w:tcW w:w="3442" w:type="dxa"/>
            <w:vMerge w:val="restart"/>
            <w:tcBorders>
              <w:top w:val="single" w:sz="4" w:space="0" w:color="000000"/>
              <w:left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61"/>
              <w:ind w:left="103" w:right="91"/>
              <w:jc w:val="both"/>
              <w:rPr>
                <w:rFonts w:ascii="宋体" w:hAnsi="宋体" w:cs="宋体" w:eastAsia="宋体" w:hint="default"/>
                <w:sz w:val="18"/>
                <w:szCs w:val="18"/>
              </w:rPr>
            </w:pPr>
            <w:r>
              <w:rPr>
                <w:rFonts w:ascii="宋体" w:hAnsi="宋体" w:cs="宋体" w:eastAsia="宋体" w:hint="default"/>
                <w:sz w:val="18"/>
                <w:szCs w:val="18"/>
              </w:rPr>
              <w:t>主要用于相关肿瘤标志物指标的测定，为 </w:t>
            </w:r>
            <w:r>
              <w:rPr>
                <w:rFonts w:ascii="宋体" w:hAnsi="宋体" w:cs="宋体" w:eastAsia="宋体" w:hint="default"/>
                <w:spacing w:val="8"/>
                <w:sz w:val="18"/>
                <w:szCs w:val="18"/>
              </w:rPr>
              <w:t>医生提供检测结果以便判断肿瘤良恶情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况和为患者选择最佳治疗方案。</w:t>
            </w:r>
          </w:p>
        </w:tc>
      </w:tr>
      <w:tr>
        <w:trPr>
          <w:trHeight w:val="487" w:hRule="exact"/>
        </w:trPr>
        <w:tc>
          <w:tcPr>
            <w:tcW w:w="69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32"/>
              <w:ind w:right="11"/>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598" w:type="dxa"/>
            <w:tcBorders>
              <w:top w:val="single" w:sz="4" w:space="0" w:color="000000"/>
              <w:left w:val="single" w:sz="4" w:space="0" w:color="000000"/>
              <w:bottom w:val="single" w:sz="12"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肿瘤标志物测定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（化学发光免疫</w:t>
            </w:r>
          </w:p>
        </w:tc>
        <w:tc>
          <w:tcPr>
            <w:tcW w:w="3949" w:type="dxa"/>
            <w:tcBorders>
              <w:top w:val="single" w:sz="4" w:space="0" w:color="000000"/>
              <w:left w:val="single" w:sz="4" w:space="0" w:color="000000"/>
              <w:bottom w:val="single" w:sz="12"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采集受检者外周血，根据检测内容进行常见肿</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瘤的早期筛查，包括肺癌、肝癌、胃癌、结直</w:t>
            </w:r>
          </w:p>
        </w:tc>
        <w:tc>
          <w:tcPr>
            <w:tcW w:w="3442" w:type="dxa"/>
            <w:vMerge/>
            <w:tcBorders>
              <w:left w:val="single" w:sz="4" w:space="0" w:color="000000"/>
              <w:bottom w:val="single" w:sz="12" w:space="0" w:color="000000"/>
              <w:right w:val="single" w:sz="12"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692"/>
        <w:gridCol w:w="1598"/>
        <w:gridCol w:w="3949"/>
        <w:gridCol w:w="3442"/>
      </w:tblGrid>
      <w:tr>
        <w:trPr>
          <w:trHeight w:val="360" w:hRule="exact"/>
        </w:trPr>
        <w:tc>
          <w:tcPr>
            <w:tcW w:w="69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31"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9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344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5"/>
              <w:ind w:left="6"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497" w:hRule="exact"/>
        </w:trPr>
        <w:tc>
          <w:tcPr>
            <w:tcW w:w="692" w:type="dxa"/>
            <w:tcBorders>
              <w:top w:val="single" w:sz="4" w:space="0" w:color="000000"/>
              <w:left w:val="single" w:sz="12"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分析法）</w:t>
            </w:r>
          </w:p>
        </w:tc>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0" w:right="236"/>
              <w:jc w:val="left"/>
              <w:rPr>
                <w:rFonts w:ascii="宋体" w:hAnsi="宋体" w:cs="宋体" w:eastAsia="宋体" w:hint="default"/>
                <w:sz w:val="18"/>
                <w:szCs w:val="18"/>
              </w:rPr>
            </w:pPr>
            <w:r>
              <w:rPr>
                <w:rFonts w:ascii="宋体" w:hAnsi="宋体" w:cs="宋体" w:eastAsia="宋体" w:hint="default"/>
                <w:sz w:val="18"/>
                <w:szCs w:val="18"/>
              </w:rPr>
              <w:t>肠癌、乳腺癌、卵巢癌、胰腺癌、食管癌、前 列腺癌、胆囊癌等</w:t>
            </w:r>
          </w:p>
        </w:tc>
        <w:tc>
          <w:tcPr>
            <w:tcW w:w="3442" w:type="dxa"/>
            <w:tcBorders>
              <w:top w:val="single" w:sz="4" w:space="0" w:color="000000"/>
              <w:left w:val="single" w:sz="4" w:space="0" w:color="000000"/>
              <w:bottom w:val="single" w:sz="4" w:space="0" w:color="000000"/>
              <w:right w:val="single" w:sz="12" w:space="0" w:color="000000"/>
            </w:tcBorders>
          </w:tcPr>
          <w:p>
            <w:pPr/>
          </w:p>
        </w:tc>
      </w:tr>
      <w:tr>
        <w:trPr>
          <w:trHeight w:val="1044" w:hRule="exact"/>
        </w:trPr>
        <w:tc>
          <w:tcPr>
            <w:tcW w:w="69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12</w:t>
            </w:r>
          </w:p>
        </w:tc>
        <w:tc>
          <w:tcPr>
            <w:tcW w:w="15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223"/>
              <w:jc w:val="left"/>
              <w:rPr>
                <w:rFonts w:ascii="宋体" w:hAnsi="宋体" w:cs="宋体" w:eastAsia="宋体" w:hint="default"/>
                <w:sz w:val="18"/>
                <w:szCs w:val="18"/>
              </w:rPr>
            </w:pPr>
            <w:r>
              <w:rPr>
                <w:rFonts w:ascii="宋体" w:hAnsi="宋体" w:cs="宋体" w:eastAsia="宋体" w:hint="default"/>
                <w:sz w:val="18"/>
                <w:szCs w:val="18"/>
              </w:rPr>
              <w:t>肿瘤精准防控综 合解决方案</w:t>
            </w:r>
          </w:p>
        </w:tc>
        <w:tc>
          <w:tcPr>
            <w:tcW w:w="3949" w:type="dxa"/>
            <w:tcBorders>
              <w:top w:val="single" w:sz="4" w:space="0" w:color="000000"/>
              <w:left w:val="single" w:sz="4" w:space="0" w:color="000000"/>
              <w:bottom w:val="single" w:sz="12" w:space="0" w:color="000000"/>
              <w:right w:val="single" w:sz="4" w:space="0" w:color="000000"/>
            </w:tcBorders>
          </w:tcPr>
          <w:p>
            <w:pPr>
              <w:pStyle w:val="TableParagraph"/>
              <w:spacing w:line="237" w:lineRule="auto" w:before="17"/>
              <w:ind w:left="100" w:right="236"/>
              <w:jc w:val="both"/>
              <w:rPr>
                <w:rFonts w:ascii="宋体" w:hAnsi="宋体" w:cs="宋体" w:eastAsia="宋体" w:hint="default"/>
                <w:sz w:val="18"/>
                <w:szCs w:val="18"/>
              </w:rPr>
            </w:pPr>
            <w:r>
              <w:rPr>
                <w:rFonts w:ascii="宋体" w:hAnsi="宋体" w:cs="宋体" w:eastAsia="宋体" w:hint="default"/>
                <w:sz w:val="18"/>
                <w:szCs w:val="18"/>
              </w:rPr>
              <w:t>为医疗机构、第三方检验公司制定实验室建设 方案、提供所需的仪器、试剂、分析软件与人 员培训，综合支撑其提供肿瘤防控相关检测服 务的一体化解决方案。</w:t>
            </w:r>
          </w:p>
        </w:tc>
        <w:tc>
          <w:tcPr>
            <w:tcW w:w="344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97"/>
              <w:jc w:val="left"/>
              <w:rPr>
                <w:rFonts w:ascii="宋体" w:hAnsi="宋体" w:cs="宋体" w:eastAsia="宋体" w:hint="default"/>
                <w:sz w:val="18"/>
                <w:szCs w:val="18"/>
              </w:rPr>
            </w:pPr>
            <w:r>
              <w:rPr>
                <w:rFonts w:ascii="宋体" w:hAnsi="宋体" w:cs="宋体" w:eastAsia="宋体" w:hint="default"/>
                <w:spacing w:val="8"/>
                <w:sz w:val="18"/>
                <w:szCs w:val="18"/>
              </w:rPr>
              <w:t>主要应用于实现多组学技术为基础的肿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瘤精准防控相关业务的本地化检测。</w:t>
            </w:r>
          </w:p>
        </w:tc>
      </w:tr>
    </w:tbl>
    <w:p>
      <w:pPr>
        <w:spacing w:line="240" w:lineRule="auto" w:before="8"/>
        <w:rPr>
          <w:rFonts w:ascii="Times New Roman" w:hAnsi="Times New Roman" w:cs="Times New Roman" w:eastAsia="Times New Roman" w:hint="default"/>
          <w:sz w:val="7"/>
          <w:szCs w:val="7"/>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、感染防控基础研究和临床应用服务</w:t>
      </w:r>
      <w:r>
        <w:rPr>
          <w:b w:val="0"/>
          <w:bCs w:val="0"/>
        </w:rPr>
      </w:r>
    </w:p>
    <w:p>
      <w:pPr>
        <w:pStyle w:val="BodyText"/>
        <w:spacing w:line="420" w:lineRule="atLeast" w:before="12"/>
        <w:ind w:left="513" w:right="986"/>
        <w:jc w:val="left"/>
      </w:pPr>
      <w:r>
        <w:rPr/>
        <w:t>（</w:t>
      </w:r>
      <w:r>
        <w:rPr>
          <w:rFonts w:ascii="Times New Roman" w:hAnsi="Times New Roman" w:cs="Times New Roman" w:eastAsia="Times New Roman" w:hint="default"/>
        </w:rPr>
        <w:t>1</w:t>
      </w:r>
      <w:r>
        <w:rPr/>
        <w:t>）业务概述 </w:t>
      </w:r>
      <w:r>
        <w:rPr>
          <w:spacing w:val="-2"/>
        </w:rPr>
        <w:t>近年来，随着新发病原的出现、耐药病原微生物的增多以及免疫抑制宿主的增加，因感染引起的疾病的发病率和死亡率</w:t>
      </w:r>
    </w:p>
    <w:p>
      <w:pPr>
        <w:pStyle w:val="BodyText"/>
        <w:spacing w:line="316" w:lineRule="auto" w:before="76"/>
        <w:ind w:right="1129"/>
        <w:jc w:val="both"/>
      </w:pPr>
      <w:r>
        <w:rPr>
          <w:spacing w:val="-2"/>
        </w:rPr>
        <w:t>居高不下。重症感染起病急、进展快、病原体复杂，短时间内能否明确致病病原至关重要。华大基因感染防控基础研究和临</w:t>
      </w:r>
      <w:r>
        <w:rPr>
          <w:spacing w:val="-67"/>
        </w:rPr>
        <w:t> </w:t>
      </w:r>
      <w:r>
        <w:rPr>
          <w:spacing w:val="-67"/>
        </w:rPr>
      </w:r>
      <w:r>
        <w:rPr>
          <w:spacing w:val="-5"/>
        </w:rPr>
        <w:t>床应用业务，致力于跟踪和研究感染的传播方式和流行病学现状，希望可以快速、准确地检测病原体，并依据这些研究结果，</w:t>
      </w:r>
      <w:r>
        <w:rPr>
          <w:spacing w:val="-78"/>
        </w:rPr>
        <w:t> </w:t>
      </w:r>
      <w:r>
        <w:rPr>
          <w:spacing w:val="-78"/>
        </w:rPr>
      </w:r>
      <w:r>
        <w:rPr/>
        <w:t>帮助临床进行针对性治疗，最大程度降低患者死亡率。华大基因利用宏基因组学等多个技术平台对未知感染进行检测和分</w:t>
      </w:r>
      <w:r>
        <w:rPr>
          <w:spacing w:val="-11"/>
        </w:rPr>
        <w:t> </w:t>
      </w:r>
      <w:r>
        <w:rPr>
          <w:spacing w:val="-11"/>
        </w:rPr>
      </w:r>
      <w:r>
        <w:rPr>
          <w:spacing w:val="-2"/>
        </w:rPr>
        <w:t>析，建立了多种病原检测的技术与产品体系，成为临床诊断的重要辅助手段。基于宏基因组的检测产品，结合信息学，对复</w:t>
      </w:r>
      <w:r>
        <w:rPr>
          <w:spacing w:val="-66"/>
        </w:rPr>
        <w:t> </w:t>
      </w:r>
      <w:r>
        <w:rPr>
          <w:spacing w:val="-66"/>
        </w:rPr>
      </w:r>
      <w:r>
        <w:rPr>
          <w:spacing w:val="-2"/>
        </w:rPr>
        <w:t>杂感染进行精准的分析；基于免疫学方法和生化方法的产品，实验周期短，对特定病原体检测具有显著优势；基于核酸扩增</w:t>
      </w:r>
      <w:r>
        <w:rPr>
          <w:spacing w:val="-64"/>
        </w:rPr>
        <w:t> </w:t>
      </w:r>
      <w:r>
        <w:rPr>
          <w:spacing w:val="-64"/>
        </w:rPr>
      </w:r>
      <w:r>
        <w:rPr>
          <w:spacing w:val="-2"/>
        </w:rPr>
        <w:t>技术的病原体核酸检测产品可对形态和生化反应不典型微生物、生长缓慢或难以培养微生物进行鉴定，易操作，不易受混合</w:t>
      </w:r>
      <w:r>
        <w:rPr>
          <w:spacing w:val="-66"/>
        </w:rPr>
        <w:t> </w:t>
      </w:r>
      <w:r>
        <w:rPr>
          <w:spacing w:val="-66"/>
        </w:rPr>
      </w:r>
      <w:r>
        <w:rPr>
          <w:spacing w:val="-2"/>
        </w:rPr>
        <w:t>标本影响，适用于单种或多种病原体检测。公司感染防控产品体系覆盖了不同客户人群多层次的检测需求，有助于普惠医疗</w:t>
      </w:r>
      <w:r>
        <w:rPr>
          <w:spacing w:val="-63"/>
        </w:rPr>
        <w:t> </w:t>
      </w:r>
      <w:r>
        <w:rPr>
          <w:spacing w:val="-63"/>
        </w:rPr>
      </w:r>
      <w:r>
        <w:rPr>
          <w:spacing w:val="-5"/>
        </w:rPr>
        <w:t>与精准健康。为推动本地化病原检测平台建设，提升病原检测效率，公司推出实验室综合解决方案应用于病原检测相关服务，</w:t>
      </w:r>
      <w:r>
        <w:rPr>
          <w:spacing w:val="-76"/>
        </w:rPr>
        <w:t> </w:t>
      </w:r>
      <w:r>
        <w:rPr>
          <w:spacing w:val="-76"/>
        </w:rPr>
      </w:r>
      <w:r>
        <w:rPr>
          <w:spacing w:val="-2"/>
        </w:rPr>
        <w:t>提供仪器、试剂及分析软件等平台建设的综合服务，同时对平台技术人员提供培训服务，并按照有关规定提供相应的售后支</w:t>
      </w:r>
      <w:r>
        <w:rPr>
          <w:spacing w:val="-62"/>
        </w:rPr>
        <w:t> </w:t>
      </w:r>
      <w:r>
        <w:rPr>
          <w:spacing w:val="-62"/>
        </w:rPr>
      </w:r>
      <w:r>
        <w:rPr/>
        <w:t>持服务。</w:t>
      </w:r>
    </w:p>
    <w:p>
      <w:pPr>
        <w:pStyle w:val="BodyText"/>
        <w:spacing w:line="240" w:lineRule="auto" w:before="139"/>
        <w:ind w:left="513" w:right="1133"/>
        <w:jc w:val="left"/>
      </w:pPr>
      <w:r>
        <w:rPr/>
        <w:t>（</w:t>
      </w:r>
      <w:r>
        <w:rPr>
          <w:rFonts w:ascii="Times New Roman" w:hAnsi="Times New Roman" w:cs="Times New Roman" w:eastAsia="Times New Roman" w:hint="default"/>
        </w:rPr>
        <w:t>2</w:t>
      </w:r>
      <w:r>
        <w:rPr/>
        <w:t>）具体产品介绍</w:t>
      </w:r>
    </w:p>
    <w:p>
      <w:pPr>
        <w:spacing w:line="240" w:lineRule="auto" w:before="3"/>
        <w:rPr>
          <w:rFonts w:ascii="宋体" w:hAnsi="宋体" w:cs="宋体" w:eastAsia="宋体" w:hint="default"/>
          <w:sz w:val="13"/>
          <w:szCs w:val="13"/>
        </w:rPr>
      </w:pPr>
    </w:p>
    <w:tbl>
      <w:tblPr>
        <w:tblW w:w="0" w:type="auto"/>
        <w:jc w:val="left"/>
        <w:tblInd w:w="152" w:type="dxa"/>
        <w:tblLayout w:type="fixed"/>
        <w:tblCellMar>
          <w:top w:w="0" w:type="dxa"/>
          <w:left w:w="0" w:type="dxa"/>
          <w:bottom w:w="0" w:type="dxa"/>
          <w:right w:w="0" w:type="dxa"/>
        </w:tblCellMar>
        <w:tblLook w:val="01E0"/>
      </w:tblPr>
      <w:tblGrid>
        <w:gridCol w:w="555"/>
        <w:gridCol w:w="1622"/>
        <w:gridCol w:w="3889"/>
        <w:gridCol w:w="3545"/>
      </w:tblGrid>
      <w:tr>
        <w:trPr>
          <w:trHeight w:val="360" w:hRule="exact"/>
        </w:trPr>
        <w:tc>
          <w:tcPr>
            <w:tcW w:w="55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6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446"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8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354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1022" w:hRule="exact"/>
        </w:trPr>
        <w:tc>
          <w:tcPr>
            <w:tcW w:w="5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36" w:lineRule="exact"/>
              <w:ind w:left="268" w:right="-3" w:hanging="267"/>
              <w:jc w:val="left"/>
              <w:rPr>
                <w:rFonts w:ascii="宋体" w:hAnsi="宋体" w:cs="宋体" w:eastAsia="宋体" w:hint="default"/>
                <w:sz w:val="18"/>
                <w:szCs w:val="18"/>
              </w:rPr>
            </w:pPr>
            <w:r>
              <w:rPr>
                <w:rFonts w:ascii="Times New Roman" w:hAnsi="Times New Roman" w:cs="Times New Roman" w:eastAsia="Times New Roman" w:hint="default"/>
                <w:sz w:val="18"/>
                <w:szCs w:val="18"/>
              </w:rPr>
              <w:t>PMseq</w:t>
            </w:r>
            <w:r>
              <w:rPr>
                <w:rFonts w:ascii="Times New Roman" w:hAnsi="Times New Roman" w:cs="Times New Roman" w:eastAsia="Times New Roman" w:hint="default"/>
                <w:position w:val="6"/>
                <w:sz w:val="12"/>
                <w:szCs w:val="12"/>
              </w:rPr>
              <w:t>TM</w:t>
            </w:r>
            <w:r>
              <w:rPr>
                <w:rFonts w:ascii="Times New Roman" w:hAnsi="Times New Roman" w:cs="Times New Roman" w:eastAsia="Times New Roman" w:hint="default"/>
                <w:spacing w:val="-1"/>
                <w:position w:val="6"/>
                <w:sz w:val="12"/>
                <w:szCs w:val="12"/>
              </w:rPr>
              <w:t> </w:t>
            </w:r>
            <w:r>
              <w:rPr>
                <w:rFonts w:ascii="宋体" w:hAnsi="宋体" w:cs="宋体" w:eastAsia="宋体" w:hint="default"/>
                <w:sz w:val="18"/>
                <w:szCs w:val="18"/>
              </w:rPr>
              <w:t>感染病原高</w:t>
            </w:r>
            <w:r>
              <w:rPr>
                <w:rFonts w:ascii="宋体" w:hAnsi="宋体" w:cs="宋体" w:eastAsia="宋体" w:hint="default"/>
                <w:w w:val="99"/>
                <w:sz w:val="18"/>
                <w:szCs w:val="18"/>
              </w:rPr>
              <w:t> </w:t>
            </w:r>
            <w:r>
              <w:rPr>
                <w:rFonts w:ascii="宋体" w:hAnsi="宋体" w:cs="宋体" w:eastAsia="宋体" w:hint="default"/>
                <w:sz w:val="18"/>
                <w:szCs w:val="18"/>
              </w:rPr>
              <w:t>通量基因检测</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2"/>
              <w:jc w:val="left"/>
              <w:rPr>
                <w:rFonts w:ascii="宋体" w:hAnsi="宋体" w:cs="宋体" w:eastAsia="宋体" w:hint="default"/>
                <w:sz w:val="18"/>
                <w:szCs w:val="18"/>
              </w:rPr>
            </w:pPr>
            <w:r>
              <w:rPr>
                <w:rFonts w:ascii="宋体" w:hAnsi="宋体" w:cs="宋体" w:eastAsia="宋体" w:hint="default"/>
                <w:sz w:val="18"/>
                <w:szCs w:val="18"/>
              </w:rPr>
              <w:t>通过采集病人脑脊液、外周血等样本，提取核酸 </w:t>
            </w:r>
            <w:r>
              <w:rPr>
                <w:rFonts w:ascii="宋体" w:hAnsi="宋体" w:cs="宋体" w:eastAsia="宋体" w:hint="default"/>
                <w:spacing w:val="-4"/>
                <w:sz w:val="18"/>
                <w:szCs w:val="18"/>
              </w:rPr>
              <w:t>采用高通量测序技术，并结合生物信息分析，给出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可能性高的病原体列表。</w:t>
            </w:r>
          </w:p>
        </w:tc>
        <w:tc>
          <w:tcPr>
            <w:tcW w:w="3545" w:type="dxa"/>
            <w:tcBorders>
              <w:top w:val="single" w:sz="4" w:space="0" w:color="000000"/>
              <w:left w:val="single" w:sz="4" w:space="0" w:color="000000"/>
              <w:bottom w:val="single" w:sz="4" w:space="0" w:color="000000"/>
              <w:right w:val="single" w:sz="12" w:space="0" w:color="000000"/>
            </w:tcBorders>
          </w:tcPr>
          <w:p>
            <w:pPr>
              <w:pStyle w:val="TableParagraph"/>
              <w:spacing w:line="175" w:lineRule="exact" w:before="10"/>
              <w:ind w:left="-1" w:right="0"/>
              <w:jc w:val="left"/>
              <w:rPr>
                <w:rFonts w:ascii="宋体" w:hAnsi="宋体" w:cs="宋体" w:eastAsia="宋体" w:hint="default"/>
                <w:sz w:val="18"/>
                <w:szCs w:val="18"/>
              </w:rPr>
            </w:pPr>
            <w:r>
              <w:rPr>
                <w:rFonts w:ascii="宋体" w:hAnsi="宋体" w:cs="宋体" w:eastAsia="宋体" w:hint="default"/>
                <w:spacing w:val="-4"/>
                <w:sz w:val="18"/>
                <w:szCs w:val="18"/>
              </w:rPr>
              <w:t>重症医学科、呼吸科、感染科、神经内科、血</w:t>
            </w:r>
          </w:p>
          <w:p>
            <w:pPr>
              <w:pStyle w:val="TableParagraph"/>
              <w:spacing w:line="116" w:lineRule="exact"/>
              <w:ind w:left="-10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5" w:lineRule="exact"/>
              <w:ind w:left="-1" w:right="0"/>
              <w:jc w:val="left"/>
              <w:rPr>
                <w:rFonts w:ascii="宋体" w:hAnsi="宋体" w:cs="宋体" w:eastAsia="宋体" w:hint="default"/>
                <w:sz w:val="18"/>
                <w:szCs w:val="18"/>
              </w:rPr>
            </w:pPr>
            <w:r>
              <w:rPr>
                <w:rFonts w:ascii="宋体" w:hAnsi="宋体" w:cs="宋体" w:eastAsia="宋体" w:hint="default"/>
                <w:spacing w:val="-4"/>
                <w:sz w:val="18"/>
                <w:szCs w:val="18"/>
              </w:rPr>
              <w:t>液科、儿科、骨科、心外科等科室疑似感染患</w:t>
            </w: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pacing w:val="-4"/>
                <w:sz w:val="18"/>
                <w:szCs w:val="18"/>
              </w:rPr>
              <w:t>者。例如血流感染、脑炎脑膜炎症候群、呼吸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道感染症候群等。</w:t>
            </w:r>
          </w:p>
        </w:tc>
      </w:tr>
      <w:tr>
        <w:trPr>
          <w:trHeight w:val="1726" w:hRule="exact"/>
        </w:trPr>
        <w:tc>
          <w:tcPr>
            <w:tcW w:w="5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8" w:right="81" w:hanging="540"/>
              <w:jc w:val="left"/>
              <w:rPr>
                <w:rFonts w:ascii="宋体" w:hAnsi="宋体" w:cs="宋体" w:eastAsia="宋体" w:hint="default"/>
                <w:sz w:val="18"/>
                <w:szCs w:val="18"/>
              </w:rPr>
            </w:pPr>
            <w:r>
              <w:rPr>
                <w:rFonts w:ascii="宋体" w:hAnsi="宋体" w:cs="宋体" w:eastAsia="宋体" w:hint="default"/>
                <w:sz w:val="18"/>
                <w:szCs w:val="18"/>
              </w:rPr>
              <w:t>酶联免疫检测系列 产品</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 w:right="-3"/>
              <w:jc w:val="left"/>
              <w:rPr>
                <w:rFonts w:ascii="宋体" w:hAnsi="宋体" w:cs="宋体" w:eastAsia="宋体" w:hint="default"/>
                <w:sz w:val="18"/>
                <w:szCs w:val="18"/>
              </w:rPr>
            </w:pPr>
            <w:r>
              <w:rPr>
                <w:rFonts w:ascii="宋体" w:hAnsi="宋体" w:cs="宋体" w:eastAsia="宋体" w:hint="default"/>
                <w:sz w:val="18"/>
                <w:szCs w:val="18"/>
              </w:rPr>
              <w:t>本系列产品包括采用酶联免疫法分别检测人血清</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血浆中相关病原体的抗原</w:t>
            </w:r>
            <w:r>
              <w:rPr>
                <w:rFonts w:ascii="Times New Roman" w:hAnsi="Times New Roman" w:cs="Times New Roman" w:eastAsia="Times New Roman" w:hint="default"/>
                <w:sz w:val="18"/>
                <w:szCs w:val="18"/>
              </w:rPr>
              <w:t>/</w:t>
            </w:r>
            <w:r>
              <w:rPr>
                <w:rFonts w:ascii="宋体" w:hAnsi="宋体" w:cs="宋体" w:eastAsia="宋体" w:hint="default"/>
                <w:sz w:val="18"/>
                <w:szCs w:val="18"/>
              </w:rPr>
              <w:t>抗体的一系列试剂盒，</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涉及甲肝病毒、乙肝病毒、丙肝病毒、戊肝病毒 </w:t>
            </w:r>
            <w:r>
              <w:rPr>
                <w:rFonts w:ascii="宋体" w:hAnsi="宋体" w:cs="宋体" w:eastAsia="宋体" w:hint="default"/>
                <w:spacing w:val="-3"/>
                <w:sz w:val="18"/>
                <w:szCs w:val="18"/>
              </w:rPr>
              <w:t>人类免疫缺陷病毒、</w:t>
            </w:r>
            <w:r>
              <w:rPr>
                <w:rFonts w:ascii="Times New Roman" w:hAnsi="Times New Roman" w:cs="Times New Roman" w:eastAsia="Times New Roman" w:hint="default"/>
                <w:spacing w:val="-3"/>
                <w:sz w:val="18"/>
                <w:szCs w:val="18"/>
              </w:rPr>
              <w:t>SARS</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病毒、梅毒螺旋体、</w:t>
            </w:r>
            <w:r>
              <w:rPr>
                <w:rFonts w:ascii="Times New Roman" w:hAnsi="Times New Roman" w:cs="Times New Roman" w:eastAsia="Times New Roman" w:hint="default"/>
                <w:spacing w:val="-6"/>
                <w:sz w:val="18"/>
                <w:szCs w:val="18"/>
              </w:rPr>
              <w:t>EB</w:t>
            </w:r>
            <w:r>
              <w:rPr>
                <w:rFonts w:ascii="Times New Roman" w:hAnsi="Times New Roman" w:cs="Times New Roman" w:eastAsia="Times New Roman" w:hint="default"/>
                <w:spacing w:val="-42"/>
                <w:sz w:val="18"/>
                <w:szCs w:val="18"/>
              </w:rPr>
              <w:t> </w:t>
            </w:r>
            <w:r>
              <w:rPr>
                <w:rFonts w:ascii="宋体" w:hAnsi="宋体" w:cs="宋体" w:eastAsia="宋体" w:hint="default"/>
                <w:spacing w:val="-6"/>
                <w:sz w:val="18"/>
                <w:szCs w:val="18"/>
              </w:rPr>
              <w:t>病毒、风疹病毒、巨细胞病毒、单纯疱疹病毒Ⅰ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Ⅱ</w:t>
            </w:r>
            <w:r>
              <w:rPr>
                <w:rFonts w:ascii="宋体" w:hAnsi="宋体" w:cs="宋体" w:eastAsia="宋体" w:hint="default"/>
                <w:spacing w:val="-86"/>
                <w:sz w:val="18"/>
                <w:szCs w:val="18"/>
              </w:rPr>
              <w:t> </w:t>
            </w:r>
            <w:r>
              <w:rPr>
                <w:rFonts w:ascii="宋体" w:hAnsi="宋体" w:cs="宋体" w:eastAsia="宋体" w:hint="default"/>
                <w:sz w:val="18"/>
                <w:szCs w:val="18"/>
              </w:rPr>
              <w:t>型、乙型脑炎病毒、蜱传脑炎病毒、登革热病毒 汉坦病毒及麻疹病毒等。</w:t>
            </w:r>
          </w:p>
        </w:tc>
        <w:tc>
          <w:tcPr>
            <w:tcW w:w="35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177" w:lineRule="exact"/>
              <w:ind w:left="-10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6" w:lineRule="exact"/>
              <w:ind w:left="-1" w:right="0"/>
              <w:jc w:val="left"/>
              <w:rPr>
                <w:rFonts w:ascii="宋体" w:hAnsi="宋体" w:cs="宋体" w:eastAsia="宋体" w:hint="default"/>
                <w:sz w:val="18"/>
                <w:szCs w:val="18"/>
              </w:rPr>
            </w:pPr>
            <w:r>
              <w:rPr>
                <w:rFonts w:ascii="宋体" w:hAnsi="宋体" w:cs="宋体" w:eastAsia="宋体" w:hint="default"/>
                <w:spacing w:val="4"/>
                <w:sz w:val="18"/>
                <w:szCs w:val="18"/>
              </w:rPr>
              <w:t>应用于该系列产品所涉及的相关病毒感染的</w:t>
            </w: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辅助诊断。</w:t>
            </w:r>
          </w:p>
          <w:p>
            <w:pPr>
              <w:pStyle w:val="TableParagraph"/>
              <w:spacing w:line="240" w:lineRule="auto" w:before="110"/>
              <w:ind w:left="-107"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790" w:hRule="exact"/>
        </w:trPr>
        <w:tc>
          <w:tcPr>
            <w:tcW w:w="5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7" w:right="81" w:hanging="89"/>
              <w:jc w:val="left"/>
              <w:rPr>
                <w:rFonts w:ascii="宋体" w:hAnsi="宋体" w:cs="宋体" w:eastAsia="宋体" w:hint="default"/>
                <w:sz w:val="18"/>
                <w:szCs w:val="18"/>
              </w:rPr>
            </w:pPr>
            <w:r>
              <w:rPr>
                <w:rFonts w:ascii="宋体" w:hAnsi="宋体" w:cs="宋体" w:eastAsia="宋体" w:hint="default"/>
                <w:sz w:val="18"/>
                <w:szCs w:val="18"/>
              </w:rPr>
              <w:t>微阵列酶联免疫联 合检测系列产品</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7"/>
              <w:ind w:left="2" w:right="-4"/>
              <w:jc w:val="both"/>
              <w:rPr>
                <w:rFonts w:ascii="宋体" w:hAnsi="宋体" w:cs="宋体" w:eastAsia="宋体" w:hint="default"/>
                <w:sz w:val="18"/>
                <w:szCs w:val="18"/>
              </w:rPr>
            </w:pPr>
            <w:r>
              <w:rPr>
                <w:rFonts w:ascii="宋体" w:hAnsi="宋体" w:cs="宋体" w:eastAsia="宋体" w:hint="default"/>
                <w:spacing w:val="4"/>
                <w:sz w:val="18"/>
                <w:szCs w:val="18"/>
              </w:rPr>
              <w:t>本系列产品采用微阵列酶联免疫法分别检测人血 </w:t>
            </w:r>
            <w:r>
              <w:rPr>
                <w:rFonts w:ascii="宋体" w:hAnsi="宋体" w:cs="宋体" w:eastAsia="宋体" w:hint="default"/>
                <w:sz w:val="18"/>
                <w:szCs w:val="18"/>
              </w:rPr>
              <w:t>清</w:t>
            </w:r>
            <w:r>
              <w:rPr>
                <w:rFonts w:ascii="Times New Roman" w:hAnsi="Times New Roman" w:cs="Times New Roman" w:eastAsia="Times New Roman" w:hint="default"/>
                <w:sz w:val="18"/>
                <w:szCs w:val="18"/>
              </w:rPr>
              <w:t>/</w:t>
            </w:r>
            <w:r>
              <w:rPr>
                <w:rFonts w:ascii="宋体" w:hAnsi="宋体" w:cs="宋体" w:eastAsia="宋体" w:hint="default"/>
                <w:sz w:val="18"/>
                <w:szCs w:val="18"/>
              </w:rPr>
              <w:t>血浆中的相关病原体，包括结核分枝杆菌</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lgG</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pacing w:val="-6"/>
                <w:sz w:val="18"/>
                <w:szCs w:val="18"/>
              </w:rPr>
              <w:t>抗体谱检测试剂盒、</w:t>
            </w:r>
            <w:r>
              <w:rPr>
                <w:rFonts w:ascii="Times New Roman" w:hAnsi="Times New Roman" w:cs="Times New Roman" w:eastAsia="Times New Roman" w:hint="default"/>
                <w:spacing w:val="-6"/>
                <w:sz w:val="18"/>
                <w:szCs w:val="18"/>
              </w:rPr>
              <w:t>ToRCH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抗体</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IgG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检测试剂盒</w:t>
            </w:r>
          </w:p>
        </w:tc>
        <w:tc>
          <w:tcPr>
            <w:tcW w:w="3545" w:type="dxa"/>
            <w:tcBorders>
              <w:top w:val="single" w:sz="4" w:space="0" w:color="000000"/>
              <w:left w:val="single" w:sz="4" w:space="0" w:color="000000"/>
              <w:bottom w:val="single" w:sz="4" w:space="0" w:color="000000"/>
              <w:right w:val="single" w:sz="12" w:space="0" w:color="000000"/>
            </w:tcBorders>
          </w:tcPr>
          <w:p>
            <w:pPr>
              <w:pStyle w:val="TableParagraph"/>
              <w:spacing w:line="225" w:lineRule="auto" w:before="23"/>
              <w:ind w:left="-1" w:right="-5"/>
              <w:jc w:val="both"/>
              <w:rPr>
                <w:rFonts w:ascii="宋体" w:hAnsi="宋体" w:cs="宋体" w:eastAsia="宋体" w:hint="default"/>
                <w:sz w:val="18"/>
                <w:szCs w:val="18"/>
              </w:rPr>
            </w:pPr>
            <w:r>
              <w:rPr>
                <w:rFonts w:ascii="宋体" w:hAnsi="宋体" w:cs="宋体" w:eastAsia="宋体" w:hint="default"/>
                <w:sz w:val="18"/>
                <w:szCs w:val="18"/>
              </w:rPr>
              <w:t>分别应用于结核感染、弓形虫</w:t>
            </w:r>
            <w:r>
              <w:rPr>
                <w:rFonts w:ascii="Times New Roman" w:hAnsi="Times New Roman" w:cs="Times New Roman" w:eastAsia="Times New Roman" w:hint="default"/>
                <w:sz w:val="18"/>
                <w:szCs w:val="18"/>
              </w:rPr>
              <w:t>/</w:t>
            </w:r>
            <w:r>
              <w:rPr>
                <w:rFonts w:ascii="宋体" w:hAnsi="宋体" w:cs="宋体" w:eastAsia="宋体" w:hint="default"/>
                <w:sz w:val="18"/>
                <w:szCs w:val="18"/>
              </w:rPr>
              <w:t>风疹病毒</w:t>
            </w:r>
            <w:r>
              <w:rPr>
                <w:rFonts w:ascii="Times New Roman" w:hAnsi="Times New Roman" w:cs="Times New Roman" w:eastAsia="Times New Roman" w:hint="default"/>
                <w:sz w:val="18"/>
                <w:szCs w:val="18"/>
              </w:rPr>
              <w:t>/</w:t>
            </w:r>
            <w:r>
              <w:rPr>
                <w:rFonts w:ascii="宋体" w:hAnsi="宋体" w:cs="宋体" w:eastAsia="宋体" w:hint="default"/>
                <w:sz w:val="18"/>
                <w:szCs w:val="18"/>
              </w:rPr>
              <w:t>巨细 胞病毒</w:t>
            </w:r>
            <w:r>
              <w:rPr>
                <w:rFonts w:ascii="Times New Roman" w:hAnsi="Times New Roman" w:cs="Times New Roman" w:eastAsia="Times New Roman" w:hint="default"/>
                <w:sz w:val="18"/>
                <w:szCs w:val="18"/>
              </w:rPr>
              <w:t>/</w:t>
            </w:r>
            <w:r>
              <w:rPr>
                <w:rFonts w:ascii="宋体" w:hAnsi="宋体" w:cs="宋体" w:eastAsia="宋体" w:hint="default"/>
                <w:sz w:val="18"/>
                <w:szCs w:val="18"/>
              </w:rPr>
              <w:t>单纯疱疹病毒</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I/</w:t>
            </w:r>
            <w:r>
              <w:rPr>
                <w:rFonts w:ascii="宋体" w:hAnsi="宋体" w:cs="宋体" w:eastAsia="宋体" w:hint="default"/>
                <w:sz w:val="18"/>
                <w:szCs w:val="18"/>
              </w:rPr>
              <w:t>单纯疱疹病毒Ⅱ感染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的辅助诊断。</w:t>
            </w:r>
          </w:p>
        </w:tc>
      </w:tr>
      <w:tr>
        <w:trPr>
          <w:trHeight w:val="1490" w:hRule="exact"/>
        </w:trPr>
        <w:tc>
          <w:tcPr>
            <w:tcW w:w="5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36" w:lineRule="exact"/>
              <w:ind w:left="357" w:right="60" w:hanging="291"/>
              <w:jc w:val="left"/>
              <w:rPr>
                <w:rFonts w:ascii="宋体" w:hAnsi="宋体" w:cs="宋体" w:eastAsia="宋体" w:hint="default"/>
                <w:sz w:val="18"/>
                <w:szCs w:val="18"/>
              </w:rPr>
            </w:pP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荧光探针法检</w:t>
            </w:r>
            <w:r>
              <w:rPr>
                <w:rFonts w:ascii="宋体" w:hAnsi="宋体" w:cs="宋体" w:eastAsia="宋体" w:hint="default"/>
                <w:w w:val="100"/>
                <w:sz w:val="18"/>
                <w:szCs w:val="18"/>
              </w:rPr>
              <w:t> </w:t>
            </w:r>
            <w:r>
              <w:rPr>
                <w:rFonts w:ascii="宋体" w:hAnsi="宋体" w:cs="宋体" w:eastAsia="宋体" w:hint="default"/>
                <w:sz w:val="18"/>
                <w:szCs w:val="18"/>
              </w:rPr>
              <w:t>测系列产品</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 w:right="-5"/>
              <w:jc w:val="both"/>
              <w:rPr>
                <w:rFonts w:ascii="宋体" w:hAnsi="宋体" w:cs="宋体" w:eastAsia="宋体" w:hint="default"/>
                <w:sz w:val="18"/>
                <w:szCs w:val="18"/>
              </w:rPr>
            </w:pPr>
            <w:r>
              <w:rPr>
                <w:rFonts w:ascii="宋体" w:hAnsi="宋体" w:cs="宋体" w:eastAsia="宋体" w:hint="default"/>
                <w:sz w:val="18"/>
                <w:szCs w:val="18"/>
              </w:rPr>
              <w:t>本系列产品包括一系列采用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荧光探针法检测</w:t>
            </w:r>
            <w:r>
              <w:rPr>
                <w:rFonts w:ascii="宋体" w:hAnsi="宋体" w:cs="宋体" w:eastAsia="宋体" w:hint="default"/>
                <w:w w:val="100"/>
                <w:sz w:val="18"/>
                <w:szCs w:val="18"/>
              </w:rPr>
              <w:t> </w:t>
            </w:r>
            <w:r>
              <w:rPr>
                <w:rFonts w:ascii="宋体" w:hAnsi="宋体" w:cs="宋体" w:eastAsia="宋体" w:hint="default"/>
                <w:spacing w:val="4"/>
                <w:sz w:val="18"/>
                <w:szCs w:val="18"/>
              </w:rPr>
              <w:t>相应样本中病原体核酸的试剂盒，涉及肝炎病毒</w:t>
            </w:r>
            <w:r>
              <w:rPr>
                <w:rFonts w:ascii="宋体" w:hAnsi="宋体" w:cs="宋体" w:eastAsia="宋体" w:hint="default"/>
                <w:sz w:val="18"/>
                <w:szCs w:val="18"/>
              </w:rPr>
            </w:r>
          </w:p>
          <w:p>
            <w:pPr>
              <w:pStyle w:val="TableParagraph"/>
              <w:spacing w:line="218" w:lineRule="exact"/>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w w:val="99"/>
                <w:sz w:val="18"/>
                <w:szCs w:val="18"/>
              </w:rPr>
              <w:t>HB</w:t>
            </w:r>
            <w:r>
              <w:rPr>
                <w:rFonts w:ascii="Times New Roman" w:hAnsi="Times New Roman" w:cs="Times New Roman" w:eastAsia="Times New Roman" w:hint="default"/>
                <w:spacing w:val="-23"/>
                <w:w w:val="99"/>
                <w:sz w:val="18"/>
                <w:szCs w:val="18"/>
              </w:rPr>
              <w:t>V</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HCV</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定</w:t>
            </w:r>
            <w:r>
              <w:rPr>
                <w:rFonts w:ascii="宋体" w:hAnsi="宋体" w:cs="宋体" w:eastAsia="宋体" w:hint="default"/>
                <w:spacing w:val="-3"/>
                <w:sz w:val="18"/>
                <w:szCs w:val="18"/>
              </w:rPr>
              <w:t>量</w:t>
            </w:r>
            <w:r>
              <w:rPr>
                <w:rFonts w:ascii="宋体" w:hAnsi="宋体" w:cs="宋体" w:eastAsia="宋体" w:hint="default"/>
                <w:spacing w:val="-63"/>
                <w:sz w:val="18"/>
                <w:szCs w:val="18"/>
              </w:rPr>
              <w:t>、</w:t>
            </w:r>
            <w:r>
              <w:rPr>
                <w:rFonts w:ascii="宋体" w:hAnsi="宋体" w:cs="宋体" w:eastAsia="宋体" w:hint="default"/>
                <w:sz w:val="18"/>
                <w:szCs w:val="18"/>
              </w:rPr>
              <w:t>分型</w:t>
            </w:r>
            <w:r>
              <w:rPr>
                <w:rFonts w:ascii="宋体" w:hAnsi="宋体" w:cs="宋体" w:eastAsia="宋体" w:hint="default"/>
                <w:spacing w:val="-92"/>
                <w:sz w:val="18"/>
                <w:szCs w:val="18"/>
              </w:rPr>
              <w:t>）</w:t>
            </w:r>
            <w:r>
              <w:rPr>
                <w:rFonts w:ascii="宋体" w:hAnsi="宋体" w:cs="宋体" w:eastAsia="宋体" w:hint="default"/>
                <w:spacing w:val="-63"/>
                <w:sz w:val="18"/>
                <w:szCs w:val="18"/>
              </w:rPr>
              <w:t>、</w:t>
            </w:r>
            <w:r>
              <w:rPr>
                <w:rFonts w:ascii="宋体" w:hAnsi="宋体" w:cs="宋体" w:eastAsia="宋体" w:hint="default"/>
                <w:sz w:val="18"/>
                <w:szCs w:val="18"/>
              </w:rPr>
              <w:t>性</w:t>
            </w:r>
            <w:r>
              <w:rPr>
                <w:rFonts w:ascii="宋体" w:hAnsi="宋体" w:cs="宋体" w:eastAsia="宋体" w:hint="default"/>
                <w:spacing w:val="-3"/>
                <w:sz w:val="18"/>
                <w:szCs w:val="18"/>
              </w:rPr>
              <w:t>病</w:t>
            </w:r>
            <w:r>
              <w:rPr>
                <w:rFonts w:ascii="宋体" w:hAnsi="宋体" w:cs="宋体" w:eastAsia="宋体" w:hint="default"/>
                <w:sz w:val="18"/>
                <w:szCs w:val="18"/>
              </w:rPr>
              <w:t>三</w:t>
            </w:r>
            <w:r>
              <w:rPr>
                <w:rFonts w:ascii="宋体" w:hAnsi="宋体" w:cs="宋体" w:eastAsia="宋体" w:hint="default"/>
                <w:spacing w:val="-63"/>
                <w:sz w:val="18"/>
                <w:szCs w:val="18"/>
              </w:rPr>
              <w:t>项</w:t>
            </w:r>
            <w:r>
              <w:rPr>
                <w:rFonts w:ascii="宋体" w:hAnsi="宋体" w:cs="宋体" w:eastAsia="宋体" w:hint="default"/>
                <w:sz w:val="18"/>
                <w:szCs w:val="18"/>
              </w:rPr>
              <w:t>（沙眼衣原体</w:t>
            </w:r>
          </w:p>
          <w:p>
            <w:pPr>
              <w:pStyle w:val="TableParagraph"/>
              <w:spacing w:line="225" w:lineRule="auto" w:before="5"/>
              <w:ind w:left="2" w:right="-3"/>
              <w:jc w:val="both"/>
              <w:rPr>
                <w:rFonts w:ascii="宋体" w:hAnsi="宋体" w:cs="宋体" w:eastAsia="宋体" w:hint="default"/>
                <w:sz w:val="18"/>
                <w:szCs w:val="18"/>
              </w:rPr>
            </w:pPr>
            <w:r>
              <w:rPr>
                <w:rFonts w:ascii="宋体" w:hAnsi="宋体" w:cs="宋体" w:eastAsia="宋体" w:hint="default"/>
                <w:spacing w:val="-7"/>
                <w:sz w:val="18"/>
                <w:szCs w:val="18"/>
              </w:rPr>
              <w:t>解脲脲原体、淋病奈瑟菌）、流感病毒</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甲型、新型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H1N1)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肠</w:t>
            </w:r>
            <w:r>
              <w:rPr>
                <w:rFonts w:ascii="宋体" w:hAnsi="宋体" w:cs="宋体" w:eastAsia="宋体" w:hint="default"/>
                <w:spacing w:val="-68"/>
                <w:sz w:val="18"/>
                <w:szCs w:val="18"/>
              </w:rPr>
              <w:t> </w:t>
            </w:r>
            <w:r>
              <w:rPr>
                <w:rFonts w:ascii="宋体" w:hAnsi="宋体" w:cs="宋体" w:eastAsia="宋体" w:hint="default"/>
                <w:spacing w:val="10"/>
                <w:sz w:val="18"/>
                <w:szCs w:val="18"/>
              </w:rPr>
              <w:t>道病</w:t>
            </w:r>
            <w:r>
              <w:rPr>
                <w:rFonts w:ascii="宋体" w:hAnsi="宋体" w:cs="宋体" w:eastAsia="宋体" w:hint="default"/>
                <w:spacing w:val="-68"/>
                <w:sz w:val="18"/>
                <w:szCs w:val="18"/>
              </w:rPr>
              <w:t> </w:t>
            </w:r>
            <w:r>
              <w:rPr>
                <w:rFonts w:ascii="宋体" w:hAnsi="宋体" w:cs="宋体" w:eastAsia="宋体" w:hint="default"/>
                <w:sz w:val="18"/>
                <w:szCs w:val="18"/>
              </w:rPr>
              <w:t>毒</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肠</w:t>
            </w:r>
            <w:r>
              <w:rPr>
                <w:rFonts w:ascii="宋体" w:hAnsi="宋体" w:cs="宋体" w:eastAsia="宋体" w:hint="default"/>
                <w:spacing w:val="-68"/>
                <w:sz w:val="18"/>
                <w:szCs w:val="18"/>
              </w:rPr>
              <w:t> </w:t>
            </w:r>
            <w:r>
              <w:rPr>
                <w:rFonts w:ascii="宋体" w:hAnsi="宋体" w:cs="宋体" w:eastAsia="宋体" w:hint="default"/>
                <w:sz w:val="18"/>
                <w:szCs w:val="18"/>
              </w:rPr>
              <w:t>道</w:t>
            </w:r>
            <w:r>
              <w:rPr>
                <w:rFonts w:ascii="宋体" w:hAnsi="宋体" w:cs="宋体" w:eastAsia="宋体" w:hint="default"/>
                <w:spacing w:val="-68"/>
                <w:sz w:val="18"/>
                <w:szCs w:val="18"/>
              </w:rPr>
              <w:t> </w:t>
            </w:r>
            <w:r>
              <w:rPr>
                <w:rFonts w:ascii="宋体" w:hAnsi="宋体" w:cs="宋体" w:eastAsia="宋体" w:hint="default"/>
                <w:spacing w:val="14"/>
                <w:sz w:val="18"/>
                <w:szCs w:val="18"/>
              </w:rPr>
              <w:t>病毒通</w:t>
            </w:r>
            <w:r>
              <w:rPr>
                <w:rFonts w:ascii="宋体" w:hAnsi="宋体" w:cs="宋体" w:eastAsia="宋体" w:hint="default"/>
                <w:spacing w:val="-68"/>
                <w:sz w:val="18"/>
                <w:szCs w:val="18"/>
              </w:rPr>
              <w:t> </w:t>
            </w:r>
            <w:r>
              <w:rPr>
                <w:rFonts w:ascii="宋体" w:hAnsi="宋体" w:cs="宋体" w:eastAsia="宋体" w:hint="default"/>
                <w:sz w:val="18"/>
                <w:szCs w:val="18"/>
              </w:rPr>
              <w:t>用</w:t>
            </w:r>
            <w:r>
              <w:rPr>
                <w:rFonts w:ascii="宋体" w:hAnsi="宋体" w:cs="宋体" w:eastAsia="宋体" w:hint="default"/>
                <w:spacing w:val="-68"/>
                <w:sz w:val="18"/>
                <w:szCs w:val="18"/>
              </w:rPr>
              <w:t> </w:t>
            </w:r>
            <w:r>
              <w:rPr>
                <w:rFonts w:ascii="宋体" w:hAnsi="宋体" w:cs="宋体" w:eastAsia="宋体" w:hint="default"/>
                <w:sz w:val="18"/>
                <w:szCs w:val="18"/>
              </w:rPr>
              <w:t>型</w:t>
            </w:r>
            <w:r>
              <w:rPr>
                <w:rFonts w:ascii="宋体" w:hAnsi="宋体" w:cs="宋体" w:eastAsia="宋体" w:hint="default"/>
                <w:spacing w:val="-68"/>
                <w:sz w:val="18"/>
                <w:szCs w:val="18"/>
              </w:rPr>
              <w:t> </w:t>
            </w:r>
            <w:r>
              <w:rPr>
                <w:rFonts w:ascii="宋体" w:hAnsi="宋体" w:cs="宋体" w:eastAsia="宋体" w:hint="default"/>
                <w:sz w:val="18"/>
                <w:szCs w:val="18"/>
              </w:rPr>
              <w:t>、</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EV71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COXA6\A16)</w:t>
            </w:r>
            <w:r>
              <w:rPr>
                <w:rFonts w:ascii="宋体" w:hAnsi="宋体" w:cs="宋体" w:eastAsia="宋体" w:hint="default"/>
                <w:sz w:val="18"/>
                <w:szCs w:val="18"/>
              </w:rPr>
              <w:t>、新布尼亚病毒。</w:t>
            </w:r>
          </w:p>
        </w:tc>
        <w:tc>
          <w:tcPr>
            <w:tcW w:w="35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3"/>
              <w:jc w:val="left"/>
              <w:rPr>
                <w:rFonts w:ascii="宋体" w:hAnsi="宋体" w:cs="宋体" w:eastAsia="宋体" w:hint="default"/>
                <w:sz w:val="18"/>
                <w:szCs w:val="18"/>
              </w:rPr>
            </w:pPr>
            <w:r>
              <w:rPr>
                <w:rFonts w:ascii="宋体" w:hAnsi="宋体" w:cs="宋体" w:eastAsia="宋体" w:hint="default"/>
                <w:spacing w:val="4"/>
                <w:sz w:val="18"/>
                <w:szCs w:val="18"/>
              </w:rPr>
              <w:t>应用于产品所涉及的相关病原体感染的辅助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诊断。</w:t>
            </w:r>
          </w:p>
        </w:tc>
      </w:tr>
      <w:tr>
        <w:trPr>
          <w:trHeight w:val="790" w:hRule="exact"/>
        </w:trPr>
        <w:tc>
          <w:tcPr>
            <w:tcW w:w="5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28" w:right="81" w:hanging="540"/>
              <w:jc w:val="left"/>
              <w:rPr>
                <w:rFonts w:ascii="宋体" w:hAnsi="宋体" w:cs="宋体" w:eastAsia="宋体" w:hint="default"/>
                <w:sz w:val="18"/>
                <w:szCs w:val="18"/>
              </w:rPr>
            </w:pPr>
            <w:r>
              <w:rPr>
                <w:rFonts w:ascii="宋体" w:hAnsi="宋体" w:cs="宋体" w:eastAsia="宋体" w:hint="default"/>
                <w:sz w:val="18"/>
                <w:szCs w:val="18"/>
              </w:rPr>
              <w:t>胶体金法检测系列 产品</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 w:right="-5"/>
              <w:jc w:val="both"/>
              <w:rPr>
                <w:rFonts w:ascii="宋体" w:hAnsi="宋体" w:cs="宋体" w:eastAsia="宋体" w:hint="default"/>
                <w:sz w:val="18"/>
                <w:szCs w:val="18"/>
              </w:rPr>
            </w:pPr>
            <w:r>
              <w:rPr>
                <w:rFonts w:ascii="宋体" w:hAnsi="宋体" w:cs="宋体" w:eastAsia="宋体" w:hint="default"/>
                <w:spacing w:val="4"/>
                <w:sz w:val="18"/>
                <w:szCs w:val="18"/>
              </w:rPr>
              <w:t>本系列产品采用胶体金法定性检测人血清或血浆 </w:t>
            </w:r>
            <w:r>
              <w:rPr>
                <w:rFonts w:ascii="宋体" w:hAnsi="宋体" w:cs="宋体" w:eastAsia="宋体" w:hint="default"/>
                <w:spacing w:val="-4"/>
                <w:sz w:val="18"/>
                <w:szCs w:val="18"/>
              </w:rPr>
              <w:t>中的病原体，包括梅毒检测试剂盒、乙肝检测试剂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盒、丙肝检测试剂盒。</w:t>
            </w:r>
          </w:p>
        </w:tc>
        <w:tc>
          <w:tcPr>
            <w:tcW w:w="35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8"/>
              <w:ind w:left="-1" w:right="3"/>
              <w:jc w:val="left"/>
              <w:rPr>
                <w:rFonts w:ascii="宋体" w:hAnsi="宋体" w:cs="宋体" w:eastAsia="宋体" w:hint="default"/>
                <w:sz w:val="18"/>
                <w:szCs w:val="18"/>
              </w:rPr>
            </w:pPr>
            <w:r>
              <w:rPr>
                <w:rFonts w:ascii="宋体" w:hAnsi="宋体" w:cs="宋体" w:eastAsia="宋体" w:hint="default"/>
                <w:spacing w:val="4"/>
                <w:sz w:val="18"/>
                <w:szCs w:val="18"/>
              </w:rPr>
              <w:t>应用于产品所涉及的相关病原体感染的辅助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诊断。</w:t>
            </w:r>
          </w:p>
        </w:tc>
      </w:tr>
      <w:tr>
        <w:trPr>
          <w:trHeight w:val="759" w:hRule="exact"/>
        </w:trPr>
        <w:tc>
          <w:tcPr>
            <w:tcW w:w="55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w:t>
            </w:r>
          </w:p>
        </w:tc>
        <w:tc>
          <w:tcPr>
            <w:tcW w:w="16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left="628" w:right="81" w:hanging="540"/>
              <w:jc w:val="left"/>
              <w:rPr>
                <w:rFonts w:ascii="宋体" w:hAnsi="宋体" w:cs="宋体" w:eastAsia="宋体" w:hint="default"/>
                <w:sz w:val="18"/>
                <w:szCs w:val="18"/>
              </w:rPr>
            </w:pPr>
            <w:r>
              <w:rPr>
                <w:rFonts w:ascii="宋体" w:hAnsi="宋体" w:cs="宋体" w:eastAsia="宋体" w:hint="default"/>
                <w:sz w:val="18"/>
                <w:szCs w:val="18"/>
              </w:rPr>
              <w:t>感染防控综合解决 方案</w:t>
            </w:r>
          </w:p>
        </w:tc>
        <w:tc>
          <w:tcPr>
            <w:tcW w:w="3889" w:type="dxa"/>
            <w:tcBorders>
              <w:top w:val="single" w:sz="4" w:space="0" w:color="000000"/>
              <w:left w:val="single" w:sz="4" w:space="0" w:color="000000"/>
              <w:bottom w:val="single" w:sz="12" w:space="0" w:color="000000"/>
              <w:right w:val="single" w:sz="4" w:space="0" w:color="000000"/>
            </w:tcBorders>
          </w:tcPr>
          <w:p>
            <w:pPr>
              <w:pStyle w:val="TableParagraph"/>
              <w:spacing w:line="237" w:lineRule="auto" w:before="13"/>
              <w:ind w:left="2" w:right="-5"/>
              <w:jc w:val="both"/>
              <w:rPr>
                <w:rFonts w:ascii="宋体" w:hAnsi="宋体" w:cs="宋体" w:eastAsia="宋体" w:hint="default"/>
                <w:sz w:val="18"/>
                <w:szCs w:val="18"/>
              </w:rPr>
            </w:pPr>
            <w:r>
              <w:rPr>
                <w:rFonts w:ascii="宋体" w:hAnsi="宋体" w:cs="宋体" w:eastAsia="宋体" w:hint="default"/>
                <w:spacing w:val="4"/>
                <w:sz w:val="18"/>
                <w:szCs w:val="18"/>
              </w:rPr>
              <w:t>本产品包括提供病原检测产品相关的平台建设所 </w:t>
            </w:r>
            <w:r>
              <w:rPr>
                <w:rFonts w:ascii="宋体" w:hAnsi="宋体" w:cs="宋体" w:eastAsia="宋体" w:hint="default"/>
                <w:spacing w:val="-4"/>
                <w:sz w:val="18"/>
                <w:szCs w:val="18"/>
              </w:rPr>
              <w:t>需的仪器、试剂及分析软件等，实验技术培训、分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析软件培训以及报告解读培训，并对平台技术人员</w:t>
            </w:r>
          </w:p>
        </w:tc>
        <w:tc>
          <w:tcPr>
            <w:tcW w:w="354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9"/>
              <w:ind w:left="-1" w:right="3"/>
              <w:jc w:val="left"/>
              <w:rPr>
                <w:rFonts w:ascii="宋体" w:hAnsi="宋体" w:cs="宋体" w:eastAsia="宋体" w:hint="default"/>
                <w:sz w:val="18"/>
                <w:szCs w:val="18"/>
              </w:rPr>
            </w:pPr>
            <w:r>
              <w:rPr>
                <w:rFonts w:ascii="宋体" w:hAnsi="宋体" w:cs="宋体" w:eastAsia="宋体" w:hint="default"/>
                <w:spacing w:val="4"/>
                <w:sz w:val="18"/>
                <w:szCs w:val="18"/>
              </w:rPr>
              <w:t>主要应用于实现多组学技术为基础的病原检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测相关业务的本地化检测。</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555"/>
        <w:gridCol w:w="1622"/>
        <w:gridCol w:w="3889"/>
        <w:gridCol w:w="3545"/>
      </w:tblGrid>
      <w:tr>
        <w:trPr>
          <w:trHeight w:val="360" w:hRule="exact"/>
        </w:trPr>
        <w:tc>
          <w:tcPr>
            <w:tcW w:w="55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7"/>
              <w:ind w:left="86"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6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446"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8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354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379" w:hRule="exact"/>
        </w:trPr>
        <w:tc>
          <w:tcPr>
            <w:tcW w:w="555" w:type="dxa"/>
            <w:tcBorders>
              <w:top w:val="single" w:sz="4" w:space="0" w:color="000000"/>
              <w:left w:val="single" w:sz="12" w:space="0" w:color="000000"/>
              <w:bottom w:val="single" w:sz="12" w:space="0" w:color="000000"/>
              <w:right w:val="single" w:sz="4" w:space="0" w:color="000000"/>
            </w:tcBorders>
          </w:tcPr>
          <w:p>
            <w:pPr/>
          </w:p>
        </w:tc>
        <w:tc>
          <w:tcPr>
            <w:tcW w:w="1622" w:type="dxa"/>
            <w:tcBorders>
              <w:top w:val="single" w:sz="4" w:space="0" w:color="000000"/>
              <w:left w:val="single" w:sz="4" w:space="0" w:color="000000"/>
              <w:bottom w:val="single" w:sz="12" w:space="0" w:color="000000"/>
              <w:right w:val="single" w:sz="4" w:space="0" w:color="000000"/>
            </w:tcBorders>
          </w:tcPr>
          <w:p>
            <w:pPr/>
          </w:p>
        </w:tc>
        <w:tc>
          <w:tcPr>
            <w:tcW w:w="3889"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left="2" w:right="0"/>
              <w:jc w:val="left"/>
              <w:rPr>
                <w:rFonts w:ascii="宋体" w:hAnsi="宋体" w:cs="宋体" w:eastAsia="宋体" w:hint="default"/>
                <w:sz w:val="18"/>
                <w:szCs w:val="18"/>
              </w:rPr>
            </w:pPr>
            <w:r>
              <w:rPr>
                <w:rFonts w:ascii="宋体" w:hAnsi="宋体" w:cs="宋体" w:eastAsia="宋体" w:hint="default"/>
                <w:sz w:val="18"/>
                <w:szCs w:val="18"/>
              </w:rPr>
              <w:t>提供培训服务的一体化解决方案。</w:t>
            </w:r>
          </w:p>
        </w:tc>
        <w:tc>
          <w:tcPr>
            <w:tcW w:w="3545"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sz w:val="6"/>
          <w:szCs w:val="6"/>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、多组学大数据服务与合成业务</w:t>
      </w:r>
      <w:r>
        <w:rPr>
          <w:b w:val="0"/>
          <w:bCs w:val="0"/>
        </w:rPr>
      </w:r>
    </w:p>
    <w:p>
      <w:pPr>
        <w:pStyle w:val="BodyText"/>
        <w:spacing w:line="420" w:lineRule="atLeast" w:before="12"/>
        <w:ind w:left="510" w:right="986"/>
        <w:jc w:val="left"/>
      </w:pPr>
      <w:r>
        <w:rPr/>
        <w:t>（</w:t>
      </w:r>
      <w:r>
        <w:rPr>
          <w:rFonts w:ascii="Times New Roman" w:hAnsi="Times New Roman" w:cs="Times New Roman" w:eastAsia="Times New Roman" w:hint="default"/>
        </w:rPr>
        <w:t>1</w:t>
      </w:r>
      <w:r>
        <w:rPr/>
        <w:t>）业务概述 </w:t>
      </w:r>
      <w:r>
        <w:rPr>
          <w:spacing w:val="-2"/>
        </w:rPr>
        <w:t>华大基因多组学大数据业务，致力于成为全球生命科学研究机构的首选合作伙伴，为从事生命科学研究的机构和企业提</w:t>
      </w:r>
    </w:p>
    <w:p>
      <w:pPr>
        <w:pStyle w:val="BodyText"/>
        <w:spacing w:line="309" w:lineRule="auto" w:before="76"/>
        <w:ind w:right="1131"/>
        <w:jc w:val="both"/>
      </w:pPr>
      <w:r>
        <w:rPr>
          <w:spacing w:val="-2"/>
        </w:rPr>
        <w:t>供高质量、行业领先的基因测序、质谱、生物数据库、云计算等标准化技术服务和全流程系统解决方案。该服务面向的主要</w:t>
      </w:r>
      <w:r>
        <w:rPr>
          <w:spacing w:val="-65"/>
        </w:rPr>
        <w:t> </w:t>
      </w:r>
      <w:r>
        <w:rPr>
          <w:spacing w:val="-65"/>
        </w:rPr>
      </w:r>
      <w:r>
        <w:rPr>
          <w:spacing w:val="-2"/>
        </w:rPr>
        <w:t>客户为以高校、研究性医院等为代表的科研机构，以及以药企、育种公司等为代表的工业客户。公司率先面向合作伙伴提供</w:t>
      </w:r>
      <w:r>
        <w:rPr>
          <w:spacing w:val="-65"/>
        </w:rPr>
        <w:t> </w:t>
      </w:r>
      <w:r>
        <w:rPr>
          <w:spacing w:val="-65"/>
        </w:rPr>
      </w:r>
      <w:r>
        <w:rPr/>
        <w:t>多组学大数据服务。截至报告期末，华大基因多组学大数据业务已经覆盖了全球 </w:t>
      </w:r>
      <w:r>
        <w:rPr>
          <w:rFonts w:ascii="Times New Roman" w:hAnsi="Times New Roman" w:cs="Times New Roman" w:eastAsia="Times New Roman" w:hint="default"/>
        </w:rPr>
        <w:t>100 </w:t>
      </w:r>
      <w:r>
        <w:rPr/>
        <w:t>多个国家和地区，拥有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多家合 作单位、</w:t>
      </w:r>
      <w:r>
        <w:rPr>
          <w:rFonts w:ascii="Times New Roman" w:hAnsi="Times New Roman" w:cs="Times New Roman" w:eastAsia="Times New Roman" w:hint="default"/>
        </w:rPr>
        <w:t>20,000 </w:t>
      </w:r>
      <w:r>
        <w:rPr/>
        <w:t>多位合作伙伴提供了杰出技术服务，更通过深度合作完成了一系列大型基因组科研计划和国际多边合作项</w:t>
      </w:r>
      <w:r>
        <w:rPr>
          <w:spacing w:val="-49"/>
        </w:rPr>
        <w:t> </w:t>
      </w:r>
      <w:r>
        <w:rPr>
          <w:spacing w:val="-49"/>
        </w:rPr>
      </w:r>
      <w:r>
        <w:rPr/>
        <w:t>目。</w:t>
      </w:r>
    </w:p>
    <w:p>
      <w:pPr>
        <w:pStyle w:val="BodyText"/>
        <w:spacing w:line="304" w:lineRule="auto" w:before="144"/>
        <w:ind w:right="1129" w:firstLine="360"/>
        <w:jc w:val="both"/>
      </w:pPr>
      <w:r>
        <w:rPr/>
        <w:t>合成类业务主要包含基因合成、</w:t>
      </w:r>
      <w:r>
        <w:rPr>
          <w:rFonts w:ascii="Times New Roman" w:hAnsi="Times New Roman" w:cs="Times New Roman" w:eastAsia="Times New Roman" w:hint="default"/>
        </w:rPr>
        <w:t>Oligo</w:t>
      </w:r>
      <w:r>
        <w:rPr/>
        <w:t>合成和全基因组</w:t>
      </w:r>
      <w:r>
        <w:rPr>
          <w:rFonts w:ascii="Times New Roman" w:hAnsi="Times New Roman" w:cs="Times New Roman" w:eastAsia="Times New Roman" w:hint="default"/>
        </w:rPr>
        <w:t>/</w:t>
      </w:r>
      <w:r>
        <w:rPr/>
        <w:t>染色体片段系统设计改造与合成服务。其中，基因合成业务包括 </w:t>
      </w:r>
      <w:r>
        <w:rPr>
          <w:spacing w:val="-2"/>
        </w:rPr>
        <w:t>合成密码子优化过的</w:t>
      </w:r>
      <w:r>
        <w:rPr>
          <w:rFonts w:ascii="Times New Roman" w:hAnsi="Times New Roman" w:cs="Times New Roman" w:eastAsia="Times New Roman" w:hint="default"/>
          <w:spacing w:val="-2"/>
        </w:rPr>
        <w:t>cDNA</w:t>
      </w:r>
      <w:r>
        <w:rPr>
          <w:spacing w:val="-2"/>
        </w:rPr>
        <w:t>、特殊位点突变的基因、人工设计的</w:t>
      </w:r>
      <w:r>
        <w:rPr>
          <w:rFonts w:ascii="Times New Roman" w:hAnsi="Times New Roman" w:cs="Times New Roman" w:eastAsia="Times New Roman" w:hint="default"/>
          <w:spacing w:val="-2"/>
        </w:rPr>
        <w:t>DNA</w:t>
      </w:r>
      <w:r>
        <w:rPr>
          <w:spacing w:val="-2"/>
        </w:rPr>
        <w:t>序列，公司可提供包含目的基因的质粒；</w:t>
      </w:r>
      <w:r>
        <w:rPr>
          <w:rFonts w:ascii="Times New Roman" w:hAnsi="Times New Roman" w:cs="Times New Roman" w:eastAsia="Times New Roman" w:hint="default"/>
          <w:spacing w:val="-2"/>
        </w:rPr>
        <w:t>Oligo</w:t>
      </w:r>
      <w:r>
        <w:rPr>
          <w:spacing w:val="-2"/>
        </w:rPr>
        <w:t>合成则是</w:t>
      </w:r>
      <w:r>
        <w:rPr>
          <w:spacing w:val="-68"/>
        </w:rPr>
        <w:t> </w:t>
      </w:r>
      <w:r>
        <w:rPr>
          <w:spacing w:val="-2"/>
        </w:rPr>
        <w:t>利用化学方法合成特定的已知序列的寡核苷酸片段，主要应用于反义寡聚核苷酸、测序与扩增的引物、</w:t>
      </w:r>
      <w:r>
        <w:rPr>
          <w:rFonts w:ascii="Times New Roman" w:hAnsi="Times New Roman" w:cs="Times New Roman" w:eastAsia="Times New Roman" w:hint="default"/>
          <w:spacing w:val="-2"/>
        </w:rPr>
        <w:t>DNA</w:t>
      </w:r>
      <w:r>
        <w:rPr>
          <w:spacing w:val="-2"/>
        </w:rPr>
        <w:t>杂交、探针、点</w:t>
      </w:r>
      <w:r>
        <w:rPr/>
        <w:t> 突变以及全基因合成等实验中；全基因组</w:t>
      </w:r>
      <w:r>
        <w:rPr>
          <w:rFonts w:ascii="Times New Roman" w:hAnsi="Times New Roman" w:cs="Times New Roman" w:eastAsia="Times New Roman" w:hint="default"/>
        </w:rPr>
        <w:t>/</w:t>
      </w:r>
      <w:r>
        <w:rPr/>
        <w:t>染色体片段系统设计与合成服务：为科研客户提供全基因组或者部分染色体的从</w:t>
      </w:r>
      <w:r>
        <w:rPr>
          <w:spacing w:val="-49"/>
        </w:rPr>
        <w:t> </w:t>
      </w:r>
      <w:r>
        <w:rPr>
          <w:spacing w:val="-49"/>
        </w:rPr>
      </w:r>
      <w:r>
        <w:rPr>
          <w:spacing w:val="-2"/>
        </w:rPr>
        <w:t>头设计与大规模的合成服务，大规模的基因组功能区设计与人工合成服务，为工业客户提供代谢菌株或者生物底盘的全局设</w:t>
      </w:r>
      <w:r>
        <w:rPr>
          <w:spacing w:val="-64"/>
        </w:rPr>
        <w:t> </w:t>
      </w:r>
      <w:r>
        <w:rPr>
          <w:spacing w:val="-64"/>
        </w:rPr>
      </w:r>
      <w:r>
        <w:rPr/>
        <w:t>计与高通量合成服务，助力新一代生物制造产业的发展。</w:t>
      </w:r>
    </w:p>
    <w:p>
      <w:pPr>
        <w:pStyle w:val="BodyText"/>
        <w:spacing w:line="240" w:lineRule="auto" w:before="148"/>
        <w:ind w:left="513" w:right="1133"/>
        <w:jc w:val="left"/>
      </w:pPr>
      <w:r>
        <w:rPr/>
        <w:t>（</w:t>
      </w:r>
      <w:r>
        <w:rPr>
          <w:rFonts w:ascii="Times New Roman" w:hAnsi="Times New Roman" w:cs="Times New Roman" w:eastAsia="Times New Roman" w:hint="default"/>
        </w:rPr>
        <w:t>2</w:t>
      </w:r>
      <w:r>
        <w:rPr/>
        <w:t>）具体产品介绍</w:t>
      </w:r>
    </w:p>
    <w:p>
      <w:pPr>
        <w:spacing w:line="240" w:lineRule="auto" w:before="13"/>
        <w:rPr>
          <w:rFonts w:ascii="宋体" w:hAnsi="宋体" w:cs="宋体" w:eastAsia="宋体" w:hint="default"/>
          <w:sz w:val="13"/>
          <w:szCs w:val="13"/>
        </w:rPr>
      </w:pPr>
    </w:p>
    <w:p>
      <w:pPr>
        <w:pStyle w:val="BodyText"/>
        <w:spacing w:line="240" w:lineRule="auto"/>
        <w:ind w:left="513" w:right="1133"/>
        <w:jc w:val="left"/>
      </w:pPr>
      <w:r>
        <w:rPr/>
        <w:t>①</w:t>
      </w:r>
      <w:r>
        <w:rPr>
          <w:spacing w:val="-18"/>
        </w:rPr>
        <w:t> </w:t>
      </w:r>
      <w:r>
        <w:rPr/>
        <w:t>多组学大数据服务类产品介绍</w:t>
      </w:r>
    </w:p>
    <w:p>
      <w:pPr>
        <w:spacing w:line="240" w:lineRule="auto" w:before="3"/>
        <w:rPr>
          <w:rFonts w:ascii="宋体" w:hAnsi="宋体" w:cs="宋体" w:eastAsia="宋体" w:hint="default"/>
          <w:sz w:val="14"/>
          <w:szCs w:val="14"/>
        </w:rPr>
      </w:pPr>
    </w:p>
    <w:tbl>
      <w:tblPr>
        <w:tblW w:w="0" w:type="auto"/>
        <w:jc w:val="left"/>
        <w:tblInd w:w="152" w:type="dxa"/>
        <w:tblLayout w:type="fixed"/>
        <w:tblCellMar>
          <w:top w:w="0" w:type="dxa"/>
          <w:left w:w="0" w:type="dxa"/>
          <w:bottom w:w="0" w:type="dxa"/>
          <w:right w:w="0" w:type="dxa"/>
        </w:tblCellMar>
        <w:tblLook w:val="01E0"/>
      </w:tblPr>
      <w:tblGrid>
        <w:gridCol w:w="557"/>
        <w:gridCol w:w="1567"/>
        <w:gridCol w:w="5106"/>
        <w:gridCol w:w="2381"/>
      </w:tblGrid>
      <w:tr>
        <w:trPr>
          <w:trHeight w:val="411" w:hRule="exact"/>
        </w:trPr>
        <w:tc>
          <w:tcPr>
            <w:tcW w:w="55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b/>
                <w:bCs/>
                <w:sz w:val="18"/>
                <w:szCs w:val="18"/>
              </w:rPr>
              <w:t>主要产品名称</w:t>
            </w:r>
            <w:r>
              <w:rPr>
                <w:rFonts w:ascii="宋体" w:hAnsi="宋体" w:cs="宋体" w:eastAsia="宋体" w:hint="default"/>
                <w:sz w:val="18"/>
                <w:szCs w:val="18"/>
              </w:rPr>
            </w:r>
          </w:p>
        </w:tc>
        <w:tc>
          <w:tcPr>
            <w:tcW w:w="51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238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2266" w:hRule="exact"/>
        </w:trPr>
        <w:tc>
          <w:tcPr>
            <w:tcW w:w="5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0"/>
              <w:jc w:val="center"/>
              <w:rPr>
                <w:rFonts w:ascii="Times New Roman" w:hAnsi="Times New Roman" w:cs="Times New Roman" w:eastAsia="Times New Roman" w:hint="default"/>
                <w:sz w:val="18"/>
                <w:szCs w:val="18"/>
              </w:rPr>
            </w:pPr>
            <w:r>
              <w:rPr>
                <w:rFonts w:ascii="Times New Roman"/>
                <w:sz w:val="18"/>
              </w:rPr>
              <w:t>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人全基因组测序</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4"/>
              <w:ind w:left="-1" w:right="54"/>
              <w:jc w:val="left"/>
              <w:rPr>
                <w:rFonts w:ascii="宋体" w:hAnsi="宋体" w:cs="宋体" w:eastAsia="宋体" w:hint="default"/>
                <w:sz w:val="18"/>
                <w:szCs w:val="18"/>
              </w:rPr>
            </w:pPr>
            <w:r>
              <w:rPr>
                <w:rFonts w:ascii="宋体" w:hAnsi="宋体" w:cs="宋体" w:eastAsia="宋体" w:hint="default"/>
                <w:sz w:val="18"/>
                <w:szCs w:val="18"/>
              </w:rPr>
              <w:t>人全基因组测序（</w:t>
            </w:r>
            <w:r>
              <w:rPr>
                <w:rFonts w:ascii="Times New Roman" w:hAnsi="Times New Roman" w:cs="Times New Roman" w:eastAsia="Times New Roman" w:hint="default"/>
                <w:sz w:val="18"/>
                <w:szCs w:val="18"/>
              </w:rPr>
              <w:t>WGS</w:t>
            </w:r>
            <w:r>
              <w:rPr>
                <w:rFonts w:ascii="宋体" w:hAnsi="宋体" w:cs="宋体" w:eastAsia="宋体" w:hint="default"/>
                <w:sz w:val="18"/>
                <w:szCs w:val="18"/>
              </w:rPr>
              <w:t>，</w:t>
            </w:r>
            <w:r>
              <w:rPr>
                <w:rFonts w:ascii="Times New Roman" w:hAnsi="Times New Roman" w:cs="Times New Roman" w:eastAsia="Times New Roman" w:hint="default"/>
                <w:sz w:val="18"/>
                <w:szCs w:val="18"/>
              </w:rPr>
              <w:t>whole genome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sequencing</w:t>
            </w:r>
            <w:r>
              <w:rPr>
                <w:rFonts w:ascii="宋体" w:hAnsi="宋体" w:cs="宋体" w:eastAsia="宋体" w:hint="default"/>
                <w:sz w:val="18"/>
                <w:szCs w:val="18"/>
              </w:rPr>
              <w:t>）是对人类核 酸样品进行全基因组范围的测序，并在个体或群体水平进行差异 性分析的方法。相比芯片检测，全基因组测序可以全面的挖掘基 因序列差异和结构变异。华大基因利用自主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DNBSEQ</w:t>
            </w:r>
            <w:r>
              <w:rPr>
                <w:rFonts w:ascii="Times New Roman" w:hAnsi="Times New Roman" w:cs="Times New Roman" w:eastAsia="Times New Roman" w:hint="default"/>
                <w:position w:val="6"/>
                <w:sz w:val="12"/>
                <w:szCs w:val="12"/>
              </w:rPr>
              <w:t>TM</w:t>
            </w:r>
            <w:r>
              <w:rPr>
                <w:rFonts w:ascii="Times New Roman" w:hAnsi="Times New Roman" w:cs="Times New Roman" w:eastAsia="Times New Roman" w:hint="default"/>
                <w:spacing w:val="-1"/>
                <w:position w:val="6"/>
                <w:sz w:val="12"/>
                <w:szCs w:val="12"/>
              </w:rPr>
              <w:t> </w:t>
            </w:r>
            <w:r>
              <w:rPr>
                <w:rFonts w:ascii="宋体" w:hAnsi="宋体" w:cs="宋体" w:eastAsia="宋体" w:hint="default"/>
                <w:sz w:val="18"/>
                <w:szCs w:val="18"/>
              </w:rPr>
              <w:t>技术测</w:t>
            </w:r>
            <w:r>
              <w:rPr>
                <w:rFonts w:ascii="宋体" w:hAnsi="宋体" w:cs="宋体" w:eastAsia="宋体" w:hint="default"/>
                <w:w w:val="99"/>
                <w:sz w:val="18"/>
                <w:szCs w:val="18"/>
              </w:rPr>
              <w:t> </w:t>
            </w:r>
            <w:r>
              <w:rPr>
                <w:rFonts w:ascii="宋体" w:hAnsi="宋体" w:cs="宋体" w:eastAsia="宋体" w:hint="default"/>
                <w:sz w:val="18"/>
                <w:szCs w:val="18"/>
              </w:rPr>
              <w:t>序仪产生高质量的基因组数据；利用自主（单管）长片段</w:t>
            </w:r>
          </w:p>
          <w:p>
            <w:pPr>
              <w:pStyle w:val="TableParagraph"/>
              <w:spacing w:line="225" w:lineRule="auto" w:before="11"/>
              <w:ind w:left="-1" w:right="6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stLFR</w:t>
            </w:r>
            <w:r>
              <w:rPr>
                <w:rFonts w:ascii="宋体" w:hAnsi="宋体" w:cs="宋体" w:eastAsia="宋体" w:hint="default"/>
                <w:sz w:val="18"/>
                <w:szCs w:val="18"/>
              </w:rPr>
              <w:t>，</w:t>
            </w:r>
            <w:r>
              <w:rPr>
                <w:rFonts w:ascii="Times New Roman" w:hAnsi="Times New Roman" w:cs="Times New Roman" w:eastAsia="Times New Roman" w:hint="default"/>
                <w:sz w:val="18"/>
                <w:szCs w:val="18"/>
              </w:rPr>
              <w:t>single tube Long Fragment</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Read</w:t>
            </w:r>
            <w:r>
              <w:rPr>
                <w:rFonts w:ascii="宋体" w:hAnsi="宋体" w:cs="宋体" w:eastAsia="宋体" w:hint="default"/>
                <w:sz w:val="18"/>
                <w:szCs w:val="18"/>
              </w:rPr>
              <w:t>）建库技术，实现极小 量（</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纳克）的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就可高效地完成单倍型基因组测序；而自 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BGI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Online </w:t>
            </w:r>
            <w:r>
              <w:rPr>
                <w:rFonts w:ascii="宋体" w:hAnsi="宋体" w:cs="宋体" w:eastAsia="宋体" w:hint="default"/>
                <w:sz w:val="18"/>
                <w:szCs w:val="18"/>
              </w:rPr>
              <w:t>云计算平台和</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MegaBOLT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生信分析加速器，则为 海量的基因数据提供了高效的存储、计算、管理和传输方案。</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 w:right="20"/>
              <w:jc w:val="left"/>
              <w:rPr>
                <w:rFonts w:ascii="宋体" w:hAnsi="宋体" w:cs="宋体" w:eastAsia="宋体" w:hint="default"/>
                <w:sz w:val="18"/>
                <w:szCs w:val="18"/>
              </w:rPr>
            </w:pPr>
            <w:r>
              <w:rPr>
                <w:rFonts w:ascii="宋体" w:hAnsi="宋体" w:cs="宋体" w:eastAsia="宋体" w:hint="default"/>
                <w:sz w:val="18"/>
                <w:szCs w:val="18"/>
              </w:rPr>
              <w:t>主要用于遗传疾病检测、药物 基因组学研究、群体进化分 析、肿瘤研究、复杂疾病研 究。</w:t>
            </w:r>
          </w:p>
        </w:tc>
      </w:tr>
      <w:tr>
        <w:trPr>
          <w:trHeight w:val="1100" w:hRule="exact"/>
        </w:trPr>
        <w:tc>
          <w:tcPr>
            <w:tcW w:w="5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全外显子测序</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30" w:lineRule="auto"/>
              <w:ind w:left="-1" w:right="54"/>
              <w:jc w:val="left"/>
              <w:rPr>
                <w:rFonts w:ascii="宋体" w:hAnsi="宋体" w:cs="宋体" w:eastAsia="宋体" w:hint="default"/>
                <w:sz w:val="18"/>
                <w:szCs w:val="18"/>
              </w:rPr>
            </w:pPr>
            <w:r>
              <w:rPr>
                <w:rFonts w:ascii="宋体" w:hAnsi="宋体" w:cs="宋体" w:eastAsia="宋体" w:hint="default"/>
                <w:sz w:val="18"/>
                <w:szCs w:val="18"/>
              </w:rPr>
              <w:t>外显子仅占全基因组序列的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左右，却包括大多数与疾病相 关的变异。外显子测序不仅经济高效，数据阐释也更简单。在临 床领域和肿瘤研究方面，外显子有很多优势。</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28"/>
              <w:ind w:left="-1" w:right="20"/>
              <w:jc w:val="left"/>
              <w:rPr>
                <w:rFonts w:ascii="宋体" w:hAnsi="宋体" w:cs="宋体" w:eastAsia="宋体" w:hint="default"/>
                <w:sz w:val="18"/>
                <w:szCs w:val="18"/>
              </w:rPr>
            </w:pPr>
            <w:r>
              <w:rPr>
                <w:rFonts w:ascii="宋体" w:hAnsi="宋体" w:cs="宋体" w:eastAsia="宋体" w:hint="default"/>
                <w:sz w:val="18"/>
                <w:szCs w:val="18"/>
              </w:rPr>
              <w:t>主要用于遗传疾病检测、药物 基因组学研究、群体进化分 析、肿瘤研究、复杂疾病研 究。</w:t>
            </w:r>
          </w:p>
        </w:tc>
      </w:tr>
      <w:tr>
        <w:trPr>
          <w:trHeight w:val="2734" w:hRule="exact"/>
        </w:trPr>
        <w:tc>
          <w:tcPr>
            <w:tcW w:w="5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0"/>
              <w:jc w:val="center"/>
              <w:rPr>
                <w:rFonts w:ascii="Times New Roman" w:hAnsi="Times New Roman" w:cs="Times New Roman" w:eastAsia="Times New Roman" w:hint="default"/>
                <w:sz w:val="18"/>
                <w:szCs w:val="18"/>
              </w:rPr>
            </w:pPr>
            <w:r>
              <w:rPr>
                <w:rFonts w:ascii="Times New Roman"/>
                <w:sz w:val="18"/>
              </w:rPr>
              <w:t>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i/>
                <w:sz w:val="18"/>
                <w:szCs w:val="18"/>
              </w:rPr>
              <w:t>De novo</w:t>
            </w:r>
            <w:r>
              <w:rPr>
                <w:rFonts w:ascii="Times New Roman" w:hAnsi="Times New Roman" w:cs="Times New Roman" w:eastAsia="Times New Roman" w:hint="default"/>
                <w:i/>
                <w:spacing w:val="2"/>
                <w:sz w:val="18"/>
                <w:szCs w:val="18"/>
              </w:rPr>
              <w:t> </w:t>
            </w:r>
            <w:r>
              <w:rPr>
                <w:rFonts w:ascii="宋体" w:hAnsi="宋体" w:cs="宋体" w:eastAsia="宋体" w:hint="default"/>
                <w:sz w:val="18"/>
                <w:szCs w:val="18"/>
              </w:rPr>
              <w:t>测序</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6"/>
              <w:ind w:left="-1" w:right="53"/>
              <w:jc w:val="left"/>
              <w:rPr>
                <w:rFonts w:ascii="宋体" w:hAnsi="宋体" w:cs="宋体" w:eastAsia="宋体" w:hint="default"/>
                <w:sz w:val="18"/>
                <w:szCs w:val="18"/>
              </w:rPr>
            </w:pPr>
            <w:r>
              <w:rPr>
                <w:rFonts w:ascii="Times New Roman" w:hAnsi="Times New Roman" w:cs="Times New Roman" w:eastAsia="Times New Roman" w:hint="default"/>
                <w:b/>
                <w:bCs/>
                <w:i/>
                <w:sz w:val="18"/>
                <w:szCs w:val="18"/>
              </w:rPr>
              <w:t>De novo</w:t>
            </w:r>
            <w:r>
              <w:rPr>
                <w:rFonts w:ascii="Times New Roman" w:hAnsi="Times New Roman" w:cs="Times New Roman" w:eastAsia="Times New Roman" w:hint="default"/>
                <w:b/>
                <w:bCs/>
                <w:i/>
                <w:spacing w:val="-1"/>
                <w:sz w:val="18"/>
                <w:szCs w:val="18"/>
              </w:rPr>
              <w:t> </w:t>
            </w:r>
            <w:r>
              <w:rPr>
                <w:rFonts w:ascii="宋体" w:hAnsi="宋体" w:cs="宋体" w:eastAsia="宋体" w:hint="default"/>
                <w:sz w:val="18"/>
                <w:szCs w:val="18"/>
              </w:rPr>
              <w:t>测序即从头测序，不需要任何参考序列信息即可对某个 物种进行测序。用生物信息学分析方法进行拼接、组装，从而获 得该物种的基因组序列图谱。华大基因基于自主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DNBSEQ</w:t>
            </w:r>
            <w:r>
              <w:rPr>
                <w:rFonts w:ascii="Times New Roman" w:hAnsi="Times New Roman" w:cs="Times New Roman" w:eastAsia="Times New Roman" w:hint="default"/>
                <w:position w:val="6"/>
                <w:sz w:val="12"/>
                <w:szCs w:val="12"/>
              </w:rPr>
              <w:t>TM</w:t>
            </w:r>
            <w:r>
              <w:rPr>
                <w:rFonts w:ascii="Times New Roman" w:hAnsi="Times New Roman" w:cs="Times New Roman" w:eastAsia="Times New Roman" w:hint="default"/>
                <w:spacing w:val="-3"/>
                <w:position w:val="6"/>
                <w:sz w:val="12"/>
                <w:szCs w:val="12"/>
              </w:rPr>
              <w:t> </w:t>
            </w:r>
            <w:r>
              <w:rPr>
                <w:rFonts w:ascii="宋体" w:hAnsi="宋体" w:cs="宋体" w:eastAsia="宋体" w:hint="default"/>
                <w:sz w:val="18"/>
                <w:szCs w:val="18"/>
              </w:rPr>
              <w:t>技</w:t>
            </w:r>
            <w:r>
              <w:rPr>
                <w:rFonts w:ascii="宋体" w:hAnsi="宋体" w:cs="宋体" w:eastAsia="宋体" w:hint="default"/>
                <w:w w:val="99"/>
                <w:sz w:val="18"/>
                <w:szCs w:val="18"/>
              </w:rPr>
              <w:t> </w:t>
            </w:r>
            <w:r>
              <w:rPr>
                <w:rFonts w:ascii="宋体" w:hAnsi="宋体" w:cs="宋体" w:eastAsia="宋体" w:hint="default"/>
                <w:sz w:val="18"/>
                <w:szCs w:val="18"/>
              </w:rPr>
              <w:t>术的测序平台，结合其它先进技术和平台（如：</w:t>
            </w:r>
            <w:r>
              <w:rPr>
                <w:rFonts w:ascii="Times New Roman" w:hAnsi="Times New Roman" w:cs="Times New Roman" w:eastAsia="Times New Roman" w:hint="default"/>
                <w:sz w:val="18"/>
                <w:szCs w:val="18"/>
              </w:rPr>
              <w:t>stLFR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长片段建</w:t>
            </w:r>
            <w:r>
              <w:rPr>
                <w:rFonts w:ascii="宋体" w:hAnsi="宋体" w:cs="宋体" w:eastAsia="宋体" w:hint="default"/>
                <w:w w:val="100"/>
                <w:sz w:val="18"/>
                <w:szCs w:val="18"/>
              </w:rPr>
              <w:t> </w:t>
            </w:r>
            <w:r>
              <w:rPr>
                <w:rFonts w:ascii="宋体" w:hAnsi="宋体" w:cs="宋体" w:eastAsia="宋体" w:hint="default"/>
                <w:sz w:val="18"/>
                <w:szCs w:val="18"/>
              </w:rPr>
              <w:t>库技术、</w:t>
            </w:r>
            <w:r>
              <w:rPr>
                <w:rFonts w:ascii="Times New Roman" w:hAnsi="Times New Roman" w:cs="Times New Roman" w:eastAsia="Times New Roman" w:hint="default"/>
                <w:sz w:val="18"/>
                <w:szCs w:val="18"/>
              </w:rPr>
              <w:t>PacBio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Sequel</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Nanopore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PromethION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测序平台、基于 </w:t>
            </w:r>
            <w:r>
              <w:rPr>
                <w:rFonts w:ascii="Times New Roman" w:hAnsi="Times New Roman" w:cs="Times New Roman" w:eastAsia="Times New Roman" w:hint="default"/>
                <w:spacing w:val="-1"/>
                <w:sz w:val="18"/>
                <w:szCs w:val="18"/>
              </w:rPr>
              <w:t>Hi-C</w:t>
            </w:r>
            <w:r>
              <w:rPr>
                <w:rFonts w:ascii="Times New Roman" w:hAnsi="Times New Roman" w:cs="Times New Roman" w:eastAsia="Times New Roman" w:hint="default"/>
                <w:sz w:val="18"/>
                <w:szCs w:val="18"/>
              </w:rPr>
              <w:t> </w:t>
            </w:r>
            <w:r>
              <w:rPr>
                <w:rFonts w:ascii="宋体" w:hAnsi="宋体" w:cs="宋体" w:eastAsia="宋体" w:hint="default"/>
                <w:spacing w:val="-1"/>
                <w:w w:val="100"/>
                <w:sz w:val="18"/>
                <w:szCs w:val="18"/>
              </w:rPr>
              <w:t>的辅助基因组组装技术、</w:t>
            </w:r>
            <w:r>
              <w:rPr>
                <w:rFonts w:ascii="Times New Roman" w:hAnsi="Times New Roman" w:cs="Times New Roman" w:eastAsia="Times New Roman" w:hint="default"/>
                <w:spacing w:val="-1"/>
                <w:w w:val="100"/>
                <w:sz w:val="18"/>
                <w:szCs w:val="18"/>
              </w:rPr>
              <w:t>Bionano</w:t>
            </w:r>
            <w:r>
              <w:rPr>
                <w:rFonts w:ascii="Times New Roman" w:hAnsi="Times New Roman" w:cs="Times New Roman" w:eastAsia="Times New Roman" w:hint="default"/>
                <w:w w:val="100"/>
                <w:sz w:val="18"/>
                <w:szCs w:val="18"/>
              </w:rPr>
              <w:t> </w:t>
            </w:r>
            <w:r>
              <w:rPr>
                <w:rFonts w:ascii="宋体" w:hAnsi="宋体" w:cs="宋体" w:eastAsia="宋体" w:hint="default"/>
                <w:spacing w:val="-9"/>
                <w:sz w:val="18"/>
                <w:szCs w:val="18"/>
              </w:rPr>
              <w:t>光学图谱技术等），再利</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用自主研发的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SOAPdenovo</w:t>
            </w:r>
            <w:r>
              <w:rPr>
                <w:rFonts w:ascii="宋体" w:hAnsi="宋体" w:cs="宋体" w:eastAsia="宋体" w:hint="default"/>
                <w:sz w:val="18"/>
                <w:szCs w:val="18"/>
              </w:rPr>
              <w:t>、</w:t>
            </w:r>
            <w:r>
              <w:rPr>
                <w:rFonts w:ascii="Times New Roman" w:hAnsi="Times New Roman" w:cs="Times New Roman" w:eastAsia="Times New Roman" w:hint="default"/>
                <w:sz w:val="18"/>
                <w:szCs w:val="18"/>
              </w:rPr>
              <w:t>SOAPdenovo2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等生物信息分析软件 进行组装，从而获得高质量的全基因组序列图谱。基因组图谱完 成后，可以对基因组进行注释、研究物种起源进化历史，还可以 搭建该物种的基因组数据库，为后续的基因挖掘、功能验证等提 供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序列信息。</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 w:right="20"/>
              <w:jc w:val="left"/>
              <w:rPr>
                <w:rFonts w:ascii="宋体" w:hAnsi="宋体" w:cs="宋体" w:eastAsia="宋体" w:hint="default"/>
                <w:sz w:val="18"/>
                <w:szCs w:val="18"/>
              </w:rPr>
            </w:pPr>
            <w:r>
              <w:rPr>
                <w:rFonts w:ascii="宋体" w:hAnsi="宋体" w:cs="宋体" w:eastAsia="宋体" w:hint="default"/>
                <w:sz w:val="18"/>
                <w:szCs w:val="18"/>
              </w:rPr>
              <w:t>主要用于获得物种的参考序 列、研究物种起源与进化历 史、挖掘功能基因、搭建物种 数据库。</w:t>
            </w:r>
          </w:p>
        </w:tc>
      </w:tr>
      <w:tr>
        <w:trPr>
          <w:trHeight w:val="644" w:hRule="exact"/>
        </w:trPr>
        <w:tc>
          <w:tcPr>
            <w:tcW w:w="55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567" w:type="dxa"/>
            <w:tcBorders>
              <w:top w:val="single" w:sz="4" w:space="0" w:color="000000"/>
              <w:left w:val="single" w:sz="4" w:space="0" w:color="000000"/>
              <w:bottom w:val="single" w:sz="12" w:space="0" w:color="000000"/>
              <w:right w:val="single" w:sz="4" w:space="0" w:color="000000"/>
            </w:tcBorders>
          </w:tcPr>
          <w:p>
            <w:pPr>
              <w:pStyle w:val="TableParagraph"/>
              <w:spacing w:line="232" w:lineRule="exact" w:before="153"/>
              <w:ind w:left="597" w:right="57" w:hanging="540"/>
              <w:jc w:val="left"/>
              <w:rPr>
                <w:rFonts w:ascii="宋体" w:hAnsi="宋体" w:cs="宋体" w:eastAsia="宋体" w:hint="default"/>
                <w:sz w:val="18"/>
                <w:szCs w:val="18"/>
              </w:rPr>
            </w:pPr>
            <w:r>
              <w:rPr>
                <w:rFonts w:ascii="宋体" w:hAnsi="宋体" w:cs="宋体" w:eastAsia="宋体" w:hint="default"/>
                <w:sz w:val="18"/>
                <w:szCs w:val="18"/>
              </w:rPr>
              <w:t>动植物全基因组重 测序</w:t>
            </w:r>
          </w:p>
        </w:tc>
        <w:tc>
          <w:tcPr>
            <w:tcW w:w="5106" w:type="dxa"/>
            <w:tcBorders>
              <w:top w:val="single" w:sz="4" w:space="0" w:color="000000"/>
              <w:left w:val="single" w:sz="4" w:space="0" w:color="000000"/>
              <w:bottom w:val="single" w:sz="12" w:space="0" w:color="000000"/>
              <w:right w:val="single" w:sz="4" w:space="0" w:color="000000"/>
            </w:tcBorders>
          </w:tcPr>
          <w:p>
            <w:pPr>
              <w:pStyle w:val="TableParagraph"/>
              <w:spacing w:line="232" w:lineRule="exact" w:before="153"/>
              <w:ind w:left="-1" w:right="54"/>
              <w:jc w:val="left"/>
              <w:rPr>
                <w:rFonts w:ascii="宋体" w:hAnsi="宋体" w:cs="宋体" w:eastAsia="宋体" w:hint="default"/>
                <w:sz w:val="18"/>
                <w:szCs w:val="18"/>
              </w:rPr>
            </w:pPr>
            <w:r>
              <w:rPr>
                <w:rFonts w:ascii="宋体" w:hAnsi="宋体" w:cs="宋体" w:eastAsia="宋体" w:hint="default"/>
                <w:sz w:val="18"/>
                <w:szCs w:val="18"/>
              </w:rPr>
              <w:t>动植物全基因组重测序是对已知基因组序列的物种进行基因组测 序，并在此基础上完成个体或群体分析。全基因组重测序通过序</w:t>
            </w:r>
          </w:p>
        </w:tc>
        <w:tc>
          <w:tcPr>
            <w:tcW w:w="2381" w:type="dxa"/>
            <w:tcBorders>
              <w:top w:val="single" w:sz="4" w:space="0" w:color="000000"/>
              <w:left w:val="single" w:sz="4" w:space="0" w:color="000000"/>
              <w:bottom w:val="single" w:sz="12" w:space="0" w:color="000000"/>
              <w:right w:val="single" w:sz="12" w:space="0" w:color="000000"/>
            </w:tcBorders>
          </w:tcPr>
          <w:p>
            <w:pPr>
              <w:pStyle w:val="TableParagraph"/>
              <w:spacing w:line="232" w:lineRule="exact" w:before="153"/>
              <w:ind w:left="-1" w:right="20"/>
              <w:jc w:val="left"/>
              <w:rPr>
                <w:rFonts w:ascii="宋体" w:hAnsi="宋体" w:cs="宋体" w:eastAsia="宋体" w:hint="default"/>
                <w:sz w:val="18"/>
                <w:szCs w:val="18"/>
              </w:rPr>
            </w:pPr>
            <w:r>
              <w:rPr>
                <w:rFonts w:ascii="宋体" w:hAnsi="宋体" w:cs="宋体" w:eastAsia="宋体" w:hint="default"/>
                <w:sz w:val="18"/>
                <w:szCs w:val="18"/>
              </w:rPr>
              <w:t>主要用于群体遗传学研究、目 标性状基因挖掘、动植物核心</w:t>
            </w:r>
          </w:p>
        </w:tc>
      </w:tr>
    </w:tbl>
    <w:p>
      <w:pPr>
        <w:spacing w:after="0" w:line="232" w:lineRule="exact"/>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557"/>
        <w:gridCol w:w="1567"/>
        <w:gridCol w:w="5106"/>
        <w:gridCol w:w="2381"/>
      </w:tblGrid>
      <w:tr>
        <w:trPr>
          <w:trHeight w:val="411" w:hRule="exact"/>
        </w:trPr>
        <w:tc>
          <w:tcPr>
            <w:tcW w:w="55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主要产品名称</w:t>
            </w:r>
            <w:r>
              <w:rPr>
                <w:rFonts w:ascii="宋体" w:hAnsi="宋体" w:cs="宋体" w:eastAsia="宋体" w:hint="default"/>
                <w:sz w:val="18"/>
                <w:szCs w:val="18"/>
              </w:rPr>
            </w:r>
          </w:p>
        </w:tc>
        <w:tc>
          <w:tcPr>
            <w:tcW w:w="51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238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2131" w:hRule="exact"/>
        </w:trPr>
        <w:tc>
          <w:tcPr>
            <w:tcW w:w="557" w:type="dxa"/>
            <w:tcBorders>
              <w:top w:val="single" w:sz="4" w:space="0" w:color="000000"/>
              <w:left w:val="single" w:sz="12"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 w:right="0"/>
              <w:jc w:val="left"/>
              <w:rPr>
                <w:rFonts w:ascii="宋体" w:hAnsi="宋体" w:cs="宋体" w:eastAsia="宋体" w:hint="default"/>
                <w:sz w:val="18"/>
                <w:szCs w:val="18"/>
              </w:rPr>
            </w:pPr>
            <w:r>
              <w:rPr>
                <w:rFonts w:ascii="宋体" w:hAnsi="宋体" w:cs="宋体" w:eastAsia="宋体" w:hint="default"/>
                <w:sz w:val="18"/>
                <w:szCs w:val="18"/>
              </w:rPr>
              <w:t>列比对，可以检测到大量变异信息，包括单核苷酸多态性位点</w:t>
            </w:r>
          </w:p>
          <w:p>
            <w:pPr>
              <w:pStyle w:val="TableParagraph"/>
              <w:spacing w:line="232" w:lineRule="auto" w:before="6"/>
              <w:ind w:left="-1" w:right="22"/>
              <w:jc w:val="left"/>
              <w:rPr>
                <w:rFonts w:ascii="宋体" w:hAnsi="宋体" w:cs="宋体" w:eastAsia="宋体" w:hint="default"/>
                <w:sz w:val="18"/>
                <w:szCs w:val="18"/>
              </w:rPr>
            </w:pPr>
            <w:r>
              <w:rPr>
                <w:rFonts w:ascii="宋体" w:hAnsi="宋体" w:cs="宋体" w:eastAsia="宋体" w:hint="default"/>
                <w:spacing w:val="-5"/>
                <w:w w:val="100"/>
                <w:sz w:val="18"/>
                <w:szCs w:val="18"/>
              </w:rPr>
              <w:t>（</w:t>
            </w:r>
            <w:r>
              <w:rPr>
                <w:rFonts w:ascii="Times New Roman" w:hAnsi="Times New Roman" w:cs="Times New Roman" w:eastAsia="Times New Roman" w:hint="default"/>
                <w:spacing w:val="-5"/>
                <w:w w:val="100"/>
                <w:sz w:val="18"/>
                <w:szCs w:val="18"/>
              </w:rPr>
              <w:t>SNP</w:t>
            </w:r>
            <w:r>
              <w:rPr>
                <w:rFonts w:ascii="宋体" w:hAnsi="宋体" w:cs="宋体" w:eastAsia="宋体" w:hint="default"/>
                <w:spacing w:val="-5"/>
                <w:w w:val="100"/>
                <w:sz w:val="18"/>
                <w:szCs w:val="18"/>
              </w:rPr>
              <w:t>）、插入缺失位点（</w:t>
            </w:r>
            <w:r>
              <w:rPr>
                <w:rFonts w:ascii="Times New Roman" w:hAnsi="Times New Roman" w:cs="Times New Roman" w:eastAsia="Times New Roman" w:hint="default"/>
                <w:spacing w:val="-5"/>
                <w:w w:val="100"/>
                <w:sz w:val="18"/>
                <w:szCs w:val="18"/>
              </w:rPr>
              <w:t>InDel</w:t>
            </w:r>
            <w:r>
              <w:rPr>
                <w:rFonts w:ascii="宋体" w:hAnsi="宋体" w:cs="宋体" w:eastAsia="宋体" w:hint="default"/>
                <w:spacing w:val="-5"/>
                <w:w w:val="100"/>
                <w:sz w:val="18"/>
                <w:szCs w:val="18"/>
              </w:rPr>
              <w:t>，</w:t>
            </w:r>
            <w:r>
              <w:rPr>
                <w:rFonts w:ascii="Times New Roman" w:hAnsi="Times New Roman" w:cs="Times New Roman" w:eastAsia="Times New Roman" w:hint="default"/>
                <w:spacing w:val="-5"/>
                <w:w w:val="100"/>
                <w:sz w:val="18"/>
                <w:szCs w:val="18"/>
              </w:rPr>
              <w:t>Insertion/Deletion</w:t>
            </w:r>
            <w:r>
              <w:rPr>
                <w:rFonts w:ascii="宋体" w:hAnsi="宋体" w:cs="宋体" w:eastAsia="宋体" w:hint="default"/>
                <w:spacing w:val="-5"/>
                <w:w w:val="100"/>
                <w:sz w:val="18"/>
                <w:szCs w:val="18"/>
              </w:rPr>
              <w:t>）、结构变异</w:t>
            </w:r>
            <w:r>
              <w:rPr>
                <w:rFonts w:ascii="宋体" w:hAnsi="宋体" w:cs="宋体" w:eastAsia="宋体" w:hint="default"/>
                <w:spacing w:val="-64"/>
                <w:w w:val="100"/>
                <w:sz w:val="18"/>
                <w:szCs w:val="18"/>
              </w:rPr>
              <w:t> </w:t>
            </w:r>
            <w:r>
              <w:rPr>
                <w:rFonts w:ascii="宋体" w:hAnsi="宋体" w:cs="宋体" w:eastAsia="宋体" w:hint="default"/>
                <w:spacing w:val="-64"/>
                <w:w w:val="100"/>
                <w:sz w:val="18"/>
                <w:szCs w:val="18"/>
              </w:rPr>
            </w:r>
            <w:r>
              <w:rPr>
                <w:rFonts w:ascii="宋体" w:hAnsi="宋体" w:cs="宋体" w:eastAsia="宋体" w:hint="default"/>
                <w:w w:val="100"/>
                <w:sz w:val="18"/>
                <w:szCs w:val="18"/>
              </w:rPr>
              <w:t>位点（</w:t>
            </w:r>
            <w:r>
              <w:rPr>
                <w:rFonts w:ascii="Times New Roman" w:hAnsi="Times New Roman" w:cs="Times New Roman" w:eastAsia="Times New Roman" w:hint="default"/>
                <w:w w:val="100"/>
                <w:sz w:val="18"/>
                <w:szCs w:val="18"/>
              </w:rPr>
              <w:t>SV</w:t>
            </w:r>
            <w:r>
              <w:rPr>
                <w:rFonts w:ascii="宋体" w:hAnsi="宋体" w:cs="宋体" w:eastAsia="宋体" w:hint="default"/>
                <w:w w:val="100"/>
                <w:sz w:val="18"/>
                <w:szCs w:val="18"/>
              </w:rPr>
              <w:t>，</w:t>
            </w:r>
            <w:r>
              <w:rPr>
                <w:rFonts w:ascii="Times New Roman" w:hAnsi="Times New Roman" w:cs="Times New Roman" w:eastAsia="Times New Roman" w:hint="default"/>
                <w:w w:val="100"/>
                <w:sz w:val="18"/>
                <w:szCs w:val="18"/>
              </w:rPr>
              <w:t>Structure </w:t>
            </w:r>
            <w:r>
              <w:rPr>
                <w:rFonts w:ascii="Times New Roman" w:hAnsi="Times New Roman" w:cs="Times New Roman" w:eastAsia="Times New Roman" w:hint="default"/>
                <w:spacing w:val="-5"/>
                <w:w w:val="100"/>
                <w:sz w:val="18"/>
                <w:szCs w:val="18"/>
              </w:rPr>
              <w:t>Variation</w:t>
            </w:r>
            <w:r>
              <w:rPr>
                <w:rFonts w:ascii="宋体" w:hAnsi="宋体" w:cs="宋体" w:eastAsia="宋体" w:hint="default"/>
                <w:spacing w:val="-5"/>
                <w:w w:val="100"/>
                <w:sz w:val="18"/>
                <w:szCs w:val="18"/>
              </w:rPr>
              <w:t>）、拷贝数变异位（</w:t>
            </w:r>
            <w:r>
              <w:rPr>
                <w:rFonts w:ascii="Times New Roman" w:hAnsi="Times New Roman" w:cs="Times New Roman" w:eastAsia="Times New Roman" w:hint="default"/>
                <w:spacing w:val="-5"/>
                <w:w w:val="100"/>
                <w:sz w:val="18"/>
                <w:szCs w:val="18"/>
              </w:rPr>
              <w:t>CNV</w:t>
            </w:r>
            <w:r>
              <w:rPr>
                <w:rFonts w:ascii="宋体" w:hAnsi="宋体" w:cs="宋体" w:eastAsia="宋体" w:hint="default"/>
                <w:spacing w:val="-5"/>
                <w:w w:val="100"/>
                <w:sz w:val="18"/>
                <w:szCs w:val="18"/>
              </w:rPr>
              <w:t>，</w:t>
            </w:r>
            <w:r>
              <w:rPr>
                <w:rFonts w:ascii="Times New Roman" w:hAnsi="Times New Roman" w:cs="Times New Roman" w:eastAsia="Times New Roman" w:hint="default"/>
                <w:spacing w:val="-5"/>
                <w:w w:val="100"/>
                <w:sz w:val="18"/>
                <w:szCs w:val="18"/>
              </w:rPr>
              <w:t>Copy</w:t>
            </w:r>
            <w:r>
              <w:rPr>
                <w:rFonts w:ascii="Times New Roman" w:hAnsi="Times New Roman" w:cs="Times New Roman" w:eastAsia="Times New Roman" w:hint="default"/>
                <w:spacing w:val="-34"/>
                <w:w w:val="100"/>
                <w:sz w:val="18"/>
                <w:szCs w:val="18"/>
              </w:rPr>
              <w:t> </w:t>
            </w:r>
            <w:r>
              <w:rPr>
                <w:rFonts w:ascii="Times New Roman" w:hAnsi="Times New Roman" w:cs="Times New Roman" w:eastAsia="Times New Roman" w:hint="default"/>
                <w:spacing w:val="-34"/>
                <w:w w:val="100"/>
                <w:sz w:val="18"/>
                <w:szCs w:val="18"/>
              </w:rPr>
            </w:r>
            <w:r>
              <w:rPr>
                <w:rFonts w:ascii="Times New Roman" w:hAnsi="Times New Roman" w:cs="Times New Roman" w:eastAsia="Times New Roman" w:hint="default"/>
                <w:sz w:val="18"/>
                <w:szCs w:val="18"/>
              </w:rPr>
              <w:t>Number</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Variation</w:t>
            </w:r>
            <w:r>
              <w:rPr>
                <w:rFonts w:ascii="宋体" w:hAnsi="宋体" w:cs="宋体" w:eastAsia="宋体" w:hint="default"/>
                <w:sz w:val="18"/>
                <w:szCs w:val="18"/>
              </w:rPr>
              <w:t>）等，获得同一物种不同个体的遗传变异图谱。 基于检测到的变异能进一步的阐述该物种特有的生物学信息。随 着测序成本降低和已知基因组序列物种的增多，全基因组重测序 已经成为动植物分子育种、群体进化研究中最为迅速有效的方法 之一。全基因组重测序技术有助于快速发现与动植物重要性状相 关的遗传变异，应用于分子育种中，缩短育种周期。</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32" w:lineRule="auto"/>
              <w:ind w:left="-1" w:right="149"/>
              <w:jc w:val="both"/>
              <w:rPr>
                <w:rFonts w:ascii="宋体" w:hAnsi="宋体" w:cs="宋体" w:eastAsia="宋体" w:hint="default"/>
                <w:sz w:val="18"/>
                <w:szCs w:val="18"/>
              </w:rPr>
            </w:pPr>
            <w:r>
              <w:rPr>
                <w:rFonts w:ascii="宋体" w:hAnsi="宋体" w:cs="宋体" w:eastAsia="宋体" w:hint="default"/>
                <w:sz w:val="18"/>
                <w:szCs w:val="18"/>
              </w:rPr>
              <w:t>资源普查、物种</w:t>
            </w:r>
            <w:r>
              <w:rPr>
                <w:rFonts w:ascii="Times New Roman" w:hAnsi="Times New Roman" w:cs="Times New Roman" w:eastAsia="Times New Roman" w:hint="default"/>
                <w:sz w:val="18"/>
                <w:szCs w:val="18"/>
              </w:rPr>
              <w:t>/</w:t>
            </w:r>
            <w:r>
              <w:rPr>
                <w:rFonts w:ascii="宋体" w:hAnsi="宋体" w:cs="宋体" w:eastAsia="宋体" w:hint="default"/>
                <w:sz w:val="18"/>
                <w:szCs w:val="18"/>
              </w:rPr>
              <w:t>品种鉴定、 分子标记开发及辅助选择育 种、变异图谱构建。</w:t>
            </w:r>
          </w:p>
        </w:tc>
      </w:tr>
      <w:tr>
        <w:trPr>
          <w:trHeight w:val="2033" w:hRule="exact"/>
        </w:trPr>
        <w:tc>
          <w:tcPr>
            <w:tcW w:w="5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转录组测序</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4"/>
              <w:ind w:left="-1" w:right="27"/>
              <w:jc w:val="left"/>
              <w:rPr>
                <w:rFonts w:ascii="宋体" w:hAnsi="宋体" w:cs="宋体" w:eastAsia="宋体" w:hint="default"/>
                <w:sz w:val="18"/>
                <w:szCs w:val="18"/>
              </w:rPr>
            </w:pPr>
            <w:r>
              <w:rPr>
                <w:rFonts w:ascii="宋体" w:hAnsi="宋体" w:cs="宋体" w:eastAsia="宋体" w:hint="default"/>
                <w:sz w:val="18"/>
                <w:szCs w:val="18"/>
              </w:rPr>
              <w:t>转录组测序的研究对象为特定细胞在某一功能状态下所能转录出 来的所有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的总和，目前该测序技术主要针对具有编码基因 功能的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mRNA</w:t>
            </w:r>
            <w:r>
              <w:rPr>
                <w:rFonts w:ascii="宋体" w:hAnsi="宋体" w:cs="宋体" w:eastAsia="宋体" w:hint="default"/>
                <w:sz w:val="18"/>
                <w:szCs w:val="18"/>
              </w:rPr>
              <w:t>。转录组测序技术可以检测基因表达水平的变化， 同时还能发现未知转录本和稀有转录本，精确地识别可变剪切位 点、基因融合、</w:t>
            </w:r>
            <w:r>
              <w:rPr>
                <w:rFonts w:ascii="Times New Roman" w:hAnsi="Times New Roman" w:cs="Times New Roman" w:eastAsia="Times New Roman" w:hint="default"/>
                <w:sz w:val="18"/>
                <w:szCs w:val="18"/>
              </w:rPr>
              <w:t>SNP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编辑位点，提供最全面的转录组 信息。利用基于自主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DNBSEQ</w:t>
            </w:r>
            <w:r>
              <w:rPr>
                <w:rFonts w:ascii="Times New Roman" w:hAnsi="Times New Roman" w:cs="Times New Roman" w:eastAsia="Times New Roman" w:hint="default"/>
                <w:position w:val="6"/>
                <w:sz w:val="12"/>
                <w:szCs w:val="12"/>
              </w:rPr>
              <w:t>TM</w:t>
            </w:r>
            <w:r>
              <w:rPr>
                <w:rFonts w:ascii="Times New Roman" w:hAnsi="Times New Roman" w:cs="Times New Roman" w:eastAsia="Times New Roman" w:hint="default"/>
                <w:spacing w:val="-2"/>
                <w:position w:val="6"/>
                <w:sz w:val="12"/>
                <w:szCs w:val="12"/>
              </w:rPr>
              <w:t> </w:t>
            </w:r>
            <w:r>
              <w:rPr>
                <w:rFonts w:ascii="宋体" w:hAnsi="宋体" w:cs="宋体" w:eastAsia="宋体" w:hint="default"/>
                <w:sz w:val="18"/>
                <w:szCs w:val="18"/>
              </w:rPr>
              <w:t>技术的测序平台、</w:t>
            </w:r>
            <w:r>
              <w:rPr>
                <w:rFonts w:ascii="Times New Roman" w:hAnsi="Times New Roman" w:cs="Times New Roman" w:eastAsia="Times New Roman" w:hint="default"/>
                <w:sz w:val="18"/>
                <w:szCs w:val="18"/>
              </w:rPr>
              <w:t>Dr.</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5"/>
                <w:sz w:val="18"/>
                <w:szCs w:val="18"/>
              </w:rPr>
              <w:t>Tom </w:t>
            </w:r>
            <w:r>
              <w:rPr>
                <w:rFonts w:ascii="宋体" w:hAnsi="宋体" w:cs="宋体" w:eastAsia="宋体" w:hint="default"/>
                <w:sz w:val="18"/>
                <w:szCs w:val="18"/>
              </w:rPr>
              <w:t>交互 式报告系统，华大基因可以提供快速、简便、高效、经济的转录 组测序产品。</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1" w:right="20"/>
              <w:jc w:val="both"/>
              <w:rPr>
                <w:rFonts w:ascii="宋体" w:hAnsi="宋体" w:cs="宋体" w:eastAsia="宋体" w:hint="default"/>
                <w:sz w:val="18"/>
                <w:szCs w:val="18"/>
              </w:rPr>
            </w:pPr>
            <w:r>
              <w:rPr>
                <w:rFonts w:ascii="宋体" w:hAnsi="宋体" w:cs="宋体" w:eastAsia="宋体" w:hint="default"/>
                <w:sz w:val="18"/>
                <w:szCs w:val="18"/>
              </w:rPr>
              <w:t>主要用于疾病发生机制研究、 免疫应答干细胞研究、生命调 节机理研究、疾病标志物的寻 找、药物靶点研究。</w:t>
            </w:r>
          </w:p>
        </w:tc>
      </w:tr>
      <w:tr>
        <w:trPr>
          <w:trHeight w:val="1567" w:hRule="exact"/>
        </w:trPr>
        <w:tc>
          <w:tcPr>
            <w:tcW w:w="5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RNA-Seq</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4"/>
              <w:ind w:left="-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RNA-Seq</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是直接对某一物种或特定细胞在某一功能状态下产生的 </w:t>
            </w:r>
            <w:r>
              <w:rPr>
                <w:rFonts w:ascii="Times New Roman" w:hAnsi="Times New Roman" w:cs="Times New Roman" w:eastAsia="Times New Roman" w:hint="default"/>
                <w:sz w:val="18"/>
                <w:szCs w:val="18"/>
              </w:rPr>
              <w:t>mRNA</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进行高通量测序，用来研究基因的表达差异情况，已经广 </w:t>
            </w:r>
            <w:r>
              <w:rPr>
                <w:rFonts w:ascii="宋体" w:hAnsi="宋体" w:cs="宋体" w:eastAsia="宋体" w:hint="default"/>
                <w:spacing w:val="-5"/>
                <w:sz w:val="18"/>
                <w:szCs w:val="18"/>
              </w:rPr>
              <w:t>泛应用于基础研究、临床研究和药物研发等领域。相比转录组，更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加侧重基因定量研究。相比表达谱芯片，</w:t>
            </w:r>
            <w:r>
              <w:rPr>
                <w:rFonts w:ascii="Times New Roman" w:hAnsi="Times New Roman" w:cs="Times New Roman" w:eastAsia="Times New Roman" w:hint="default"/>
                <w:sz w:val="18"/>
                <w:szCs w:val="18"/>
              </w:rPr>
              <w:t>RNA-Seq</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的优势是使用 </w:t>
            </w:r>
            <w:r>
              <w:rPr>
                <w:rFonts w:ascii="宋体" w:hAnsi="宋体" w:cs="宋体" w:eastAsia="宋体" w:hint="default"/>
                <w:spacing w:val="-5"/>
                <w:sz w:val="18"/>
                <w:szCs w:val="18"/>
              </w:rPr>
              <w:t>数字化信号，无背景噪音，无交叉杂交，没有物种限制，能发现未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知基因和低丰度基因，还能发现新基因。</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auto" w:before="129"/>
              <w:ind w:left="-1" w:right="-29"/>
              <w:jc w:val="both"/>
              <w:rPr>
                <w:rFonts w:ascii="宋体" w:hAnsi="宋体" w:cs="宋体" w:eastAsia="宋体" w:hint="default"/>
                <w:sz w:val="18"/>
                <w:szCs w:val="18"/>
              </w:rPr>
            </w:pPr>
            <w:r>
              <w:rPr>
                <w:rFonts w:ascii="宋体" w:hAnsi="宋体" w:cs="宋体" w:eastAsia="宋体" w:hint="default"/>
                <w:sz w:val="18"/>
                <w:szCs w:val="18"/>
              </w:rPr>
              <w:t>主要用于系统进化</w:t>
            </w:r>
            <w:r>
              <w:rPr>
                <w:rFonts w:ascii="Times New Roman" w:hAnsi="Times New Roman" w:cs="Times New Roman" w:eastAsia="Times New Roman" w:hint="default"/>
                <w:sz w:val="18"/>
                <w:szCs w:val="18"/>
              </w:rPr>
              <w:t>/</w:t>
            </w:r>
            <w:r>
              <w:rPr>
                <w:rFonts w:ascii="宋体" w:hAnsi="宋体" w:cs="宋体" w:eastAsia="宋体" w:hint="default"/>
                <w:sz w:val="18"/>
                <w:szCs w:val="18"/>
              </w:rPr>
              <w:t>物种起源、 生长发育、抗逆及致病机理研</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2"/>
                <w:sz w:val="18"/>
                <w:szCs w:val="18"/>
              </w:rPr>
              <w:t>究、生物标记（分子育种）等研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究。</w:t>
            </w:r>
          </w:p>
        </w:tc>
      </w:tr>
      <w:tr>
        <w:trPr>
          <w:trHeight w:val="1565" w:hRule="exact"/>
        </w:trPr>
        <w:tc>
          <w:tcPr>
            <w:tcW w:w="5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蛋白质组定量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DIA</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35" w:lineRule="auto"/>
              <w:ind w:left="-1" w:right="3"/>
              <w:jc w:val="both"/>
              <w:rPr>
                <w:rFonts w:ascii="宋体" w:hAnsi="宋体" w:cs="宋体" w:eastAsia="宋体" w:hint="default"/>
                <w:sz w:val="18"/>
                <w:szCs w:val="18"/>
              </w:rPr>
            </w:pPr>
            <w:r>
              <w:rPr>
                <w:rFonts w:ascii="宋体" w:hAnsi="宋体" w:cs="宋体" w:eastAsia="宋体" w:hint="default"/>
                <w:spacing w:val="-4"/>
                <w:w w:val="99"/>
                <w:sz w:val="18"/>
                <w:szCs w:val="18"/>
              </w:rPr>
              <w:t>通过数据非依赖性采集技术（</w:t>
            </w:r>
            <w:r>
              <w:rPr>
                <w:rFonts w:ascii="Times New Roman" w:hAnsi="Times New Roman" w:cs="Times New Roman" w:eastAsia="Times New Roman" w:hint="default"/>
                <w:spacing w:val="-4"/>
                <w:w w:val="99"/>
                <w:sz w:val="18"/>
                <w:szCs w:val="18"/>
              </w:rPr>
              <w:t>DIA</w:t>
            </w:r>
            <w:r>
              <w:rPr>
                <w:rFonts w:ascii="宋体" w:hAnsi="宋体" w:cs="宋体" w:eastAsia="宋体" w:hint="default"/>
                <w:spacing w:val="-4"/>
                <w:w w:val="99"/>
                <w:sz w:val="18"/>
                <w:szCs w:val="18"/>
              </w:rPr>
              <w:t>），对蛋白质组进行定量研究。</w:t>
            </w:r>
            <w:r>
              <w:rPr>
                <w:rFonts w:ascii="宋体" w:hAnsi="宋体" w:cs="宋体" w:eastAsia="宋体" w:hint="default"/>
                <w:spacing w:val="-61"/>
                <w:w w:val="99"/>
                <w:sz w:val="18"/>
                <w:szCs w:val="18"/>
              </w:rPr>
              <w:t> </w:t>
            </w:r>
            <w:r>
              <w:rPr>
                <w:rFonts w:ascii="宋体" w:hAnsi="宋体" w:cs="宋体" w:eastAsia="宋体" w:hint="default"/>
                <w:spacing w:val="-61"/>
                <w:w w:val="99"/>
                <w:sz w:val="18"/>
                <w:szCs w:val="18"/>
              </w:rPr>
            </w:r>
            <w:r>
              <w:rPr>
                <w:rFonts w:ascii="宋体" w:hAnsi="宋体" w:cs="宋体" w:eastAsia="宋体" w:hint="default"/>
                <w:sz w:val="18"/>
                <w:szCs w:val="18"/>
              </w:rPr>
              <w:t>公司利用高精度质谱平台，结合相关的分析软件，大规模并行处 理多样本，进行精确蛋白质组学定量研究，可进行蛋白表达差异 和功能分析，高效寻找候选标志物。该产品可达到通量高、速度 快、结果准的分析效果。</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28"/>
              <w:ind w:left="-1" w:right="20"/>
              <w:jc w:val="both"/>
              <w:rPr>
                <w:rFonts w:ascii="宋体" w:hAnsi="宋体" w:cs="宋体" w:eastAsia="宋体" w:hint="default"/>
                <w:sz w:val="18"/>
                <w:szCs w:val="18"/>
              </w:rPr>
            </w:pPr>
            <w:r>
              <w:rPr>
                <w:rFonts w:ascii="宋体" w:hAnsi="宋体" w:cs="宋体" w:eastAsia="宋体" w:hint="default"/>
                <w:sz w:val="18"/>
                <w:szCs w:val="18"/>
              </w:rPr>
              <w:t>用于蛋白质组学定量研究，寻 找候选蛋白标志物，尤适合多 样本个体化蛋白质组学研究， 为揭示生命调控机理研究提供 强有力的蛋白质组技术挖掘工 具。</w:t>
            </w:r>
          </w:p>
        </w:tc>
      </w:tr>
      <w:tr>
        <w:trPr>
          <w:trHeight w:val="1334" w:hRule="exact"/>
        </w:trPr>
        <w:tc>
          <w:tcPr>
            <w:tcW w:w="5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代谢全谱分析</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1" w:right="54"/>
              <w:jc w:val="both"/>
              <w:rPr>
                <w:rFonts w:ascii="宋体" w:hAnsi="宋体" w:cs="宋体" w:eastAsia="宋体" w:hint="default"/>
                <w:sz w:val="18"/>
                <w:szCs w:val="18"/>
              </w:rPr>
            </w:pPr>
            <w:r>
              <w:rPr>
                <w:rFonts w:ascii="宋体" w:hAnsi="宋体" w:cs="宋体" w:eastAsia="宋体" w:hint="default"/>
                <w:sz w:val="18"/>
                <w:szCs w:val="18"/>
              </w:rPr>
              <w:t>利用质谱技术，对整个代谢物组进行定量研究。基于高精度的质 谱平台，采用全扫描数据采集模式，结合自主分析软件，分析大 规模样本中的代谢物组表达情况，从大规模样本中发现候选代谢 标志物。</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30"/>
              <w:ind w:left="-1" w:right="20"/>
              <w:jc w:val="both"/>
              <w:rPr>
                <w:rFonts w:ascii="宋体" w:hAnsi="宋体" w:cs="宋体" w:eastAsia="宋体" w:hint="default"/>
                <w:sz w:val="18"/>
                <w:szCs w:val="18"/>
              </w:rPr>
            </w:pPr>
            <w:r>
              <w:rPr>
                <w:rFonts w:ascii="宋体" w:hAnsi="宋体" w:cs="宋体" w:eastAsia="宋体" w:hint="default"/>
                <w:sz w:val="18"/>
                <w:szCs w:val="18"/>
              </w:rPr>
              <w:t>可用于代谢物组学定量研究， 寻找如胆汁酸、氨基酸等新型 代谢标志物，揭示疾病发生发 展机理，在脑肠轴等研究领域 应用广泛。</w:t>
            </w:r>
          </w:p>
        </w:tc>
      </w:tr>
      <w:tr>
        <w:trPr>
          <w:trHeight w:val="1801" w:hRule="exact"/>
        </w:trPr>
        <w:tc>
          <w:tcPr>
            <w:tcW w:w="55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BGI</w:t>
            </w:r>
            <w:r>
              <w:rPr>
                <w:rFonts w:ascii="Times New Roman"/>
                <w:spacing w:val="-2"/>
                <w:sz w:val="18"/>
              </w:rPr>
              <w:t> </w:t>
            </w:r>
            <w:r>
              <w:rPr>
                <w:rFonts w:ascii="Times New Roman"/>
                <w:sz w:val="18"/>
              </w:rPr>
              <w:t>Online</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32"/>
              <w:ind w:left="-1"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BGI Online </w:t>
            </w:r>
            <w:r>
              <w:rPr>
                <w:rFonts w:ascii="宋体" w:hAnsi="宋体" w:cs="宋体" w:eastAsia="宋体" w:hint="default"/>
                <w:sz w:val="18"/>
                <w:szCs w:val="18"/>
              </w:rPr>
              <w:t>是公司自主研发的生物信息云计算平台，依托于海 量、高效的云资源提供基因数据的存储、计算、管理和传输服 务。</w:t>
            </w:r>
            <w:r>
              <w:rPr>
                <w:rFonts w:ascii="Times New Roman" w:hAnsi="Times New Roman" w:cs="Times New Roman" w:eastAsia="Times New Roman" w:hint="default"/>
                <w:sz w:val="18"/>
                <w:szCs w:val="18"/>
              </w:rPr>
              <w:t>BGI Online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为大规模生物信息分析提供丰富的生物信息分析 方案和海量的计算资源、存储资源，为生物信息分析用户提供 </w:t>
            </w:r>
            <w:r>
              <w:rPr>
                <w:rFonts w:ascii="Times New Roman" w:hAnsi="Times New Roman" w:cs="Times New Roman" w:eastAsia="Times New Roman" w:hint="default"/>
                <w:sz w:val="18"/>
                <w:szCs w:val="18"/>
              </w:rPr>
              <w:t>“</w:t>
            </w:r>
            <w:r>
              <w:rPr>
                <w:rFonts w:ascii="宋体" w:hAnsi="宋体" w:cs="宋体" w:eastAsia="宋体" w:hint="default"/>
                <w:sz w:val="18"/>
                <w:szCs w:val="18"/>
              </w:rPr>
              <w:t>一站式</w:t>
            </w:r>
            <w:r>
              <w:rPr>
                <w:rFonts w:ascii="Times New Roman" w:hAnsi="Times New Roman" w:cs="Times New Roman" w:eastAsia="Times New Roman" w:hint="default"/>
                <w:sz w:val="18"/>
                <w:szCs w:val="18"/>
              </w:rPr>
              <w:t>”</w:t>
            </w:r>
            <w:r>
              <w:rPr>
                <w:rFonts w:ascii="宋体" w:hAnsi="宋体" w:cs="宋体" w:eastAsia="宋体" w:hint="default"/>
                <w:sz w:val="18"/>
                <w:szCs w:val="18"/>
              </w:rPr>
              <w:t>服务。对于研究生物信息分析的用户，</w:t>
            </w:r>
            <w:r>
              <w:rPr>
                <w:rFonts w:ascii="Times New Roman" w:hAnsi="Times New Roman" w:cs="Times New Roman" w:eastAsia="Times New Roman" w:hint="default"/>
                <w:sz w:val="18"/>
                <w:szCs w:val="18"/>
              </w:rPr>
              <w:t>BGI Online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也提 供在线开发服务，便于用户开发生物信息分析流程，用户可参与 并管理整个开发使用过程。</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 w:right="20"/>
              <w:jc w:val="both"/>
              <w:rPr>
                <w:rFonts w:ascii="宋体" w:hAnsi="宋体" w:cs="宋体" w:eastAsia="宋体" w:hint="default"/>
                <w:sz w:val="18"/>
                <w:szCs w:val="18"/>
              </w:rPr>
            </w:pPr>
            <w:r>
              <w:rPr>
                <w:rFonts w:ascii="宋体" w:hAnsi="宋体" w:cs="宋体" w:eastAsia="宋体" w:hint="default"/>
                <w:sz w:val="18"/>
                <w:szCs w:val="18"/>
              </w:rPr>
              <w:t>大规模生物信息分析生产支撑 的多组学大数据业务、个性化 生物信息分析项目、个人基因 数据分析管理等</w:t>
            </w:r>
          </w:p>
        </w:tc>
      </w:tr>
      <w:tr>
        <w:trPr>
          <w:trHeight w:val="1574" w:hRule="exact"/>
        </w:trPr>
        <w:tc>
          <w:tcPr>
            <w:tcW w:w="55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w:t>
            </w:r>
          </w:p>
        </w:tc>
        <w:tc>
          <w:tcPr>
            <w:tcW w:w="15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7"/>
              <w:ind w:left="597" w:right="7" w:hanging="58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Dr. </w:t>
            </w:r>
            <w:r>
              <w:rPr>
                <w:rFonts w:ascii="Times New Roman" w:hAnsi="Times New Roman" w:cs="Times New Roman" w:eastAsia="Times New Roman" w:hint="default"/>
                <w:spacing w:val="-5"/>
                <w:sz w:val="18"/>
                <w:szCs w:val="18"/>
              </w:rPr>
              <w:t>Tom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交互式报告 系统</w:t>
            </w:r>
          </w:p>
        </w:tc>
        <w:tc>
          <w:tcPr>
            <w:tcW w:w="5106" w:type="dxa"/>
            <w:tcBorders>
              <w:top w:val="single" w:sz="4" w:space="0" w:color="000000"/>
              <w:left w:val="single" w:sz="4" w:space="0" w:color="000000"/>
              <w:bottom w:val="single" w:sz="12" w:space="0" w:color="000000"/>
              <w:right w:val="single" w:sz="4" w:space="0" w:color="000000"/>
            </w:tcBorders>
          </w:tcPr>
          <w:p>
            <w:pPr>
              <w:pStyle w:val="TableParagraph"/>
              <w:spacing w:line="235" w:lineRule="auto" w:before="130"/>
              <w:ind w:left="-1" w:right="-2"/>
              <w:jc w:val="both"/>
              <w:rPr>
                <w:rFonts w:ascii="宋体" w:hAnsi="宋体" w:cs="宋体" w:eastAsia="宋体" w:hint="default"/>
                <w:sz w:val="18"/>
                <w:szCs w:val="18"/>
              </w:rPr>
            </w:pPr>
            <w:r>
              <w:rPr>
                <w:rFonts w:ascii="宋体" w:hAnsi="宋体" w:cs="宋体" w:eastAsia="宋体" w:hint="default"/>
                <w:sz w:val="18"/>
                <w:szCs w:val="18"/>
              </w:rPr>
              <w:t>公司自主开发的</w:t>
            </w:r>
            <w:r>
              <w:rPr>
                <w:rFonts w:ascii="Times New Roman" w:hAnsi="Times New Roman" w:cs="Times New Roman" w:eastAsia="Times New Roman" w:hint="default"/>
                <w:sz w:val="18"/>
                <w:szCs w:val="18"/>
              </w:rPr>
              <w:t>“Dr. </w:t>
            </w:r>
            <w:r>
              <w:rPr>
                <w:rFonts w:ascii="Times New Roman" w:hAnsi="Times New Roman" w:cs="Times New Roman" w:eastAsia="Times New Roman" w:hint="default"/>
                <w:spacing w:val="-5"/>
                <w:sz w:val="18"/>
                <w:szCs w:val="18"/>
              </w:rPr>
              <w:t>Tom</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交互式报告系统</w:t>
            </w:r>
            <w:r>
              <w:rPr>
                <w:rFonts w:ascii="Times New Roman" w:hAnsi="Times New Roman" w:cs="Times New Roman" w:eastAsia="Times New Roman" w:hint="default"/>
                <w:sz w:val="18"/>
                <w:szCs w:val="18"/>
              </w:rPr>
              <w:t>”</w:t>
            </w:r>
            <w:r>
              <w:rPr>
                <w:rFonts w:ascii="宋体" w:hAnsi="宋体" w:cs="宋体" w:eastAsia="宋体" w:hint="default"/>
                <w:sz w:val="18"/>
                <w:szCs w:val="18"/>
              </w:rPr>
              <w:t>是一款可以快速、深度 地挖掘基因数据的系统，能够在复杂的多组学数据中快速找到目</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标基因和相关基因调控通路。该系统整合了多个国际常用的基因</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数据库和生物信息分析工具，并优化了数据挖掘的方式和展现形</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5"/>
                <w:sz w:val="18"/>
                <w:szCs w:val="18"/>
              </w:rPr>
              <w:t>式，还结合了云计算、人工智能和机器学习技术。通过该系统，科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研用户可以方便的进行自助式多组学数据挖掘。</w:t>
            </w:r>
          </w:p>
        </w:tc>
        <w:tc>
          <w:tcPr>
            <w:tcW w:w="238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 w:right="0"/>
              <w:jc w:val="both"/>
              <w:rPr>
                <w:rFonts w:ascii="宋体" w:hAnsi="宋体" w:cs="宋体" w:eastAsia="宋体" w:hint="default"/>
                <w:sz w:val="18"/>
                <w:szCs w:val="18"/>
              </w:rPr>
            </w:pPr>
            <w:r>
              <w:rPr>
                <w:rFonts w:ascii="宋体" w:hAnsi="宋体" w:cs="宋体" w:eastAsia="宋体" w:hint="default"/>
                <w:sz w:val="18"/>
                <w:szCs w:val="18"/>
              </w:rPr>
              <w:t>对所有具有表达特征的多组学</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数据都可以进行深度挖掘，找</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到目标基因。</w:t>
            </w:r>
          </w:p>
        </w:tc>
      </w:tr>
    </w:tbl>
    <w:p>
      <w:pPr>
        <w:pStyle w:val="BodyText"/>
        <w:spacing w:line="309" w:lineRule="auto" w:before="13"/>
        <w:ind w:right="1129" w:firstLine="358"/>
        <w:jc w:val="both"/>
      </w:pPr>
      <w:r>
        <w:rPr>
          <w:spacing w:val="-2"/>
        </w:rPr>
        <w:t>除列表中产品外，通过先进的平台，公司多组学大数据服务还可提供非编码</w:t>
      </w:r>
      <w:r>
        <w:rPr>
          <w:rFonts w:ascii="Times New Roman" w:hAnsi="Times New Roman" w:cs="Times New Roman" w:eastAsia="Times New Roman" w:hint="default"/>
          <w:spacing w:val="-2"/>
        </w:rPr>
        <w:t>RNA</w:t>
      </w:r>
      <w:r>
        <w:rPr>
          <w:spacing w:val="-2"/>
        </w:rPr>
        <w:t>、目标区域测序、表观基因组、基因分</w:t>
      </w:r>
      <w:r>
        <w:rPr/>
        <w:t> </w:t>
      </w:r>
      <w:r>
        <w:rPr>
          <w:spacing w:val="-2"/>
        </w:rPr>
        <w:t>型、宏基因组、蛋白类产品、代谢类产品、单细胞类产品、免疫组库测序、基因组学数据库等产品。通过上述技术手段的集</w:t>
      </w:r>
      <w:r>
        <w:rPr>
          <w:spacing w:val="-72"/>
        </w:rPr>
        <w:t> </w:t>
      </w:r>
      <w:r>
        <w:rPr>
          <w:spacing w:val="-72"/>
        </w:rPr>
      </w:r>
      <w:r>
        <w:rPr/>
        <w:t>合，多组学大数据服务形成了一整套可贯穿的</w:t>
      </w:r>
      <w:r>
        <w:rPr>
          <w:rFonts w:ascii="Times New Roman" w:hAnsi="Times New Roman" w:cs="Times New Roman" w:eastAsia="Times New Roman" w:hint="default"/>
        </w:rPr>
        <w:t>“</w:t>
      </w:r>
      <w:r>
        <w:rPr/>
        <w:t>组学</w:t>
      </w:r>
      <w:r>
        <w:rPr>
          <w:rFonts w:ascii="Times New Roman" w:hAnsi="Times New Roman" w:cs="Times New Roman" w:eastAsia="Times New Roman" w:hint="default"/>
        </w:rPr>
        <w:t>”</w:t>
      </w:r>
      <w:r>
        <w:rPr/>
        <w:t>研究方法，可以为生物学研究提供全面系统的研究方案。</w:t>
      </w:r>
    </w:p>
    <w:p>
      <w:pPr>
        <w:pStyle w:val="BodyText"/>
        <w:spacing w:line="240" w:lineRule="auto" w:before="125"/>
        <w:ind w:left="513" w:right="1133"/>
        <w:jc w:val="left"/>
      </w:pPr>
      <w:r>
        <w:rPr/>
        <w:t>②</w:t>
      </w:r>
      <w:r>
        <w:rPr>
          <w:spacing w:val="-18"/>
        </w:rPr>
        <w:t> </w:t>
      </w:r>
      <w:r>
        <w:rPr/>
        <w:t>合成业务类产品介绍</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44"/>
        <w:ind w:left="0" w:right="1134"/>
        <w:jc w:val="right"/>
      </w:pPr>
      <w:r>
        <w:rPr/>
        <w:pict>
          <v:shape style="position:absolute;margin-left:59.880001pt;margin-top:-99.50827pt;width:476.5pt;height:562.3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2"/>
                    <w:gridCol w:w="1418"/>
                    <w:gridCol w:w="5103"/>
                    <w:gridCol w:w="2413"/>
                  </w:tblGrid>
                  <w:tr>
                    <w:trPr>
                      <w:trHeight w:val="360" w:hRule="exact"/>
                    </w:trPr>
                    <w:tc>
                      <w:tcPr>
                        <w:tcW w:w="55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51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241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1644"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基因合成</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both"/>
                          <w:rPr>
                            <w:rFonts w:ascii="宋体" w:hAnsi="宋体" w:cs="宋体" w:eastAsia="宋体" w:hint="default"/>
                            <w:sz w:val="18"/>
                            <w:szCs w:val="18"/>
                          </w:rPr>
                        </w:pPr>
                        <w:r>
                          <w:rPr>
                            <w:rFonts w:ascii="宋体" w:hAnsi="宋体" w:cs="宋体" w:eastAsia="宋体" w:hint="default"/>
                            <w:sz w:val="18"/>
                            <w:szCs w:val="18"/>
                          </w:rPr>
                          <w:t>为解决以往从自然界获取</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DNA </w:t>
                        </w:r>
                        <w:r>
                          <w:rPr>
                            <w:rFonts w:ascii="宋体" w:hAnsi="宋体" w:cs="宋体" w:eastAsia="宋体" w:hint="default"/>
                            <w:spacing w:val="-5"/>
                            <w:sz w:val="18"/>
                            <w:szCs w:val="18"/>
                          </w:rPr>
                          <w:t>的复杂过程，更好的满足科研工作</w:t>
                        </w:r>
                      </w:p>
                      <w:p>
                        <w:pPr>
                          <w:pStyle w:val="TableParagraph"/>
                          <w:spacing w:line="230" w:lineRule="auto" w:before="1"/>
                          <w:ind w:right="-5"/>
                          <w:jc w:val="both"/>
                          <w:rPr>
                            <w:rFonts w:ascii="宋体" w:hAnsi="宋体" w:cs="宋体" w:eastAsia="宋体" w:hint="default"/>
                            <w:sz w:val="18"/>
                            <w:szCs w:val="18"/>
                          </w:rPr>
                        </w:pPr>
                        <w:r>
                          <w:rPr>
                            <w:rFonts w:ascii="宋体" w:hAnsi="宋体" w:cs="宋体" w:eastAsia="宋体" w:hint="default"/>
                            <w:spacing w:val="-3"/>
                            <w:sz w:val="18"/>
                            <w:szCs w:val="18"/>
                          </w:rPr>
                          <w:t>者对基因、基因组水平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DNA </w:t>
                        </w:r>
                        <w:r>
                          <w:rPr>
                            <w:rFonts w:ascii="宋体" w:hAnsi="宋体" w:cs="宋体" w:eastAsia="宋体" w:hint="default"/>
                            <w:spacing w:val="-3"/>
                            <w:sz w:val="18"/>
                            <w:szCs w:val="18"/>
                          </w:rPr>
                          <w:t>的高效、低成本、大规模合成与组装</w:t>
                        </w:r>
                        <w:r>
                          <w:rPr>
                            <w:rFonts w:ascii="宋体" w:hAnsi="宋体" w:cs="宋体" w:eastAsia="宋体" w:hint="default"/>
                            <w:sz w:val="18"/>
                            <w:szCs w:val="18"/>
                          </w:rPr>
                          <w:t> </w:t>
                        </w:r>
                        <w:r>
                          <w:rPr>
                            <w:rFonts w:ascii="宋体" w:hAnsi="宋体" w:cs="宋体" w:eastAsia="宋体" w:hint="default"/>
                            <w:spacing w:val="-5"/>
                            <w:sz w:val="18"/>
                            <w:szCs w:val="18"/>
                          </w:rPr>
                          <w:t>的需求，通过高通量、大规模、全自动的全基因合成技术平台，利</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用自主研发的世界领先的难度基因合成技术，提供任意复杂结构</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的长难度基因，包括高</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GC</w:t>
                        </w:r>
                        <w:r>
                          <w:rPr>
                            <w:rFonts w:ascii="宋体" w:hAnsi="宋体" w:cs="宋体" w:eastAsia="宋体" w:hint="default"/>
                            <w:sz w:val="18"/>
                            <w:szCs w:val="18"/>
                          </w:rPr>
                          <w:t>、高</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AT</w:t>
                        </w:r>
                        <w:r>
                          <w:rPr>
                            <w:rFonts w:ascii="宋体" w:hAnsi="宋体" w:cs="宋体" w:eastAsia="宋体" w:hint="default"/>
                            <w:sz w:val="18"/>
                            <w:szCs w:val="18"/>
                          </w:rPr>
                          <w:t>、单碱基及多碱基重复、长片 段</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DNA </w:t>
                        </w:r>
                        <w:r>
                          <w:rPr>
                            <w:rFonts w:ascii="宋体" w:hAnsi="宋体" w:cs="宋体" w:eastAsia="宋体" w:hint="default"/>
                            <w:spacing w:val="-3"/>
                            <w:sz w:val="18"/>
                            <w:szCs w:val="18"/>
                          </w:rPr>
                          <w:t>的合成服务，同时提供针对不同物种合成基因密码子优化</w:t>
                        </w:r>
                        <w:r>
                          <w:rPr>
                            <w:rFonts w:ascii="宋体" w:hAnsi="宋体" w:cs="宋体" w:eastAsia="宋体" w:hint="default"/>
                            <w:sz w:val="18"/>
                            <w:szCs w:val="18"/>
                          </w:rPr>
                          <w:t> 服务。</w:t>
                        </w:r>
                      </w:p>
                    </w:tc>
                    <w:tc>
                      <w:tcPr>
                        <w:tcW w:w="24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 w:right="51"/>
                          <w:jc w:val="both"/>
                          <w:rPr>
                            <w:rFonts w:ascii="宋体" w:hAnsi="宋体" w:cs="宋体" w:eastAsia="宋体" w:hint="default"/>
                            <w:sz w:val="18"/>
                            <w:szCs w:val="18"/>
                          </w:rPr>
                        </w:pPr>
                        <w:r>
                          <w:rPr>
                            <w:rFonts w:ascii="宋体" w:hAnsi="宋体" w:cs="宋体" w:eastAsia="宋体" w:hint="default"/>
                            <w:sz w:val="18"/>
                            <w:szCs w:val="18"/>
                          </w:rPr>
                          <w:t>为生物医药，农业育种，环境 防治，生物能源，生物材料等 领域提供人工合成的功能基因 原料，支撑这些领域的科研及 工业应用发展。</w:t>
                        </w:r>
                      </w:p>
                    </w:tc>
                  </w:tr>
                  <w:tr>
                    <w:trPr>
                      <w:trHeight w:val="1491"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基因组合成</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right="-5"/>
                          <w:jc w:val="both"/>
                          <w:rPr>
                            <w:rFonts w:ascii="宋体" w:hAnsi="宋体" w:cs="宋体" w:eastAsia="宋体" w:hint="default"/>
                            <w:sz w:val="18"/>
                            <w:szCs w:val="18"/>
                          </w:rPr>
                        </w:pPr>
                        <w:r>
                          <w:rPr>
                            <w:rFonts w:ascii="宋体" w:hAnsi="宋体" w:cs="宋体" w:eastAsia="宋体" w:hint="default"/>
                            <w:sz w:val="18"/>
                            <w:szCs w:val="18"/>
                          </w:rPr>
                          <w:t>为广大科研及工业客户提供全基因组或者染色体片段全局合成改</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造序列设计，多位点系统改造合成设计，人工设计序列片段全合</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成，基因组合成拼装解决方案，合成基因组生物信息学分析等服</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务。</w:t>
                        </w:r>
                      </w:p>
                    </w:tc>
                    <w:tc>
                      <w:tcPr>
                        <w:tcW w:w="2413"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2"/>
                          <w:ind w:left="-1" w:right="0"/>
                          <w:jc w:val="left"/>
                          <w:rPr>
                            <w:rFonts w:ascii="宋体" w:hAnsi="宋体" w:cs="宋体" w:eastAsia="宋体" w:hint="default"/>
                            <w:sz w:val="18"/>
                            <w:szCs w:val="18"/>
                          </w:rPr>
                        </w:pPr>
                        <w:r>
                          <w:rPr>
                            <w:rFonts w:ascii="宋体" w:hAnsi="宋体" w:cs="宋体" w:eastAsia="宋体" w:hint="default"/>
                            <w:spacing w:val="-4"/>
                            <w:sz w:val="18"/>
                            <w:szCs w:val="18"/>
                          </w:rPr>
                          <w:t>应用于为理解生命起源，发生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发展和再造等科学研究中的不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同生命物种的全基因组设计合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成；以及为人类社会提供功能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活性物质的工业生物底盘细胞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的全局基因系统进化改造。</w:t>
                        </w:r>
                      </w:p>
                    </w:tc>
                  </w:tr>
                  <w:tr>
                    <w:trPr>
                      <w:trHeight w:val="1272"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定点突变</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0"/>
                          <w:ind w:right="-5"/>
                          <w:jc w:val="both"/>
                          <w:rPr>
                            <w:rFonts w:ascii="宋体" w:hAnsi="宋体" w:cs="宋体" w:eastAsia="宋体" w:hint="default"/>
                            <w:sz w:val="18"/>
                            <w:szCs w:val="18"/>
                          </w:rPr>
                        </w:pPr>
                        <w:r>
                          <w:rPr>
                            <w:rFonts w:ascii="宋体" w:hAnsi="宋体" w:cs="宋体" w:eastAsia="宋体" w:hint="default"/>
                            <w:sz w:val="18"/>
                            <w:szCs w:val="18"/>
                          </w:rPr>
                          <w:t>为科研及工业客户提供基因定点突变改造服务；在保留原始基因</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序列完整性的基础上，实现原基因模板中的任意位置突变，包括</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5"/>
                            <w:sz w:val="18"/>
                            <w:szCs w:val="18"/>
                          </w:rPr>
                          <w:t>单碱基、多碱基的突变、缺失部分碱基以及插入部分碱基等，同时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对原始模板基因突变体产物进行测序验证及克隆制备</w:t>
                        </w:r>
                      </w:p>
                    </w:tc>
                    <w:tc>
                      <w:tcPr>
                        <w:tcW w:w="2413"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37"/>
                          <w:ind w:left="-1" w:right="51"/>
                          <w:jc w:val="both"/>
                          <w:rPr>
                            <w:rFonts w:ascii="宋体" w:hAnsi="宋体" w:cs="宋体" w:eastAsia="宋体" w:hint="default"/>
                            <w:sz w:val="18"/>
                            <w:szCs w:val="18"/>
                          </w:rPr>
                        </w:pPr>
                        <w:r>
                          <w:rPr>
                            <w:rFonts w:ascii="宋体" w:hAnsi="宋体" w:cs="宋体" w:eastAsia="宋体" w:hint="default"/>
                            <w:sz w:val="18"/>
                            <w:szCs w:val="18"/>
                          </w:rPr>
                          <w:t>应用于抗体工程，酶工程，农 作物性状改良等科研及工业应 用领域中的功能基因序列修改 或编辑再造。</w:t>
                        </w:r>
                      </w:p>
                    </w:tc>
                  </w:tr>
                  <w:tr>
                    <w:trPr>
                      <w:trHeight w:val="1903"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PCR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克隆</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ind w:right="-5"/>
                          <w:jc w:val="left"/>
                          <w:rPr>
                            <w:rFonts w:ascii="宋体" w:hAnsi="宋体" w:cs="宋体" w:eastAsia="宋体" w:hint="default"/>
                            <w:sz w:val="18"/>
                            <w:szCs w:val="18"/>
                          </w:rPr>
                        </w:pPr>
                        <w:r>
                          <w:rPr>
                            <w:rFonts w:ascii="宋体" w:hAnsi="宋体" w:cs="宋体" w:eastAsia="宋体" w:hint="default"/>
                            <w:sz w:val="18"/>
                            <w:szCs w:val="18"/>
                          </w:rPr>
                          <w:t>为科研及工业客户提供天然物种基因组，环境宏基因组，人工合</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成基因组或者质粒等已知序列</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上的功能基因</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PCR</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克隆服务</w:t>
                        </w:r>
                        <w:r>
                          <w:rPr>
                            <w:rFonts w:ascii="宋体" w:hAnsi="宋体" w:cs="宋体" w:eastAsia="宋体" w:hint="default"/>
                            <w:w w:val="100"/>
                            <w:sz w:val="18"/>
                            <w:szCs w:val="18"/>
                          </w:rPr>
                          <w:t> </w:t>
                        </w:r>
                        <w:r>
                          <w:rPr>
                            <w:rFonts w:ascii="宋体" w:hAnsi="宋体" w:cs="宋体" w:eastAsia="宋体" w:hint="default"/>
                            <w:sz w:val="18"/>
                            <w:szCs w:val="18"/>
                          </w:rPr>
                          <w:t>将基因的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PCR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复制产物插入到功能质粒载体，并大量的制备；</w:t>
                        </w:r>
                        <w:r>
                          <w:rPr>
                            <w:rFonts w:ascii="宋体" w:hAnsi="宋体" w:cs="宋体" w:eastAsia="宋体" w:hint="default"/>
                            <w:w w:val="100"/>
                            <w:sz w:val="18"/>
                            <w:szCs w:val="18"/>
                          </w:rPr>
                          <w:t> </w:t>
                        </w:r>
                        <w:r>
                          <w:rPr>
                            <w:rFonts w:ascii="宋体" w:hAnsi="宋体" w:cs="宋体" w:eastAsia="宋体" w:hint="default"/>
                            <w:sz w:val="18"/>
                            <w:szCs w:val="18"/>
                          </w:rPr>
                          <w:t>兼顾为客户量身打造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克隆的个性化解决方案，如将目的序列</w:t>
                        </w:r>
                        <w:r>
                          <w:rPr>
                            <w:rFonts w:ascii="宋体" w:hAnsi="宋体" w:cs="宋体" w:eastAsia="宋体" w:hint="default"/>
                            <w:sz w:val="18"/>
                            <w:szCs w:val="18"/>
                          </w:rPr>
                          <w:t> 克隆到客户感兴趣的任何载体的任一指定位置，并且不受特定酶</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切位点的限制；以及在克隆流程中的任意环节满足客户的各种需</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求，包括模板的获得、</w:t>
                        </w:r>
                        <w:r>
                          <w:rPr>
                            <w:rFonts w:ascii="Times New Roman" w:hAnsi="Times New Roman" w:cs="Times New Roman" w:eastAsia="Times New Roman" w:hint="default"/>
                            <w:sz w:val="18"/>
                            <w:szCs w:val="18"/>
                          </w:rPr>
                          <w:t>PCR</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产物的纯化、克隆方法的选择、载体</w:t>
                        </w:r>
                        <w:r>
                          <w:rPr>
                            <w:rFonts w:ascii="宋体" w:hAnsi="宋体" w:cs="宋体" w:eastAsia="宋体" w:hint="default"/>
                            <w:w w:val="100"/>
                            <w:sz w:val="18"/>
                            <w:szCs w:val="18"/>
                          </w:rPr>
                          <w:t> </w:t>
                        </w:r>
                        <w:r>
                          <w:rPr>
                            <w:rFonts w:ascii="宋体" w:hAnsi="宋体" w:cs="宋体" w:eastAsia="宋体" w:hint="default"/>
                            <w:sz w:val="18"/>
                            <w:szCs w:val="18"/>
                          </w:rPr>
                          <w:t>的选择、后续的转化和质粒提取。</w:t>
                        </w:r>
                      </w:p>
                    </w:tc>
                    <w:tc>
                      <w:tcPr>
                        <w:tcW w:w="24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37" w:lineRule="auto"/>
                          <w:ind w:left="-1" w:right="51"/>
                          <w:jc w:val="both"/>
                          <w:rPr>
                            <w:rFonts w:ascii="宋体" w:hAnsi="宋体" w:cs="宋体" w:eastAsia="宋体" w:hint="default"/>
                            <w:sz w:val="18"/>
                            <w:szCs w:val="18"/>
                          </w:rPr>
                        </w:pPr>
                        <w:r>
                          <w:rPr>
                            <w:rFonts w:ascii="宋体" w:hAnsi="宋体" w:cs="宋体" w:eastAsia="宋体" w:hint="default"/>
                            <w:sz w:val="18"/>
                            <w:szCs w:val="18"/>
                          </w:rPr>
                          <w:t>用于农作物基因育种，工业微 生物菌株基因改良，酶制剂体 外进化改造，抗体工程等领域 中关键基因的体外克隆和大量 制备。</w:t>
                        </w:r>
                      </w:p>
                    </w:tc>
                  </w:tr>
                  <w:tr>
                    <w:trPr>
                      <w:trHeight w:val="1726"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Oligo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Pools</w:t>
                        </w:r>
                        <w:r>
                          <w:rPr>
                            <w:rFonts w:ascii="宋体" w:hAnsi="宋体" w:cs="宋体" w:eastAsia="宋体" w:hint="default"/>
                            <w:sz w:val="18"/>
                            <w:szCs w:val="18"/>
                          </w:rPr>
                          <w:t>合成</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8"/>
                          <w:ind w:right="51"/>
                          <w:jc w:val="both"/>
                          <w:rPr>
                            <w:rFonts w:ascii="宋体" w:hAnsi="宋体" w:cs="宋体" w:eastAsia="宋体" w:hint="default"/>
                            <w:sz w:val="18"/>
                            <w:szCs w:val="18"/>
                          </w:rPr>
                        </w:pPr>
                        <w:r>
                          <w:rPr>
                            <w:rFonts w:ascii="宋体" w:hAnsi="宋体" w:cs="宋体" w:eastAsia="宋体" w:hint="default"/>
                            <w:sz w:val="18"/>
                            <w:szCs w:val="18"/>
                          </w:rPr>
                          <w:t>根据客户的应用需求，针对性的设计寡核苷酸序列文库或者根据 客户提供设计完成的寡核苷酸序列文库，利用高通量的芯片合成 平台，合成对应的包含不同寡核苷酸分子的混合文库，同时文库 经过严格的质量验证。</w:t>
                        </w:r>
                      </w:p>
                    </w:tc>
                    <w:tc>
                      <w:tcPr>
                        <w:tcW w:w="2413" w:type="dxa"/>
                        <w:tcBorders>
                          <w:top w:val="single" w:sz="4" w:space="0" w:color="000000"/>
                          <w:left w:val="single" w:sz="4" w:space="0" w:color="000000"/>
                          <w:bottom w:val="single" w:sz="4" w:space="0" w:color="000000"/>
                          <w:right w:val="single" w:sz="12" w:space="0" w:color="000000"/>
                        </w:tcBorders>
                      </w:tcPr>
                      <w:p>
                        <w:pPr>
                          <w:pStyle w:val="TableParagraph"/>
                          <w:spacing w:line="235" w:lineRule="auto" w:before="15"/>
                          <w:ind w:left="-1" w:right="0"/>
                          <w:jc w:val="both"/>
                          <w:rPr>
                            <w:rFonts w:ascii="宋体" w:hAnsi="宋体" w:cs="宋体" w:eastAsia="宋体" w:hint="default"/>
                            <w:sz w:val="18"/>
                            <w:szCs w:val="18"/>
                          </w:rPr>
                        </w:pPr>
                        <w:r>
                          <w:rPr>
                            <w:rFonts w:ascii="宋体" w:hAnsi="宋体" w:cs="宋体" w:eastAsia="宋体" w:hint="default"/>
                            <w:spacing w:val="3"/>
                            <w:sz w:val="18"/>
                            <w:szCs w:val="18"/>
                          </w:rPr>
                          <w:t>基于基因合成的大规模的微生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物，动物，植物细胞基因技术改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良；二代基因组测序捕获探针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8"/>
                            <w:sz w:val="18"/>
                            <w:szCs w:val="18"/>
                          </w:rPr>
                          <w:t>合成；以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为介质的数据存 </w:t>
                        </w:r>
                        <w:r>
                          <w:rPr>
                            <w:rFonts w:ascii="宋体" w:hAnsi="宋体" w:cs="宋体" w:eastAsia="宋体" w:hint="default"/>
                            <w:spacing w:val="3"/>
                            <w:sz w:val="18"/>
                            <w:szCs w:val="18"/>
                          </w:rPr>
                          <w:t>储。为这些领域的科学及应用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研究提供关键的寡核苷酸库上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游原料。</w:t>
                        </w:r>
                      </w:p>
                    </w:tc>
                  </w:tr>
                  <w:tr>
                    <w:trPr>
                      <w:trHeight w:val="1207"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常规引物合成</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10"/>
                          <w:ind w:right="34"/>
                          <w:jc w:val="left"/>
                          <w:rPr>
                            <w:rFonts w:ascii="宋体" w:hAnsi="宋体" w:cs="宋体" w:eastAsia="宋体" w:hint="default"/>
                            <w:sz w:val="18"/>
                            <w:szCs w:val="18"/>
                          </w:rPr>
                        </w:pPr>
                        <w:r>
                          <w:rPr>
                            <w:rFonts w:ascii="宋体" w:hAnsi="宋体" w:cs="宋体" w:eastAsia="宋体" w:hint="default"/>
                            <w:sz w:val="18"/>
                            <w:szCs w:val="18"/>
                          </w:rPr>
                          <w:t>为科研及工业客户提供不同长度，不同量级的寡核苷酸合成服 务，同时根据客户的需求，提供</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DSL</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PAGE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plus</w:t>
                        </w:r>
                        <w:r>
                          <w:rPr>
                            <w:rFonts w:ascii="宋体" w:hAnsi="宋体" w:cs="宋体" w:eastAsia="宋体" w:hint="default"/>
                            <w:sz w:val="18"/>
                            <w:szCs w:val="18"/>
                          </w:rPr>
                          <w:t>、</w:t>
                        </w:r>
                        <w:r>
                          <w:rPr>
                            <w:rFonts w:ascii="Times New Roman" w:hAnsi="Times New Roman" w:cs="Times New Roman" w:eastAsia="Times New Roman" w:hint="default"/>
                            <w:sz w:val="18"/>
                            <w:szCs w:val="18"/>
                          </w:rPr>
                          <w:t>PAGE</w:t>
                        </w:r>
                        <w:r>
                          <w:rPr>
                            <w:rFonts w:ascii="宋体" w:hAnsi="宋体" w:cs="宋体" w:eastAsia="宋体" w:hint="default"/>
                            <w:sz w:val="18"/>
                            <w:szCs w:val="18"/>
                          </w:rPr>
                          <w:t>、</w:t>
                        </w:r>
                        <w:r>
                          <w:rPr>
                            <w:rFonts w:ascii="Times New Roman" w:hAnsi="Times New Roman" w:cs="Times New Roman" w:eastAsia="Times New Roman" w:hint="default"/>
                            <w:sz w:val="18"/>
                            <w:szCs w:val="18"/>
                          </w:rPr>
                          <w:t>Fast-</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z w:val="18"/>
                            <w:szCs w:val="18"/>
                          </w:rPr>
                          <w:t>HPLC</w:t>
                        </w:r>
                        <w:r>
                          <w:rPr>
                            <w:rFonts w:ascii="宋体" w:hAnsi="宋体" w:cs="宋体" w:eastAsia="宋体" w:hint="default"/>
                            <w:sz w:val="18"/>
                            <w:szCs w:val="18"/>
                          </w:rPr>
                          <w:t>、</w:t>
                        </w:r>
                        <w:r>
                          <w:rPr>
                            <w:rFonts w:ascii="Times New Roman" w:hAnsi="Times New Roman" w:cs="Times New Roman" w:eastAsia="Times New Roman" w:hint="default"/>
                            <w:sz w:val="18"/>
                            <w:szCs w:val="18"/>
                          </w:rPr>
                          <w:t>HPLC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等多种纯化方式获得的不同纯度级别的引物；兼</w:t>
                        </w:r>
                        <w:r>
                          <w:rPr>
                            <w:rFonts w:ascii="宋体" w:hAnsi="宋体" w:cs="宋体" w:eastAsia="宋体" w:hint="default"/>
                            <w:w w:val="100"/>
                            <w:sz w:val="18"/>
                            <w:szCs w:val="18"/>
                          </w:rPr>
                          <w:t> </w:t>
                        </w:r>
                        <w:r>
                          <w:rPr>
                            <w:rFonts w:ascii="宋体" w:hAnsi="宋体" w:cs="宋体" w:eastAsia="宋体" w:hint="default"/>
                            <w:sz w:val="18"/>
                            <w:szCs w:val="18"/>
                          </w:rPr>
                          <w:t>顾为客户提供个性化的寡核苷酸合成解决方案。</w:t>
                        </w:r>
                      </w:p>
                    </w:tc>
                    <w:tc>
                      <w:tcPr>
                        <w:tcW w:w="2413" w:type="dxa"/>
                        <w:tcBorders>
                          <w:top w:val="single" w:sz="4" w:space="0" w:color="000000"/>
                          <w:left w:val="single" w:sz="4" w:space="0" w:color="000000"/>
                          <w:bottom w:val="single" w:sz="4" w:space="0" w:color="000000"/>
                          <w:right w:val="single" w:sz="12" w:space="0" w:color="000000"/>
                        </w:tcBorders>
                      </w:tcPr>
                      <w:p>
                        <w:pPr>
                          <w:pStyle w:val="TableParagraph"/>
                          <w:spacing w:line="235" w:lineRule="auto" w:before="106"/>
                          <w:ind w:left="-1" w:right="51"/>
                          <w:jc w:val="left"/>
                          <w:rPr>
                            <w:rFonts w:ascii="宋体" w:hAnsi="宋体" w:cs="宋体" w:eastAsia="宋体" w:hint="default"/>
                            <w:sz w:val="18"/>
                            <w:szCs w:val="18"/>
                          </w:rPr>
                        </w:pPr>
                        <w:r>
                          <w:rPr>
                            <w:rFonts w:ascii="宋体" w:hAnsi="宋体" w:cs="宋体" w:eastAsia="宋体" w:hint="default"/>
                            <w:sz w:val="18"/>
                            <w:szCs w:val="18"/>
                          </w:rPr>
                          <w:t>为基因克隆，医学检测，基因 测序，寡核苷酸药物，</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新材料研究及应用提供关键的 寡核苷酸原料。</w:t>
                        </w:r>
                      </w:p>
                    </w:tc>
                  </w:tr>
                  <w:tr>
                    <w:trPr>
                      <w:trHeight w:val="1613" w:hRule="exact"/>
                    </w:trPr>
                    <w:tc>
                      <w:tcPr>
                        <w:tcW w:w="55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修饰引物合成</w:t>
                        </w:r>
                      </w:p>
                    </w:tc>
                    <w:tc>
                      <w:tcPr>
                        <w:tcW w:w="51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30" w:lineRule="auto"/>
                          <w:ind w:right="0"/>
                          <w:jc w:val="left"/>
                          <w:rPr>
                            <w:rFonts w:ascii="宋体" w:hAnsi="宋体" w:cs="宋体" w:eastAsia="宋体" w:hint="default"/>
                            <w:sz w:val="18"/>
                            <w:szCs w:val="18"/>
                          </w:rPr>
                        </w:pPr>
                        <w:r>
                          <w:rPr>
                            <w:rFonts w:ascii="宋体" w:hAnsi="宋体" w:cs="宋体" w:eastAsia="宋体" w:hint="default"/>
                            <w:sz w:val="18"/>
                            <w:szCs w:val="18"/>
                          </w:rPr>
                          <w:t>为科研及工业客户提供多种类型的高纯度修饰</w:t>
                        </w:r>
                        <w:r>
                          <w:rPr>
                            <w:rFonts w:ascii="Times New Roman" w:hAnsi="Times New Roman" w:cs="Times New Roman" w:eastAsia="Times New Roman" w:hint="default"/>
                            <w:sz w:val="18"/>
                            <w:szCs w:val="18"/>
                          </w:rPr>
                          <w:t>/</w:t>
                        </w:r>
                        <w:r>
                          <w:rPr>
                            <w:rFonts w:ascii="宋体" w:hAnsi="宋体" w:cs="宋体" w:eastAsia="宋体" w:hint="default"/>
                            <w:sz w:val="18"/>
                            <w:szCs w:val="18"/>
                          </w:rPr>
                          <w:t>标记寡核苷酸，包 括磷酸化、氨基、巯基及各种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Spacers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修饰、生物素、地高辛、 荧光及碱基修饰、双标荧光探针、分子信标等。同时，修饰寡核 苷酸通过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HPLC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等技术实现高质量的纯化及长度和完整度验证。</w:t>
                        </w:r>
                      </w:p>
                    </w:tc>
                    <w:tc>
                      <w:tcPr>
                        <w:tcW w:w="2413" w:type="dxa"/>
                        <w:tcBorders>
                          <w:top w:val="single" w:sz="4" w:space="0" w:color="000000"/>
                          <w:left w:val="single" w:sz="4" w:space="0" w:color="000000"/>
                          <w:bottom w:val="single" w:sz="12" w:space="0" w:color="000000"/>
                          <w:right w:val="single" w:sz="12" w:space="0" w:color="000000"/>
                        </w:tcBorders>
                      </w:tcPr>
                      <w:p>
                        <w:pPr>
                          <w:pStyle w:val="TableParagraph"/>
                          <w:spacing w:line="237" w:lineRule="auto" w:before="70"/>
                          <w:ind w:left="-1" w:right="51"/>
                          <w:jc w:val="left"/>
                          <w:rPr>
                            <w:rFonts w:ascii="宋体" w:hAnsi="宋体" w:cs="宋体" w:eastAsia="宋体" w:hint="default"/>
                            <w:sz w:val="18"/>
                            <w:szCs w:val="18"/>
                          </w:rPr>
                        </w:pPr>
                        <w:r>
                          <w:rPr>
                            <w:rFonts w:ascii="宋体" w:hAnsi="宋体" w:cs="宋体" w:eastAsia="宋体" w:hint="default"/>
                            <w:sz w:val="18"/>
                            <w:szCs w:val="18"/>
                          </w:rPr>
                          <w:t>应用于体外诊断，法医检测， 二代测序，生物标记等领域中 修饰探针及标记寡核苷酸合 成，为医学检测及生物诊断等 领域的科研及应用提供关键技 术材料。</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5"/>
        <w:spacing w:line="240" w:lineRule="auto"/>
        <w:ind w:right="1133"/>
        <w:jc w:val="left"/>
        <w:rPr>
          <w:b w:val="0"/>
          <w:bCs w:val="0"/>
        </w:rPr>
      </w:pPr>
      <w:r>
        <w:rPr/>
        <w:t>（二）主要经营模式</w:t>
      </w:r>
      <w:r>
        <w:rPr>
          <w:b w:val="0"/>
          <w:bCs w:val="0"/>
        </w:rPr>
      </w:r>
    </w:p>
    <w:p>
      <w:pPr>
        <w:spacing w:line="240" w:lineRule="auto" w:before="3"/>
        <w:rPr>
          <w:rFonts w:ascii="宋体" w:hAnsi="宋体" w:cs="宋体" w:eastAsia="宋体" w:hint="default"/>
          <w:b/>
          <w:bCs/>
          <w:sz w:val="15"/>
          <w:szCs w:val="15"/>
        </w:rPr>
      </w:pPr>
    </w:p>
    <w:p>
      <w:pPr>
        <w:pStyle w:val="Heading5"/>
        <w:spacing w:line="240" w:lineRule="auto" w:before="0"/>
        <w:ind w:right="1133"/>
        <w:jc w:val="left"/>
        <w:rPr>
          <w:b w:val="0"/>
          <w:bCs w:val="0"/>
        </w:rPr>
      </w:pPr>
      <w:r>
        <w:rPr>
          <w:rFonts w:ascii="Times New Roman" w:hAnsi="Times New Roman" w:cs="Times New Roman" w:eastAsia="Times New Roman" w:hint="default"/>
        </w:rPr>
        <w:t>1</w:t>
      </w:r>
      <w:r>
        <w:rPr/>
        <w:t>、采购模式</w:t>
      </w:r>
      <w:r>
        <w:rPr>
          <w:b w:val="0"/>
          <w:bCs w:val="0"/>
        </w:rPr>
      </w:r>
    </w:p>
    <w:p>
      <w:pPr>
        <w:pStyle w:val="BodyText"/>
        <w:spacing w:line="420" w:lineRule="atLeast" w:before="9"/>
        <w:ind w:left="513" w:right="986" w:hanging="3"/>
        <w:jc w:val="left"/>
      </w:pPr>
      <w:r>
        <w:rPr/>
        <w:t>（</w:t>
      </w:r>
      <w:r>
        <w:rPr>
          <w:rFonts w:ascii="Times New Roman" w:hAnsi="Times New Roman" w:cs="Times New Roman" w:eastAsia="Times New Roman" w:hint="default"/>
        </w:rPr>
        <w:t>1</w:t>
      </w:r>
      <w:r>
        <w:rPr/>
        <w:t>）供应商选择 </w:t>
      </w:r>
      <w:r>
        <w:rPr>
          <w:spacing w:val="-2"/>
        </w:rPr>
        <w:t>公司重视互利的供方关系，在质量保证、成本降低和价值创造实现双赢乃至多赢。根据采购需求寻找高性价比的合作供</w:t>
      </w:r>
    </w:p>
    <w:p>
      <w:pPr>
        <w:pStyle w:val="BodyText"/>
        <w:spacing w:line="316" w:lineRule="auto" w:before="77"/>
        <w:ind w:right="1133"/>
        <w:jc w:val="left"/>
      </w:pPr>
      <w:r>
        <w:rPr>
          <w:spacing w:val="-2"/>
        </w:rPr>
        <w:t>应商。针对成熟产品供应商的开发，公司将审核相应资质，把符合要求的供应商列入初选供应商名单；随后通过调研、考察</w:t>
      </w:r>
      <w:r>
        <w:rPr>
          <w:spacing w:val="-67"/>
        </w:rPr>
        <w:t> </w:t>
      </w:r>
      <w:r>
        <w:rPr>
          <w:spacing w:val="-67"/>
        </w:rPr>
      </w:r>
      <w:r>
        <w:rPr/>
        <w:t>供应商的产品质量和供应能力，对样品进行检测和试用，完成供应商调查评审，将符合要求的供应商列入《合格供应商名</w:t>
      </w:r>
    </w:p>
    <w:p>
      <w:pPr>
        <w:spacing w:after="0" w:line="316"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3"/>
        <w:jc w:val="left"/>
      </w:pPr>
      <w:r>
        <w:rPr>
          <w:spacing w:val="-2"/>
        </w:rPr>
        <w:t>录》，并与这些供应商保持长期稳定的合作关系；针对非成熟产品市场，公司会调研考核相关供应商的产品研发能力，协同</w:t>
      </w:r>
      <w:r>
        <w:rPr>
          <w:spacing w:val="-67"/>
        </w:rPr>
        <w:t> </w:t>
      </w:r>
      <w:r>
        <w:rPr>
          <w:spacing w:val="-67"/>
        </w:rPr>
      </w:r>
      <w:r>
        <w:rPr/>
        <w:t>供应商研发及应用，形成战略合作；对于暂无需求但具有前沿产品优势的供应商，公司可与其合作开发产品应用。</w:t>
      </w:r>
    </w:p>
    <w:p>
      <w:pPr>
        <w:pStyle w:val="BodyText"/>
        <w:spacing w:line="240" w:lineRule="auto" w:before="59"/>
        <w:ind w:left="513" w:right="1133"/>
        <w:jc w:val="left"/>
      </w:pPr>
      <w:r>
        <w:rPr/>
        <w:t>（</w:t>
      </w:r>
      <w:r>
        <w:rPr>
          <w:rFonts w:ascii="Times New Roman" w:hAnsi="Times New Roman" w:cs="Times New Roman" w:eastAsia="Times New Roman" w:hint="default"/>
        </w:rPr>
        <w:t>2</w:t>
      </w:r>
      <w:r>
        <w:rPr/>
        <w:t>）供应商管理与考核</w:t>
      </w:r>
    </w:p>
    <w:p>
      <w:pPr>
        <w:spacing w:line="240" w:lineRule="auto" w:before="13"/>
        <w:rPr>
          <w:rFonts w:ascii="宋体" w:hAnsi="宋体" w:cs="宋体" w:eastAsia="宋体" w:hint="default"/>
          <w:sz w:val="13"/>
          <w:szCs w:val="13"/>
        </w:rPr>
      </w:pPr>
    </w:p>
    <w:p>
      <w:pPr>
        <w:pStyle w:val="BodyText"/>
        <w:spacing w:line="312" w:lineRule="auto"/>
        <w:ind w:right="1130" w:firstLine="360"/>
        <w:jc w:val="both"/>
      </w:pPr>
      <w:r>
        <w:rPr>
          <w:spacing w:val="-1"/>
        </w:rPr>
        <w:t>根据实际业务要求，公司将供应商分成不同级别的供应商群，即</w:t>
      </w:r>
      <w:r>
        <w:rPr>
          <w:rFonts w:ascii="Times New Roman" w:hAnsi="Times New Roman" w:cs="Times New Roman" w:eastAsia="Times New Roman" w:hint="default"/>
          <w:spacing w:val="-1"/>
        </w:rPr>
        <w:t>A</w:t>
      </w:r>
      <w:r>
        <w:rPr>
          <w:spacing w:val="-1"/>
        </w:rPr>
        <w:t>级，</w:t>
      </w:r>
      <w:r>
        <w:rPr>
          <w:rFonts w:ascii="Times New Roman" w:hAnsi="Times New Roman" w:cs="Times New Roman" w:eastAsia="Times New Roman" w:hint="default"/>
          <w:spacing w:val="-1"/>
        </w:rPr>
        <w:t>B</w:t>
      </w:r>
      <w:r>
        <w:rPr>
          <w:spacing w:val="-1"/>
        </w:rPr>
        <w:t>级，</w:t>
      </w:r>
      <w:r>
        <w:rPr>
          <w:rFonts w:ascii="Times New Roman" w:hAnsi="Times New Roman" w:cs="Times New Roman" w:eastAsia="Times New Roman" w:hint="default"/>
          <w:spacing w:val="-1"/>
        </w:rPr>
        <w:t>C</w:t>
      </w:r>
      <w:r>
        <w:rPr>
          <w:spacing w:val="-1"/>
        </w:rPr>
        <w:t>级，</w:t>
      </w:r>
      <w:r>
        <w:rPr>
          <w:rFonts w:ascii="Times New Roman" w:hAnsi="Times New Roman" w:cs="Times New Roman" w:eastAsia="Times New Roman" w:hint="default"/>
          <w:spacing w:val="-1"/>
        </w:rPr>
        <w:t>D</w:t>
      </w:r>
      <w:r>
        <w:rPr>
          <w:spacing w:val="-1"/>
        </w:rPr>
        <w:t>级四类供应商。公司每年组织一次</w:t>
      </w:r>
      <w:r>
        <w:rPr/>
        <w:t> </w:t>
      </w:r>
      <w:r>
        <w:rPr>
          <w:spacing w:val="-2"/>
        </w:rPr>
        <w:t>供应商评审。评审内容包括：①产品质量；②交付周期；③价格；④服务；⑤认证体系，由评审小组共同参与评审。评审小</w:t>
      </w:r>
      <w:r>
        <w:rPr>
          <w:spacing w:val="-65"/>
        </w:rPr>
        <w:t> </w:t>
      </w:r>
      <w:r>
        <w:rPr>
          <w:spacing w:val="-65"/>
        </w:rPr>
      </w:r>
      <w:r>
        <w:rPr>
          <w:spacing w:val="-2"/>
        </w:rPr>
        <w:t>组包含但不限于交付中心、质量管理、采购、仓库、资产管理等部门人员。针对不同类供应商评审缺陷，协同供应商进行改</w:t>
      </w:r>
      <w:r>
        <w:rPr>
          <w:spacing w:val="-70"/>
        </w:rPr>
        <w:t> </w:t>
      </w:r>
      <w:r>
        <w:rPr>
          <w:spacing w:val="-70"/>
        </w:rPr>
      </w:r>
      <w:r>
        <w:rPr/>
        <w:t>善，提升产品质量和供应稳定性。</w:t>
      </w:r>
    </w:p>
    <w:p>
      <w:pPr>
        <w:pStyle w:val="BodyText"/>
        <w:spacing w:line="240" w:lineRule="auto" w:before="142"/>
        <w:ind w:left="510" w:right="1133"/>
        <w:jc w:val="left"/>
      </w:pPr>
      <w:r>
        <w:rPr/>
        <w:t>（</w:t>
      </w:r>
      <w:r>
        <w:rPr>
          <w:rFonts w:ascii="Times New Roman" w:hAnsi="Times New Roman" w:cs="Times New Roman" w:eastAsia="Times New Roman" w:hint="default"/>
        </w:rPr>
        <w:t>3</w:t>
      </w:r>
      <w:r>
        <w:rPr/>
        <w:t>）采购流程</w:t>
      </w:r>
    </w:p>
    <w:p>
      <w:pPr>
        <w:spacing w:line="240" w:lineRule="auto" w:before="4"/>
        <w:rPr>
          <w:rFonts w:ascii="宋体" w:hAnsi="宋体" w:cs="宋体" w:eastAsia="宋体" w:hint="default"/>
          <w:sz w:val="29"/>
          <w:szCs w:val="29"/>
        </w:rPr>
      </w:pPr>
    </w:p>
    <w:p>
      <w:pPr>
        <w:spacing w:line="4348" w:lineRule="exact"/>
        <w:ind w:left="513" w:right="0" w:firstLine="0"/>
        <w:rPr>
          <w:rFonts w:ascii="宋体" w:hAnsi="宋体" w:cs="宋体" w:eastAsia="宋体" w:hint="default"/>
          <w:sz w:val="20"/>
          <w:szCs w:val="20"/>
        </w:rPr>
      </w:pPr>
      <w:r>
        <w:rPr>
          <w:rFonts w:ascii="宋体" w:hAnsi="宋体" w:cs="宋体" w:eastAsia="宋体" w:hint="default"/>
          <w:position w:val="-86"/>
          <w:sz w:val="20"/>
          <w:szCs w:val="20"/>
        </w:rPr>
        <w:pict>
          <v:group style="width:414.9pt;height:217.45pt;mso-position-horizontal-relative:char;mso-position-vertical-relative:line" coordorigin="0,0" coordsize="8298,4349">
            <v:group style="position:absolute;left:9;top:295;width:1528;height:799" coordorigin="9,295" coordsize="1528,799">
              <v:shape style="position:absolute;left:9;top:295;width:1528;height:799" coordorigin="9,295" coordsize="1528,799" path="m9,1094l1537,1094,1537,295,9,295,9,1094xe" filled="true" fillcolor="#f1f1f1" stroked="false">
                <v:path arrowok="t"/>
                <v:fill type="solid"/>
              </v:shape>
            </v:group>
            <v:group style="position:absolute;left:1;top:287;width:1544;height:815" coordorigin="1,287" coordsize="1544,815">
              <v:shape style="position:absolute;left:1;top:287;width:1544;height:815" coordorigin="1,287" coordsize="1544,815" path="m1542,287l5,287,1,291,1,1099,5,1102,1542,1102,1545,1099,1545,1094,17,1094,9,1087,17,1087,17,302,9,302,17,295,1545,295,1545,291,1542,287xe" filled="true" fillcolor="#000000" stroked="false">
                <v:path arrowok="t"/>
                <v:fill type="solid"/>
              </v:shape>
              <v:shape style="position:absolute;left:1;top:287;width:1544;height:815" coordorigin="1,287" coordsize="1544,815" path="m1530,1087l17,1087,17,1094,1530,1094,1530,1087xe" filled="true" fillcolor="#000000" stroked="false">
                <v:path arrowok="t"/>
                <v:fill type="solid"/>
              </v:shape>
              <v:shape style="position:absolute;left:1;top:287;width:1544;height:815" coordorigin="1,287" coordsize="1544,815" path="m1545,295l1530,295,1538,302,1530,302,1530,1087,1538,1087,1530,1094,1545,1094,1545,295xe" filled="true" fillcolor="#000000" stroked="false">
                <v:path arrowok="t"/>
                <v:fill type="solid"/>
              </v:shape>
              <v:shape style="position:absolute;left:1;top:287;width:1544;height:815" coordorigin="1,287" coordsize="1544,815" path="m1530,295l17,295,17,302,1530,302,1530,295xe" filled="true" fillcolor="#000000" stroked="false">
                <v:path arrowok="t"/>
                <v:fill type="solid"/>
              </v:shape>
            </v:group>
            <v:group style="position:absolute;left:1;top:287;width:1544;height:815" coordorigin="1,287" coordsize="1544,815">
              <v:shape style="position:absolute;left:1;top:287;width:1544;height:815" coordorigin="1,287" coordsize="1544,815" path="m1,295l1,291,5,287,9,287,1538,287,1542,287,1545,291,1545,295,1545,1094,1545,1099,1542,1102,1538,1102,9,1102,5,1102,1,1099,1,1094,1,295xe" filled="false" stroked="true" strokeweight=".140pt" strokecolor="#000000">
                <v:path arrowok="t"/>
              </v:shape>
            </v:group>
            <v:group style="position:absolute;left:9;top:295;width:1529;height:800" coordorigin="9,295" coordsize="1529,800">
              <v:shape style="position:absolute;left:9;top:295;width:1529;height:800" coordorigin="9,295" coordsize="1529,800" path="m17,1094l9,1087,1538,1087,1530,1094,1530,295,1538,302,9,302,17,295,17,1094xe" filled="false" stroked="true" strokeweight=".140pt" strokecolor="#000000">
                <v:path arrowok="t"/>
              </v:shape>
              <v:shape style="position:absolute;left:143;top:516;width:1080;height:394" type="#_x0000_t75" stroked="false">
                <v:imagedata r:id="rId12" o:title=""/>
              </v:shape>
            </v:group>
            <v:group style="position:absolute;left:2259;top:295;width:1528;height:799" coordorigin="2259,295" coordsize="1528,799">
              <v:shape style="position:absolute;left:2259;top:295;width:1528;height:799" coordorigin="2259,295" coordsize="1528,799" path="m2259,1094l3787,1094,3787,295,2259,295,2259,1094xe" filled="true" fillcolor="#f1f1f1" stroked="false">
                <v:path arrowok="t"/>
                <v:fill type="solid"/>
              </v:shape>
            </v:group>
            <v:group style="position:absolute;left:2251;top:287;width:1544;height:815" coordorigin="2251,287" coordsize="1544,815">
              <v:shape style="position:absolute;left:2251;top:287;width:1544;height:815" coordorigin="2251,287" coordsize="1544,815" path="m3792,287l2255,287,2251,291,2251,1099,2255,1102,3792,1102,3795,1099,3795,1094,2267,1094,2259,1087,2267,1087,2267,302,2259,302,2267,295,3795,295,3795,291,3792,287xe" filled="true" fillcolor="#000000" stroked="false">
                <v:path arrowok="t"/>
                <v:fill type="solid"/>
              </v:shape>
              <v:shape style="position:absolute;left:2251;top:287;width:1544;height:815" coordorigin="2251,287" coordsize="1544,815" path="m3780,1087l2267,1087,2267,1094,3780,1094,3780,1087xe" filled="true" fillcolor="#000000" stroked="false">
                <v:path arrowok="t"/>
                <v:fill type="solid"/>
              </v:shape>
              <v:shape style="position:absolute;left:2251;top:287;width:1544;height:815" coordorigin="2251,287" coordsize="1544,815" path="m3795,295l3780,295,3788,302,3780,302,3780,1087,3788,1087,3780,1094,3795,1094,3795,295xe" filled="true" fillcolor="#000000" stroked="false">
                <v:path arrowok="t"/>
                <v:fill type="solid"/>
              </v:shape>
              <v:shape style="position:absolute;left:2251;top:287;width:1544;height:815" coordorigin="2251,287" coordsize="1544,815" path="m3780,295l2267,295,2267,302,3780,302,3780,295xe" filled="true" fillcolor="#000000" stroked="false">
                <v:path arrowok="t"/>
                <v:fill type="solid"/>
              </v:shape>
            </v:group>
            <v:group style="position:absolute;left:2251;top:287;width:1544;height:815" coordorigin="2251,287" coordsize="1544,815">
              <v:shape style="position:absolute;left:2251;top:287;width:1544;height:815" coordorigin="2251,287" coordsize="1544,815" path="m2251,295l2251,291,2255,287,2259,287,3788,287,3792,287,3795,291,3795,295,3795,1094,3795,1099,3792,1102,3788,1102,2259,1102,2255,1102,2251,1099,2251,1094,2251,295xe" filled="false" stroked="true" strokeweight=".140pt" strokecolor="#000000">
                <v:path arrowok="t"/>
              </v:shape>
            </v:group>
            <v:group style="position:absolute;left:2259;top:295;width:1529;height:800" coordorigin="2259,295" coordsize="1529,800">
              <v:shape style="position:absolute;left:2259;top:295;width:1529;height:800" coordorigin="2259,295" coordsize="1529,800" path="m2267,1094l2259,1087,3788,1087,3780,1094,3780,295,3788,302,2259,302,2267,295,2267,1094xe" filled="false" stroked="true" strokeweight=".140pt" strokecolor="#000000">
                <v:path arrowok="t"/>
              </v:shape>
              <v:shape style="position:absolute;left:2392;top:281;width:1262;height:391" type="#_x0000_t75" stroked="false">
                <v:imagedata r:id="rId13" o:title=""/>
              </v:shape>
              <v:shape style="position:absolute;left:2505;top:504;width:1090;height:394" type="#_x0000_t75" stroked="false">
                <v:imagedata r:id="rId14" o:title=""/>
              </v:shape>
              <v:shape style="position:absolute;left:2790;top:792;width:360;height:391" type="#_x0000_t75" stroked="false">
                <v:imagedata r:id="rId15" o:title=""/>
              </v:shape>
            </v:group>
            <v:group style="position:absolute;left:1537;top:631;width:726;height:128" coordorigin="1537,631" coordsize="726,128">
              <v:shape style="position:absolute;left:1537;top:631;width:726;height:128" coordorigin="1537,631" coordsize="726,128" path="m2186,631l2186,687,2199,687,2199,702,2186,702,2186,759,2263,695,2186,631xe" filled="true" fillcolor="#000000" stroked="false">
                <v:path arrowok="t"/>
                <v:fill type="solid"/>
              </v:shape>
              <v:shape style="position:absolute;left:1537;top:631;width:726;height:128" coordorigin="1537,631" coordsize="726,128" path="m2186,687l1537,687,1537,702,2186,702,2186,687xe" filled="true" fillcolor="#000000" stroked="false">
                <v:path arrowok="t"/>
                <v:fill type="solid"/>
              </v:shape>
            </v:group>
            <v:group style="position:absolute;left:1536;top:694;width:665;height:2" coordorigin="1536,694" coordsize="665,2">
              <v:shape style="position:absolute;left:1536;top:694;width:665;height:2" coordorigin="1536,694" coordsize="665,0" path="m1536,694l2201,694e" filled="false" stroked="true" strokeweight=".89pt" strokecolor="#000000">
                <v:path arrowok="t"/>
              </v:shape>
            </v:group>
            <v:group style="position:absolute;left:2186;top:631;width:77;height:128" coordorigin="2186,631" coordsize="77,128">
              <v:shape style="position:absolute;left:2186;top:631;width:77;height:128" coordorigin="2186,631" coordsize="77,128" path="m2186,631l2263,695,2186,759,2186,631xe" filled="false" stroked="true" strokeweight=".140pt" strokecolor="#000000">
                <v:path arrowok="t"/>
              </v:shape>
            </v:group>
            <v:group style="position:absolute;left:4801;top:149;width:1529;height:515" coordorigin="4801,149" coordsize="1529,515">
              <v:shape style="position:absolute;left:4801;top:149;width:1529;height:515" coordorigin="4801,149" coordsize="1529,515" path="m4801,664l6330,664,6330,149,4801,149,4801,664xe" filled="true" fillcolor="#f1f1f1" stroked="false">
                <v:path arrowok="t"/>
                <v:fill type="solid"/>
              </v:shape>
            </v:group>
            <v:group style="position:absolute;left:4794;top:141;width:1544;height:531" coordorigin="4794,141" coordsize="1544,531">
              <v:shape style="position:absolute;left:4794;top:141;width:1544;height:531" coordorigin="4794,141" coordsize="1544,531" path="m6335,141l4798,141,4794,145,4794,669,4798,672,6335,672,6338,669,6338,664,4810,664,4802,657,4810,657,4810,156,4802,156,4810,149,6338,149,6338,145,6335,141xe" filled="true" fillcolor="#000000" stroked="false">
                <v:path arrowok="t"/>
                <v:fill type="solid"/>
              </v:shape>
              <v:shape style="position:absolute;left:4794;top:141;width:1544;height:531" coordorigin="4794,141" coordsize="1544,531" path="m6323,657l4810,657,4810,664,6323,664,6323,657xe" filled="true" fillcolor="#000000" stroked="false">
                <v:path arrowok="t"/>
                <v:fill type="solid"/>
              </v:shape>
              <v:shape style="position:absolute;left:4794;top:141;width:1544;height:531" coordorigin="4794,141" coordsize="1544,531" path="m6338,149l6323,149,6331,156,6323,156,6323,657,6331,657,6323,664,6338,664,6338,149xe" filled="true" fillcolor="#000000" stroked="false">
                <v:path arrowok="t"/>
                <v:fill type="solid"/>
              </v:shape>
              <v:shape style="position:absolute;left:4794;top:141;width:1544;height:531" coordorigin="4794,141" coordsize="1544,531" path="m6323,149l4810,149,4810,156,6323,156,6323,149xe" filled="true" fillcolor="#000000" stroked="false">
                <v:path arrowok="t"/>
                <v:fill type="solid"/>
              </v:shape>
            </v:group>
            <v:group style="position:absolute;left:4794;top:141;width:1544;height:531" coordorigin="4794,141" coordsize="1544,531">
              <v:shape style="position:absolute;left:4794;top:141;width:1544;height:531" coordorigin="4794,141" coordsize="1544,531" path="m4794,149l4794,145,4798,141,4802,141,6331,141,6335,141,6338,145,6338,149,6338,664,6338,669,6335,672,6331,672,4802,672,4798,672,4794,669,4794,664,4794,149xe" filled="false" stroked="true" strokeweight=".140pt" strokecolor="#000000">
                <v:path arrowok="t"/>
              </v:shape>
            </v:group>
            <v:group style="position:absolute;left:4802;top:149;width:1529;height:516" coordorigin="4802,149" coordsize="1529,516">
              <v:shape style="position:absolute;left:4802;top:149;width:1529;height:516" coordorigin="4802,149" coordsize="1529,516" path="m4810,664l4802,657,6331,657,6323,664,6323,149,6331,156,4802,156,4810,149,4810,664xe" filled="false" stroked="true" strokeweight=".140pt" strokecolor="#000000">
                <v:path arrowok="t"/>
              </v:shape>
              <v:shape style="position:absolute;left:5037;top:228;width:900;height:480" type="#_x0000_t75" stroked="false">
                <v:imagedata r:id="rId16" o:title=""/>
              </v:shape>
            </v:group>
            <v:group style="position:absolute;left:3787;top:377;width:1017;height:128" coordorigin="3787,377" coordsize="1017,128">
              <v:shape style="position:absolute;left:3787;top:377;width:1017;height:128" coordorigin="3787,377" coordsize="1017,128" path="m4727,377l4727,433,4740,433,4740,449,4727,449,4727,505,4804,441,4727,377xe" filled="true" fillcolor="#000000" stroked="false">
                <v:path arrowok="t"/>
                <v:fill type="solid"/>
              </v:shape>
              <v:shape style="position:absolute;left:3787;top:377;width:1017;height:128" coordorigin="3787,377" coordsize="1017,128" path="m4727,433l3787,433,3787,449,4727,449,4727,433xe" filled="true" fillcolor="#000000" stroked="false">
                <v:path arrowok="t"/>
                <v:fill type="solid"/>
              </v:shape>
            </v:group>
            <v:group style="position:absolute;left:3786;top:441;width:956;height:2" coordorigin="3786,441" coordsize="956,2">
              <v:shape style="position:absolute;left:3786;top:441;width:956;height:2" coordorigin="3786,441" coordsize="956,0" path="m3786,441l4742,441e" filled="false" stroked="true" strokeweight=".94pt" strokecolor="#000000">
                <v:path arrowok="t"/>
              </v:shape>
            </v:group>
            <v:group style="position:absolute;left:4727;top:377;width:77;height:128" coordorigin="4727,377" coordsize="77,128">
              <v:shape style="position:absolute;left:4727;top:377;width:77;height:128" coordorigin="4727,377" coordsize="77,128" path="m4727,377l4804,441,4727,505,4727,377xe" filled="false" stroked="true" strokeweight=".140pt" strokecolor="#000000">
                <v:path arrowok="t"/>
              </v:shape>
            </v:group>
            <v:group style="position:absolute;left:6760;top:587;width:1528;height:799" coordorigin="6760,587" coordsize="1528,799">
              <v:shape style="position:absolute;left:6760;top:587;width:1528;height:799" coordorigin="6760,587" coordsize="1528,799" path="m6760,1386l8288,1386,8288,587,6760,587,6760,1386xe" filled="true" fillcolor="#f1f1f1" stroked="false">
                <v:path arrowok="t"/>
                <v:fill type="solid"/>
              </v:shape>
            </v:group>
            <v:group style="position:absolute;left:6752;top:579;width:1544;height:815" coordorigin="6752,579" coordsize="1544,815">
              <v:shape style="position:absolute;left:6752;top:579;width:1544;height:815" coordorigin="6752,579" coordsize="1544,815" path="m8293,579l6756,579,6752,583,6752,1391,6756,1394,8293,1394,8296,1391,8296,1386,6768,1386,6760,1379,6768,1379,6768,594,6760,594,6768,587,8296,587,8296,583,8293,579xe" filled="true" fillcolor="#000000" stroked="false">
                <v:path arrowok="t"/>
                <v:fill type="solid"/>
              </v:shape>
              <v:shape style="position:absolute;left:6752;top:579;width:1544;height:815" coordorigin="6752,579" coordsize="1544,815" path="m8281,1379l6768,1379,6768,1386,8281,1386,8281,1379xe" filled="true" fillcolor="#000000" stroked="false">
                <v:path arrowok="t"/>
                <v:fill type="solid"/>
              </v:shape>
              <v:shape style="position:absolute;left:6752;top:579;width:1544;height:815" coordorigin="6752,579" coordsize="1544,815" path="m8296,587l8281,587,8289,594,8281,594,8281,1379,8289,1379,8281,1386,8296,1386,8296,587xe" filled="true" fillcolor="#000000" stroked="false">
                <v:path arrowok="t"/>
                <v:fill type="solid"/>
              </v:shape>
              <v:shape style="position:absolute;left:6752;top:579;width:1544;height:815" coordorigin="6752,579" coordsize="1544,815" path="m8281,587l6768,587,6768,594,8281,594,8281,587xe" filled="true" fillcolor="#000000" stroked="false">
                <v:path arrowok="t"/>
                <v:fill type="solid"/>
              </v:shape>
            </v:group>
            <v:group style="position:absolute;left:6752;top:579;width:1544;height:815" coordorigin="6752,579" coordsize="1544,815">
              <v:shape style="position:absolute;left:6752;top:579;width:1544;height:815" coordorigin="6752,579" coordsize="1544,815" path="m6752,587l6752,583,6756,579,6760,579,8289,579,8293,579,8296,583,8296,587,8296,1386,8296,1391,8293,1394,8289,1394,6760,1394,6756,1394,6752,1391,6752,1386,6752,587xe" filled="false" stroked="true" strokeweight=".140pt" strokecolor="#000000">
                <v:path arrowok="t"/>
              </v:shape>
            </v:group>
            <v:group style="position:absolute;left:6760;top:587;width:1529;height:800" coordorigin="6760,587" coordsize="1529,800">
              <v:shape style="position:absolute;left:6760;top:587;width:1529;height:800" coordorigin="6760,587" coordsize="1529,800" path="m6768,1386l6760,1379,8289,1379,8281,1386,8281,587,8289,594,6760,594,6768,587,6768,1386xe" filled="false" stroked="true" strokeweight=".140pt" strokecolor="#000000">
                <v:path arrowok="t"/>
              </v:shape>
              <v:shape style="position:absolute;left:6950;top:665;width:1262;height:391" type="#_x0000_t75" stroked="false">
                <v:imagedata r:id="rId13" o:title=""/>
              </v:shape>
              <v:shape style="position:absolute;left:7173;top:1008;width:722;height:391" type="#_x0000_t75" stroked="false">
                <v:imagedata r:id="rId17" o:title=""/>
              </v:shape>
            </v:group>
            <v:group style="position:absolute;left:3787;top:884;width:2976;height:128" coordorigin="3787,884" coordsize="2976,128">
              <v:shape style="position:absolute;left:3787;top:884;width:2976;height:128" coordorigin="3787,884" coordsize="2976,128" path="m6687,884l6687,940,6699,940,6699,956,6687,956,6687,1012,6763,948,6687,884xe" filled="true" fillcolor="#000000" stroked="false">
                <v:path arrowok="t"/>
                <v:fill type="solid"/>
              </v:shape>
              <v:shape style="position:absolute;left:3787;top:884;width:2976;height:128" coordorigin="3787,884" coordsize="2976,128" path="m6687,940l3787,940,3787,956,6687,956,6687,940xe" filled="true" fillcolor="#000000" stroked="false">
                <v:path arrowok="t"/>
                <v:fill type="solid"/>
              </v:shape>
            </v:group>
            <v:group style="position:absolute;left:3786;top:948;width:2915;height:2" coordorigin="3786,948" coordsize="2915,2">
              <v:shape style="position:absolute;left:3786;top:948;width:2915;height:2" coordorigin="3786,948" coordsize="2915,0" path="m3786,948l6701,948e" filled="false" stroked="true" strokeweight=".94pt" strokecolor="#000000">
                <v:path arrowok="t"/>
              </v:shape>
            </v:group>
            <v:group style="position:absolute;left:6687;top:884;width:76;height:128" coordorigin="6687,884" coordsize="76,128">
              <v:shape style="position:absolute;left:6687;top:884;width:76;height:128" coordorigin="6687,884" coordsize="76,128" path="m6687,884l6763,948,6687,1012,6687,884xe" filled="false" stroked="true" strokeweight=".140pt" strokecolor="#000000">
                <v:path arrowok="t"/>
              </v:shape>
            </v:group>
            <v:group style="position:absolute;left:6330;top:403;width:1262;height:189" coordorigin="6330,403" coordsize="1262,189">
              <v:shape style="position:absolute;left:6330;top:403;width:1262;height:189" coordorigin="6330,403" coordsize="1262,189" path="m7520,515l7464,515,7528,592,7581,528,7520,528,7520,515xe" filled="true" fillcolor="#000000" stroked="false">
                <v:path arrowok="t"/>
                <v:fill type="solid"/>
              </v:shape>
              <v:shape style="position:absolute;left:6330;top:403;width:1262;height:189" coordorigin="6330,403" coordsize="1262,189" path="m7592,515l7536,515,7536,528,7581,528,7592,515xe" filled="true" fillcolor="#000000" stroked="false">
                <v:path arrowok="t"/>
                <v:fill type="solid"/>
              </v:shape>
              <v:shape style="position:absolute;left:6330;top:403;width:1262;height:189" coordorigin="6330,403" coordsize="1262,189" path="m7536,411l7520,411,7528,418,7520,418,7520,515,7536,515,7536,411xe" filled="true" fillcolor="#000000" stroked="false">
                <v:path arrowok="t"/>
                <v:fill type="solid"/>
              </v:shape>
              <v:shape style="position:absolute;left:6330;top:403;width:1262;height:189" coordorigin="6330,403" coordsize="1262,189" path="m7532,403l6330,403,6330,418,7520,418,7520,411,7536,411,7536,407,7532,403xe" filled="true" fillcolor="#000000" stroked="false">
                <v:path arrowok="t"/>
                <v:fill type="solid"/>
              </v:shape>
            </v:group>
            <v:group style="position:absolute;left:6330;top:403;width:1206;height:126" coordorigin="6330,403" coordsize="1206,126">
              <v:shape style="position:absolute;left:6330;top:403;width:1206;height:126" coordorigin="6330,403" coordsize="1206,126" path="m6330,403l7528,403,7532,403,7536,407,7536,411,7536,528,7520,528,7520,411,7528,418,6330,418,6330,403xe" filled="false" stroked="true" strokeweight=".140pt" strokecolor="#000000">
                <v:path arrowok="t"/>
              </v:shape>
            </v:group>
            <v:group style="position:absolute;left:7464;top:515;width:129;height:77" coordorigin="7464,515" coordsize="129,77">
              <v:shape style="position:absolute;left:7464;top:515;width:129;height:77" coordorigin="7464,515" coordsize="129,77" path="m7592,515l7528,592,7464,515,7592,515xe" filled="false" stroked="true" strokeweight=".140pt" strokecolor="#000000">
                <v:path arrowok="t"/>
              </v:shape>
            </v:group>
            <v:group style="position:absolute;left:6760;top:1970;width:1528;height:799" coordorigin="6760,1970" coordsize="1528,799">
              <v:shape style="position:absolute;left:6760;top:1970;width:1528;height:799" coordorigin="6760,1970" coordsize="1528,799" path="m6760,2769l8288,2769,8288,1970,6760,1970,6760,2769xe" filled="true" fillcolor="#f1f1f1" stroked="false">
                <v:path arrowok="t"/>
                <v:fill type="solid"/>
              </v:shape>
            </v:group>
            <v:group style="position:absolute;left:6752;top:1962;width:1544;height:815" coordorigin="6752,1962" coordsize="1544,815">
              <v:shape style="position:absolute;left:6752;top:1962;width:1544;height:815" coordorigin="6752,1962" coordsize="1544,815" path="m8293,1962l6756,1962,6752,1966,6752,2774,6756,2777,8293,2777,8296,2774,8296,2769,6768,2769,6760,2762,6768,2762,6768,1977,6760,1977,6768,1970,8296,1970,8296,1966,8293,1962xe" filled="true" fillcolor="#000000" stroked="false">
                <v:path arrowok="t"/>
                <v:fill type="solid"/>
              </v:shape>
              <v:shape style="position:absolute;left:6752;top:1962;width:1544;height:815" coordorigin="6752,1962" coordsize="1544,815" path="m8281,2762l6768,2762,6768,2769,8281,2769,8281,2762xe" filled="true" fillcolor="#000000" stroked="false">
                <v:path arrowok="t"/>
                <v:fill type="solid"/>
              </v:shape>
              <v:shape style="position:absolute;left:6752;top:1962;width:1544;height:815" coordorigin="6752,1962" coordsize="1544,815" path="m8296,1970l8281,1970,8289,1977,8281,1977,8281,2762,8289,2762,8281,2769,8296,2769,8296,1970xe" filled="true" fillcolor="#000000" stroked="false">
                <v:path arrowok="t"/>
                <v:fill type="solid"/>
              </v:shape>
              <v:shape style="position:absolute;left:6752;top:1962;width:1544;height:815" coordorigin="6752,1962" coordsize="1544,815" path="m8281,1970l6768,1970,6768,1977,8281,1977,8281,1970xe" filled="true" fillcolor="#000000" stroked="false">
                <v:path arrowok="t"/>
                <v:fill type="solid"/>
              </v:shape>
            </v:group>
            <v:group style="position:absolute;left:6752;top:1962;width:1544;height:815" coordorigin="6752,1962" coordsize="1544,815">
              <v:shape style="position:absolute;left:6752;top:1962;width:1544;height:815" coordorigin="6752,1962" coordsize="1544,815" path="m6752,1970l6752,1966,6756,1962,6760,1962,8289,1962,8293,1962,8296,1966,8296,1970,8296,2769,8296,2774,8293,2777,8289,2777,6760,2777,6756,2777,6752,2774,6752,2769,6752,1970xe" filled="false" stroked="true" strokeweight=".140pt" strokecolor="#000000">
                <v:path arrowok="t"/>
              </v:shape>
            </v:group>
            <v:group style="position:absolute;left:6760;top:1970;width:1529;height:800" coordorigin="6760,1970" coordsize="1529,800">
              <v:shape style="position:absolute;left:6760;top:1970;width:1529;height:800" coordorigin="6760,1970" coordsize="1529,800" path="m6768,2769l6760,2762,8289,2762,8281,2769,8281,1970,8289,1977,6760,1977,6768,1970,6768,2769xe" filled="false" stroked="true" strokeweight=".140pt" strokecolor="#000000">
                <v:path arrowok="t"/>
              </v:shape>
              <v:shape style="position:absolute;left:6998;top:2189;width:1080;height:391" type="#_x0000_t75" stroked="false">
                <v:imagedata r:id="rId18" o:title=""/>
              </v:shape>
            </v:group>
            <v:group style="position:absolute;left:7495;top:1386;width:128;height:581" coordorigin="7495,1386" coordsize="128,581">
              <v:shape style="position:absolute;left:7495;top:1386;width:128;height:581" coordorigin="7495,1386" coordsize="128,581" path="m7551,1890l7495,1890,7559,1967,7613,1903,7551,1903,7551,1890xe" filled="true" fillcolor="#000000" stroked="false">
                <v:path arrowok="t"/>
                <v:fill type="solid"/>
              </v:shape>
              <v:shape style="position:absolute;left:7495;top:1386;width:128;height:581" coordorigin="7495,1386" coordsize="128,581" path="m7623,1890l7566,1890,7566,1903,7613,1903,7623,1890xe" filled="true" fillcolor="#000000" stroked="false">
                <v:path arrowok="t"/>
                <v:fill type="solid"/>
              </v:shape>
              <v:shape style="position:absolute;left:7495;top:1386;width:128;height:581" coordorigin="7495,1386" coordsize="128,581" path="m7566,1386l7551,1386,7551,1890,7566,1890,7566,1386xe" filled="true" fillcolor="#000000" stroked="false">
                <v:path arrowok="t"/>
                <v:fill type="solid"/>
              </v:shape>
            </v:group>
            <v:group style="position:absolute;left:7559;top:1385;width:2;height:520" coordorigin="7559,1385" coordsize="2,520">
              <v:shape style="position:absolute;left:7559;top:1385;width:2;height:520" coordorigin="7559,1385" coordsize="0,520" path="m7559,1385l7559,1904e" filled="false" stroked="true" strokeweight=".89pt" strokecolor="#000000">
                <v:path arrowok="t"/>
              </v:shape>
            </v:group>
            <v:group style="position:absolute;left:7495;top:1890;width:128;height:77" coordorigin="7495,1890" coordsize="128,77">
              <v:shape style="position:absolute;left:7495;top:1890;width:128;height:77" coordorigin="7495,1890" coordsize="128,77" path="m7623,1890l7559,1967,7495,1890,7623,1890xe" filled="false" stroked="true" strokeweight=".140pt" strokecolor="#000000">
                <v:path arrowok="t"/>
              </v:shape>
            </v:group>
            <v:group style="position:absolute;left:4509;top:1970;width:1529;height:799" coordorigin="4509,1970" coordsize="1529,799">
              <v:shape style="position:absolute;left:4509;top:1970;width:1529;height:799" coordorigin="4509,1970" coordsize="1529,799" path="m4509,2769l6038,2769,6038,1970,4509,1970,4509,2769xe" filled="true" fillcolor="#f1f1f1" stroked="false">
                <v:path arrowok="t"/>
                <v:fill type="solid"/>
              </v:shape>
            </v:group>
            <v:group style="position:absolute;left:4502;top:1962;width:1544;height:815" coordorigin="4502,1962" coordsize="1544,815">
              <v:shape style="position:absolute;left:4502;top:1962;width:1544;height:815" coordorigin="4502,1962" coordsize="1544,815" path="m6043,1962l4506,1962,4502,1966,4502,2774,4506,2777,6043,2777,6046,2774,6046,2769,4518,2769,4510,2762,4518,2762,4518,1977,4510,1977,4518,1970,6046,1970,6046,1966,6043,1962xe" filled="true" fillcolor="#000000" stroked="false">
                <v:path arrowok="t"/>
                <v:fill type="solid"/>
              </v:shape>
              <v:shape style="position:absolute;left:4502;top:1962;width:1544;height:815" coordorigin="4502,1962" coordsize="1544,815" path="m6031,2762l4518,2762,4518,2769,6031,2769,6031,2762xe" filled="true" fillcolor="#000000" stroked="false">
                <v:path arrowok="t"/>
                <v:fill type="solid"/>
              </v:shape>
              <v:shape style="position:absolute;left:4502;top:1962;width:1544;height:815" coordorigin="4502,1962" coordsize="1544,815" path="m6046,1970l6031,1970,6039,1977,6031,1977,6031,2762,6039,2762,6031,2769,6046,2769,6046,1970xe" filled="true" fillcolor="#000000" stroked="false">
                <v:path arrowok="t"/>
                <v:fill type="solid"/>
              </v:shape>
              <v:shape style="position:absolute;left:4502;top:1962;width:1544;height:815" coordorigin="4502,1962" coordsize="1544,815" path="m6031,1970l4518,1970,4518,1977,6031,1977,6031,1970xe" filled="true" fillcolor="#000000" stroked="false">
                <v:path arrowok="t"/>
                <v:fill type="solid"/>
              </v:shape>
            </v:group>
            <v:group style="position:absolute;left:4502;top:1962;width:1544;height:815" coordorigin="4502,1962" coordsize="1544,815">
              <v:shape style="position:absolute;left:4502;top:1962;width:1544;height:815" coordorigin="4502,1962" coordsize="1544,815" path="m4502,1970l4502,1966,4506,1962,4510,1962,6039,1962,6043,1962,6046,1966,6046,1970,6046,2769,6046,2774,6043,2777,6039,2777,4510,2777,4506,2777,4502,2774,4502,2769,4502,1970xe" filled="false" stroked="true" strokeweight=".140pt" strokecolor="#000000">
                <v:path arrowok="t"/>
              </v:shape>
            </v:group>
            <v:group style="position:absolute;left:4510;top:1970;width:1529;height:800" coordorigin="4510,1970" coordsize="1529,800">
              <v:shape style="position:absolute;left:4510;top:1970;width:1529;height:800" coordorigin="4510,1970" coordsize="1529,800" path="m4518,2769l4510,2762,6039,2762,6031,2769,6031,1970,6039,1977,4510,1977,4518,1970,4518,2769xe" filled="false" stroked="true" strokeweight=".140pt" strokecolor="#000000">
                <v:path arrowok="t"/>
              </v:shape>
              <v:shape style="position:absolute;left:4746;top:2189;width:1082;height:391" type="#_x0000_t75" stroked="false">
                <v:imagedata r:id="rId18" o:title=""/>
              </v:shape>
            </v:group>
            <v:group style="position:absolute;left:2259;top:1970;width:1528;height:799" coordorigin="2259,1970" coordsize="1528,799">
              <v:shape style="position:absolute;left:2259;top:1970;width:1528;height:799" coordorigin="2259,1970" coordsize="1528,799" path="m2259,2769l3787,2769,3787,1970,2259,1970,2259,2769xe" filled="true" fillcolor="#f1f1f1" stroked="false">
                <v:path arrowok="t"/>
                <v:fill type="solid"/>
              </v:shape>
            </v:group>
            <v:group style="position:absolute;left:2251;top:1962;width:1544;height:815" coordorigin="2251,1962" coordsize="1544,815">
              <v:shape style="position:absolute;left:2251;top:1962;width:1544;height:815" coordorigin="2251,1962" coordsize="1544,815" path="m3792,1962l2255,1962,2251,1966,2251,2774,2255,2777,3792,2777,3795,2774,3795,2769,2267,2769,2259,2762,2267,2762,2267,1977,2259,1977,2267,1970,3795,1970,3795,1966,3792,1962xe" filled="true" fillcolor="#000000" stroked="false">
                <v:path arrowok="t"/>
                <v:fill type="solid"/>
              </v:shape>
              <v:shape style="position:absolute;left:2251;top:1962;width:1544;height:815" coordorigin="2251,1962" coordsize="1544,815" path="m3780,2762l2267,2762,2267,2769,3780,2769,3780,2762xe" filled="true" fillcolor="#000000" stroked="false">
                <v:path arrowok="t"/>
                <v:fill type="solid"/>
              </v:shape>
              <v:shape style="position:absolute;left:2251;top:1962;width:1544;height:815" coordorigin="2251,1962" coordsize="1544,815" path="m3795,1970l3780,1970,3788,1977,3780,1977,3780,2762,3788,2762,3780,2769,3795,2769,3795,1970xe" filled="true" fillcolor="#000000" stroked="false">
                <v:path arrowok="t"/>
                <v:fill type="solid"/>
              </v:shape>
              <v:shape style="position:absolute;left:2251;top:1962;width:1544;height:815" coordorigin="2251,1962" coordsize="1544,815" path="m3780,1970l2267,1970,2267,1977,3780,1977,3780,1970xe" filled="true" fillcolor="#000000" stroked="false">
                <v:path arrowok="t"/>
                <v:fill type="solid"/>
              </v:shape>
            </v:group>
            <v:group style="position:absolute;left:2251;top:1962;width:1544;height:815" coordorigin="2251,1962" coordsize="1544,815">
              <v:shape style="position:absolute;left:2251;top:1962;width:1544;height:815" coordorigin="2251,1962" coordsize="1544,815" path="m2251,1970l2251,1966,2255,1962,2259,1962,3788,1962,3792,1962,3795,1966,3795,1970,3795,2769,3795,2774,3792,2777,3788,2777,2259,2777,2255,2777,2251,2774,2251,2769,2251,1970xe" filled="false" stroked="true" strokeweight=".140pt" strokecolor="#000000">
                <v:path arrowok="t"/>
              </v:shape>
            </v:group>
            <v:group style="position:absolute;left:2259;top:1970;width:1529;height:800" coordorigin="2259,1970" coordsize="1529,800">
              <v:shape style="position:absolute;left:2259;top:1970;width:1529;height:800" coordorigin="2259,1970" coordsize="1529,800" path="m2267,2769l2259,2762,3788,2762,3780,2769,3780,1970,3788,1977,2259,1977,2267,1970,2267,2769xe" filled="false" stroked="true" strokeweight=".140pt" strokecolor="#000000">
                <v:path arrowok="t"/>
              </v:shape>
              <v:shape style="position:absolute;left:2392;top:2189;width:1082;height:391" type="#_x0000_t75" stroked="false">
                <v:imagedata r:id="rId18" o:title=""/>
              </v:shape>
            </v:group>
            <v:group style="position:absolute;left:9;top:1970;width:1528;height:799" coordorigin="9,1970" coordsize="1528,799">
              <v:shape style="position:absolute;left:9;top:1970;width:1528;height:799" coordorigin="9,1970" coordsize="1528,799" path="m9,2769l1537,2769,1537,1970,9,1970,9,2769xe" filled="true" fillcolor="#f1f1f1" stroked="false">
                <v:path arrowok="t"/>
                <v:fill type="solid"/>
              </v:shape>
            </v:group>
            <v:group style="position:absolute;left:1;top:1962;width:1544;height:815" coordorigin="1,1962" coordsize="1544,815">
              <v:shape style="position:absolute;left:1;top:1962;width:1544;height:815" coordorigin="1,1962" coordsize="1544,815" path="m1542,1962l5,1962,1,1966,1,2774,5,2777,1542,2777,1545,2774,1545,2769,17,2769,9,2762,17,2762,17,1977,9,1977,17,1970,1545,1970,1545,1966,1542,1962xe" filled="true" fillcolor="#000000" stroked="false">
                <v:path arrowok="t"/>
                <v:fill type="solid"/>
              </v:shape>
              <v:shape style="position:absolute;left:1;top:1962;width:1544;height:815" coordorigin="1,1962" coordsize="1544,815" path="m1530,2762l17,2762,17,2769,1530,2769,1530,2762xe" filled="true" fillcolor="#000000" stroked="false">
                <v:path arrowok="t"/>
                <v:fill type="solid"/>
              </v:shape>
              <v:shape style="position:absolute;left:1;top:1962;width:1544;height:815" coordorigin="1,1962" coordsize="1544,815" path="m1545,1970l1530,1970,1538,1977,1530,1977,1530,2762,1538,2762,1530,2769,1545,2769,1545,1970xe" filled="true" fillcolor="#000000" stroked="false">
                <v:path arrowok="t"/>
                <v:fill type="solid"/>
              </v:shape>
              <v:shape style="position:absolute;left:1;top:1962;width:1544;height:815" coordorigin="1,1962" coordsize="1544,815" path="m1530,1970l17,1970,17,1977,1530,1977,1530,1970xe" filled="true" fillcolor="#000000" stroked="false">
                <v:path arrowok="t"/>
                <v:fill type="solid"/>
              </v:shape>
            </v:group>
            <v:group style="position:absolute;left:1;top:1962;width:1544;height:815" coordorigin="1,1962" coordsize="1544,815">
              <v:shape style="position:absolute;left:1;top:1962;width:1544;height:815" coordorigin="1,1962" coordsize="1544,815" path="m1,1970l1,1966,5,1962,9,1962,1538,1962,1542,1962,1545,1966,1545,1970,1545,2769,1545,2774,1542,2777,1538,2777,9,2777,5,2777,1,2774,1,2769,1,1970xe" filled="false" stroked="true" strokeweight=".140pt" strokecolor="#000000">
                <v:path arrowok="t"/>
              </v:shape>
            </v:group>
            <v:group style="position:absolute;left:9;top:1970;width:1529;height:800" coordorigin="9,1970" coordsize="1529,800">
              <v:shape style="position:absolute;left:9;top:1970;width:1529;height:800" coordorigin="9,1970" coordsize="1529,800" path="m17,2769l9,2762,1538,2762,1530,2769,1530,1970,1538,1977,9,1977,17,1970,17,2769xe" filled="false" stroked="true" strokeweight=".140pt" strokecolor="#000000">
                <v:path arrowok="t"/>
              </v:shape>
              <v:shape style="position:absolute;left:350;top:2189;width:720;height:391" type="#_x0000_t75" stroked="false">
                <v:imagedata r:id="rId17" o:title=""/>
              </v:shape>
            </v:group>
            <v:group style="position:absolute;left:6038;top:2336;width:726;height:129" coordorigin="6038,2336" coordsize="726,129">
              <v:shape style="position:absolute;left:6038;top:2336;width:726;height:129" coordorigin="6038,2336" coordsize="726,129" path="m6115,2336l6038,2400,6115,2465,6115,2408,6102,2408,6102,2393,6115,2393,6115,2336xe" filled="true" fillcolor="#000000" stroked="false">
                <v:path arrowok="t"/>
                <v:fill type="solid"/>
              </v:shape>
              <v:shape style="position:absolute;left:6038;top:2336;width:726;height:129" coordorigin="6038,2336" coordsize="726,129" path="m6764,2393l6115,2393,6115,2408,6764,2408,6764,2393xe" filled="true" fillcolor="#000000" stroked="false">
                <v:path arrowok="t"/>
                <v:fill type="solid"/>
              </v:shape>
            </v:group>
            <v:group style="position:absolute;left:6101;top:2401;width:665;height:2" coordorigin="6101,2401" coordsize="665,2">
              <v:shape style="position:absolute;left:6101;top:2401;width:665;height:2" coordorigin="6101,2401" coordsize="665,0" path="m6101,2401l6766,2401e" filled="false" stroked="true" strokeweight=".89pt" strokecolor="#000000">
                <v:path arrowok="t"/>
              </v:shape>
            </v:group>
            <v:group style="position:absolute;left:6038;top:2336;width:77;height:129" coordorigin="6038,2336" coordsize="77,129">
              <v:shape style="position:absolute;left:6038;top:2336;width:77;height:129" coordorigin="6038,2336" coordsize="77,129" path="m6115,2465l6038,2400,6115,2336,6115,2465xe" filled="false" stroked="true" strokeweight=".140pt" strokecolor="#000000">
                <v:path arrowok="t"/>
              </v:shape>
            </v:group>
            <v:group style="position:absolute;left:3787;top:2336;width:726;height:129" coordorigin="3787,2336" coordsize="726,129">
              <v:shape style="position:absolute;left:3787;top:2336;width:726;height:129" coordorigin="3787,2336" coordsize="726,129" path="m3864,2336l3787,2400,3864,2465,3864,2408,3852,2408,3852,2393,3864,2393,3864,2336xe" filled="true" fillcolor="#000000" stroked="false">
                <v:path arrowok="t"/>
                <v:fill type="solid"/>
              </v:shape>
              <v:shape style="position:absolute;left:3787;top:2336;width:726;height:129" coordorigin="3787,2336" coordsize="726,129" path="m4513,2393l3864,2393,3864,2408,4513,2408,4513,2393xe" filled="true" fillcolor="#000000" stroked="false">
                <v:path arrowok="t"/>
                <v:fill type="solid"/>
              </v:shape>
            </v:group>
            <v:group style="position:absolute;left:3851;top:2401;width:664;height:2" coordorigin="3851,2401" coordsize="664,2">
              <v:shape style="position:absolute;left:3851;top:2401;width:664;height:2" coordorigin="3851,2401" coordsize="664,0" path="m3851,2401l4515,2401e" filled="false" stroked="true" strokeweight=".89pt" strokecolor="#000000">
                <v:path arrowok="t"/>
              </v:shape>
            </v:group>
            <v:group style="position:absolute;left:3787;top:2336;width:77;height:129" coordorigin="3787,2336" coordsize="77,129">
              <v:shape style="position:absolute;left:3787;top:2336;width:77;height:129" coordorigin="3787,2336" coordsize="77,129" path="m3864,2465l3787,2400,3864,2336,3864,2465xe" filled="false" stroked="true" strokeweight=".140pt" strokecolor="#000000">
                <v:path arrowok="t"/>
              </v:shape>
            </v:group>
            <v:group style="position:absolute;left:1537;top:2336;width:726;height:129" coordorigin="1537,2336" coordsize="726,129">
              <v:shape style="position:absolute;left:1537;top:2336;width:726;height:129" coordorigin="1537,2336" coordsize="726,129" path="m1614,2336l1537,2400,1614,2465,1614,2408,1601,2408,1601,2393,1614,2393,1614,2336xe" filled="true" fillcolor="#000000" stroked="false">
                <v:path arrowok="t"/>
                <v:fill type="solid"/>
              </v:shape>
              <v:shape style="position:absolute;left:1537;top:2336;width:726;height:129" coordorigin="1537,2336" coordsize="726,129" path="m2263,2393l1614,2393,1614,2408,2263,2408,2263,2393xe" filled="true" fillcolor="#000000" stroked="false">
                <v:path arrowok="t"/>
                <v:fill type="solid"/>
              </v:shape>
            </v:group>
            <v:group style="position:absolute;left:1600;top:2401;width:665;height:2" coordorigin="1600,2401" coordsize="665,2">
              <v:shape style="position:absolute;left:1600;top:2401;width:665;height:2" coordorigin="1600,2401" coordsize="665,0" path="m1600,2401l2265,2401e" filled="false" stroked="true" strokeweight=".89pt" strokecolor="#000000">
                <v:path arrowok="t"/>
              </v:shape>
            </v:group>
            <v:group style="position:absolute;left:1537;top:2336;width:77;height:129" coordorigin="1537,2336" coordsize="77,129">
              <v:shape style="position:absolute;left:1537;top:2336;width:77;height:129" coordorigin="1537,2336" coordsize="77,129" path="m1614,2465l1537,2400,1614,2336,1614,2465xe" filled="false" stroked="true" strokeweight=".140pt" strokecolor="#000000">
                <v:path arrowok="t"/>
              </v:shape>
            </v:group>
            <v:group style="position:absolute;left:9;top:3491;width:1528;height:799" coordorigin="9,3491" coordsize="1528,799">
              <v:shape style="position:absolute;left:9;top:3491;width:1528;height:799" coordorigin="9,3491" coordsize="1528,799" path="m9,4290l1537,4290,1537,3491,9,3491,9,4290xe" filled="true" fillcolor="#f1f1f1" stroked="false">
                <v:path arrowok="t"/>
                <v:fill type="solid"/>
              </v:shape>
            </v:group>
            <v:group style="position:absolute;left:1;top:3484;width:1544;height:814" coordorigin="1,3484" coordsize="1544,814">
              <v:shape style="position:absolute;left:1;top:3484;width:1544;height:814" coordorigin="1,3484" coordsize="1544,814" path="m1542,3484l5,3484,1,3488,1,4295,5,4298,1542,4298,1545,4295,1545,4290,17,4290,9,4283,17,4283,17,3499,9,3499,17,3492,1545,3492,1545,3488,1542,3484xe" filled="true" fillcolor="#000000" stroked="false">
                <v:path arrowok="t"/>
                <v:fill type="solid"/>
              </v:shape>
              <v:shape style="position:absolute;left:1;top:3484;width:1544;height:814" coordorigin="1,3484" coordsize="1544,814" path="m1530,4283l17,4283,17,4290,1530,4290,1530,4283xe" filled="true" fillcolor="#000000" stroked="false">
                <v:path arrowok="t"/>
                <v:fill type="solid"/>
              </v:shape>
              <v:shape style="position:absolute;left:1;top:3484;width:1544;height:814" coordorigin="1,3484" coordsize="1544,814" path="m1545,3492l1530,3492,1538,3499,1530,3499,1530,4283,1538,4283,1530,4290,1545,4290,1545,3492xe" filled="true" fillcolor="#000000" stroked="false">
                <v:path arrowok="t"/>
                <v:fill type="solid"/>
              </v:shape>
              <v:shape style="position:absolute;left:1;top:3484;width:1544;height:814" coordorigin="1,3484" coordsize="1544,814" path="m1530,3492l17,3492,17,3499,1530,3499,1530,3492xe" filled="true" fillcolor="#000000" stroked="false">
                <v:path arrowok="t"/>
                <v:fill type="solid"/>
              </v:shape>
            </v:group>
            <v:group style="position:absolute;left:1;top:3484;width:1544;height:814" coordorigin="1,3484" coordsize="1544,814">
              <v:shape style="position:absolute;left:1;top:3484;width:1544;height:814" coordorigin="1,3484" coordsize="1544,814" path="m1,3492l1,3488,5,3484,9,3484,1538,3484,1542,3484,1545,3488,1545,3492,1545,4290,1545,4295,1542,4298,1538,4298,9,4298,5,4298,1,4295,1,4290,1,3492xe" filled="false" stroked="true" strokeweight=".140pt" strokecolor="#000000">
                <v:path arrowok="t"/>
              </v:shape>
            </v:group>
            <v:group style="position:absolute;left:9;top:3492;width:1529;height:799" coordorigin="9,3492" coordsize="1529,799">
              <v:shape style="position:absolute;left:9;top:3492;width:1529;height:799" coordorigin="9,3492" coordsize="1529,799" path="m17,4290l9,4283,1538,4283,1530,4290,1530,3492,1538,3499,9,3499,17,3492,17,4290xe" filled="false" stroked="true" strokeweight=".140pt" strokecolor="#000000">
                <v:path arrowok="t"/>
              </v:shape>
              <v:shape style="position:absolute;left:424;top:3684;width:720;height:391" type="#_x0000_t75" stroked="false">
                <v:imagedata r:id="rId17" o:title=""/>
              </v:shape>
            </v:group>
            <v:group style="position:absolute;left:744;top:2769;width:128;height:726" coordorigin="744,2769" coordsize="128,726">
              <v:shape style="position:absolute;left:744;top:2769;width:128;height:726" coordorigin="744,2769" coordsize="128,726" path="m800,3418l744,3418,807,3495,861,3431,800,3431,800,3418xe" filled="true" fillcolor="#000000" stroked="false">
                <v:path arrowok="t"/>
                <v:fill type="solid"/>
              </v:shape>
              <v:shape style="position:absolute;left:744;top:2769;width:128;height:726" coordorigin="744,2769" coordsize="128,726" path="m872,3418l815,3418,815,3431,861,3431,872,3418xe" filled="true" fillcolor="#000000" stroked="false">
                <v:path arrowok="t"/>
                <v:fill type="solid"/>
              </v:shape>
              <v:shape style="position:absolute;left:744;top:2769;width:128;height:726" coordorigin="744,2769" coordsize="128,726" path="m815,2769l800,2769,800,3418,815,3418,815,2769xe" filled="true" fillcolor="#000000" stroked="false">
                <v:path arrowok="t"/>
                <v:fill type="solid"/>
              </v:shape>
            </v:group>
            <v:group style="position:absolute;left:808;top:2768;width:2;height:665" coordorigin="808,2768" coordsize="2,665">
              <v:shape style="position:absolute;left:808;top:2768;width:2;height:665" coordorigin="808,2768" coordsize="0,665" path="m808,2768l808,3432e" filled="false" stroked="true" strokeweight=".89pt" strokecolor="#000000">
                <v:path arrowok="t"/>
              </v:shape>
            </v:group>
            <v:group style="position:absolute;left:744;top:3418;width:128;height:77" coordorigin="744,3418" coordsize="128,77">
              <v:shape style="position:absolute;left:744;top:3418;width:128;height:77" coordorigin="744,3418" coordsize="128,77" path="m872,3418l807,3495,744,3418,872,3418xe" filled="false" stroked="true" strokeweight=".140pt" strokecolor="#000000">
                <v:path arrowok="t"/>
              </v:shape>
            </v:group>
            <v:group style="position:absolute;left:4513;top:3499;width:1525;height:799" coordorigin="4513,3499" coordsize="1525,799">
              <v:shape style="position:absolute;left:4513;top:3499;width:1525;height:799" coordorigin="4513,3499" coordsize="1525,799" path="m4513,4298l6038,4298,6038,3499,4513,3499,4513,4298xe" filled="true" fillcolor="#f1f1f1" stroked="false">
                <v:path arrowok="t"/>
                <v:fill type="solid"/>
              </v:shape>
            </v:group>
            <v:group style="position:absolute;left:4502;top:3484;width:1544;height:814" coordorigin="4502,3484" coordsize="1544,814">
              <v:shape style="position:absolute;left:4502;top:3484;width:1544;height:814" coordorigin="4502,3484" coordsize="1544,814" path="m6043,3484l4506,3484,4502,3488,4502,4295,4506,4298,6043,4298,6046,4295,6046,4290,4518,4290,4510,4283,4518,4283,4518,3499,4510,3499,4518,3492,6046,3492,6046,3488,6043,3484xe" filled="true" fillcolor="#000000" stroked="false">
                <v:path arrowok="t"/>
                <v:fill type="solid"/>
              </v:shape>
              <v:shape style="position:absolute;left:4502;top:3484;width:1544;height:814" coordorigin="4502,3484" coordsize="1544,814" path="m6031,4283l4518,4283,4518,4290,6031,4290,6031,4283xe" filled="true" fillcolor="#000000" stroked="false">
                <v:path arrowok="t"/>
                <v:fill type="solid"/>
              </v:shape>
              <v:shape style="position:absolute;left:4502;top:3484;width:1544;height:814" coordorigin="4502,3484" coordsize="1544,814" path="m6046,3492l6031,3492,6039,3499,6031,3499,6031,4283,6039,4283,6031,4290,6046,4290,6046,3492xe" filled="true" fillcolor="#000000" stroked="false">
                <v:path arrowok="t"/>
                <v:fill type="solid"/>
              </v:shape>
              <v:shape style="position:absolute;left:4502;top:3484;width:1544;height:814" coordorigin="4502,3484" coordsize="1544,814" path="m6031,3492l4518,3492,4518,3499,6031,3499,6031,3492xe" filled="true" fillcolor="#000000" stroked="false">
                <v:path arrowok="t"/>
                <v:fill type="solid"/>
              </v:shape>
            </v:group>
            <v:group style="position:absolute;left:4502;top:3484;width:1544;height:814" coordorigin="4502,3484" coordsize="1544,814">
              <v:shape style="position:absolute;left:4502;top:3484;width:1544;height:814" coordorigin="4502,3484" coordsize="1544,814" path="m4502,3492l4502,3488,4506,3484,4510,3484,6039,3484,6043,3484,6046,3488,6046,3492,6046,4290,6046,4295,6043,4298,6039,4298,4510,4298,4506,4298,4502,4295,4502,4290,4502,3492xe" filled="false" stroked="true" strokeweight=".140pt" strokecolor="#000000">
                <v:path arrowok="t"/>
              </v:shape>
            </v:group>
            <v:group style="position:absolute;left:4510;top:3492;width:1529;height:799" coordorigin="4510,3492" coordsize="1529,799">
              <v:shape style="position:absolute;left:4510;top:3492;width:1529;height:799" coordorigin="4510,3492" coordsize="1529,799" path="m4518,4290l4510,4283,6039,4283,6031,4290,6031,3492,6039,3499,4510,3499,4518,3492,4518,4290xe" filled="false" stroked="true" strokeweight=".140pt" strokecolor="#000000">
                <v:path arrowok="t"/>
              </v:shape>
              <v:shape style="position:absolute;left:4566;top:3607;width:1262;height:391" type="#_x0000_t75" stroked="false">
                <v:imagedata r:id="rId13" o:title=""/>
              </v:shape>
              <v:shape style="position:absolute;left:4804;top:3958;width:902;height:391" type="#_x0000_t75" stroked="false">
                <v:imagedata r:id="rId19" o:title=""/>
              </v:shape>
            </v:group>
            <v:group style="position:absolute;left:5175;top:2769;width:128;height:726" coordorigin="5175,2769" coordsize="128,726">
              <v:shape style="position:absolute;left:5175;top:2769;width:128;height:726" coordorigin="5175,2769" coordsize="128,726" path="m5231,3418l5175,3418,5239,3495,5293,3431,5231,3431,5231,3418xe" filled="true" fillcolor="#000000" stroked="false">
                <v:path arrowok="t"/>
                <v:fill type="solid"/>
              </v:shape>
              <v:shape style="position:absolute;left:5175;top:2769;width:128;height:726" coordorigin="5175,2769" coordsize="128,726" path="m5303,3418l5247,3418,5247,3431,5293,3431,5303,3418xe" filled="true" fillcolor="#000000" stroked="false">
                <v:path arrowok="t"/>
                <v:fill type="solid"/>
              </v:shape>
              <v:shape style="position:absolute;left:5175;top:2769;width:128;height:726" coordorigin="5175,2769" coordsize="128,726" path="m5247,2769l5231,2769,5231,3418,5247,3418,5247,2769xe" filled="true" fillcolor="#000000" stroked="false">
                <v:path arrowok="t"/>
                <v:fill type="solid"/>
              </v:shape>
            </v:group>
            <v:group style="position:absolute;left:5239;top:2768;width:2;height:665" coordorigin="5239,2768" coordsize="2,665">
              <v:shape style="position:absolute;left:5239;top:2768;width:2;height:665" coordorigin="5239,2768" coordsize="0,665" path="m5239,2768l5239,3432e" filled="false" stroked="true" strokeweight=".94pt" strokecolor="#000000">
                <v:path arrowok="t"/>
              </v:shape>
            </v:group>
            <v:group style="position:absolute;left:5175;top:3418;width:128;height:77" coordorigin="5175,3418" coordsize="128,77">
              <v:shape style="position:absolute;left:5175;top:3418;width:128;height:77" coordorigin="5175,3418" coordsize="128,77" path="m5303,3418l5239,3495,5175,3418,5303,3418xe" filled="false" stroked="true" strokeweight=".140pt" strokecolor="#000000">
                <v:path arrowok="t"/>
              </v:shape>
              <v:shape style="position:absolute;left:3834;top:0;width:720;height:480" type="#_x0000_t75" stroked="false">
                <v:imagedata r:id="rId20" o:title=""/>
              </v:shape>
              <v:shape style="position:absolute;left:4802;top:149;width:1529;height:516" type="#_x0000_t202" filled="false" stroked="false">
                <v:textbox inset="0,0,0,0">
                  <w:txbxContent>
                    <w:p>
                      <w:pPr>
                        <w:spacing w:line="227" w:lineRule="exact" w:before="55"/>
                        <w:ind w:left="236" w:right="0" w:firstLine="0"/>
                        <w:jc w:val="left"/>
                        <w:rPr>
                          <w:rFonts w:ascii="宋体" w:hAnsi="宋体" w:cs="宋体" w:eastAsia="宋体" w:hint="default"/>
                          <w:sz w:val="18"/>
                          <w:szCs w:val="18"/>
                        </w:rPr>
                      </w:pPr>
                      <w:r>
                        <w:rPr>
                          <w:rFonts w:ascii="宋体" w:hAnsi="宋体" w:cs="宋体" w:eastAsia="宋体" w:hint="default"/>
                          <w:sz w:val="18"/>
                          <w:szCs w:val="18"/>
                        </w:rPr>
                        <w:t>财务总监及</w:t>
                      </w:r>
                    </w:p>
                    <w:p>
                      <w:pPr>
                        <w:spacing w:line="227" w:lineRule="exact" w:before="0"/>
                        <w:ind w:left="236" w:right="0" w:firstLine="0"/>
                        <w:jc w:val="left"/>
                        <w:rPr>
                          <w:rFonts w:ascii="宋体" w:hAnsi="宋体" w:cs="宋体" w:eastAsia="宋体" w:hint="default"/>
                          <w:sz w:val="18"/>
                          <w:szCs w:val="18"/>
                        </w:rPr>
                      </w:pPr>
                      <w:r>
                        <w:rPr>
                          <w:rFonts w:ascii="宋体" w:hAnsi="宋体" w:cs="宋体" w:eastAsia="宋体" w:hint="default"/>
                          <w:sz w:val="18"/>
                          <w:szCs w:val="18"/>
                        </w:rPr>
                        <w:t>CEO</w:t>
                      </w:r>
                      <w:r>
                        <w:rPr>
                          <w:rFonts w:ascii="宋体" w:hAnsi="宋体" w:cs="宋体" w:eastAsia="宋体" w:hint="default"/>
                          <w:spacing w:val="-45"/>
                          <w:sz w:val="18"/>
                          <w:szCs w:val="18"/>
                        </w:rPr>
                        <w:t> </w:t>
                      </w:r>
                      <w:r>
                        <w:rPr>
                          <w:rFonts w:ascii="宋体" w:hAnsi="宋体" w:cs="宋体" w:eastAsia="宋体" w:hint="default"/>
                          <w:sz w:val="18"/>
                          <w:szCs w:val="18"/>
                        </w:rPr>
                        <w:t>审批</w:t>
                      </w:r>
                    </w:p>
                  </w:txbxContent>
                </v:textbox>
                <w10:wrap type="none"/>
              </v:shape>
              <v:shape style="position:absolute;left:9;top:295;width:1529;height:800" type="#_x0000_t202" filled="false" stroked="false">
                <v:textbox inset="0,0,0,0">
                  <w:txbxContent>
                    <w:p>
                      <w:pPr>
                        <w:spacing w:line="240" w:lineRule="auto" w:before="12"/>
                        <w:rPr>
                          <w:rFonts w:ascii="宋体" w:hAnsi="宋体" w:cs="宋体" w:eastAsia="宋体" w:hint="default"/>
                          <w:sz w:val="20"/>
                          <w:szCs w:val="20"/>
                        </w:rPr>
                      </w:pPr>
                    </w:p>
                    <w:p>
                      <w:pPr>
                        <w:spacing w:before="0"/>
                        <w:ind w:left="134" w:right="0" w:firstLine="0"/>
                        <w:jc w:val="left"/>
                        <w:rPr>
                          <w:rFonts w:ascii="宋体" w:hAnsi="宋体" w:cs="宋体" w:eastAsia="宋体" w:hint="default"/>
                          <w:sz w:val="18"/>
                          <w:szCs w:val="18"/>
                        </w:rPr>
                      </w:pPr>
                      <w:r>
                        <w:rPr>
                          <w:rFonts w:ascii="宋体" w:hAnsi="宋体" w:cs="宋体" w:eastAsia="宋体" w:hint="default"/>
                          <w:sz w:val="18"/>
                          <w:szCs w:val="18"/>
                        </w:rPr>
                        <w:t>提出采购申请</w:t>
                      </w:r>
                    </w:p>
                  </w:txbxContent>
                </v:textbox>
                <w10:wrap type="none"/>
              </v:shape>
              <v:shape style="position:absolute;left:2259;top:295;width:1529;height:800" type="#_x0000_t202" filled="false" stroked="false">
                <v:textbox inset="0,0,0,0">
                  <w:txbxContent>
                    <w:p>
                      <w:pPr>
                        <w:spacing w:line="224" w:lineRule="exact" w:before="69"/>
                        <w:ind w:left="133" w:right="132" w:firstLine="0"/>
                        <w:jc w:val="center"/>
                        <w:rPr>
                          <w:rFonts w:ascii="宋体" w:hAnsi="宋体" w:cs="宋体" w:eastAsia="宋体" w:hint="default"/>
                          <w:sz w:val="18"/>
                          <w:szCs w:val="18"/>
                        </w:rPr>
                      </w:pPr>
                      <w:r>
                        <w:rPr>
                          <w:rFonts w:ascii="宋体" w:hAnsi="宋体" w:cs="宋体" w:eastAsia="宋体" w:hint="default"/>
                          <w:sz w:val="18"/>
                          <w:szCs w:val="18"/>
                        </w:rPr>
                        <w:t>申请部门负责人 及采购负责人</w:t>
                      </w:r>
                    </w:p>
                    <w:p>
                      <w:pPr>
                        <w:spacing w:before="33"/>
                        <w:ind w:left="0" w:right="103" w:firstLine="0"/>
                        <w:jc w:val="center"/>
                        <w:rPr>
                          <w:rFonts w:ascii="宋体" w:hAnsi="宋体" w:cs="宋体" w:eastAsia="宋体" w:hint="default"/>
                          <w:sz w:val="18"/>
                          <w:szCs w:val="18"/>
                        </w:rPr>
                      </w:pPr>
                      <w:r>
                        <w:rPr>
                          <w:rFonts w:ascii="宋体" w:hAnsi="宋体" w:cs="宋体" w:eastAsia="宋体" w:hint="default"/>
                          <w:sz w:val="18"/>
                          <w:szCs w:val="18"/>
                        </w:rPr>
                        <w:t>审批</w:t>
                      </w:r>
                    </w:p>
                  </w:txbxContent>
                </v:textbox>
                <w10:wrap type="none"/>
              </v:shape>
              <v:shape style="position:absolute;left:2259;top:1970;width:1529;height:800" type="#_x0000_t202" filled="false" stroked="false">
                <v:textbox inset="0,0,0,0">
                  <w:txbxContent>
                    <w:p>
                      <w:pPr>
                        <w:spacing w:line="240" w:lineRule="auto" w:before="10"/>
                        <w:rPr>
                          <w:rFonts w:ascii="宋体" w:hAnsi="宋体" w:cs="宋体" w:eastAsia="宋体" w:hint="default"/>
                          <w:sz w:val="20"/>
                          <w:szCs w:val="20"/>
                        </w:rPr>
                      </w:pPr>
                    </w:p>
                    <w:p>
                      <w:pPr>
                        <w:spacing w:before="0"/>
                        <w:ind w:left="133" w:right="0" w:firstLine="0"/>
                        <w:jc w:val="left"/>
                        <w:rPr>
                          <w:rFonts w:ascii="宋体" w:hAnsi="宋体" w:cs="宋体" w:eastAsia="宋体" w:hint="default"/>
                          <w:sz w:val="18"/>
                          <w:szCs w:val="18"/>
                        </w:rPr>
                      </w:pPr>
                      <w:r>
                        <w:rPr>
                          <w:rFonts w:ascii="宋体" w:hAnsi="宋体" w:cs="宋体" w:eastAsia="宋体" w:hint="default"/>
                          <w:sz w:val="18"/>
                          <w:szCs w:val="18"/>
                        </w:rPr>
                        <w:t>采购申请付款</w:t>
                      </w:r>
                    </w:p>
                  </w:txbxContent>
                </v:textbox>
                <w10:wrap type="none"/>
              </v:shape>
              <v:shape style="position:absolute;left:6760;top:1970;width:1529;height:800" type="#_x0000_t202" filled="false" stroked="false">
                <v:textbox inset="0,0,0,0">
                  <w:txbxContent>
                    <w:p>
                      <w:pPr>
                        <w:spacing w:line="240" w:lineRule="auto" w:before="10"/>
                        <w:rPr>
                          <w:rFonts w:ascii="宋体" w:hAnsi="宋体" w:cs="宋体" w:eastAsia="宋体" w:hint="default"/>
                          <w:sz w:val="20"/>
                          <w:szCs w:val="20"/>
                        </w:rPr>
                      </w:pPr>
                    </w:p>
                    <w:p>
                      <w:pPr>
                        <w:spacing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t>合同签署下单</w:t>
                      </w:r>
                    </w:p>
                  </w:txbxContent>
                </v:textbox>
                <w10:wrap type="none"/>
              </v:shape>
              <v:shape style="position:absolute;left:3835;top:31;width:720;height:402" type="#_x0000_t202" filled="false" stroked="false">
                <v:textbox inset="0,0,0,0">
                  <w:txbxContent>
                    <w:p>
                      <w:pPr>
                        <w:spacing w:line="173"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超过</w:t>
                      </w:r>
                    </w:p>
                    <w:p>
                      <w:pPr>
                        <w:spacing w:line="228"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一定金额</w:t>
                      </w:r>
                    </w:p>
                  </w:txbxContent>
                </v:textbox>
                <w10:wrap type="none"/>
              </v:shape>
              <v:shape style="position:absolute;left:6951;top:773;width:1260;height:524"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采购员汇总需求</w:t>
                      </w:r>
                    </w:p>
                    <w:p>
                      <w:pPr>
                        <w:spacing w:before="107"/>
                        <w:ind w:left="0" w:right="89" w:firstLine="0"/>
                        <w:jc w:val="center"/>
                        <w:rPr>
                          <w:rFonts w:ascii="宋体" w:hAnsi="宋体" w:cs="宋体" w:eastAsia="宋体" w:hint="default"/>
                          <w:sz w:val="18"/>
                          <w:szCs w:val="18"/>
                        </w:rPr>
                      </w:pPr>
                      <w:r>
                        <w:rPr>
                          <w:rFonts w:ascii="宋体" w:hAnsi="宋体" w:cs="宋体" w:eastAsia="宋体" w:hint="default"/>
                          <w:sz w:val="18"/>
                          <w:szCs w:val="18"/>
                        </w:rPr>
                        <w:t>询价议价</w:t>
                      </w:r>
                    </w:p>
                  </w:txbxContent>
                </v:textbox>
                <w10:wrap type="none"/>
              </v:shape>
              <v:shape style="position:absolute;left:350;top:229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财务付款</w:t>
                      </w:r>
                    </w:p>
                  </w:txbxContent>
                </v:textbox>
                <w10:wrap type="none"/>
              </v:shape>
              <v:shape style="position:absolute;left:4747;top:2297;width:108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到货验收入库</w:t>
                      </w:r>
                    </w:p>
                  </w:txbxContent>
                </v:textbox>
                <w10:wrap type="none"/>
              </v:shape>
              <v:shape style="position:absolute;left:4567;top:3716;width:1260;height:531"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不合格按相关退</w:t>
                      </w:r>
                    </w:p>
                    <w:p>
                      <w:pPr>
                        <w:spacing w:before="115"/>
                        <w:ind w:left="115" w:right="0" w:firstLine="0"/>
                        <w:jc w:val="center"/>
                        <w:rPr>
                          <w:rFonts w:ascii="宋体" w:hAnsi="宋体" w:cs="宋体" w:eastAsia="宋体" w:hint="default"/>
                          <w:sz w:val="18"/>
                          <w:szCs w:val="18"/>
                        </w:rPr>
                      </w:pPr>
                      <w:r>
                        <w:rPr>
                          <w:rFonts w:ascii="宋体" w:hAnsi="宋体" w:cs="宋体" w:eastAsia="宋体" w:hint="default"/>
                          <w:sz w:val="18"/>
                          <w:szCs w:val="18"/>
                        </w:rPr>
                        <w:t>货制度处理</w:t>
                      </w:r>
                    </w:p>
                  </w:txbxContent>
                </v:textbox>
                <w10:wrap type="none"/>
              </v:shape>
              <v:shape style="position:absolute;left:9;top:3492;width:1529;height:799" type="#_x0000_t202" filled="false" stroked="false">
                <v:textbox inset="0,0,0,0">
                  <w:txbxContent>
                    <w:p>
                      <w:pPr>
                        <w:spacing w:line="240" w:lineRule="auto" w:before="10"/>
                        <w:rPr>
                          <w:rFonts w:ascii="宋体" w:hAnsi="宋体" w:cs="宋体" w:eastAsia="宋体" w:hint="default"/>
                          <w:sz w:val="18"/>
                          <w:szCs w:val="18"/>
                        </w:rPr>
                      </w:pPr>
                    </w:p>
                    <w:p>
                      <w:pPr>
                        <w:spacing w:before="0"/>
                        <w:ind w:left="415" w:right="0" w:firstLine="0"/>
                        <w:jc w:val="left"/>
                        <w:rPr>
                          <w:rFonts w:ascii="宋体" w:hAnsi="宋体" w:cs="宋体" w:eastAsia="宋体" w:hint="default"/>
                          <w:sz w:val="18"/>
                          <w:szCs w:val="18"/>
                        </w:rPr>
                      </w:pPr>
                      <w:r>
                        <w:rPr>
                          <w:rFonts w:ascii="宋体" w:hAnsi="宋体" w:cs="宋体" w:eastAsia="宋体" w:hint="default"/>
                          <w:sz w:val="18"/>
                          <w:szCs w:val="18"/>
                        </w:rPr>
                        <w:t>采购完成</w:t>
                      </w:r>
                    </w:p>
                  </w:txbxContent>
                </v:textbox>
                <w10:wrap type="none"/>
              </v:shape>
            </v:group>
          </v:group>
        </w:pict>
      </w:r>
      <w:r>
        <w:rPr>
          <w:rFonts w:ascii="宋体" w:hAnsi="宋体" w:cs="宋体" w:eastAsia="宋体" w:hint="default"/>
          <w:position w:val="-86"/>
          <w:sz w:val="20"/>
          <w:szCs w:val="20"/>
        </w:rPr>
      </w:r>
    </w:p>
    <w:p>
      <w:pPr>
        <w:spacing w:line="240" w:lineRule="auto" w:before="4"/>
        <w:rPr>
          <w:rFonts w:ascii="宋体" w:hAnsi="宋体" w:cs="宋体" w:eastAsia="宋体" w:hint="default"/>
          <w:sz w:val="19"/>
          <w:szCs w:val="19"/>
        </w:rPr>
      </w:pPr>
    </w:p>
    <w:p>
      <w:pPr>
        <w:pStyle w:val="BodyText"/>
        <w:spacing w:line="307" w:lineRule="auto"/>
        <w:ind w:right="986" w:firstLine="360"/>
        <w:jc w:val="left"/>
      </w:pPr>
      <w:r>
        <w:rPr>
          <w:spacing w:val="-5"/>
        </w:rPr>
        <w:t>各需求部门制定采购需求，在</w:t>
      </w:r>
      <w:r>
        <w:rPr>
          <w:rFonts w:ascii="Times New Roman" w:hAnsi="Times New Roman" w:cs="Times New Roman" w:eastAsia="Times New Roman" w:hint="default"/>
          <w:spacing w:val="-5"/>
        </w:rPr>
        <w:t>ERP</w:t>
      </w:r>
      <w:r>
        <w:rPr>
          <w:spacing w:val="-5"/>
        </w:rPr>
        <w:t>采购系统中提出采购申请，采购申请经过需求部门负责人及采购部负责人的审核后（超</w:t>
      </w:r>
      <w:r>
        <w:rPr/>
        <w:t> </w:t>
      </w:r>
      <w:r>
        <w:rPr>
          <w:spacing w:val="-2"/>
        </w:rPr>
        <w:t>过一定金额还需要经财务总监及</w:t>
      </w:r>
      <w:r>
        <w:rPr>
          <w:rFonts w:ascii="Times New Roman" w:hAnsi="Times New Roman" w:cs="Times New Roman" w:eastAsia="Times New Roman" w:hint="default"/>
          <w:spacing w:val="-2"/>
        </w:rPr>
        <w:t>CEO</w:t>
      </w:r>
      <w:r>
        <w:rPr>
          <w:spacing w:val="-2"/>
        </w:rPr>
        <w:t>审批），由采购员汇总采购需求，并向《合格供应商名录》中的供应商询价，由采购部</w:t>
      </w:r>
      <w:r>
        <w:rPr>
          <w:spacing w:val="-65"/>
        </w:rPr>
        <w:t> </w:t>
      </w:r>
      <w:r>
        <w:rPr>
          <w:spacing w:val="-65"/>
        </w:rPr>
      </w:r>
      <w:r>
        <w:rPr>
          <w:spacing w:val="-3"/>
        </w:rPr>
        <w:t>门组织法务等相关人员与供应商进行合同条款的协商。选取供应商并确定相关条款后，采购员在</w:t>
      </w:r>
      <w:r>
        <w:rPr>
          <w:rFonts w:ascii="Times New Roman" w:hAnsi="Times New Roman" w:cs="Times New Roman" w:eastAsia="Times New Roman" w:hint="default"/>
          <w:spacing w:val="-3"/>
        </w:rPr>
        <w:t>ERP</w:t>
      </w:r>
      <w:r>
        <w:rPr>
          <w:spacing w:val="-3"/>
        </w:rPr>
        <w:t>系统发起采购合同审批。</w:t>
      </w:r>
      <w:r>
        <w:rPr>
          <w:spacing w:val="-61"/>
        </w:rPr>
        <w:t> </w:t>
      </w:r>
      <w:r>
        <w:rPr>
          <w:spacing w:val="-2"/>
        </w:rPr>
        <w:t>完成审批后，公司与供应商签署采购合同，采购订单生效执行。货到后由公司仓库人员进行接收工作，同时由质控部门人员</w:t>
      </w:r>
      <w:r>
        <w:rPr>
          <w:spacing w:val="-65"/>
        </w:rPr>
        <w:t> </w:t>
      </w:r>
      <w:r>
        <w:rPr>
          <w:spacing w:val="-65"/>
        </w:rPr>
      </w:r>
      <w:r>
        <w:rPr>
          <w:spacing w:val="-2"/>
        </w:rPr>
        <w:t>做相应的验收工作，对验收合格的物资、材料及时办理入库；对验收不合格的不予入库并按照公司制定的流程进行处理。验</w:t>
      </w:r>
      <w:r>
        <w:rPr>
          <w:spacing w:val="-64"/>
        </w:rPr>
        <w:t> </w:t>
      </w:r>
      <w:r>
        <w:rPr>
          <w:spacing w:val="-64"/>
        </w:rPr>
      </w:r>
      <w:r>
        <w:rPr>
          <w:spacing w:val="-5"/>
        </w:rPr>
        <w:t>收入库后，在和供应商约定的付款期内由采购员填写支出证明单，经采购负责人审批签字后，提交财务部门，申请付款结算。</w:t>
      </w:r>
    </w:p>
    <w:p>
      <w:pPr>
        <w:pStyle w:val="BodyText"/>
        <w:spacing w:line="432" w:lineRule="exact" w:before="10"/>
        <w:ind w:left="513" w:right="986"/>
        <w:jc w:val="left"/>
      </w:pPr>
      <w:r>
        <w:rPr>
          <w:rFonts w:ascii="Times New Roman" w:hAnsi="Times New Roman" w:cs="Times New Roman" w:eastAsia="Times New Roman" w:hint="default"/>
          <w:b/>
          <w:bCs/>
        </w:rPr>
        <w:t>2</w:t>
      </w:r>
      <w:r>
        <w:rPr>
          <w:rFonts w:ascii="宋体" w:hAnsi="宋体" w:cs="宋体" w:eastAsia="宋体" w:hint="default"/>
          <w:b/>
          <w:bCs/>
        </w:rPr>
        <w:t>、生产模式</w:t>
      </w:r>
      <w:r>
        <w:rPr>
          <w:rFonts w:ascii="宋体" w:hAnsi="宋体" w:cs="宋体" w:eastAsia="宋体" w:hint="default"/>
          <w:b/>
          <w:bCs/>
          <w:w w:val="99"/>
        </w:rPr>
        <w:t> </w:t>
      </w:r>
      <w:r>
        <w:rPr>
          <w:spacing w:val="-2"/>
        </w:rPr>
        <w:t>公司的生产模式主要分两种类型，一种为多组学大数据服务与合成类业务；一种为临床开发与应用类，主要包括生育健</w:t>
      </w:r>
    </w:p>
    <w:p>
      <w:pPr>
        <w:pStyle w:val="BodyText"/>
        <w:spacing w:line="240" w:lineRule="auto" w:before="15"/>
        <w:ind w:right="1133"/>
        <w:jc w:val="left"/>
      </w:pPr>
      <w:r>
        <w:rPr/>
        <w:t>康类、肿瘤防控及转化医学类和感染防控类服务。</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2"/>
        </w:rPr>
        <w:t>多组学大数据服务与合成类业务采取订单型、小批量的生产模式，以订单或项目形式接入生产任务，根据历史项目或任</w:t>
      </w:r>
      <w:r>
        <w:rPr/>
        <w:t> </w:t>
      </w:r>
      <w:r>
        <w:rPr>
          <w:spacing w:val="-2"/>
        </w:rPr>
        <w:t>务量数据分析结果及市场趋势制定年度、季度或月度生产计划，发放至各产线参考；根据订单或项目接入情况制定短期内的</w:t>
      </w:r>
      <w:r>
        <w:rPr>
          <w:spacing w:val="-66"/>
        </w:rPr>
        <w:t> </w:t>
      </w:r>
      <w:r>
        <w:rPr>
          <w:spacing w:val="-66"/>
        </w:rPr>
      </w:r>
      <w:r>
        <w:rPr/>
        <w:t>小批量生产计划（周计划、日计划），发放至各产线执行。</w:t>
      </w:r>
    </w:p>
    <w:p>
      <w:pPr>
        <w:pStyle w:val="BodyText"/>
        <w:spacing w:line="312" w:lineRule="auto" w:before="139"/>
        <w:ind w:right="1131" w:firstLine="360"/>
        <w:jc w:val="both"/>
      </w:pPr>
      <w:r>
        <w:rPr>
          <w:spacing w:val="-2"/>
        </w:rPr>
        <w:t>临床开发与应用类采取流程式生产的生产方式，根据历史任务量情况分析结果及市场趋势分析制定年度、季度或月度生</w:t>
      </w:r>
      <w:r>
        <w:rPr/>
        <w:t> </w:t>
      </w:r>
      <w:r>
        <w:rPr>
          <w:spacing w:val="-2"/>
        </w:rPr>
        <w:t>产计划，发放至各中心参考；各中心再根据实际任务接收情况制定周计划和日计划，发放至各产线执行。执行过程中采取流</w:t>
      </w:r>
      <w:r>
        <w:rPr>
          <w:spacing w:val="-64"/>
        </w:rPr>
        <w:t> </w:t>
      </w:r>
      <w:r>
        <w:rPr>
          <w:spacing w:val="-64"/>
        </w:rPr>
      </w:r>
      <w:r>
        <w:rPr>
          <w:spacing w:val="-1"/>
        </w:rPr>
        <w:t>程式作业，各产线的流程式作业配有详细的</w:t>
      </w:r>
      <w:r>
        <w:rPr>
          <w:rFonts w:ascii="Times New Roman" w:hAnsi="Times New Roman" w:cs="Times New Roman" w:eastAsia="Times New Roman" w:hint="default"/>
          <w:spacing w:val="-1"/>
        </w:rPr>
        <w:t>SOP</w:t>
      </w:r>
      <w:r>
        <w:rPr>
          <w:spacing w:val="-1"/>
        </w:rPr>
        <w:t>进行规范和指导，同时参与操作的实验人员具有对应的上岗证以及相应的资</w:t>
      </w:r>
      <w:r>
        <w:rPr/>
        <w:t> 质证书。在各流程式作业的关键节点设置质控操作，确保产品数据可靠性和质量稳定性。</w:t>
      </w:r>
    </w:p>
    <w:p>
      <w:pPr>
        <w:pStyle w:val="BodyText"/>
        <w:spacing w:line="300" w:lineRule="auto" w:before="143"/>
        <w:ind w:right="1129" w:firstLine="360"/>
        <w:jc w:val="both"/>
      </w:pPr>
      <w:r>
        <w:rPr>
          <w:spacing w:val="-11"/>
          <w:w w:val="100"/>
        </w:rPr>
        <w:t>公司坚持</w:t>
      </w:r>
      <w:r>
        <w:rPr>
          <w:rFonts w:ascii="Times New Roman" w:hAnsi="Times New Roman" w:cs="Times New Roman" w:eastAsia="Times New Roman" w:hint="default"/>
          <w:spacing w:val="-11"/>
          <w:w w:val="100"/>
        </w:rPr>
        <w:t>“</w:t>
      </w:r>
      <w:r>
        <w:rPr>
          <w:spacing w:val="-11"/>
          <w:w w:val="100"/>
        </w:rPr>
        <w:t>引领行业需先引领质量</w:t>
      </w:r>
      <w:r>
        <w:rPr>
          <w:rFonts w:ascii="Times New Roman" w:hAnsi="Times New Roman" w:cs="Times New Roman" w:eastAsia="Times New Roman" w:hint="default"/>
          <w:spacing w:val="-11"/>
          <w:w w:val="100"/>
        </w:rPr>
        <w:t>”</w:t>
      </w:r>
      <w:r>
        <w:rPr>
          <w:spacing w:val="-11"/>
          <w:w w:val="100"/>
        </w:rPr>
        <w:t>，严格恪守</w:t>
      </w:r>
      <w:r>
        <w:rPr>
          <w:rFonts w:ascii="Times New Roman" w:hAnsi="Times New Roman" w:cs="Times New Roman" w:eastAsia="Times New Roman" w:hint="default"/>
          <w:spacing w:val="-11"/>
          <w:w w:val="100"/>
        </w:rPr>
        <w:t>“</w:t>
      </w:r>
      <w:r>
        <w:rPr>
          <w:spacing w:val="-11"/>
          <w:w w:val="100"/>
        </w:rPr>
        <w:t>公正、科学、严谨、准确、及时</w:t>
      </w:r>
      <w:r>
        <w:rPr>
          <w:rFonts w:ascii="Times New Roman" w:hAnsi="Times New Roman" w:cs="Times New Roman" w:eastAsia="Times New Roman" w:hint="default"/>
          <w:spacing w:val="-11"/>
          <w:w w:val="100"/>
        </w:rPr>
        <w:t>”</w:t>
      </w:r>
      <w:r>
        <w:rPr>
          <w:spacing w:val="-11"/>
          <w:w w:val="100"/>
        </w:rPr>
        <w:t>的质量方针，通过了质量（</w:t>
      </w:r>
      <w:r>
        <w:rPr>
          <w:rFonts w:ascii="Times New Roman" w:hAnsi="Times New Roman" w:cs="Times New Roman" w:eastAsia="Times New Roman" w:hint="default"/>
          <w:spacing w:val="-11"/>
          <w:w w:val="100"/>
        </w:rPr>
        <w:t>ISO</w:t>
      </w:r>
      <w:r>
        <w:rPr>
          <w:rFonts w:ascii="Times New Roman" w:hAnsi="Times New Roman" w:cs="Times New Roman" w:eastAsia="Times New Roman" w:hint="default"/>
          <w:w w:val="100"/>
        </w:rPr>
        <w:t> </w:t>
      </w:r>
      <w:r>
        <w:rPr>
          <w:rFonts w:ascii="Times New Roman" w:hAnsi="Times New Roman" w:cs="Times New Roman" w:eastAsia="Times New Roman" w:hint="default"/>
        </w:rPr>
        <w:t>9001</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23"/>
        </w:rPr>
        <w:t>:2015</w:t>
      </w:r>
      <w:r>
        <w:rPr>
          <w:spacing w:val="-23"/>
        </w:rPr>
        <w:t>）、</w:t>
      </w:r>
      <w:r>
        <w:rPr>
          <w:spacing w:val="-80"/>
        </w:rPr>
        <w:t> </w:t>
      </w:r>
      <w:r>
        <w:rPr/>
        <w:t>环境（</w:t>
      </w:r>
      <w:r>
        <w:rPr>
          <w:rFonts w:ascii="Times New Roman" w:hAnsi="Times New Roman" w:cs="Times New Roman" w:eastAsia="Times New Roman" w:hint="default"/>
        </w:rPr>
        <w:t>ISO 14001:2015</w:t>
      </w:r>
      <w:r>
        <w:rPr/>
        <w:t>）、职业健康安全（</w:t>
      </w:r>
      <w:r>
        <w:rPr>
          <w:rFonts w:ascii="Times New Roman" w:hAnsi="Times New Roman" w:cs="Times New Roman" w:eastAsia="Times New Roman" w:hint="default"/>
        </w:rPr>
        <w:t>OHSAS 18001:2007</w:t>
      </w:r>
      <w:r>
        <w:rPr/>
        <w:t>）、信息安全（</w:t>
      </w:r>
      <w:r>
        <w:rPr>
          <w:rFonts w:ascii="Times New Roman" w:hAnsi="Times New Roman" w:cs="Times New Roman" w:eastAsia="Times New Roman" w:hint="default"/>
        </w:rPr>
        <w:t>ISO/IEC</w:t>
      </w:r>
      <w:r>
        <w:rPr>
          <w:rFonts w:ascii="Times New Roman" w:hAnsi="Times New Roman" w:cs="Times New Roman" w:eastAsia="Times New Roman" w:hint="default"/>
          <w:spacing w:val="1"/>
        </w:rPr>
        <w:t> </w:t>
      </w:r>
      <w:r>
        <w:rPr>
          <w:rFonts w:ascii="Times New Roman" w:hAnsi="Times New Roman" w:cs="Times New Roman" w:eastAsia="Times New Roman" w:hint="default"/>
        </w:rPr>
        <w:t>27001:2013</w:t>
      </w:r>
      <w:r>
        <w:rPr/>
        <w:t>）管理体系认证和医疗器</w:t>
      </w:r>
    </w:p>
    <w:p>
      <w:pPr>
        <w:spacing w:after="0" w:line="300"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2"/>
        <w:jc w:val="both"/>
      </w:pPr>
      <w:r>
        <w:rPr>
          <w:spacing w:val="-3"/>
        </w:rPr>
        <w:t>械质量管理体系认证（</w:t>
      </w:r>
      <w:r>
        <w:rPr>
          <w:rFonts w:ascii="Times New Roman" w:hAnsi="Times New Roman" w:cs="Times New Roman" w:eastAsia="Times New Roman" w:hint="default"/>
          <w:spacing w:val="-3"/>
        </w:rPr>
        <w:t>ISO 13485:2016</w:t>
      </w:r>
      <w:r>
        <w:rPr>
          <w:spacing w:val="-3"/>
        </w:rPr>
        <w:t>）以及检测实验室认可（</w:t>
      </w:r>
      <w:r>
        <w:rPr>
          <w:rFonts w:ascii="Times New Roman" w:hAnsi="Times New Roman" w:cs="Times New Roman" w:eastAsia="Times New Roman" w:hint="default"/>
          <w:spacing w:val="-3"/>
        </w:rPr>
        <w:t>ISO/IEC </w:t>
      </w:r>
      <w:r>
        <w:rPr>
          <w:rFonts w:ascii="Times New Roman" w:hAnsi="Times New Roman" w:cs="Times New Roman" w:eastAsia="Times New Roman" w:hint="default"/>
          <w:spacing w:val="-4"/>
        </w:rPr>
        <w:t>17025:2005</w:t>
      </w:r>
      <w:r>
        <w:rPr>
          <w:spacing w:val="-4"/>
        </w:rPr>
        <w:t>）、医学实验室认可（</w:t>
      </w:r>
      <w:r>
        <w:rPr>
          <w:rFonts w:ascii="Times New Roman" w:hAnsi="Times New Roman" w:cs="Times New Roman" w:eastAsia="Times New Roman" w:hint="default"/>
          <w:spacing w:val="-4"/>
        </w:rPr>
        <w:t>ISO </w:t>
      </w:r>
      <w:r>
        <w:rPr>
          <w:rFonts w:ascii="Times New Roman" w:hAnsi="Times New Roman" w:cs="Times New Roman" w:eastAsia="Times New Roman" w:hint="default"/>
          <w:spacing w:val="-5"/>
        </w:rPr>
        <w:t>15189:2012</w:t>
      </w:r>
      <w:r>
        <w:rPr>
          <w:spacing w:val="-5"/>
        </w:rPr>
        <w:t>），</w:t>
      </w:r>
      <w:r>
        <w:rPr>
          <w:spacing w:val="-73"/>
        </w:rPr>
        <w:t> </w:t>
      </w:r>
      <w:r>
        <w:rPr/>
        <w:t>美国病理学家协会</w:t>
      </w:r>
      <w:r>
        <w:rPr>
          <w:rFonts w:ascii="Times New Roman" w:hAnsi="Times New Roman" w:cs="Times New Roman" w:eastAsia="Times New Roman" w:hint="default"/>
        </w:rPr>
        <w:t>CAP</w:t>
      </w:r>
      <w:r>
        <w:rPr/>
        <w:t>认可和</w:t>
      </w:r>
      <w:r>
        <w:rPr>
          <w:rFonts w:ascii="Times New Roman" w:hAnsi="Times New Roman" w:cs="Times New Roman" w:eastAsia="Times New Roman" w:hint="default"/>
        </w:rPr>
        <w:t>CLIA</w:t>
      </w:r>
      <w:r>
        <w:rPr/>
        <w:t>（临床实验室改进修正案）认证等多项专业实验室认可，实验室信息管理系统还通过了</w:t>
      </w:r>
      <w:r>
        <w:rPr>
          <w:spacing w:val="-51"/>
        </w:rPr>
        <w:t> </w:t>
      </w:r>
      <w:r>
        <w:rPr>
          <w:spacing w:val="-51"/>
        </w:rPr>
      </w:r>
      <w:r>
        <w:rPr/>
        <w:t>按照美国</w:t>
      </w:r>
      <w:r>
        <w:rPr>
          <w:rFonts w:ascii="Times New Roman" w:hAnsi="Times New Roman" w:cs="Times New Roman" w:eastAsia="Times New Roman" w:hint="default"/>
        </w:rPr>
        <w:t>FDA 21 CFR PART</w:t>
      </w:r>
      <w:r>
        <w:rPr>
          <w:rFonts w:ascii="Times New Roman" w:hAnsi="Times New Roman" w:cs="Times New Roman" w:eastAsia="Times New Roman" w:hint="default"/>
          <w:spacing w:val="13"/>
        </w:rPr>
        <w:t> </w:t>
      </w:r>
      <w:r>
        <w:rPr>
          <w:rFonts w:ascii="Times New Roman" w:hAnsi="Times New Roman" w:cs="Times New Roman" w:eastAsia="Times New Roman" w:hint="default"/>
        </w:rPr>
        <w:t>11</w:t>
      </w:r>
      <w:r>
        <w:rPr/>
        <w:t>法规进行的第三方验证。公司内部有严格的质量控制流程，包括原材料的检测、实验室环境 </w:t>
      </w:r>
      <w:r>
        <w:rPr>
          <w:spacing w:val="-5"/>
        </w:rPr>
        <w:t>的监测、各类设备的定期校准、生产关键节点的质控、数据的质控等。通过对生产环节的严格控制，确保产出结果的准确性。</w:t>
      </w:r>
    </w:p>
    <w:p>
      <w:pPr>
        <w:pStyle w:val="BodyText"/>
        <w:spacing w:line="240" w:lineRule="auto" w:before="151"/>
        <w:ind w:left="513" w:right="1133"/>
        <w:jc w:val="left"/>
      </w:pPr>
      <w:r>
        <w:rPr/>
        <w:t>同时，公司自主生产部分用于临床应用服务的测序仪和配套试剂，以满足公司业务发展需要。</w:t>
      </w:r>
    </w:p>
    <w:p>
      <w:pPr>
        <w:spacing w:line="240" w:lineRule="auto" w:before="0"/>
        <w:rPr>
          <w:rFonts w:ascii="宋体" w:hAnsi="宋体" w:cs="宋体" w:eastAsia="宋体" w:hint="default"/>
          <w:sz w:val="15"/>
          <w:szCs w:val="15"/>
        </w:rPr>
      </w:pPr>
    </w:p>
    <w:p>
      <w:pPr>
        <w:pStyle w:val="Heading5"/>
        <w:spacing w:line="240" w:lineRule="auto" w:before="0"/>
        <w:ind w:right="1133"/>
        <w:jc w:val="left"/>
        <w:rPr>
          <w:b w:val="0"/>
          <w:bCs w:val="0"/>
        </w:rPr>
      </w:pPr>
      <w:r>
        <w:rPr>
          <w:rFonts w:ascii="Times New Roman" w:hAnsi="Times New Roman" w:cs="Times New Roman" w:eastAsia="Times New Roman" w:hint="default"/>
        </w:rPr>
        <w:t>3</w:t>
      </w:r>
      <w:r>
        <w:rPr/>
        <w:t>、营销模式</w:t>
      </w:r>
      <w:r>
        <w:rPr>
          <w:b w:val="0"/>
          <w:bCs w:val="0"/>
        </w:rPr>
      </w:r>
    </w:p>
    <w:p>
      <w:pPr>
        <w:pStyle w:val="BodyText"/>
        <w:spacing w:line="420" w:lineRule="atLeast" w:before="12"/>
        <w:ind w:left="513" w:right="986" w:hanging="3"/>
        <w:jc w:val="left"/>
      </w:pPr>
      <w:r>
        <w:rPr/>
        <w:t>（</w:t>
      </w:r>
      <w:r>
        <w:rPr>
          <w:rFonts w:ascii="Times New Roman" w:hAnsi="Times New Roman" w:cs="Times New Roman" w:eastAsia="Times New Roman" w:hint="default"/>
        </w:rPr>
        <w:t>1</w:t>
      </w:r>
      <w:r>
        <w:rPr/>
        <w:t>）销售模式 </w:t>
      </w:r>
      <w:r>
        <w:rPr>
          <w:spacing w:val="-2"/>
        </w:rPr>
        <w:t>按销售渠道和客户类型的不同特点，公司实行直销和代理的销售模式。公司通过全球各地设立的子公司、分公司建立营</w:t>
      </w:r>
    </w:p>
    <w:p>
      <w:pPr>
        <w:pStyle w:val="BodyText"/>
        <w:spacing w:line="240" w:lineRule="auto" w:before="76"/>
        <w:ind w:right="0"/>
        <w:jc w:val="both"/>
      </w:pPr>
      <w:r>
        <w:rPr/>
        <w:t>销网络并提供技术咨询服务，一直以来推行知识营销策略的方式来保证公司销售收入的快速增长：</w:t>
      </w:r>
    </w:p>
    <w:p>
      <w:pPr>
        <w:spacing w:line="240" w:lineRule="auto" w:before="3"/>
        <w:rPr>
          <w:rFonts w:ascii="宋体" w:hAnsi="宋体" w:cs="宋体" w:eastAsia="宋体" w:hint="default"/>
          <w:sz w:val="15"/>
          <w:szCs w:val="15"/>
        </w:rPr>
      </w:pPr>
    </w:p>
    <w:p>
      <w:pPr>
        <w:pStyle w:val="BodyText"/>
        <w:spacing w:line="307" w:lineRule="auto"/>
        <w:ind w:right="1131" w:firstLine="360"/>
        <w:jc w:val="both"/>
      </w:pPr>
      <w:r>
        <w:rPr>
          <w:rFonts w:ascii="Times New Roman" w:hAnsi="Times New Roman" w:cs="Times New Roman" w:eastAsia="Times New Roman" w:hint="default"/>
        </w:rPr>
        <w:t>1</w:t>
      </w:r>
      <w:r>
        <w:rPr/>
        <w:t>）公司通过选拔与认证行业精英的方式打造内部讲师，内部讲师凭借自身产品专业知识积累与经验，对销售人员进行 </w:t>
      </w:r>
      <w:r>
        <w:rPr>
          <w:spacing w:val="-2"/>
        </w:rPr>
        <w:t>培训，打造强有力的知识营销队伍，通过与客户的专业交流来实现项目推广；此外，公司对全国销售人员进行产品技术沟通</w:t>
      </w:r>
      <w:r>
        <w:rPr>
          <w:spacing w:val="-64"/>
        </w:rPr>
        <w:t> </w:t>
      </w:r>
      <w:r>
        <w:rPr>
          <w:spacing w:val="-64"/>
        </w:rPr>
      </w:r>
      <w:r>
        <w:rPr/>
        <w:t>辅导培训；并通过销售精英储备计划，培养和提升销售人员的业务管理能力。</w:t>
      </w:r>
    </w:p>
    <w:p>
      <w:pPr>
        <w:pStyle w:val="BodyText"/>
        <w:spacing w:line="307" w:lineRule="auto" w:before="148"/>
        <w:ind w:right="1133" w:firstLine="360"/>
        <w:jc w:val="both"/>
      </w:pPr>
      <w:r>
        <w:rPr>
          <w:rFonts w:ascii="Times New Roman" w:hAnsi="Times New Roman" w:cs="Times New Roman" w:eastAsia="Times New Roman" w:hint="default"/>
        </w:rPr>
        <w:t>2</w:t>
      </w:r>
      <w:r>
        <w:rPr/>
        <w:t>）公司以大民生、大科学为导向，聚焦于多组学在生育健康、肿瘤防控和传感染防控等精准医疗领域的临床应用，旨 </w:t>
      </w:r>
      <w:r>
        <w:rPr>
          <w:spacing w:val="-2"/>
        </w:rPr>
        <w:t>在通过多方协作构建高标准的国际化交流平台，通过学术研讨、案例解析和实操培训等多种方式促进多学科应用的学术交流</w:t>
      </w:r>
      <w:r>
        <w:rPr>
          <w:spacing w:val="-64"/>
        </w:rPr>
        <w:t> </w:t>
      </w:r>
      <w:r>
        <w:rPr>
          <w:spacing w:val="-64"/>
        </w:rPr>
      </w:r>
      <w:r>
        <w:rPr/>
        <w:t>与碰撞，传承科学共享的精神，推动基因科技在临床实践的应用，为实现</w:t>
      </w:r>
      <w:r>
        <w:rPr>
          <w:rFonts w:ascii="Times New Roman" w:hAnsi="Times New Roman" w:cs="Times New Roman" w:eastAsia="Times New Roman" w:hint="default"/>
        </w:rPr>
        <w:t>“</w:t>
      </w:r>
      <w:r>
        <w:rPr/>
        <w:t>基因科技造福人类</w:t>
      </w:r>
      <w:r>
        <w:rPr>
          <w:rFonts w:ascii="Times New Roman" w:hAnsi="Times New Roman" w:cs="Times New Roman" w:eastAsia="Times New Roman" w:hint="default"/>
        </w:rPr>
        <w:t>”</w:t>
      </w:r>
      <w:r>
        <w:rPr/>
        <w:t>的愿景砥砺前行。</w:t>
      </w:r>
    </w:p>
    <w:p>
      <w:pPr>
        <w:pStyle w:val="BodyText"/>
        <w:spacing w:line="307" w:lineRule="auto" w:before="129"/>
        <w:ind w:right="1131" w:firstLine="360"/>
        <w:jc w:val="both"/>
      </w:pPr>
      <w:r>
        <w:rPr>
          <w:rFonts w:ascii="Times New Roman" w:hAnsi="Times New Roman" w:cs="Times New Roman" w:eastAsia="Times New Roman" w:hint="default"/>
        </w:rPr>
        <w:t>3</w:t>
      </w:r>
      <w:r>
        <w:rPr/>
        <w:t>）公司每年印制大量的产品资料和宣传资料，通过主办和参加学术会议、市场活动等形式进行项目推广；同时，公司 </w:t>
      </w:r>
      <w:r>
        <w:rPr>
          <w:spacing w:val="-2"/>
        </w:rPr>
        <w:t>积极探索互联网营销模式，通过搭建自有平台和借助第三方平台，将传统销售渠道的客户转化、沉淀为线上用户，通过社群</w:t>
      </w:r>
      <w:r>
        <w:rPr>
          <w:spacing w:val="-64"/>
        </w:rPr>
        <w:t> </w:t>
      </w:r>
      <w:r>
        <w:rPr>
          <w:spacing w:val="-64"/>
        </w:rPr>
      </w:r>
      <w:r>
        <w:rPr/>
        <w:t>运营、新媒体传播和电商服务等方式，为用户提供优质的健康管理方案以及相关产品或服务，实现用户和业务持续增长。</w:t>
      </w:r>
    </w:p>
    <w:p>
      <w:pPr>
        <w:pStyle w:val="BodyText"/>
        <w:spacing w:line="316" w:lineRule="auto" w:before="149"/>
        <w:ind w:right="1130" w:firstLine="360"/>
        <w:jc w:val="both"/>
      </w:pPr>
      <w:r>
        <w:rPr>
          <w:spacing w:val="-2"/>
        </w:rPr>
        <w:t>公司针对不同的产品类型，销售模式侧重度也不同。对于多组学大数据服务与合成业务，公司主要采用直销模式；对于</w:t>
      </w:r>
      <w:r>
        <w:rPr/>
        <w:t> </w:t>
      </w:r>
      <w:r>
        <w:rPr>
          <w:spacing w:val="-2"/>
        </w:rPr>
        <w:t>临床应用开发类服务，公司主要实行直销和代理模式。近年来，一方面公司加快销售渠道布局，形成医院等卫生机构、科研</w:t>
      </w:r>
      <w:r>
        <w:rPr>
          <w:spacing w:val="-67"/>
        </w:rPr>
        <w:t> </w:t>
      </w:r>
      <w:r>
        <w:rPr>
          <w:spacing w:val="-67"/>
        </w:rPr>
      </w:r>
      <w:r>
        <w:rPr>
          <w:spacing w:val="-2"/>
        </w:rPr>
        <w:t>院所、独立实验室及生物制品所等客户群体，不断扩大和优化客户结构。在参与全国各地的出生缺陷和重大疾病的综合防控</w:t>
      </w:r>
      <w:r>
        <w:rPr>
          <w:spacing w:val="-63"/>
        </w:rPr>
        <w:t> </w:t>
      </w:r>
      <w:r>
        <w:rPr>
          <w:spacing w:val="-63"/>
        </w:rPr>
      </w:r>
      <w:r>
        <w:rPr>
          <w:spacing w:val="-2"/>
        </w:rPr>
        <w:t>方面，公司通过政府采购方式来开展惠及百姓的基因检测筛查服务，采购方式包括但不限于公开招标、邀请招标、竞争性磋</w:t>
      </w:r>
      <w:r>
        <w:rPr>
          <w:spacing w:val="-64"/>
        </w:rPr>
        <w:t> </w:t>
      </w:r>
      <w:r>
        <w:rPr>
          <w:spacing w:val="-64"/>
        </w:rPr>
      </w:r>
      <w:r>
        <w:rPr/>
        <w:t>商等方式；另一方面逐步向终端（</w:t>
      </w:r>
      <w:r>
        <w:rPr>
          <w:rFonts w:ascii="Times New Roman" w:hAnsi="Times New Roman" w:cs="Times New Roman" w:eastAsia="Times New Roman" w:hint="default"/>
        </w:rPr>
        <w:t>C</w:t>
      </w:r>
      <w:r>
        <w:rPr/>
        <w:t>端）下沉，搭建客户满意度评价体系，持续提升客户体验。</w:t>
      </w:r>
    </w:p>
    <w:p>
      <w:pPr>
        <w:pStyle w:val="BodyText"/>
        <w:spacing w:line="439" w:lineRule="auto" w:before="121"/>
        <w:ind w:left="513" w:right="1133"/>
        <w:jc w:val="left"/>
      </w:pPr>
      <w:r>
        <w:rPr/>
        <w:t>①直销模式下的销售情况 对于公司内部销售资源可实现覆盖的区域，公司实行直销的销售模式。直销模式更便于公司自主掌控市场资源。</w:t>
      </w:r>
    </w:p>
    <w:p>
      <w:pPr>
        <w:pStyle w:val="BodyText"/>
        <w:spacing w:line="314" w:lineRule="auto" w:before="47"/>
        <w:ind w:right="1130" w:firstLine="360"/>
        <w:jc w:val="both"/>
      </w:pPr>
      <w:r>
        <w:rPr>
          <w:spacing w:val="-2"/>
        </w:rPr>
        <w:t>公司总部位于中国深圳，在北京、天津、上海、武汉、广州等国内主要城市设有分支机构和医学检验所，并在欧洲、美</w:t>
      </w:r>
      <w:r>
        <w:rPr/>
        <w:t> 洲、亚太等地区设有海外中心和核心实验室，已形成服务覆盖全球</w:t>
      </w:r>
      <w:r>
        <w:rPr>
          <w:rFonts w:ascii="Times New Roman" w:hAnsi="Times New Roman" w:cs="Times New Roman" w:eastAsia="Times New Roman" w:hint="default"/>
        </w:rPr>
        <w:t>100</w:t>
      </w:r>
      <w:r>
        <w:rPr/>
        <w:t>多个国家和地区的营销网络。对于多组学大数据服务</w:t>
      </w:r>
      <w:r>
        <w:rPr>
          <w:spacing w:val="-84"/>
        </w:rPr>
        <w:t> </w:t>
      </w:r>
      <w:r>
        <w:rPr>
          <w:spacing w:val="-84"/>
        </w:rPr>
      </w:r>
      <w:r>
        <w:rPr>
          <w:spacing w:val="-2"/>
        </w:rPr>
        <w:t>及合成业务类服务、临床应用开发类服务销售流程和销售特点主要为：与客户单位签署协议；客户单位通过物流系统寄送样</w:t>
      </w:r>
      <w:r>
        <w:rPr>
          <w:spacing w:val="-63"/>
        </w:rPr>
        <w:t> </w:t>
      </w:r>
      <w:r>
        <w:rPr>
          <w:spacing w:val="-63"/>
        </w:rPr>
      </w:r>
      <w:r>
        <w:rPr>
          <w:spacing w:val="-2"/>
        </w:rPr>
        <w:t>品并支付款项；公司接到样品及款项后录入系统，并开始检测；约定周期内完成项目交付，并完成尾款收回。对于综合解决</w:t>
      </w:r>
      <w:r>
        <w:rPr>
          <w:spacing w:val="-66"/>
        </w:rPr>
        <w:t> </w:t>
      </w:r>
      <w:r>
        <w:rPr>
          <w:spacing w:val="-66"/>
        </w:rPr>
      </w:r>
      <w:r>
        <w:rPr>
          <w:spacing w:val="-2"/>
        </w:rPr>
        <w:t>方案的销售流程和销售特点主要为：与客户单位签署协议，客户根据协议支付一定的预付款，公司根据协议约定要求配送仪</w:t>
      </w:r>
      <w:r>
        <w:rPr>
          <w:spacing w:val="-65"/>
        </w:rPr>
        <w:t> </w:t>
      </w:r>
      <w:r>
        <w:rPr>
          <w:spacing w:val="-65"/>
        </w:rPr>
      </w:r>
      <w:r>
        <w:rPr>
          <w:spacing w:val="-2"/>
        </w:rPr>
        <w:t>器、试剂到客户指定地点，客户验收合格，公司派出工程师对仪器进行装机、技术培训等服务后，客户签署验收报告，完成</w:t>
      </w:r>
      <w:r>
        <w:rPr>
          <w:spacing w:val="-68"/>
        </w:rPr>
        <w:t> </w:t>
      </w:r>
      <w:r>
        <w:rPr>
          <w:spacing w:val="-68"/>
        </w:rPr>
      </w:r>
      <w:r>
        <w:rPr/>
        <w:t>交付。客户根据协议约定支付款项。</w:t>
      </w:r>
    </w:p>
    <w:p>
      <w:pPr>
        <w:pStyle w:val="BodyText"/>
        <w:spacing w:line="432" w:lineRule="exact" w:before="7"/>
        <w:ind w:left="513" w:right="1133"/>
        <w:jc w:val="left"/>
      </w:pPr>
      <w:r>
        <w:rPr/>
        <w:t>②代理模式下的销售情况 针对国内外现有销售渠道难以有效覆盖的区域，公司借助代理机构和独立医学检验实验室公司的现有渠道和资源快速</w:t>
      </w:r>
    </w:p>
    <w:p>
      <w:pPr>
        <w:pStyle w:val="BodyText"/>
        <w:spacing w:line="240" w:lineRule="auto" w:before="13"/>
        <w:ind w:right="0"/>
        <w:jc w:val="both"/>
      </w:pPr>
      <w:r>
        <w:rPr/>
        <w:t>开展业务。</w:t>
      </w:r>
    </w:p>
    <w:p>
      <w:pPr>
        <w:spacing w:line="240" w:lineRule="auto" w:before="3"/>
        <w:rPr>
          <w:rFonts w:ascii="宋体" w:hAnsi="宋体" w:cs="宋体" w:eastAsia="宋体" w:hint="default"/>
          <w:sz w:val="15"/>
          <w:szCs w:val="15"/>
        </w:rPr>
      </w:pPr>
    </w:p>
    <w:p>
      <w:pPr>
        <w:pStyle w:val="BodyText"/>
        <w:spacing w:line="316" w:lineRule="auto"/>
        <w:ind w:right="1034" w:firstLine="360"/>
        <w:jc w:val="left"/>
      </w:pPr>
      <w:r>
        <w:rPr>
          <w:spacing w:val="-2"/>
        </w:rPr>
        <w:t>代理模式的销售流程和销售特点主要为：代理商签署代理协议；代理商依据前期约定，支付保证金或者支付一定比例订</w:t>
      </w:r>
      <w:r>
        <w:rPr/>
        <w:t> 单金额的预付款；代理公司或医疗机构直接通过物流系统寄送样品和系统下单；公司接到样品和系统记录，开始检测服务；</w:t>
      </w:r>
      <w:r>
        <w:rPr>
          <w:spacing w:val="-83"/>
        </w:rPr>
        <w:t> </w:t>
      </w:r>
      <w:r>
        <w:rPr>
          <w:spacing w:val="-83"/>
        </w:rPr>
      </w:r>
      <w:r>
        <w:rPr/>
        <w:t>约定周期内完成项目交付，生成报告；定期账款核对和代理商信用评估。</w:t>
      </w:r>
    </w:p>
    <w:p>
      <w:pPr>
        <w:pStyle w:val="BodyText"/>
        <w:spacing w:line="240" w:lineRule="auto" w:before="141"/>
        <w:ind w:left="510" w:right="1133"/>
        <w:jc w:val="left"/>
      </w:pPr>
      <w:r>
        <w:rPr/>
        <w:t>（</w:t>
      </w:r>
      <w:r>
        <w:rPr>
          <w:rFonts w:ascii="Times New Roman" w:hAnsi="Times New Roman" w:cs="Times New Roman" w:eastAsia="Times New Roman" w:hint="default"/>
        </w:rPr>
        <w:t>2</w:t>
      </w:r>
      <w:r>
        <w:rPr/>
        <w:t>）盈利模式</w:t>
      </w:r>
    </w:p>
    <w:p>
      <w:pPr>
        <w:spacing w:after="0" w:line="240" w:lineRule="auto"/>
        <w:jc w:val="lef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972"/>
        <w:gridCol w:w="2926"/>
        <w:gridCol w:w="1875"/>
        <w:gridCol w:w="1330"/>
        <w:gridCol w:w="2509"/>
      </w:tblGrid>
      <w:tr>
        <w:trPr>
          <w:trHeight w:val="766" w:hRule="exact"/>
        </w:trPr>
        <w:tc>
          <w:tcPr>
            <w:tcW w:w="97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9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b/>
                <w:bCs/>
                <w:sz w:val="18"/>
                <w:szCs w:val="18"/>
              </w:rPr>
              <w:t>主要客户群体</w:t>
            </w:r>
            <w:r>
              <w:rPr>
                <w:rFonts w:ascii="宋体" w:hAnsi="宋体" w:cs="宋体" w:eastAsia="宋体" w:hint="default"/>
                <w:sz w:val="18"/>
                <w:szCs w:val="18"/>
              </w:rPr>
            </w:r>
          </w:p>
        </w:tc>
        <w:tc>
          <w:tcPr>
            <w:tcW w:w="1875" w:type="dxa"/>
            <w:tcBorders>
              <w:top w:val="single" w:sz="12" w:space="0" w:color="000000"/>
              <w:left w:val="single" w:sz="6" w:space="0" w:color="000000"/>
              <w:bottom w:val="single" w:sz="6" w:space="0" w:color="000000"/>
              <w:right w:val="single" w:sz="6" w:space="0" w:color="000000"/>
            </w:tcBorders>
          </w:tcPr>
          <w:p>
            <w:pPr>
              <w:pStyle w:val="TableParagraph"/>
              <w:spacing w:line="357" w:lineRule="auto" w:before="54"/>
              <w:ind w:left="571" w:right="565" w:firstLine="180"/>
              <w:jc w:val="left"/>
              <w:rPr>
                <w:rFonts w:ascii="宋体" w:hAnsi="宋体" w:cs="宋体" w:eastAsia="宋体" w:hint="default"/>
                <w:sz w:val="18"/>
                <w:szCs w:val="18"/>
              </w:rPr>
            </w:pPr>
            <w:r>
              <w:rPr>
                <w:rFonts w:ascii="宋体" w:hAnsi="宋体" w:cs="宋体" w:eastAsia="宋体" w:hint="default"/>
                <w:b/>
                <w:bCs/>
                <w:sz w:val="18"/>
                <w:szCs w:val="18"/>
              </w:rPr>
              <w:t>主要</w:t>
            </w:r>
            <w:r>
              <w:rPr>
                <w:rFonts w:ascii="宋体" w:hAnsi="宋体" w:cs="宋体" w:eastAsia="宋体" w:hint="default"/>
                <w:b/>
                <w:bCs/>
                <w:spacing w:val="2"/>
                <w:w w:val="99"/>
                <w:sz w:val="18"/>
                <w:szCs w:val="18"/>
              </w:rPr>
              <w:t> </w:t>
            </w:r>
            <w:r>
              <w:rPr>
                <w:rFonts w:ascii="宋体" w:hAnsi="宋体" w:cs="宋体" w:eastAsia="宋体" w:hint="default"/>
                <w:b/>
                <w:bCs/>
                <w:sz w:val="18"/>
                <w:szCs w:val="18"/>
              </w:rPr>
              <w:t>销售模式</w:t>
            </w:r>
            <w:r>
              <w:rPr>
                <w:rFonts w:ascii="宋体" w:hAnsi="宋体" w:cs="宋体" w:eastAsia="宋体" w:hint="default"/>
                <w:sz w:val="18"/>
                <w:szCs w:val="18"/>
              </w:rPr>
            </w:r>
          </w:p>
        </w:tc>
        <w:tc>
          <w:tcPr>
            <w:tcW w:w="1330" w:type="dxa"/>
            <w:tcBorders>
              <w:top w:val="single" w:sz="12" w:space="0" w:color="000000"/>
              <w:left w:val="single" w:sz="6" w:space="0" w:color="000000"/>
              <w:bottom w:val="single" w:sz="6" w:space="0" w:color="000000"/>
              <w:right w:val="single" w:sz="6" w:space="0" w:color="000000"/>
            </w:tcBorders>
          </w:tcPr>
          <w:p>
            <w:pPr>
              <w:pStyle w:val="TableParagraph"/>
              <w:spacing w:line="297" w:lineRule="auto" w:before="73"/>
              <w:ind w:left="388" w:right="179" w:hanging="207"/>
              <w:jc w:val="left"/>
              <w:rPr>
                <w:rFonts w:ascii="宋体" w:hAnsi="宋体" w:cs="宋体" w:eastAsia="宋体" w:hint="default"/>
                <w:sz w:val="18"/>
                <w:szCs w:val="18"/>
              </w:rPr>
            </w:pPr>
            <w:r>
              <w:rPr>
                <w:rFonts w:ascii="宋体" w:hAnsi="宋体" w:cs="宋体" w:eastAsia="宋体" w:hint="default"/>
                <w:b/>
                <w:bCs/>
                <w:sz w:val="18"/>
                <w:szCs w:val="18"/>
              </w:rPr>
              <w:t>获取合同</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订</w:t>
            </w:r>
            <w:r>
              <w:rPr>
                <w:rFonts w:ascii="宋体" w:hAnsi="宋体" w:cs="宋体" w:eastAsia="宋体" w:hint="default"/>
                <w:b/>
                <w:bCs/>
                <w:w w:val="99"/>
                <w:sz w:val="18"/>
                <w:szCs w:val="18"/>
              </w:rPr>
              <w:t> </w:t>
            </w:r>
            <w:r>
              <w:rPr>
                <w:rFonts w:ascii="宋体" w:hAnsi="宋体" w:cs="宋体" w:eastAsia="宋体" w:hint="default"/>
                <w:b/>
                <w:bCs/>
                <w:sz w:val="18"/>
                <w:szCs w:val="18"/>
              </w:rPr>
              <w:t>单方式</w:t>
            </w:r>
            <w:r>
              <w:rPr>
                <w:rFonts w:ascii="宋体" w:hAnsi="宋体" w:cs="宋体" w:eastAsia="宋体" w:hint="default"/>
                <w:sz w:val="18"/>
                <w:szCs w:val="18"/>
              </w:rPr>
            </w:r>
          </w:p>
        </w:tc>
        <w:tc>
          <w:tcPr>
            <w:tcW w:w="2509" w:type="dxa"/>
            <w:tcBorders>
              <w:top w:val="single" w:sz="12" w:space="0" w:color="000000"/>
              <w:left w:val="single" w:sz="6" w:space="0" w:color="000000"/>
              <w:bottom w:val="single" w:sz="6" w:space="0" w:color="000000"/>
              <w:right w:val="single" w:sz="12" w:space="0" w:color="000000"/>
            </w:tcBorders>
          </w:tcPr>
          <w:p>
            <w:pPr>
              <w:pStyle w:val="TableParagraph"/>
              <w:spacing w:line="338" w:lineRule="auto" w:before="54"/>
              <w:ind w:left="797" w:right="667" w:hanging="118"/>
              <w:jc w:val="left"/>
              <w:rPr>
                <w:rFonts w:ascii="宋体" w:hAnsi="宋体" w:cs="宋体" w:eastAsia="宋体" w:hint="default"/>
                <w:sz w:val="18"/>
                <w:szCs w:val="18"/>
              </w:rPr>
            </w:pPr>
            <w:r>
              <w:rPr>
                <w:rFonts w:ascii="宋体" w:hAnsi="宋体" w:cs="宋体" w:eastAsia="宋体" w:hint="default"/>
                <w:b/>
                <w:bCs/>
                <w:sz w:val="18"/>
                <w:szCs w:val="18"/>
              </w:rPr>
              <w:t>出售产品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服务</w:t>
            </w:r>
            <w:r>
              <w:rPr>
                <w:rFonts w:ascii="宋体" w:hAnsi="宋体" w:cs="宋体" w:eastAsia="宋体" w:hint="default"/>
                <w:b/>
                <w:bCs/>
                <w:spacing w:val="2"/>
                <w:w w:val="99"/>
                <w:sz w:val="18"/>
                <w:szCs w:val="18"/>
              </w:rPr>
              <w:t> </w:t>
            </w:r>
            <w:r>
              <w:rPr>
                <w:rFonts w:ascii="宋体" w:hAnsi="宋体" w:cs="宋体" w:eastAsia="宋体" w:hint="default"/>
                <w:b/>
                <w:bCs/>
                <w:sz w:val="18"/>
                <w:szCs w:val="18"/>
              </w:rPr>
              <w:t>的表现形式</w:t>
            </w:r>
            <w:r>
              <w:rPr>
                <w:rFonts w:ascii="宋体" w:hAnsi="宋体" w:cs="宋体" w:eastAsia="宋体" w:hint="default"/>
                <w:sz w:val="18"/>
                <w:szCs w:val="18"/>
              </w:rPr>
            </w:r>
          </w:p>
        </w:tc>
      </w:tr>
      <w:tr>
        <w:trPr>
          <w:trHeight w:val="1032"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96" w:right="84"/>
              <w:jc w:val="left"/>
              <w:rPr>
                <w:rFonts w:ascii="宋体" w:hAnsi="宋体" w:cs="宋体" w:eastAsia="宋体" w:hint="default"/>
                <w:sz w:val="18"/>
                <w:szCs w:val="18"/>
              </w:rPr>
            </w:pPr>
            <w:r>
              <w:rPr>
                <w:rFonts w:ascii="宋体" w:hAnsi="宋体" w:cs="宋体" w:eastAsia="宋体" w:hint="default"/>
                <w:spacing w:val="12"/>
                <w:sz w:val="18"/>
                <w:szCs w:val="18"/>
              </w:rPr>
              <w:t>生育健康 </w:t>
            </w:r>
            <w:r>
              <w:rPr>
                <w:rFonts w:ascii="宋体" w:hAnsi="宋体" w:cs="宋体" w:eastAsia="宋体" w:hint="default"/>
                <w:sz w:val="18"/>
                <w:szCs w:val="18"/>
              </w:rPr>
              <w:t>类服务</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103" w:right="97"/>
              <w:jc w:val="left"/>
              <w:rPr>
                <w:rFonts w:ascii="宋体" w:hAnsi="宋体" w:cs="宋体" w:eastAsia="宋体" w:hint="default"/>
                <w:sz w:val="18"/>
                <w:szCs w:val="18"/>
              </w:rPr>
            </w:pPr>
            <w:r>
              <w:rPr>
                <w:rFonts w:ascii="宋体" w:hAnsi="宋体" w:cs="宋体" w:eastAsia="宋体" w:hint="default"/>
                <w:sz w:val="18"/>
                <w:szCs w:val="18"/>
              </w:rPr>
              <w:t>国内外的各级医院、体检机构等医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疗卫生机构和大众客户</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直销、代理</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商业谈判</w:t>
            </w:r>
          </w:p>
          <w:p>
            <w:pPr>
              <w:pStyle w:val="TableParagraph"/>
              <w:spacing w:line="240" w:lineRule="auto" w:before="11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招投标</w:t>
            </w:r>
          </w:p>
        </w:tc>
        <w:tc>
          <w:tcPr>
            <w:tcW w:w="250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3"/>
              <w:ind w:left="103" w:right="89"/>
              <w:jc w:val="both"/>
              <w:rPr>
                <w:rFonts w:ascii="宋体" w:hAnsi="宋体" w:cs="宋体" w:eastAsia="宋体" w:hint="default"/>
                <w:sz w:val="18"/>
                <w:szCs w:val="18"/>
              </w:rPr>
            </w:pPr>
            <w:r>
              <w:rPr>
                <w:rFonts w:ascii="宋体" w:hAnsi="宋体" w:cs="宋体" w:eastAsia="宋体" w:hint="default"/>
                <w:spacing w:val="-4"/>
                <w:sz w:val="18"/>
                <w:szCs w:val="18"/>
              </w:rPr>
              <w:t>主要为检测报告、项目结题报</w:t>
            </w:r>
            <w:r>
              <w:rPr>
                <w:rFonts w:ascii="宋体" w:hAnsi="宋体" w:cs="宋体" w:eastAsia="宋体" w:hint="default"/>
                <w:sz w:val="18"/>
                <w:szCs w:val="18"/>
              </w:rPr>
              <w:t> </w:t>
            </w:r>
            <w:r>
              <w:rPr>
                <w:rFonts w:ascii="宋体" w:hAnsi="宋体" w:cs="宋体" w:eastAsia="宋体" w:hint="default"/>
                <w:spacing w:val="-4"/>
                <w:sz w:val="18"/>
                <w:szCs w:val="18"/>
              </w:rPr>
              <w:t>告、相关测序分析数据、试剂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产品等</w:t>
            </w:r>
          </w:p>
        </w:tc>
      </w:tr>
      <w:tr>
        <w:trPr>
          <w:trHeight w:val="1344"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6" w:right="84"/>
              <w:jc w:val="both"/>
              <w:rPr>
                <w:rFonts w:ascii="宋体" w:hAnsi="宋体" w:cs="宋体" w:eastAsia="宋体" w:hint="default"/>
                <w:sz w:val="18"/>
                <w:szCs w:val="18"/>
              </w:rPr>
            </w:pPr>
            <w:r>
              <w:rPr>
                <w:rFonts w:ascii="宋体" w:hAnsi="宋体" w:cs="宋体" w:eastAsia="宋体" w:hint="default"/>
                <w:spacing w:val="12"/>
                <w:sz w:val="18"/>
                <w:szCs w:val="18"/>
              </w:rPr>
              <w:t>肿瘤防控 及转化医 </w:t>
            </w:r>
            <w:r>
              <w:rPr>
                <w:rFonts w:ascii="宋体" w:hAnsi="宋体" w:cs="宋体" w:eastAsia="宋体" w:hint="default"/>
                <w:sz w:val="18"/>
                <w:szCs w:val="18"/>
              </w:rPr>
              <w:t>学类服务</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1"/>
              <w:ind w:left="103" w:right="97"/>
              <w:jc w:val="both"/>
              <w:rPr>
                <w:rFonts w:ascii="宋体" w:hAnsi="宋体" w:cs="宋体" w:eastAsia="宋体" w:hint="default"/>
                <w:sz w:val="18"/>
                <w:szCs w:val="18"/>
              </w:rPr>
            </w:pPr>
            <w:r>
              <w:rPr>
                <w:rFonts w:ascii="宋体" w:hAnsi="宋体" w:cs="宋体" w:eastAsia="宋体" w:hint="default"/>
                <w:sz w:val="18"/>
                <w:szCs w:val="18"/>
              </w:rPr>
              <w:t>国内外的各级医院、体检机构等医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疗卫生机构和大众客户；国内外的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科研院校、研究所、独立实验室、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制药公司等机构</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直销、代理</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103" w:right="95"/>
              <w:jc w:val="left"/>
              <w:rPr>
                <w:rFonts w:ascii="宋体" w:hAnsi="宋体" w:cs="宋体" w:eastAsia="宋体" w:hint="default"/>
                <w:sz w:val="18"/>
                <w:szCs w:val="18"/>
              </w:rPr>
            </w:pPr>
            <w:r>
              <w:rPr>
                <w:rFonts w:ascii="宋体" w:hAnsi="宋体" w:cs="宋体" w:eastAsia="宋体" w:hint="default"/>
                <w:spacing w:val="24"/>
                <w:sz w:val="18"/>
                <w:szCs w:val="18"/>
              </w:rPr>
              <w:t>商业谈判</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招 投标</w:t>
            </w:r>
          </w:p>
        </w:tc>
        <w:tc>
          <w:tcPr>
            <w:tcW w:w="25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89"/>
              <w:jc w:val="both"/>
              <w:rPr>
                <w:rFonts w:ascii="宋体" w:hAnsi="宋体" w:cs="宋体" w:eastAsia="宋体" w:hint="default"/>
                <w:sz w:val="18"/>
                <w:szCs w:val="18"/>
              </w:rPr>
            </w:pPr>
            <w:r>
              <w:rPr>
                <w:rFonts w:ascii="宋体" w:hAnsi="宋体" w:cs="宋体" w:eastAsia="宋体" w:hint="default"/>
                <w:spacing w:val="-4"/>
                <w:sz w:val="18"/>
                <w:szCs w:val="18"/>
              </w:rPr>
              <w:t>主要为检测报告、项目结题报</w:t>
            </w:r>
            <w:r>
              <w:rPr>
                <w:rFonts w:ascii="宋体" w:hAnsi="宋体" w:cs="宋体" w:eastAsia="宋体" w:hint="default"/>
                <w:sz w:val="18"/>
                <w:szCs w:val="18"/>
              </w:rPr>
              <w:t> </w:t>
            </w:r>
            <w:r>
              <w:rPr>
                <w:rFonts w:ascii="宋体" w:hAnsi="宋体" w:cs="宋体" w:eastAsia="宋体" w:hint="default"/>
                <w:spacing w:val="-4"/>
                <w:sz w:val="18"/>
                <w:szCs w:val="18"/>
              </w:rPr>
              <w:t>告、相关测序分析数据、试剂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产品等</w:t>
            </w:r>
          </w:p>
        </w:tc>
      </w:tr>
      <w:tr>
        <w:trPr>
          <w:trHeight w:val="1342" w:hRule="exact"/>
        </w:trPr>
        <w:tc>
          <w:tcPr>
            <w:tcW w:w="9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6" w:right="84"/>
              <w:jc w:val="left"/>
              <w:rPr>
                <w:rFonts w:ascii="宋体" w:hAnsi="宋体" w:cs="宋体" w:eastAsia="宋体" w:hint="default"/>
                <w:sz w:val="18"/>
                <w:szCs w:val="18"/>
              </w:rPr>
            </w:pPr>
            <w:r>
              <w:rPr>
                <w:rFonts w:ascii="宋体" w:hAnsi="宋体" w:cs="宋体" w:eastAsia="宋体" w:hint="default"/>
                <w:spacing w:val="12"/>
                <w:sz w:val="18"/>
                <w:szCs w:val="18"/>
              </w:rPr>
              <w:t>感染防控 </w:t>
            </w:r>
            <w:r>
              <w:rPr>
                <w:rFonts w:ascii="宋体" w:hAnsi="宋体" w:cs="宋体" w:eastAsia="宋体" w:hint="default"/>
                <w:sz w:val="18"/>
                <w:szCs w:val="18"/>
              </w:rPr>
              <w:t>类服务</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103" w:right="97"/>
              <w:jc w:val="both"/>
              <w:rPr>
                <w:rFonts w:ascii="宋体" w:hAnsi="宋体" w:cs="宋体" w:eastAsia="宋体" w:hint="default"/>
                <w:sz w:val="18"/>
                <w:szCs w:val="18"/>
              </w:rPr>
            </w:pPr>
            <w:r>
              <w:rPr>
                <w:rFonts w:ascii="宋体" w:hAnsi="宋体" w:cs="宋体" w:eastAsia="宋体" w:hint="default"/>
                <w:sz w:val="18"/>
                <w:szCs w:val="18"/>
              </w:rPr>
              <w:t>国内外的各级医院、体检机构等医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疗卫生机构和大众客户；国内外的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科研院校、研究所、独立实验室、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生物制品公司等</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直销、代理</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商业谈判</w:t>
            </w:r>
          </w:p>
          <w:p>
            <w:pPr>
              <w:pStyle w:val="TableParagraph"/>
              <w:spacing w:line="240" w:lineRule="auto" w:before="11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招投标</w:t>
            </w:r>
          </w:p>
        </w:tc>
        <w:tc>
          <w:tcPr>
            <w:tcW w:w="25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89"/>
              <w:jc w:val="both"/>
              <w:rPr>
                <w:rFonts w:ascii="宋体" w:hAnsi="宋体" w:cs="宋体" w:eastAsia="宋体" w:hint="default"/>
                <w:sz w:val="18"/>
                <w:szCs w:val="18"/>
              </w:rPr>
            </w:pPr>
            <w:r>
              <w:rPr>
                <w:rFonts w:ascii="宋体" w:hAnsi="宋体" w:cs="宋体" w:eastAsia="宋体" w:hint="default"/>
                <w:spacing w:val="-4"/>
                <w:sz w:val="18"/>
                <w:szCs w:val="18"/>
              </w:rPr>
              <w:t>主要为检测报告、项目结题报</w:t>
            </w:r>
            <w:r>
              <w:rPr>
                <w:rFonts w:ascii="宋体" w:hAnsi="宋体" w:cs="宋体" w:eastAsia="宋体" w:hint="default"/>
                <w:sz w:val="18"/>
                <w:szCs w:val="18"/>
              </w:rPr>
              <w:t> </w:t>
            </w:r>
            <w:r>
              <w:rPr>
                <w:rFonts w:ascii="宋体" w:hAnsi="宋体" w:cs="宋体" w:eastAsia="宋体" w:hint="default"/>
                <w:spacing w:val="-4"/>
                <w:sz w:val="18"/>
                <w:szCs w:val="18"/>
              </w:rPr>
              <w:t>告、相关测序分析数据、试剂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盒产品等</w:t>
            </w:r>
          </w:p>
        </w:tc>
      </w:tr>
      <w:tr>
        <w:trPr>
          <w:trHeight w:val="1349" w:hRule="exact"/>
        </w:trPr>
        <w:tc>
          <w:tcPr>
            <w:tcW w:w="972"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51"/>
              <w:ind w:left="96" w:right="84"/>
              <w:jc w:val="both"/>
              <w:rPr>
                <w:rFonts w:ascii="宋体" w:hAnsi="宋体" w:cs="宋体" w:eastAsia="宋体" w:hint="default"/>
                <w:sz w:val="18"/>
                <w:szCs w:val="18"/>
              </w:rPr>
            </w:pPr>
            <w:r>
              <w:rPr>
                <w:rFonts w:ascii="宋体" w:hAnsi="宋体" w:cs="宋体" w:eastAsia="宋体" w:hint="default"/>
                <w:spacing w:val="12"/>
                <w:sz w:val="18"/>
                <w:szCs w:val="18"/>
              </w:rPr>
              <w:t>多组学大 数据服务 与合成业 </w:t>
            </w:r>
            <w:r>
              <w:rPr>
                <w:rFonts w:ascii="宋体" w:hAnsi="宋体" w:cs="宋体" w:eastAsia="宋体" w:hint="default"/>
                <w:sz w:val="18"/>
                <w:szCs w:val="18"/>
              </w:rPr>
              <w:t>务</w:t>
            </w:r>
          </w:p>
        </w:tc>
        <w:tc>
          <w:tcPr>
            <w:tcW w:w="2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97"/>
              <w:jc w:val="left"/>
              <w:rPr>
                <w:rFonts w:ascii="宋体" w:hAnsi="宋体" w:cs="宋体" w:eastAsia="宋体" w:hint="default"/>
                <w:sz w:val="18"/>
                <w:szCs w:val="18"/>
              </w:rPr>
            </w:pPr>
            <w:r>
              <w:rPr>
                <w:rFonts w:ascii="宋体" w:hAnsi="宋体" w:cs="宋体" w:eastAsia="宋体" w:hint="default"/>
                <w:sz w:val="18"/>
                <w:szCs w:val="18"/>
              </w:rPr>
              <w:t>国内外的科研院校、研究所、独立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实验室、制药公司等机构</w:t>
            </w:r>
          </w:p>
        </w:tc>
        <w:tc>
          <w:tcPr>
            <w:tcW w:w="18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直销</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商业谈判</w:t>
            </w:r>
          </w:p>
          <w:p>
            <w:pPr>
              <w:pStyle w:val="TableParagraph"/>
              <w:spacing w:line="240" w:lineRule="auto" w:before="11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招投标</w:t>
            </w:r>
          </w:p>
        </w:tc>
        <w:tc>
          <w:tcPr>
            <w:tcW w:w="25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89"/>
              <w:jc w:val="both"/>
              <w:rPr>
                <w:rFonts w:ascii="宋体" w:hAnsi="宋体" w:cs="宋体" w:eastAsia="宋体" w:hint="default"/>
                <w:sz w:val="18"/>
                <w:szCs w:val="18"/>
              </w:rPr>
            </w:pPr>
            <w:r>
              <w:rPr>
                <w:rFonts w:ascii="宋体" w:hAnsi="宋体" w:cs="宋体" w:eastAsia="宋体" w:hint="default"/>
                <w:spacing w:val="-4"/>
                <w:sz w:val="18"/>
                <w:szCs w:val="18"/>
              </w:rPr>
              <w:t>主要为检测报告、项目结题报</w:t>
            </w:r>
            <w:r>
              <w:rPr>
                <w:rFonts w:ascii="宋体" w:hAnsi="宋体" w:cs="宋体" w:eastAsia="宋体" w:hint="default"/>
                <w:sz w:val="18"/>
                <w:szCs w:val="18"/>
              </w:rPr>
              <w:t> </w:t>
            </w:r>
            <w:r>
              <w:rPr>
                <w:rFonts w:ascii="宋体" w:hAnsi="宋体" w:cs="宋体" w:eastAsia="宋体" w:hint="default"/>
                <w:spacing w:val="-4"/>
                <w:sz w:val="18"/>
                <w:szCs w:val="18"/>
              </w:rPr>
              <w:t>告、相关测序分析数据、试剂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产品等</w:t>
            </w:r>
          </w:p>
        </w:tc>
      </w:tr>
    </w:tbl>
    <w:p>
      <w:pPr>
        <w:spacing w:line="240" w:lineRule="auto" w:before="10"/>
        <w:rPr>
          <w:rFonts w:ascii="宋体" w:hAnsi="宋体" w:cs="宋体" w:eastAsia="宋体" w:hint="default"/>
          <w:sz w:val="6"/>
          <w:szCs w:val="6"/>
        </w:rPr>
      </w:pPr>
    </w:p>
    <w:p>
      <w:pPr>
        <w:pStyle w:val="BodyText"/>
        <w:spacing w:line="240" w:lineRule="auto" w:before="44"/>
        <w:ind w:left="510" w:right="1133"/>
        <w:jc w:val="left"/>
      </w:pPr>
      <w:r>
        <w:rPr/>
        <w:t>（</w:t>
      </w:r>
      <w:r>
        <w:rPr>
          <w:rFonts w:ascii="Times New Roman" w:hAnsi="Times New Roman" w:cs="Times New Roman" w:eastAsia="Times New Roman" w:hint="default"/>
        </w:rPr>
        <w:t>3</w:t>
      </w:r>
      <w:r>
        <w:rPr/>
        <w:t>）定价模式</w:t>
      </w:r>
    </w:p>
    <w:p>
      <w:pPr>
        <w:spacing w:line="240" w:lineRule="auto" w:before="13"/>
        <w:rPr>
          <w:rFonts w:ascii="宋体" w:hAnsi="宋体" w:cs="宋体" w:eastAsia="宋体" w:hint="default"/>
          <w:sz w:val="13"/>
          <w:szCs w:val="13"/>
        </w:rPr>
      </w:pPr>
    </w:p>
    <w:p>
      <w:pPr>
        <w:pStyle w:val="BodyText"/>
        <w:spacing w:line="319" w:lineRule="auto"/>
        <w:ind w:right="1132" w:firstLine="360"/>
        <w:jc w:val="both"/>
      </w:pPr>
      <w:r>
        <w:rPr>
          <w:spacing w:val="-2"/>
        </w:rPr>
        <w:t>公司不同服务或产品的价格综合考虑政府指导价格、服务或产品成本、市场竞争水平、销售渠道费用及公司竞争策略等</w:t>
      </w:r>
      <w:r>
        <w:rPr/>
        <w:t> 因素确定。</w:t>
      </w:r>
    </w:p>
    <w:p>
      <w:pPr>
        <w:pStyle w:val="BodyText"/>
        <w:spacing w:line="316" w:lineRule="auto" w:before="58"/>
        <w:ind w:right="1130" w:firstLine="360"/>
        <w:jc w:val="both"/>
      </w:pPr>
      <w:r>
        <w:rPr>
          <w:spacing w:val="-2"/>
        </w:rPr>
        <w:t>公司销售给不同客户的同类服务或产品价格有一定的价格区间，但不存在重大差异。随着测序技术的进步，同类服务或</w:t>
      </w:r>
      <w:r>
        <w:rPr/>
        <w:t> </w:t>
      </w:r>
      <w:r>
        <w:rPr>
          <w:spacing w:val="-2"/>
        </w:rPr>
        <w:t>产品价格在报告期内呈现下降趋势。在此基础上，公司销售给订单型服务各类客户的价格因区域政府定价差异、客户特点不</w:t>
      </w:r>
      <w:r>
        <w:rPr>
          <w:spacing w:val="-66"/>
        </w:rPr>
        <w:t> </w:t>
      </w:r>
      <w:r>
        <w:rPr>
          <w:spacing w:val="-66"/>
        </w:rPr>
      </w:r>
      <w:r>
        <w:rPr>
          <w:spacing w:val="-2"/>
        </w:rPr>
        <w:t>同，相互间存在一定程度的差异；公司销售给项目型服务各类客户的价格则因合同本身内容差别和客户特点不同，存在一定</w:t>
      </w:r>
      <w:r>
        <w:rPr>
          <w:spacing w:val="-63"/>
        </w:rPr>
        <w:t> </w:t>
      </w:r>
      <w:r>
        <w:rPr>
          <w:spacing w:val="-63"/>
        </w:rPr>
      </w:r>
      <w:r>
        <w:rPr/>
        <w:t>程度的差异。</w:t>
      </w:r>
    </w:p>
    <w:p>
      <w:pPr>
        <w:spacing w:line="240" w:lineRule="auto" w:before="13"/>
        <w:rPr>
          <w:rFonts w:ascii="宋体" w:hAnsi="宋体" w:cs="宋体" w:eastAsia="宋体" w:hint="default"/>
          <w:sz w:val="19"/>
          <w:szCs w:val="19"/>
        </w:rPr>
      </w:pPr>
    </w:p>
    <w:p>
      <w:pPr>
        <w:spacing w:line="381" w:lineRule="auto" w:before="0"/>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（三）主要的业绩驱动因素</w:t>
      </w:r>
      <w:r>
        <w:rPr>
          <w:rFonts w:ascii="宋体" w:hAnsi="宋体" w:cs="宋体" w:eastAsia="宋体" w:hint="default"/>
          <w:b/>
          <w:bCs/>
          <w:w w:val="99"/>
          <w:sz w:val="18"/>
          <w:szCs w:val="18"/>
        </w:rPr>
        <w:t> </w:t>
      </w:r>
      <w:r>
        <w:rPr>
          <w:rFonts w:ascii="宋体" w:hAnsi="宋体" w:cs="宋体" w:eastAsia="宋体" w:hint="default"/>
          <w:sz w:val="18"/>
          <w:szCs w:val="18"/>
        </w:rPr>
        <w:t>随着全球精准医学计划的布局实施和人类健康意识的提高，基因检测作为疾病的临床辅助诊疗手段应用频率和认知度</w:t>
      </w:r>
    </w:p>
    <w:p>
      <w:pPr>
        <w:pStyle w:val="BodyText"/>
        <w:spacing w:line="206" w:lineRule="exact"/>
        <w:ind w:right="0"/>
        <w:jc w:val="both"/>
      </w:pPr>
      <w:r>
        <w:rPr/>
        <w:t>逐渐提升。公司业绩的主要驱动因素为：政策持续利好、产业发展空间巨大、技术与平台优势。</w:t>
      </w:r>
    </w:p>
    <w:p>
      <w:pPr>
        <w:pStyle w:val="Heading5"/>
        <w:spacing w:line="240" w:lineRule="auto" w:before="115"/>
        <w:ind w:right="1133"/>
        <w:jc w:val="left"/>
        <w:rPr>
          <w:b w:val="0"/>
          <w:bCs w:val="0"/>
        </w:rPr>
      </w:pPr>
      <w:r>
        <w:rPr>
          <w:rFonts w:ascii="Times New Roman" w:hAnsi="Times New Roman" w:cs="Times New Roman" w:eastAsia="Times New Roman" w:hint="default"/>
        </w:rPr>
        <w:t>1</w:t>
      </w:r>
      <w:r>
        <w:rPr/>
        <w:t>、政策持续利好</w:t>
      </w:r>
      <w:r>
        <w:rPr>
          <w:b w:val="0"/>
          <w:bCs w:val="0"/>
        </w:rPr>
      </w:r>
    </w:p>
    <w:p>
      <w:pPr>
        <w:spacing w:line="240" w:lineRule="auto" w:before="3"/>
        <w:rPr>
          <w:rFonts w:ascii="宋体" w:hAnsi="宋体" w:cs="宋体" w:eastAsia="宋体" w:hint="default"/>
          <w:b/>
          <w:bCs/>
          <w:sz w:val="14"/>
          <w:szCs w:val="14"/>
        </w:rPr>
      </w:pPr>
    </w:p>
    <w:p>
      <w:pPr>
        <w:pStyle w:val="BodyText"/>
        <w:spacing w:line="316" w:lineRule="auto"/>
        <w:ind w:right="1130" w:firstLine="358"/>
        <w:jc w:val="both"/>
      </w:pPr>
      <w:r>
        <w:rPr>
          <w:spacing w:val="-2"/>
        </w:rPr>
        <w:t>致力于精准医疗的基因组学行业发展与行业政策、治疗理念、准入审批、医保覆盖等息息相关。近年来，我国基因检测</w:t>
      </w:r>
      <w:r>
        <w:rPr/>
        <w:t> </w:t>
      </w:r>
      <w:r>
        <w:rPr>
          <w:spacing w:val="-2"/>
        </w:rPr>
        <w:t>行业发展迅速，行业主管部门出台了一系列促进基因组学行业发展的政策法规。随着这些政策的落地实施，将对基因检测行</w:t>
      </w:r>
      <w:r>
        <w:rPr>
          <w:spacing w:val="-63"/>
        </w:rPr>
        <w:t> </w:t>
      </w:r>
      <w:r>
        <w:rPr>
          <w:spacing w:val="-63"/>
        </w:rPr>
      </w:r>
      <w:r>
        <w:rPr/>
        <w:t>业的发展产生积极影响。</w:t>
      </w:r>
    </w:p>
    <w:p>
      <w:pPr>
        <w:pStyle w:val="BodyText"/>
        <w:spacing w:line="432" w:lineRule="exact" w:before="3"/>
        <w:ind w:left="513" w:right="1133" w:hanging="3"/>
        <w:jc w:val="left"/>
      </w:pPr>
      <w:r>
        <w:rPr/>
        <w:t>（</w:t>
      </w:r>
      <w:r>
        <w:rPr>
          <w:rFonts w:ascii="Times New Roman" w:hAnsi="Times New Roman" w:cs="Times New Roman" w:eastAsia="Times New Roman" w:hint="default"/>
        </w:rPr>
        <w:t>1</w:t>
      </w:r>
      <w:r>
        <w:rPr/>
        <w:t>）生育健康类服务方面的政策利好 </w:t>
      </w:r>
      <w:r>
        <w:rPr>
          <w:spacing w:val="3"/>
        </w:rPr>
        <w:t>生育健康类服务方面，国家卫健委于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月印发《关于印发全国出生缺陷综合防治方案的通知》（国卫办妇幼发</w:t>
      </w:r>
    </w:p>
    <w:p>
      <w:pPr>
        <w:pStyle w:val="BodyText"/>
        <w:spacing w:line="314" w:lineRule="auto" w:before="15"/>
        <w:ind w:right="1130"/>
        <w:jc w:val="both"/>
      </w:pPr>
      <w:r>
        <w:rPr>
          <w:rFonts w:ascii="Times New Roman" w:hAnsi="Times New Roman" w:cs="Times New Roman" w:eastAsia="Times New Roman" w:hint="default"/>
        </w:rPr>
        <w:t>[2018]19</w:t>
      </w:r>
      <w:r>
        <w:rPr/>
        <w:t>号，以下简称</w:t>
      </w:r>
      <w:r>
        <w:rPr>
          <w:rFonts w:ascii="Times New Roman" w:hAnsi="Times New Roman" w:cs="Times New Roman" w:eastAsia="Times New Roman" w:hint="default"/>
        </w:rPr>
        <w:t>“</w:t>
      </w:r>
      <w:r>
        <w:rPr/>
        <w:t>《通知》</w:t>
      </w:r>
      <w:r>
        <w:rPr>
          <w:rFonts w:ascii="Times New Roman" w:hAnsi="Times New Roman" w:cs="Times New Roman" w:eastAsia="Times New Roman" w:hint="default"/>
        </w:rPr>
        <w:t>”</w:t>
      </w:r>
      <w:r>
        <w:rPr/>
        <w:t>）。《通知》指出，构建覆盖城乡居民，涵盖婚前、孕前、孕期、新生儿和儿童各阶段的 </w:t>
      </w:r>
      <w:r>
        <w:rPr>
          <w:spacing w:val="-2"/>
        </w:rPr>
        <w:t>出生缺陷防治体系，为群众提供公平可及、优质高效的出生缺陷综合防治服务，预防和减少出生缺陷，提高出生人口素质和</w:t>
      </w:r>
      <w:r>
        <w:rPr>
          <w:spacing w:val="-65"/>
        </w:rPr>
        <w:t> </w:t>
      </w:r>
      <w:r>
        <w:rPr>
          <w:spacing w:val="-65"/>
        </w:rPr>
      </w:r>
      <w:r>
        <w:rPr>
          <w:spacing w:val="-2"/>
        </w:rPr>
        <w:t>儿童健康水平。在落实出生缺陷综合防治方面，《通知》还指出，推动将婚前医学检查、孕前优生健康检查、产前筛查、新</w:t>
      </w:r>
      <w:r>
        <w:rPr>
          <w:spacing w:val="-65"/>
        </w:rPr>
        <w:t> </w:t>
      </w:r>
      <w:r>
        <w:rPr>
          <w:spacing w:val="-65"/>
        </w:rPr>
      </w:r>
      <w:r>
        <w:rPr>
          <w:spacing w:val="-2"/>
        </w:rPr>
        <w:t>生儿疾病筛查等出生缺陷防治服务列入地方民生项目，纳入财政预算。上述《通知》的发布以及后续在全国范围内对出生缺</w:t>
      </w:r>
      <w:r>
        <w:rPr>
          <w:spacing w:val="-66"/>
        </w:rPr>
        <w:t> </w:t>
      </w:r>
      <w:r>
        <w:rPr>
          <w:spacing w:val="-66"/>
        </w:rPr>
      </w:r>
      <w:r>
        <w:rPr>
          <w:spacing w:val="-2"/>
        </w:rPr>
        <w:t>陷防治工作的逐步落实，有利于加深民众对基因检测的认知度，促进公司将现有民生检测项目的执行经验落实到出生缺陷防</w:t>
      </w:r>
      <w:r>
        <w:rPr>
          <w:spacing w:val="-64"/>
        </w:rPr>
        <w:t> </w:t>
      </w:r>
      <w:r>
        <w:rPr>
          <w:spacing w:val="-64"/>
        </w:rPr>
      </w:r>
      <w:r>
        <w:rPr>
          <w:spacing w:val="-2"/>
        </w:rPr>
        <w:t>控工作中去，让基因科技成果惠及更多民众。在国际市场，很多发达国家，如英国、德国、比利时、荷兰、法国，已将无创</w:t>
      </w:r>
    </w:p>
    <w:p>
      <w:pPr>
        <w:spacing w:after="0" w:line="314"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040"/>
        <w:jc w:val="both"/>
      </w:pPr>
      <w:r>
        <w:rPr>
          <w:spacing w:val="-2"/>
        </w:rPr>
        <w:t>产前基因检测纳入公立医保范围。英国先后通过</w:t>
      </w:r>
      <w:r>
        <w:rPr>
          <w:rFonts w:ascii="Times New Roman" w:hAnsi="Times New Roman" w:cs="Times New Roman" w:eastAsia="Times New Roman" w:hint="default"/>
          <w:spacing w:val="-2"/>
        </w:rPr>
        <w:t>Genomics</w:t>
      </w:r>
      <w:r>
        <w:rPr>
          <w:rFonts w:ascii="Times New Roman" w:hAnsi="Times New Roman" w:cs="Times New Roman" w:eastAsia="Times New Roman" w:hint="default"/>
          <w:spacing w:val="-9"/>
        </w:rPr>
        <w:t> </w:t>
      </w:r>
      <w:r>
        <w:rPr>
          <w:rFonts w:ascii="Times New Roman" w:hAnsi="Times New Roman" w:cs="Times New Roman" w:eastAsia="Times New Roman" w:hint="default"/>
        </w:rPr>
        <w:t>England</w:t>
      </w:r>
      <w:r>
        <w:rPr/>
        <w:t>以及</w:t>
      </w:r>
      <w:r>
        <w:rPr>
          <w:rFonts w:ascii="Times New Roman" w:hAnsi="Times New Roman" w:cs="Times New Roman" w:eastAsia="Times New Roman" w:hint="default"/>
        </w:rPr>
        <w:t>UK</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2"/>
        </w:rPr>
        <w:t>Biobank</w:t>
      </w:r>
      <w:r>
        <w:rPr>
          <w:spacing w:val="-2"/>
        </w:rPr>
        <w:t>项目，对</w:t>
      </w:r>
      <w:r>
        <w:rPr>
          <w:rFonts w:ascii="Times New Roman" w:hAnsi="Times New Roman" w:cs="Times New Roman" w:eastAsia="Times New Roman" w:hint="default"/>
          <w:spacing w:val="-2"/>
        </w:rPr>
        <w:t>10</w:t>
      </w:r>
      <w:r>
        <w:rPr>
          <w:spacing w:val="-2"/>
        </w:rPr>
        <w:t>万人和</w:t>
      </w:r>
      <w:r>
        <w:rPr>
          <w:rFonts w:ascii="Times New Roman" w:hAnsi="Times New Roman" w:cs="Times New Roman" w:eastAsia="Times New Roman" w:hint="default"/>
          <w:spacing w:val="-2"/>
        </w:rPr>
        <w:t>50</w:t>
      </w:r>
      <w:r>
        <w:rPr>
          <w:spacing w:val="-2"/>
        </w:rPr>
        <w:t>万人基因组进行测序，</w:t>
      </w:r>
      <w:r>
        <w:rPr>
          <w:spacing w:val="-88"/>
        </w:rPr>
        <w:t> </w:t>
      </w:r>
      <w:r>
        <w:rPr/>
        <w:t>并在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月宣布在未来</w:t>
      </w:r>
      <w:r>
        <w:rPr>
          <w:rFonts w:ascii="Times New Roman" w:hAnsi="Times New Roman" w:cs="Times New Roman" w:eastAsia="Times New Roman" w:hint="default"/>
        </w:rPr>
        <w:t>5</w:t>
      </w:r>
      <w:r>
        <w:rPr/>
        <w:t>年内开展</w:t>
      </w:r>
      <w:r>
        <w:rPr>
          <w:rFonts w:ascii="Times New Roman" w:hAnsi="Times New Roman" w:cs="Times New Roman" w:eastAsia="Times New Roman" w:hint="default"/>
        </w:rPr>
        <w:t>500</w:t>
      </w:r>
      <w:r>
        <w:rPr/>
        <w:t>万人基因组计划，拟将全基因组检测纳入临床医保范围。</w:t>
      </w:r>
    </w:p>
    <w:p>
      <w:pPr>
        <w:pStyle w:val="BodyText"/>
        <w:spacing w:line="432" w:lineRule="exact"/>
        <w:ind w:left="513" w:right="1133"/>
        <w:jc w:val="left"/>
      </w:pPr>
      <w:r>
        <w:rPr/>
        <w:t>（</w:t>
      </w:r>
      <w:r>
        <w:rPr>
          <w:rFonts w:ascii="Times New Roman" w:hAnsi="Times New Roman" w:cs="Times New Roman" w:eastAsia="Times New Roman" w:hint="default"/>
        </w:rPr>
        <w:t>2</w:t>
      </w:r>
      <w:r>
        <w:rPr/>
        <w:t>）肿瘤防控及转化医学类服务方面的政策利好 </w:t>
      </w:r>
      <w:r>
        <w:rPr>
          <w:spacing w:val="-2"/>
        </w:rPr>
        <w:t>肿瘤防控类服务方面，国家于</w:t>
      </w:r>
      <w:r>
        <w:rPr>
          <w:rFonts w:ascii="Times New Roman" w:hAnsi="Times New Roman" w:cs="Times New Roman" w:eastAsia="Times New Roman" w:hint="default"/>
          <w:spacing w:val="-2"/>
        </w:rPr>
        <w:t>2016</w:t>
      </w:r>
      <w:r>
        <w:rPr>
          <w:spacing w:val="-2"/>
        </w:rPr>
        <w:t>年颁布的《</w:t>
      </w:r>
      <w:r>
        <w:rPr>
          <w:rFonts w:ascii="Times New Roman" w:hAnsi="Times New Roman" w:cs="Times New Roman" w:eastAsia="Times New Roman" w:hint="default"/>
          <w:spacing w:val="-2"/>
        </w:rPr>
        <w:t>“</w:t>
      </w:r>
      <w:r>
        <w:rPr>
          <w:spacing w:val="-2"/>
        </w:rPr>
        <w:t>健康中国</w:t>
      </w:r>
      <w:r>
        <w:rPr>
          <w:rFonts w:ascii="Times New Roman" w:hAnsi="Times New Roman" w:cs="Times New Roman" w:eastAsia="Times New Roman" w:hint="default"/>
          <w:spacing w:val="-2"/>
        </w:rPr>
        <w:t>2030”</w:t>
      </w:r>
      <w:r>
        <w:rPr>
          <w:spacing w:val="-2"/>
        </w:rPr>
        <w:t>规划纲要》指出，要强化慢性病筛查和早期发现，针对高</w:t>
      </w:r>
    </w:p>
    <w:p>
      <w:pPr>
        <w:pStyle w:val="BodyText"/>
        <w:spacing w:line="300" w:lineRule="auto" w:before="13"/>
        <w:ind w:right="1131"/>
        <w:jc w:val="both"/>
      </w:pPr>
      <w:r>
        <w:rPr>
          <w:spacing w:val="-3"/>
        </w:rPr>
        <w:t>发地区重点癌症开展早诊早治工作。到</w:t>
      </w:r>
      <w:r>
        <w:rPr>
          <w:rFonts w:ascii="Times New Roman" w:hAnsi="Times New Roman" w:cs="Times New Roman" w:eastAsia="Times New Roman" w:hint="default"/>
          <w:spacing w:val="-3"/>
        </w:rPr>
        <w:t>2030</w:t>
      </w:r>
      <w:r>
        <w:rPr>
          <w:spacing w:val="-3"/>
        </w:rPr>
        <w:t>年，实现全人群、全生命周期的慢性病健康管理，总体癌症</w:t>
      </w:r>
      <w:r>
        <w:rPr>
          <w:rFonts w:ascii="Times New Roman" w:hAnsi="Times New Roman" w:cs="Times New Roman" w:eastAsia="Times New Roman" w:hint="default"/>
          <w:spacing w:val="-3"/>
        </w:rPr>
        <w:t>5</w:t>
      </w:r>
      <w:r>
        <w:rPr>
          <w:spacing w:val="-3"/>
        </w:rPr>
        <w:t>年生存率提高</w:t>
      </w:r>
      <w:r>
        <w:rPr>
          <w:rFonts w:ascii="Times New Roman" w:hAnsi="Times New Roman" w:cs="Times New Roman" w:eastAsia="Times New Roman" w:hint="default"/>
          <w:spacing w:val="-3"/>
        </w:rPr>
        <w:t>15%</w:t>
      </w:r>
      <w:r>
        <w:rPr>
          <w:spacing w:val="-3"/>
        </w:rPr>
        <w:t>。</w:t>
      </w:r>
      <w:r>
        <w:rPr>
          <w:spacing w:val="-58"/>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月，国家卫健委发布</w:t>
      </w:r>
      <w:r>
        <w:rPr>
          <w:rFonts w:ascii="Times New Roman" w:hAnsi="Times New Roman" w:cs="Times New Roman" w:eastAsia="Times New Roman" w:hint="default"/>
          <w:spacing w:val="-2"/>
        </w:rPr>
        <w:t>18</w:t>
      </w:r>
      <w:r>
        <w:rPr>
          <w:spacing w:val="-2"/>
        </w:rPr>
        <w:t>个肿瘤诊疗规范，体外诊断早期筛查手段和传统筛查手段被列入主流筛查手段。上述政策的</w:t>
      </w:r>
      <w:r>
        <w:rPr>
          <w:spacing w:val="-62"/>
        </w:rPr>
        <w:t> </w:t>
      </w:r>
      <w:r>
        <w:rPr>
          <w:spacing w:val="-62"/>
        </w:rPr>
      </w:r>
      <w:r>
        <w:rPr/>
        <w:t>出台有利于进一步打开国内早筛市场。</w:t>
      </w:r>
    </w:p>
    <w:p>
      <w:pPr>
        <w:pStyle w:val="BodyText"/>
        <w:spacing w:line="304" w:lineRule="auto" w:before="154"/>
        <w:ind w:right="986" w:firstLine="360"/>
        <w:jc w:val="left"/>
      </w:pPr>
      <w:r>
        <w:rPr>
          <w:rFonts w:ascii="Times New Roman" w:hAnsi="Times New Roman" w:cs="Times New Roman" w:eastAsia="Times New Roman" w:hint="default"/>
          <w:spacing w:val="-2"/>
        </w:rPr>
        <w:t>2018</w:t>
      </w:r>
      <w:r>
        <w:rPr>
          <w:spacing w:val="-2"/>
        </w:rPr>
        <w:t>年，美国</w:t>
      </w:r>
      <w:r>
        <w:rPr>
          <w:rFonts w:ascii="Times New Roman" w:hAnsi="Times New Roman" w:cs="Times New Roman" w:eastAsia="Times New Roman" w:hint="default"/>
          <w:spacing w:val="-2"/>
        </w:rPr>
        <w:t>FDA</w:t>
      </w:r>
      <w:r>
        <w:rPr>
          <w:spacing w:val="-2"/>
        </w:rPr>
        <w:t>发布了针对高通量测序设计、发展和验证的新法案，加强了高通量检测在遗传诊断、生殖疾病、肿瘤</w:t>
      </w:r>
      <w:r>
        <w:rPr/>
        <w:t> 体外诊断等方向应用的规范化，促进更高效的开发和验证。欧盟创新药物计划（</w:t>
      </w:r>
      <w:r>
        <w:rPr>
          <w:rFonts w:ascii="Times New Roman" w:hAnsi="Times New Roman" w:cs="Times New Roman" w:eastAsia="Times New Roman" w:hint="default"/>
        </w:rPr>
        <w:t>IMI</w:t>
      </w:r>
      <w:r>
        <w:rPr/>
        <w:t>）发布了</w:t>
      </w:r>
      <w:r>
        <w:rPr>
          <w:rFonts w:ascii="Times New Roman" w:hAnsi="Times New Roman" w:cs="Times New Roman" w:eastAsia="Times New Roman" w:hint="default"/>
        </w:rPr>
        <w:t>2018</w:t>
      </w:r>
      <w:r>
        <w:rPr/>
        <w:t>年工作计划和预算草案，</w:t>
      </w:r>
      <w:r>
        <w:rPr>
          <w:spacing w:val="-10"/>
        </w:rPr>
        <w:t> </w:t>
      </w:r>
      <w:r>
        <w:rPr>
          <w:spacing w:val="-10"/>
        </w:rPr>
      </w:r>
      <w:r>
        <w:rPr>
          <w:spacing w:val="-2"/>
        </w:rPr>
        <w:t>大力推动免疫治疗、肿瘤与健康大数据领域。关注人体免疫学机制研究、免疫疾病的早期干预、肿瘤免疫学研究、基于循环</w:t>
      </w:r>
      <w:r>
        <w:rPr>
          <w:spacing w:val="-68"/>
        </w:rPr>
        <w:t> </w:t>
      </w:r>
      <w:r>
        <w:rPr>
          <w:spacing w:val="-68"/>
        </w:rPr>
      </w:r>
      <w:r>
        <w:rPr/>
        <w:t>游离</w:t>
      </w:r>
      <w:r>
        <w:rPr>
          <w:rFonts w:ascii="Times New Roman" w:hAnsi="Times New Roman" w:cs="Times New Roman" w:eastAsia="Times New Roman" w:hint="default"/>
        </w:rPr>
        <w:t>DNA</w:t>
      </w:r>
      <w:r>
        <w:rPr/>
        <w:t>（</w:t>
      </w:r>
      <w:r>
        <w:rPr>
          <w:rFonts w:ascii="Times New Roman" w:hAnsi="Times New Roman" w:cs="Times New Roman" w:eastAsia="Times New Roman" w:hint="default"/>
        </w:rPr>
        <w:t>cfDNA</w:t>
      </w:r>
      <w:r>
        <w:rPr/>
        <w:t>）的肿瘤液体活检研究、肿瘤大数据研究，开展跨公司合作，整合真实世界数据（</w:t>
      </w:r>
      <w:r>
        <w:rPr>
          <w:rFonts w:ascii="Times New Roman" w:hAnsi="Times New Roman" w:cs="Times New Roman" w:eastAsia="Times New Roman" w:hint="default"/>
        </w:rPr>
        <w:t>Real</w:t>
      </w:r>
      <w:r>
        <w:rPr>
          <w:rFonts w:ascii="Times New Roman" w:hAnsi="Times New Roman" w:cs="Times New Roman" w:eastAsia="Times New Roman" w:hint="default"/>
          <w:spacing w:val="-20"/>
        </w:rPr>
        <w:t> </w:t>
      </w:r>
      <w:r>
        <w:rPr>
          <w:rFonts w:ascii="Times New Roman" w:hAnsi="Times New Roman" w:cs="Times New Roman" w:eastAsia="Times New Roman" w:hint="default"/>
        </w:rPr>
        <w:t>World</w:t>
      </w:r>
      <w:r>
        <w:rPr>
          <w:rFonts w:ascii="Times New Roman" w:hAnsi="Times New Roman" w:cs="Times New Roman" w:eastAsia="Times New Roman" w:hint="default"/>
          <w:spacing w:val="-20"/>
        </w:rPr>
        <w:t> </w:t>
      </w:r>
      <w:r>
        <w:rPr>
          <w:rFonts w:ascii="Times New Roman" w:hAnsi="Times New Roman" w:cs="Times New Roman" w:eastAsia="Times New Roman" w:hint="default"/>
        </w:rPr>
        <w:t>Data</w:t>
      </w:r>
      <w:r>
        <w:rPr/>
        <w:t>）和临 床研究数据，建设以患者为中心的药物研发数据整合平台。</w:t>
      </w:r>
    </w:p>
    <w:p>
      <w:pPr>
        <w:pStyle w:val="BodyText"/>
        <w:spacing w:line="432" w:lineRule="exact" w:before="15"/>
        <w:ind w:left="513" w:right="986"/>
        <w:jc w:val="left"/>
      </w:pPr>
      <w:r>
        <w:rPr/>
        <w:t>（</w:t>
      </w:r>
      <w:r>
        <w:rPr>
          <w:rFonts w:ascii="Times New Roman" w:hAnsi="Times New Roman" w:cs="Times New Roman" w:eastAsia="Times New Roman" w:hint="default"/>
        </w:rPr>
        <w:t>3</w:t>
      </w:r>
      <w:r>
        <w:rPr/>
        <w:t>）感染防控类服务方面的政策利好 </w:t>
      </w:r>
      <w:r>
        <w:rPr>
          <w:spacing w:val="-2"/>
        </w:rPr>
        <w:t>感染防控类服务方面，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月，国家卫生计生委颁布了《感染性疾病相关个体化医学分子检测技术指南》，规范临</w:t>
      </w:r>
    </w:p>
    <w:p>
      <w:pPr>
        <w:pStyle w:val="BodyText"/>
        <w:spacing w:line="312" w:lineRule="auto" w:before="13"/>
        <w:ind w:right="1131"/>
        <w:jc w:val="both"/>
      </w:pPr>
      <w:r>
        <w:rPr>
          <w:spacing w:val="-2"/>
        </w:rPr>
        <w:t>床实验室相关分子检测操作程序，指导从事感染性疾病分子诊断的医务人员正确开展工作，以期使我国的感染性疾病分子检</w:t>
      </w:r>
      <w:r>
        <w:rPr>
          <w:spacing w:val="-64"/>
        </w:rPr>
        <w:t> </w:t>
      </w:r>
      <w:r>
        <w:rPr>
          <w:spacing w:val="-64"/>
        </w:rPr>
      </w:r>
      <w:r>
        <w:rPr>
          <w:spacing w:val="-2"/>
        </w:rPr>
        <w:t>测临床应用健康有序发展。</w:t>
      </w:r>
      <w:r>
        <w:rPr>
          <w:rFonts w:ascii="Times New Roman" w:hAnsi="Times New Roman" w:cs="Times New Roman" w:eastAsia="Times New Roman" w:hint="default"/>
          <w:spacing w:val="-2"/>
        </w:rPr>
        <w:t>2018</w:t>
      </w:r>
      <w:r>
        <w:rPr>
          <w:spacing w:val="-2"/>
        </w:rPr>
        <w:t>年，中国食品药品检定研究院（以下简称</w:t>
      </w:r>
      <w:r>
        <w:rPr>
          <w:rFonts w:ascii="Times New Roman" w:hAnsi="Times New Roman" w:cs="Times New Roman" w:eastAsia="Times New Roman" w:hint="default"/>
          <w:spacing w:val="-2"/>
        </w:rPr>
        <w:t>“</w:t>
      </w:r>
      <w:r>
        <w:rPr>
          <w:spacing w:val="-2"/>
        </w:rPr>
        <w:t>中检院</w:t>
      </w:r>
      <w:r>
        <w:rPr>
          <w:rFonts w:ascii="Times New Roman" w:hAnsi="Times New Roman" w:cs="Times New Roman" w:eastAsia="Times New Roman" w:hint="default"/>
          <w:spacing w:val="-2"/>
        </w:rPr>
        <w:t>”</w:t>
      </w:r>
      <w:r>
        <w:rPr>
          <w:spacing w:val="-2"/>
        </w:rPr>
        <w:t>）体外诊断试剂检定所发布关于开展宏基</w:t>
      </w:r>
      <w:r>
        <w:rPr>
          <w:spacing w:val="-41"/>
        </w:rPr>
        <w:t> </w:t>
      </w:r>
      <w:r>
        <w:rPr>
          <w:spacing w:val="-41"/>
        </w:rPr>
      </w:r>
      <w:r>
        <w:rPr>
          <w:spacing w:val="-2"/>
        </w:rPr>
        <w:t>因组高通量测序病原体检测试剂国家参考品协作标定，开展基于宏基因组高通量测序技术检测试剂质量评价研究，公司参与</w:t>
      </w:r>
      <w:r>
        <w:rPr>
          <w:spacing w:val="-64"/>
        </w:rPr>
        <w:t> </w:t>
      </w:r>
      <w:r>
        <w:rPr>
          <w:spacing w:val="-64"/>
        </w:rPr>
      </w:r>
      <w:r>
        <w:rPr/>
        <w:t>了首批制备宏基因组高通量测序检测试剂参考品协作标定。</w:t>
      </w:r>
    </w:p>
    <w:p>
      <w:pPr>
        <w:pStyle w:val="BodyText"/>
        <w:spacing w:line="302" w:lineRule="auto" w:before="142"/>
        <w:ind w:right="1034"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日，美国</w:t>
      </w:r>
      <w:r>
        <w:rPr>
          <w:rFonts w:ascii="Times New Roman" w:hAnsi="Times New Roman" w:cs="Times New Roman" w:eastAsia="Times New Roman" w:hint="default"/>
        </w:rPr>
        <w:t>FDA</w:t>
      </w:r>
      <w:r>
        <w:rPr/>
        <w:t>发布了</w:t>
      </w:r>
      <w:r>
        <w:rPr>
          <w:rFonts w:ascii="Times New Roman" w:hAnsi="Times New Roman" w:cs="Times New Roman" w:eastAsia="Times New Roman" w:hint="default"/>
        </w:rPr>
        <w:t>“</w:t>
      </w:r>
      <w:r>
        <w:rPr/>
        <w:t>基于高通量测序的传染病诊断设备：微生物鉴定及耐药性和毒力标志物的检测</w:t>
      </w:r>
      <w:r>
        <w:rPr>
          <w:rFonts w:ascii="Times New Roman" w:hAnsi="Times New Roman" w:cs="Times New Roman" w:eastAsia="Times New Roman" w:hint="default"/>
        </w:rPr>
        <w:t>”</w:t>
      </w:r>
      <w:r>
        <w:rPr/>
        <w:t>的指 南草案，以确定高通量测序设备的分析及临床性能，用于微生物感染的诊断和合适疗法的选择。</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日欧盟委员会</w:t>
      </w:r>
      <w:r>
        <w:rPr>
          <w:spacing w:val="-84"/>
        </w:rPr>
        <w:t> </w:t>
      </w:r>
      <w:r>
        <w:rPr>
          <w:spacing w:val="-84"/>
        </w:rPr>
      </w:r>
      <w:r>
        <w:rPr>
          <w:spacing w:val="-3"/>
        </w:rPr>
        <w:t>通过《欧洲抗微生物药物耐药（</w:t>
      </w:r>
      <w:r>
        <w:rPr>
          <w:rFonts w:ascii="Times New Roman" w:hAnsi="Times New Roman" w:cs="Times New Roman" w:eastAsia="Times New Roman" w:hint="default"/>
          <w:spacing w:val="-3"/>
        </w:rPr>
        <w:t>AMR</w:t>
      </w:r>
      <w:r>
        <w:rPr>
          <w:spacing w:val="-3"/>
        </w:rPr>
        <w:t>）同一健康行动计划》，以及《欧盟关于谨慎使用人类抗微生物药物指南》，有利于进</w:t>
      </w:r>
      <w:r>
        <w:rPr>
          <w:spacing w:val="-62"/>
        </w:rPr>
        <w:t> </w:t>
      </w:r>
      <w:r>
        <w:rPr>
          <w:spacing w:val="-62"/>
        </w:rPr>
      </w:r>
      <w:r>
        <w:rPr/>
        <w:t>一步促进病原感染的相关研究和创新激励。</w:t>
      </w:r>
      <w:r>
        <w:rPr>
          <w:rFonts w:ascii="Times New Roman" w:hAnsi="Times New Roman" w:cs="Times New Roman" w:eastAsia="Times New Roman" w:hint="default"/>
        </w:rPr>
        <w:t>2018</w:t>
      </w:r>
      <w:r>
        <w:rPr/>
        <w:t>年世界卫生组织（</w:t>
      </w:r>
      <w:r>
        <w:rPr>
          <w:rFonts w:ascii="Times New Roman" w:hAnsi="Times New Roman" w:cs="Times New Roman" w:eastAsia="Times New Roman" w:hint="default"/>
        </w:rPr>
        <w:t>WHO</w:t>
      </w:r>
      <w:r>
        <w:rPr/>
        <w:t>）发布了</w:t>
      </w:r>
      <w:r>
        <w:rPr>
          <w:rFonts w:ascii="Times New Roman" w:hAnsi="Times New Roman" w:cs="Times New Roman" w:eastAsia="Times New Roman" w:hint="default"/>
        </w:rPr>
        <w:t>“</w:t>
      </w:r>
      <w:r>
        <w:rPr/>
        <w:t>基于高通量测序技术检测结核分枝杆菌复 合群耐药相关突变技术指南</w:t>
      </w:r>
      <w:r>
        <w:rPr>
          <w:rFonts w:ascii="Times New Roman" w:hAnsi="Times New Roman" w:cs="Times New Roman" w:eastAsia="Times New Roman" w:hint="default"/>
        </w:rPr>
        <w:t>”</w:t>
      </w:r>
      <w:r>
        <w:rPr/>
        <w:t>，总结了可用的结核分枝杆菌高通量测序技术的特点以及目前对于结核分枝杆菌耐药性遗传基</w:t>
      </w:r>
      <w:r>
        <w:rPr>
          <w:spacing w:val="-75"/>
        </w:rPr>
        <w:t> </w:t>
      </w:r>
      <w:r>
        <w:rPr>
          <w:spacing w:val="-75"/>
        </w:rPr>
      </w:r>
      <w:r>
        <w:rPr/>
        <w:t>础的知识，并展示了在低收入与中等收入国家结核参考实验室中，用于临床样本结核耐药性诊断的高通量测序技术的选择、</w:t>
      </w:r>
      <w:r>
        <w:rPr>
          <w:spacing w:val="-83"/>
        </w:rPr>
        <w:t> </w:t>
      </w:r>
      <w:r>
        <w:rPr>
          <w:spacing w:val="-83"/>
        </w:rPr>
      </w:r>
      <w:r>
        <w:rPr/>
        <w:t>采购与实施的指导方针</w:t>
      </w:r>
      <w:r>
        <w:rPr>
          <w:spacing w:val="-18"/>
        </w:rPr>
        <w:t> </w:t>
      </w:r>
      <w:r>
        <w:rPr/>
        <w:t>。</w:t>
      </w:r>
    </w:p>
    <w:p>
      <w:pPr>
        <w:pStyle w:val="BodyText"/>
        <w:spacing w:line="432" w:lineRule="exact" w:before="14"/>
        <w:ind w:left="513" w:right="986"/>
        <w:jc w:val="left"/>
      </w:pPr>
      <w:r>
        <w:rPr/>
        <w:t>（</w:t>
      </w:r>
      <w:r>
        <w:rPr>
          <w:rFonts w:ascii="Times New Roman" w:hAnsi="Times New Roman" w:cs="Times New Roman" w:eastAsia="Times New Roman" w:hint="default"/>
        </w:rPr>
        <w:t>4</w:t>
      </w:r>
      <w:r>
        <w:rPr/>
        <w:t>）多组学大数据服务与合成业务方面的政策利好 多组学大数据服务方面，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月，科技部印发《</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生物技术创新专项规划》，提出要紧紧围绕民生健康和新</w:t>
      </w:r>
    </w:p>
    <w:p>
      <w:pPr>
        <w:pStyle w:val="BodyText"/>
        <w:spacing w:line="304" w:lineRule="auto" w:before="15"/>
        <w:ind w:right="1130"/>
        <w:jc w:val="both"/>
      </w:pPr>
      <w:r>
        <w:rPr/>
        <w:t>兴产业培育的战略需求，重点发展基因测序、免疫治疗等关键技术，抢占生物医药产业战略制高点。同年</w:t>
      </w:r>
      <w:r>
        <w:rPr>
          <w:rFonts w:ascii="Times New Roman" w:hAnsi="Times New Roman" w:cs="Times New Roman" w:eastAsia="Times New Roman" w:hint="default"/>
        </w:rPr>
        <w:t>6</w:t>
      </w:r>
      <w:r>
        <w:rPr/>
        <w:t>月，科技部、卫</w:t>
      </w:r>
      <w:r>
        <w:rPr>
          <w:spacing w:val="-82"/>
        </w:rPr>
        <w:t> </w:t>
      </w:r>
      <w:r>
        <w:rPr>
          <w:spacing w:val="-2"/>
        </w:rPr>
        <w:t>计委等六部委发布《</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卫生与健康科技创新专项规划》，要求建立多层次精准医疗知识库体系和国家生物医学大数据</w:t>
      </w:r>
      <w:r>
        <w:rPr>
          <w:spacing w:val="-44"/>
        </w:rPr>
        <w:t> </w:t>
      </w:r>
      <w:r>
        <w:rPr>
          <w:spacing w:val="-44"/>
        </w:rPr>
      </w:r>
      <w:r>
        <w:rPr>
          <w:spacing w:val="-2"/>
        </w:rPr>
        <w:t>共享平台，重点攻克高通量基因测序技术、组学研究和大数据融合分析技术等精准医疗核心关键技术，开发一批重大疾病早</w:t>
      </w:r>
      <w:r>
        <w:rPr>
          <w:spacing w:val="-63"/>
        </w:rPr>
        <w:t> </w:t>
      </w:r>
      <w:r>
        <w:rPr>
          <w:spacing w:val="-63"/>
        </w:rPr>
      </w:r>
      <w:r>
        <w:rPr/>
        <w:t>期筛查、分子分型、个体化靶向药物治疗、靶向外科手术、疗效预测及监控等精准化解决方案和支撑技术。</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月，国</w:t>
      </w:r>
      <w:r>
        <w:rPr>
          <w:spacing w:val="-84"/>
        </w:rPr>
        <w:t> </w:t>
      </w:r>
      <w:r>
        <w:rPr>
          <w:spacing w:val="-84"/>
        </w:rPr>
      </w:r>
      <w:r>
        <w:rPr>
          <w:spacing w:val="-2"/>
        </w:rPr>
        <w:t>务院印发《关于全面加强基础科学研究的若干意见》，对全面加强基础科学研究作出部署。完善基础研究布局方面，加强基</w:t>
      </w:r>
      <w:r>
        <w:rPr>
          <w:spacing w:val="-67"/>
        </w:rPr>
        <w:t> </w:t>
      </w:r>
      <w:r>
        <w:rPr>
          <w:spacing w:val="-67"/>
        </w:rPr>
      </w:r>
      <w:r>
        <w:rPr>
          <w:spacing w:val="-2"/>
        </w:rPr>
        <w:t>础前沿科学研究，围绕生命起源、脑与认知等开展探索，加强对脑科学、合成生物学等重大科学问题的超前部署。</w:t>
      </w:r>
      <w:r>
        <w:rPr>
          <w:rFonts w:ascii="Times New Roman" w:hAnsi="Times New Roman" w:cs="Times New Roman" w:eastAsia="Times New Roman" w:hint="default"/>
          <w:spacing w:val="-2"/>
        </w:rPr>
        <w:t>2018</w:t>
      </w:r>
      <w:r>
        <w:rPr>
          <w:spacing w:val="-2"/>
        </w:rPr>
        <w:t>年度</w:t>
      </w:r>
      <w:r>
        <w:rPr>
          <w:spacing w:val="-64"/>
        </w:rPr>
        <w:t> </w:t>
      </w:r>
      <w:r>
        <w:rPr>
          <w:spacing w:val="-3"/>
        </w:rPr>
        <w:t>国家重点研发计划重点专项中，涉及</w:t>
      </w:r>
      <w:r>
        <w:rPr>
          <w:rFonts w:ascii="Times New Roman" w:hAnsi="Times New Roman" w:cs="Times New Roman" w:eastAsia="Times New Roman" w:hint="default"/>
          <w:spacing w:val="-3"/>
        </w:rPr>
        <w:t>“</w:t>
      </w:r>
      <w:r>
        <w:rPr>
          <w:spacing w:val="-3"/>
        </w:rPr>
        <w:t>重大慢性非传染性疾病防控研究（定向）</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干细胞及转化研究</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生殖健康及重大出</w:t>
      </w:r>
      <w:r>
        <w:rPr>
          <w:spacing w:val="-42"/>
        </w:rPr>
        <w:t> </w:t>
      </w:r>
      <w:r>
        <w:rPr>
          <w:spacing w:val="-42"/>
        </w:rPr>
      </w:r>
      <w:r>
        <w:rPr>
          <w:spacing w:val="-4"/>
        </w:rPr>
        <w:t>生缺陷防控研究（含定向）</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蓝色粮仓科技创新（含定向）</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深海关键技术与装备</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主动健康和老龄化科技应对</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主</w:t>
      </w:r>
      <w:r>
        <w:rPr>
          <w:spacing w:val="-43"/>
        </w:rPr>
        <w:t> </w:t>
      </w:r>
      <w:r>
        <w:rPr>
          <w:spacing w:val="-2"/>
        </w:rPr>
        <w:t>要经济作物优质高产与产业提质增效科技创新</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海洋环境安全保障</w:t>
      </w:r>
      <w:r>
        <w:rPr>
          <w:rFonts w:ascii="Times New Roman" w:hAnsi="Times New Roman" w:cs="Times New Roman" w:eastAsia="Times New Roman" w:hint="default"/>
          <w:spacing w:val="-2"/>
        </w:rPr>
        <w:t>(</w:t>
      </w:r>
      <w:r>
        <w:rPr>
          <w:spacing w:val="-2"/>
        </w:rPr>
        <w:t>含定向）</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七大农作物育种</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精准医学研究</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林</w:t>
      </w:r>
      <w:r>
        <w:rPr>
          <w:spacing w:val="-37"/>
        </w:rPr>
        <w:t> </w:t>
      </w:r>
      <w:r>
        <w:rPr/>
        <w:t>业资源培育及高效利用技术创新</w:t>
      </w:r>
      <w:r>
        <w:rPr>
          <w:rFonts w:ascii="Times New Roman" w:hAnsi="Times New Roman" w:cs="Times New Roman" w:eastAsia="Times New Roman" w:hint="default"/>
        </w:rPr>
        <w:t>”</w:t>
      </w:r>
      <w:r>
        <w:rPr/>
        <w:t>等生命科学领域，中央财政经费总额约</w:t>
      </w:r>
      <w:r>
        <w:rPr>
          <w:rFonts w:ascii="Times New Roman" w:hAnsi="Times New Roman" w:cs="Times New Roman" w:eastAsia="Times New Roman" w:hint="default"/>
        </w:rPr>
        <w:t>44</w:t>
      </w:r>
      <w:r>
        <w:rPr/>
        <w:t>亿元。</w:t>
      </w:r>
    </w:p>
    <w:p>
      <w:pPr>
        <w:pStyle w:val="BodyText"/>
        <w:spacing w:line="307" w:lineRule="auto" w:before="129"/>
        <w:ind w:right="1130" w:firstLine="360"/>
        <w:jc w:val="both"/>
      </w:pPr>
      <w:r>
        <w:rPr/>
        <w:t>合成业务方面，</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月，《中华人民共和国国民经济和社会发展第十三个五年规划纲要》明确了生命科学作为未 </w:t>
      </w:r>
      <w:r>
        <w:rPr>
          <w:spacing w:val="-2"/>
        </w:rPr>
        <w:t>来培育发展的战略性产业之一，明确提出加快发展合成生物学技术，加快深圳科技、产业创新中心建设。为加快实施创新驱</w:t>
      </w:r>
      <w:r>
        <w:rPr>
          <w:spacing w:val="-64"/>
        </w:rPr>
        <w:t> </w:t>
      </w:r>
      <w:r>
        <w:rPr>
          <w:spacing w:val="-64"/>
        </w:rPr>
      </w:r>
      <w:r>
        <w:rPr>
          <w:spacing w:val="-3"/>
        </w:rPr>
        <w:t>动发展战略，中共中央、国务院于 </w:t>
      </w:r>
      <w:r>
        <w:rPr>
          <w:rFonts w:ascii="Times New Roman" w:hAnsi="Times New Roman" w:cs="Times New Roman" w:eastAsia="Times New Roman" w:hint="default"/>
        </w:rPr>
        <w:t>2016</w:t>
      </w:r>
      <w:r>
        <w:rPr>
          <w:rFonts w:ascii="Times New Roman" w:hAnsi="Times New Roman" w:cs="Times New Roman" w:eastAsia="Times New Roman" w:hint="default"/>
          <w:spacing w:val="26"/>
        </w:rPr>
        <w:t> </w:t>
      </w:r>
      <w:r>
        <w:rPr>
          <w:spacing w:val="-3"/>
        </w:rPr>
        <w:t>年</w:t>
      </w:r>
      <w:r>
        <w:rPr>
          <w:rFonts w:ascii="Times New Roman" w:hAnsi="Times New Roman" w:cs="Times New Roman" w:eastAsia="Times New Roman" w:hint="default"/>
          <w:spacing w:val="-3"/>
        </w:rPr>
        <w:t>5</w:t>
      </w:r>
      <w:r>
        <w:rPr>
          <w:spacing w:val="-3"/>
        </w:rPr>
        <w:t>月印发了《国家创新驱动发展战略纲要》，提出要重视基因组、干细胞、合成生</w:t>
      </w:r>
      <w:r>
        <w:rPr/>
        <w:t> </w:t>
      </w:r>
      <w:r>
        <w:rPr>
          <w:spacing w:val="-4"/>
        </w:rPr>
        <w:t>物、再生医学等技术对生命科学、生物育种、工业生物领域的深刻影响，加快发展引领产业变革的颠覆性技术。</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7</w:t>
      </w:r>
      <w:r>
        <w:rPr>
          <w:spacing w:val="-4"/>
        </w:rPr>
        <w:t>月，</w:t>
      </w:r>
      <w:r>
        <w:rPr/>
      </w:r>
    </w:p>
    <w:p>
      <w:pPr>
        <w:spacing w:after="0" w:line="307"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3"/>
        <w:jc w:val="left"/>
      </w:pPr>
      <w:r>
        <w:rPr>
          <w:spacing w:val="-2"/>
        </w:rPr>
        <w:t>《</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国家科技创新规划》提出要加快推进合成生物技术等生命科学前沿关键技术突破，加强生物产业发展及生命科学</w:t>
      </w:r>
      <w:r>
        <w:rPr>
          <w:spacing w:val="-44"/>
        </w:rPr>
        <w:t> </w:t>
      </w:r>
      <w:r>
        <w:rPr>
          <w:spacing w:val="-44"/>
        </w:rPr>
      </w:r>
      <w:r>
        <w:rPr/>
        <w:t>研究核心关键装备研发，提升我国生物技术前沿领域原创水平，抢占国际生物技术竞争制高点。</w:t>
      </w:r>
    </w:p>
    <w:p>
      <w:pPr>
        <w:pStyle w:val="BodyText"/>
        <w:spacing w:line="432" w:lineRule="exact" w:before="16"/>
        <w:ind w:left="513" w:right="986"/>
        <w:jc w:val="left"/>
      </w:pPr>
      <w:r>
        <w:rPr>
          <w:rFonts w:ascii="Times New Roman" w:hAnsi="Times New Roman" w:cs="Times New Roman" w:eastAsia="Times New Roman" w:hint="default"/>
          <w:b/>
          <w:bCs/>
        </w:rPr>
        <w:t>2</w:t>
      </w:r>
      <w:r>
        <w:rPr>
          <w:rFonts w:ascii="宋体" w:hAnsi="宋体" w:cs="宋体" w:eastAsia="宋体" w:hint="default"/>
          <w:b/>
          <w:bCs/>
        </w:rPr>
        <w:t>、产业发展空间巨大</w:t>
      </w:r>
      <w:r>
        <w:rPr>
          <w:rFonts w:ascii="宋体" w:hAnsi="宋体" w:cs="宋体" w:eastAsia="宋体" w:hint="default"/>
          <w:b/>
          <w:bCs/>
          <w:w w:val="99"/>
        </w:rPr>
        <w:t> </w:t>
      </w:r>
      <w:r>
        <w:rPr>
          <w:spacing w:val="-2"/>
        </w:rPr>
        <w:t>随着基因组学技术的高速发展，临床诊断、药物、个体化治疗、农业等领域发生了巨大的变革，社会各界对基因组学应</w:t>
      </w:r>
    </w:p>
    <w:p>
      <w:pPr>
        <w:pStyle w:val="BodyText"/>
        <w:spacing w:line="360" w:lineRule="auto" w:before="15"/>
        <w:ind w:left="513" w:right="1123" w:hanging="361"/>
        <w:jc w:val="left"/>
      </w:pPr>
      <w:r>
        <w:rPr/>
        <w:t>用行业的关注度越来越高，各领域基于基因组学应用的需求也越来越大。 生育健康类服务方面，根据国家卫健委</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月印发《关于印发全国出生缺陷综合防治方案的通知》（国卫办妇幼发</w:t>
      </w:r>
    </w:p>
    <w:p>
      <w:pPr>
        <w:pStyle w:val="BodyText"/>
        <w:spacing w:line="212" w:lineRule="exact"/>
        <w:ind w:right="986"/>
        <w:jc w:val="left"/>
      </w:pPr>
      <w:r>
        <w:rPr>
          <w:rFonts w:ascii="Times New Roman" w:hAnsi="Times New Roman" w:cs="Times New Roman" w:eastAsia="Times New Roman" w:hint="default"/>
          <w:spacing w:val="-2"/>
        </w:rPr>
        <w:t>[2018]19</w:t>
      </w:r>
      <w:r>
        <w:rPr>
          <w:spacing w:val="-2"/>
        </w:rPr>
        <w:t>号，以下简称</w:t>
      </w:r>
      <w:r>
        <w:rPr>
          <w:rFonts w:ascii="Times New Roman" w:hAnsi="Times New Roman" w:cs="Times New Roman" w:eastAsia="Times New Roman" w:hint="default"/>
          <w:spacing w:val="-2"/>
        </w:rPr>
        <w:t>“</w:t>
      </w:r>
      <w:r>
        <w:rPr>
          <w:spacing w:val="-2"/>
        </w:rPr>
        <w:t>《通知》</w:t>
      </w:r>
      <w:r>
        <w:rPr>
          <w:rFonts w:ascii="Times New Roman" w:hAnsi="Times New Roman" w:cs="Times New Roman" w:eastAsia="Times New Roman" w:hint="default"/>
          <w:spacing w:val="-2"/>
        </w:rPr>
        <w:t>”</w:t>
      </w:r>
      <w:r>
        <w:rPr>
          <w:spacing w:val="-2"/>
        </w:rPr>
        <w:t>）</w:t>
      </w:r>
      <w:r>
        <w:rPr>
          <w:spacing w:val="-16"/>
        </w:rPr>
        <w:t> </w:t>
      </w:r>
      <w:r>
        <w:rPr>
          <w:spacing w:val="-1"/>
        </w:rPr>
        <w:t>数据显示，全国出生缺陷防控的具体目标为：到</w:t>
      </w:r>
      <w:r>
        <w:rPr>
          <w:rFonts w:ascii="Times New Roman" w:hAnsi="Times New Roman" w:cs="Times New Roman" w:eastAsia="Times New Roman" w:hint="default"/>
          <w:spacing w:val="-1"/>
        </w:rPr>
        <w:t>2022</w:t>
      </w:r>
      <w:r>
        <w:rPr>
          <w:spacing w:val="-1"/>
        </w:rPr>
        <w:t>年，婚前医学检查率达到</w:t>
      </w:r>
      <w:r>
        <w:rPr>
          <w:rFonts w:ascii="Times New Roman" w:hAnsi="Times New Roman" w:cs="Times New Roman" w:eastAsia="Times New Roman" w:hint="default"/>
          <w:spacing w:val="-1"/>
        </w:rPr>
        <w:t>65</w:t>
      </w:r>
      <w:r>
        <w:rPr>
          <w:spacing w:val="-1"/>
        </w:rPr>
        <w:t>％，孕</w:t>
      </w:r>
    </w:p>
    <w:p>
      <w:pPr>
        <w:pStyle w:val="BodyText"/>
        <w:spacing w:line="300" w:lineRule="auto" w:before="63"/>
        <w:ind w:right="1034"/>
        <w:jc w:val="left"/>
      </w:pPr>
      <w:r>
        <w:rPr/>
        <w:t>前优生健康检查率达到</w:t>
      </w:r>
      <w:r>
        <w:rPr>
          <w:rFonts w:ascii="Times New Roman" w:hAnsi="Times New Roman" w:cs="Times New Roman" w:eastAsia="Times New Roman" w:hint="default"/>
        </w:rPr>
        <w:t>80</w:t>
      </w:r>
      <w:r>
        <w:rPr/>
        <w:t>％，产前筛查率达到</w:t>
      </w:r>
      <w:r>
        <w:rPr>
          <w:rFonts w:ascii="Times New Roman" w:hAnsi="Times New Roman" w:cs="Times New Roman" w:eastAsia="Times New Roman" w:hint="default"/>
        </w:rPr>
        <w:t>70</w:t>
      </w:r>
      <w:r>
        <w:rPr/>
        <w:t>％；新生儿遗传代谢性疾病筛查率达到</w:t>
      </w:r>
      <w:r>
        <w:rPr>
          <w:rFonts w:ascii="Times New Roman" w:hAnsi="Times New Roman" w:cs="Times New Roman" w:eastAsia="Times New Roman" w:hint="default"/>
        </w:rPr>
        <w:t>98</w:t>
      </w:r>
      <w:r>
        <w:rPr/>
        <w:t>％，新生儿听力筛查率达到</w:t>
      </w:r>
      <w:r>
        <w:rPr>
          <w:rFonts w:ascii="Times New Roman" w:hAnsi="Times New Roman" w:cs="Times New Roman" w:eastAsia="Times New Roman" w:hint="default"/>
        </w:rPr>
        <w:t>90</w:t>
      </w:r>
      <w:r>
        <w:rPr/>
        <w:t>％；</w:t>
      </w:r>
      <w:r>
        <w:rPr>
          <w:spacing w:val="-83"/>
        </w:rPr>
        <w:t> </w:t>
      </w:r>
      <w:r>
        <w:rPr/>
        <w:t>确诊病例治疗率达到</w:t>
      </w:r>
      <w:r>
        <w:rPr>
          <w:rFonts w:ascii="Times New Roman" w:hAnsi="Times New Roman" w:cs="Times New Roman" w:eastAsia="Times New Roman" w:hint="default"/>
        </w:rPr>
        <w:t>80</w:t>
      </w:r>
      <w:r>
        <w:rPr/>
        <w:t>％。先天性心脏病、唐氏综合征、耳聋、神经管缺陷、地中海贫血等严重出生缺陷得到有效控制。</w:t>
      </w:r>
    </w:p>
    <w:p>
      <w:pPr>
        <w:pStyle w:val="BodyText"/>
        <w:spacing w:line="302" w:lineRule="auto" w:before="133"/>
        <w:ind w:right="1128" w:firstLine="360"/>
        <w:jc w:val="both"/>
      </w:pPr>
      <w:r>
        <w:rPr>
          <w:spacing w:val="-3"/>
        </w:rPr>
        <w:t>肿瘤防控类服务方面，美国癌症学会官方期刊刊登的《</w:t>
      </w:r>
      <w:r>
        <w:rPr>
          <w:rFonts w:ascii="Times New Roman" w:hAnsi="Times New Roman" w:cs="Times New Roman" w:eastAsia="Times New Roman" w:hint="default"/>
          <w:spacing w:val="-3"/>
        </w:rPr>
        <w:t>2018</w:t>
      </w:r>
      <w:r>
        <w:rPr>
          <w:spacing w:val="-3"/>
        </w:rPr>
        <w:t>年全球癌症统计数据》显示，</w:t>
      </w:r>
      <w:r>
        <w:rPr>
          <w:rFonts w:ascii="Times New Roman" w:hAnsi="Times New Roman" w:cs="Times New Roman" w:eastAsia="Times New Roman" w:hint="default"/>
          <w:spacing w:val="-3"/>
        </w:rPr>
        <w:t>2018</w:t>
      </w:r>
      <w:r>
        <w:rPr>
          <w:spacing w:val="-3"/>
        </w:rPr>
        <w:t>年全球约有</w:t>
      </w:r>
      <w:r>
        <w:rPr>
          <w:rFonts w:ascii="Times New Roman" w:hAnsi="Times New Roman" w:cs="Times New Roman" w:eastAsia="Times New Roman" w:hint="default"/>
          <w:spacing w:val="-3"/>
        </w:rPr>
        <w:t>1,810</w:t>
      </w:r>
      <w:r>
        <w:rPr>
          <w:spacing w:val="-3"/>
        </w:rPr>
        <w:t>万癌症新</w:t>
      </w:r>
      <w:r>
        <w:rPr/>
        <w:t> </w:t>
      </w:r>
      <w:r>
        <w:rPr>
          <w:spacing w:val="-2"/>
        </w:rPr>
        <w:t>发病例及</w:t>
      </w:r>
      <w:r>
        <w:rPr>
          <w:rFonts w:ascii="Times New Roman" w:hAnsi="Times New Roman" w:cs="Times New Roman" w:eastAsia="Times New Roman" w:hint="default"/>
          <w:spacing w:val="-2"/>
        </w:rPr>
        <w:t>960</w:t>
      </w:r>
      <w:r>
        <w:rPr>
          <w:spacing w:val="-2"/>
        </w:rPr>
        <w:t>万癌症死亡病例，亚洲在后者占比近六成。根据国家癌症中心等研究机构</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月发布的《</w:t>
      </w:r>
      <w:r>
        <w:rPr>
          <w:rFonts w:ascii="Times New Roman" w:hAnsi="Times New Roman" w:cs="Times New Roman" w:eastAsia="Times New Roman" w:hint="default"/>
          <w:spacing w:val="-2"/>
        </w:rPr>
        <w:t>2015</w:t>
      </w:r>
      <w:r>
        <w:rPr>
          <w:spacing w:val="-2"/>
        </w:rPr>
        <w:t>年中国恶性肿</w:t>
      </w:r>
      <w:r>
        <w:rPr>
          <w:spacing w:val="-57"/>
        </w:rPr>
        <w:t> </w:t>
      </w:r>
      <w:r>
        <w:rPr>
          <w:spacing w:val="-57"/>
        </w:rPr>
      </w:r>
      <w:r>
        <w:rPr>
          <w:spacing w:val="-3"/>
        </w:rPr>
        <w:t>瘤流行情况分析》显示，全国</w:t>
      </w:r>
      <w:r>
        <w:rPr>
          <w:rFonts w:ascii="Times New Roman" w:hAnsi="Times New Roman" w:cs="Times New Roman" w:eastAsia="Times New Roman" w:hint="default"/>
          <w:spacing w:val="-3"/>
        </w:rPr>
        <w:t>2015</w:t>
      </w:r>
      <w:r>
        <w:rPr>
          <w:spacing w:val="-3"/>
        </w:rPr>
        <w:t>年新发恶性肿瘤病例约</w:t>
      </w:r>
      <w:r>
        <w:rPr>
          <w:rFonts w:ascii="Times New Roman" w:hAnsi="Times New Roman" w:cs="Times New Roman" w:eastAsia="Times New Roman" w:hint="default"/>
          <w:spacing w:val="-3"/>
        </w:rPr>
        <w:t>392.9</w:t>
      </w:r>
      <w:r>
        <w:rPr>
          <w:spacing w:val="-3"/>
        </w:rPr>
        <w:t>万例，发病率为</w:t>
      </w:r>
      <w:r>
        <w:rPr>
          <w:rFonts w:ascii="Times New Roman" w:hAnsi="Times New Roman" w:cs="Times New Roman" w:eastAsia="Times New Roman" w:hint="default"/>
          <w:spacing w:val="-3"/>
        </w:rPr>
        <w:t>285.83/10</w:t>
      </w:r>
      <w:r>
        <w:rPr>
          <w:spacing w:val="-3"/>
        </w:rPr>
        <w:t>万。恶性肿瘤死亡病例约</w:t>
      </w:r>
      <w:r>
        <w:rPr>
          <w:rFonts w:ascii="Times New Roman" w:hAnsi="Times New Roman" w:cs="Times New Roman" w:eastAsia="Times New Roman" w:hint="default"/>
          <w:spacing w:val="-3"/>
        </w:rPr>
        <w:t>233.8</w:t>
      </w:r>
      <w:r>
        <w:rPr>
          <w:spacing w:val="-3"/>
        </w:rPr>
        <w:t>万例，</w:t>
      </w:r>
      <w:r>
        <w:rPr>
          <w:spacing w:val="-76"/>
        </w:rPr>
        <w:t> </w:t>
      </w:r>
      <w:r>
        <w:rPr/>
        <w:t>死亡率为</w:t>
      </w:r>
      <w:r>
        <w:rPr>
          <w:rFonts w:ascii="Times New Roman" w:hAnsi="Times New Roman" w:cs="Times New Roman" w:eastAsia="Times New Roman" w:hint="default"/>
        </w:rPr>
        <w:t>170.05/10</w:t>
      </w:r>
      <w:r>
        <w:rPr/>
        <w:t>万。近</w:t>
      </w:r>
      <w:r>
        <w:rPr>
          <w:rFonts w:ascii="Times New Roman" w:hAnsi="Times New Roman" w:cs="Times New Roman" w:eastAsia="Times New Roman" w:hint="default"/>
        </w:rPr>
        <w:t>10</w:t>
      </w:r>
      <w:r>
        <w:rPr/>
        <w:t>多年来，恶性肿瘤发病率每年保持约</w:t>
      </w:r>
      <w:r>
        <w:rPr>
          <w:rFonts w:ascii="Times New Roman" w:hAnsi="Times New Roman" w:cs="Times New Roman" w:eastAsia="Times New Roman" w:hint="default"/>
        </w:rPr>
        <w:t>3.9</w:t>
      </w:r>
      <w:r>
        <w:rPr/>
        <w:t>％的增幅，死亡率每年保持约</w:t>
      </w:r>
      <w:r>
        <w:rPr>
          <w:rFonts w:ascii="Times New Roman" w:hAnsi="Times New Roman" w:cs="Times New Roman" w:eastAsia="Times New Roman" w:hint="default"/>
        </w:rPr>
        <w:t>2.5</w:t>
      </w:r>
      <w:r>
        <w:rPr/>
        <w:t>％的增幅。每年恶性肿 </w:t>
      </w:r>
      <w:r>
        <w:rPr>
          <w:spacing w:val="-3"/>
        </w:rPr>
        <w:t>瘤所致的医疗花费超过</w:t>
      </w:r>
      <w:r>
        <w:rPr>
          <w:rFonts w:ascii="Times New Roman" w:hAnsi="Times New Roman" w:cs="Times New Roman" w:eastAsia="Times New Roman" w:hint="default"/>
          <w:spacing w:val="-3"/>
        </w:rPr>
        <w:t>2,200</w:t>
      </w:r>
      <w:r>
        <w:rPr>
          <w:spacing w:val="-3"/>
        </w:rPr>
        <w:t>亿元，癌症负担总体仍呈现持续上升趋势，癌症防控形势依然严峻。然而，随着现代癌症医学水</w:t>
      </w:r>
      <w:r>
        <w:rPr>
          <w:spacing w:val="-49"/>
        </w:rPr>
        <w:t> </w:t>
      </w:r>
      <w:r>
        <w:rPr>
          <w:spacing w:val="-49"/>
        </w:rPr>
      </w:r>
      <w:r>
        <w:rPr/>
        <w:t>平的不断提高，我国癌症医疗服务水平持续提升。靶向治疗和免疫治疗已逐渐成为肿瘤治疗的主要方式，多种靶向药物在</w:t>
      </w:r>
      <w:r>
        <w:rPr>
          <w:spacing w:val="-11"/>
        </w:rPr>
        <w:t> </w:t>
      </w:r>
      <w:r>
        <w:rPr>
          <w:spacing w:val="-11"/>
        </w:rPr>
      </w:r>
      <w:r>
        <w:rPr>
          <w:rFonts w:ascii="Times New Roman" w:hAnsi="Times New Roman" w:cs="Times New Roman" w:eastAsia="Times New Roman" w:hint="default"/>
          <w:spacing w:val="-2"/>
        </w:rPr>
        <w:t>2018</w:t>
      </w:r>
      <w:r>
        <w:rPr>
          <w:spacing w:val="-2"/>
        </w:rPr>
        <w:t>年被纳入医保，多款免疫治疗药物陆续获批上市。精准医学发展带动了癌症病人对精准治疗和持续监测的需求，基于高</w:t>
      </w:r>
      <w:r>
        <w:rPr>
          <w:spacing w:val="-61"/>
        </w:rPr>
        <w:t> </w:t>
      </w:r>
      <w:r>
        <w:rPr>
          <w:spacing w:val="-61"/>
        </w:rPr>
      </w:r>
      <w:r>
        <w:rPr>
          <w:spacing w:val="-2"/>
        </w:rPr>
        <w:t>通量测序技术的伴随诊断市场规模将进一步扩大。此外，随着我国继续坚持</w:t>
      </w:r>
      <w:r>
        <w:rPr>
          <w:rFonts w:ascii="Times New Roman" w:hAnsi="Times New Roman" w:cs="Times New Roman" w:eastAsia="Times New Roman" w:hint="default"/>
          <w:spacing w:val="-2"/>
        </w:rPr>
        <w:t>“</w:t>
      </w:r>
      <w:r>
        <w:rPr>
          <w:spacing w:val="-2"/>
        </w:rPr>
        <w:t>预防为主，分类指导</w:t>
      </w:r>
      <w:r>
        <w:rPr>
          <w:rFonts w:ascii="Times New Roman" w:hAnsi="Times New Roman" w:cs="Times New Roman" w:eastAsia="Times New Roman" w:hint="default"/>
          <w:spacing w:val="-2"/>
        </w:rPr>
        <w:t>”</w:t>
      </w:r>
      <w:r>
        <w:rPr>
          <w:spacing w:val="-2"/>
        </w:rPr>
        <w:t>的防控策略，肿瘤防控体</w:t>
      </w:r>
      <w:r>
        <w:rPr>
          <w:spacing w:val="-44"/>
        </w:rPr>
        <w:t> </w:t>
      </w:r>
      <w:r>
        <w:rPr>
          <w:spacing w:val="-44"/>
        </w:rPr>
      </w:r>
      <w:r>
        <w:rPr/>
        <w:t>系的逐步完善、普通民众对防癌意识的加强，相关产业有望迎来蓬勃发展。</w:t>
      </w:r>
    </w:p>
    <w:p>
      <w:pPr>
        <w:pStyle w:val="BodyText"/>
        <w:spacing w:line="316" w:lineRule="auto" w:before="149"/>
        <w:ind w:right="1034" w:firstLine="360"/>
        <w:jc w:val="left"/>
      </w:pPr>
      <w:r>
        <w:rPr>
          <w:spacing w:val="-2"/>
        </w:rPr>
        <w:t>感染防控类服务方面，近年来，随着新发病原的出现以及耐药病原的增多，感染的发病率和死亡率仍居高不下，病原体</w:t>
      </w:r>
      <w:r>
        <w:rPr/>
        <w:t> </w:t>
      </w:r>
      <w:r>
        <w:rPr>
          <w:spacing w:val="-2"/>
        </w:rPr>
        <w:t>检测在疑难危重感染诊断中的需求紧迫程度较高。与此同时，新发病原体的不断涌现，以及耐药问题的亟待解决，都会催生</w:t>
      </w:r>
      <w:r>
        <w:rPr>
          <w:spacing w:val="-64"/>
        </w:rPr>
        <w:t> </w:t>
      </w:r>
      <w:r>
        <w:rPr>
          <w:spacing w:val="-64"/>
        </w:rPr>
      </w:r>
      <w:r>
        <w:rPr>
          <w:spacing w:val="-2"/>
        </w:rPr>
        <w:t>出病原体检测的市场需求。目前在临床应用领域，传统病原微生物检测方法仍处于主导地位。相较于传统的病原微生物检测</w:t>
      </w:r>
      <w:r>
        <w:rPr>
          <w:spacing w:val="-62"/>
        </w:rPr>
        <w:t> </w:t>
      </w:r>
      <w:r>
        <w:rPr>
          <w:spacing w:val="-62"/>
        </w:rPr>
      </w:r>
      <w:r>
        <w:rPr/>
        <w:t>方法如形态学检测、培养分离、生化检测、免疫学及核酸检测，以基因测序产品为代表的新型分子诊断技术在诊断敏感性、</w:t>
      </w:r>
      <w:r>
        <w:rPr>
          <w:spacing w:val="-83"/>
        </w:rPr>
        <w:t> </w:t>
      </w:r>
      <w:r>
        <w:rPr>
          <w:spacing w:val="-83"/>
        </w:rPr>
      </w:r>
      <w:r>
        <w:rPr>
          <w:spacing w:val="-2"/>
        </w:rPr>
        <w:t>特异性、时效性、信息量等方面，尤其且对于未知或者罕见的病原微生物识别具有较明显的优势，代表了未来行业发展的趋</w:t>
      </w:r>
      <w:r>
        <w:rPr>
          <w:spacing w:val="-64"/>
        </w:rPr>
        <w:t> </w:t>
      </w:r>
      <w:r>
        <w:rPr>
          <w:spacing w:val="-64"/>
        </w:rPr>
      </w:r>
      <w:r>
        <w:rPr/>
        <w:t>势。</w:t>
      </w:r>
    </w:p>
    <w:p>
      <w:pPr>
        <w:pStyle w:val="BodyText"/>
        <w:spacing w:line="304" w:lineRule="auto" w:before="139"/>
        <w:ind w:right="1127" w:firstLine="360"/>
        <w:jc w:val="both"/>
      </w:pPr>
      <w:r>
        <w:rPr>
          <w:spacing w:val="-2"/>
        </w:rPr>
        <w:t>多组学大数据服务方面，近年来，随着由华大自主测序平台引领的测序成本的不断降低，新的实验技术、高效的云计算</w:t>
      </w:r>
      <w:r>
        <w:rPr/>
        <w:t> </w:t>
      </w:r>
      <w:r>
        <w:rPr>
          <w:spacing w:val="-2"/>
        </w:rPr>
        <w:t>和云存储技术，以及人工智能的快速发展，使得利用多组学大数据来精准指导人类医学、健康研究，和动植物育种，了解地</w:t>
      </w:r>
      <w:r>
        <w:rPr>
          <w:spacing w:val="-66"/>
        </w:rPr>
        <w:t> </w:t>
      </w:r>
      <w:r>
        <w:rPr>
          <w:spacing w:val="-66"/>
        </w:rPr>
      </w:r>
      <w:r>
        <w:rPr>
          <w:spacing w:val="-2"/>
        </w:rPr>
        <w:t>球生物多样性等应用进入前所未有的快速发展通道。各国政府、科研机构和企业都对深入挖掘基因大数据加大了投入。</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3"/>
        </w:rPr>
        <w:t>年</w:t>
      </w:r>
      <w:r>
        <w:rPr>
          <w:rFonts w:ascii="Times New Roman" w:hAnsi="Times New Roman" w:cs="Times New Roman" w:eastAsia="Times New Roman" w:hint="default"/>
          <w:spacing w:val="-3"/>
        </w:rPr>
        <w:t>12</w:t>
      </w:r>
      <w:r>
        <w:rPr>
          <w:spacing w:val="-3"/>
        </w:rPr>
        <w:t>月，我国启动</w:t>
      </w:r>
      <w:r>
        <w:rPr>
          <w:rFonts w:ascii="Times New Roman" w:hAnsi="Times New Roman" w:cs="Times New Roman" w:eastAsia="Times New Roman" w:hint="default"/>
          <w:spacing w:val="-3"/>
        </w:rPr>
        <w:t>“</w:t>
      </w:r>
      <w:r>
        <w:rPr>
          <w:spacing w:val="-3"/>
        </w:rPr>
        <w:t>十万人基因组计划</w:t>
      </w:r>
      <w:r>
        <w:rPr>
          <w:rFonts w:ascii="Times New Roman" w:hAnsi="Times New Roman" w:cs="Times New Roman" w:eastAsia="Times New Roman" w:hint="default"/>
          <w:spacing w:val="-3"/>
        </w:rPr>
        <w:t>”</w:t>
      </w:r>
      <w:r>
        <w:rPr>
          <w:spacing w:val="-3"/>
        </w:rPr>
        <w:t>，预计在未来</w:t>
      </w:r>
      <w:r>
        <w:rPr>
          <w:rFonts w:ascii="Times New Roman" w:hAnsi="Times New Roman" w:cs="Times New Roman" w:eastAsia="Times New Roman" w:hint="default"/>
          <w:spacing w:val="-3"/>
        </w:rPr>
        <w:t>4</w:t>
      </w:r>
      <w:r>
        <w:rPr>
          <w:spacing w:val="-3"/>
        </w:rPr>
        <w:t>年内绘制完成十万人规模的中国人基因组图谱和中国人健康地图。</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spacing w:val="-3"/>
        </w:rPr>
        <w:t>年</w:t>
      </w:r>
      <w:r>
        <w:rPr>
          <w:rFonts w:ascii="Times New Roman" w:hAnsi="Times New Roman" w:cs="Times New Roman" w:eastAsia="Times New Roman" w:hint="default"/>
          <w:spacing w:val="-3"/>
        </w:rPr>
        <w:t>4</w:t>
      </w:r>
      <w:r>
        <w:rPr>
          <w:spacing w:val="-3"/>
        </w:rPr>
        <w:t>月，《美国科学院院刊》正式发布</w:t>
      </w:r>
      <w:r>
        <w:rPr>
          <w:rFonts w:ascii="Times New Roman" w:hAnsi="Times New Roman" w:cs="Times New Roman" w:eastAsia="Times New Roman" w:hint="default"/>
          <w:spacing w:val="-3"/>
        </w:rPr>
        <w:t>“</w:t>
      </w:r>
      <w:r>
        <w:rPr>
          <w:spacing w:val="-3"/>
        </w:rPr>
        <w:t>地球生物基因组计划</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EBP</w:t>
      </w:r>
      <w:r>
        <w:rPr>
          <w:spacing w:val="-3"/>
        </w:rPr>
        <w:t>）科研展望文章，华大基因是该项目的发起单位之一。该</w:t>
      </w:r>
      <w:r>
        <w:rPr>
          <w:spacing w:val="-42"/>
        </w:rPr>
        <w:t> </w:t>
      </w:r>
      <w:r>
        <w:rPr>
          <w:spacing w:val="-42"/>
        </w:rPr>
      </w:r>
      <w:r>
        <w:rPr>
          <w:spacing w:val="-1"/>
        </w:rPr>
        <w:t>项目计划在未来</w:t>
      </w:r>
      <w:r>
        <w:rPr>
          <w:rFonts w:ascii="Times New Roman" w:hAnsi="Times New Roman" w:cs="Times New Roman" w:eastAsia="Times New Roman" w:hint="default"/>
          <w:spacing w:val="-1"/>
        </w:rPr>
        <w:t>10</w:t>
      </w:r>
      <w:r>
        <w:rPr>
          <w:spacing w:val="-1"/>
        </w:rPr>
        <w:t>年内对所有已知真核物种的基因组进行破译，并利用基因组学技术来帮助发现目前科学界未知的剩余</w:t>
      </w:r>
      <w:r>
        <w:rPr>
          <w:rFonts w:ascii="Times New Roman" w:hAnsi="Times New Roman" w:cs="Times New Roman" w:eastAsia="Times New Roman" w:hint="default"/>
          <w:spacing w:val="-1"/>
        </w:rPr>
        <w:t>80%</w:t>
      </w:r>
      <w:r>
        <w:rPr>
          <w:rFonts w:ascii="Times New Roman" w:hAnsi="Times New Roman" w:cs="Times New Roman" w:eastAsia="Times New Roman" w:hint="default"/>
          <w:spacing w:val="-39"/>
        </w:rPr>
        <w:t> </w:t>
      </w:r>
      <w:r>
        <w:rPr>
          <w:spacing w:val="-1"/>
        </w:rPr>
        <w:t>至</w:t>
      </w:r>
      <w:r>
        <w:rPr>
          <w:rFonts w:ascii="Times New Roman" w:hAnsi="Times New Roman" w:cs="Times New Roman" w:eastAsia="Times New Roman" w:hint="default"/>
          <w:spacing w:val="-1"/>
        </w:rPr>
        <w:t>90%</w:t>
      </w:r>
      <w:r>
        <w:rPr>
          <w:spacing w:val="-1"/>
        </w:rPr>
        <w:t>的物种，以完整覆盖地球上的所有物种。这是继人类基因组计划之后，生命科学领域又一里程碑事件。该项目的顺利</w:t>
      </w:r>
      <w:r>
        <w:rPr/>
        <w:t> 实施将给多组学大数据服务相关行业的发展带来较大的正向经济效应。</w:t>
      </w:r>
    </w:p>
    <w:p>
      <w:pPr>
        <w:pStyle w:val="BodyText"/>
        <w:spacing w:line="312" w:lineRule="auto" w:before="148"/>
        <w:ind w:right="1029" w:firstLine="360"/>
        <w:jc w:val="left"/>
      </w:pPr>
      <w:r>
        <w:rPr/>
        <w:t>合成业务方面，合成生物学市场正在快速增长。根据</w:t>
      </w:r>
      <w:r>
        <w:rPr>
          <w:rFonts w:ascii="Times New Roman" w:hAnsi="Times New Roman" w:cs="Times New Roman" w:eastAsia="Times New Roman" w:hint="default"/>
        </w:rPr>
        <w:t>BCC</w:t>
      </w:r>
      <w:r>
        <w:rPr>
          <w:rFonts w:ascii="Times New Roman" w:hAnsi="Times New Roman" w:cs="Times New Roman" w:eastAsia="Times New Roman" w:hint="default"/>
          <w:spacing w:val="20"/>
        </w:rPr>
        <w:t> </w:t>
      </w:r>
      <w:r>
        <w:rPr>
          <w:rFonts w:ascii="Times New Roman" w:hAnsi="Times New Roman" w:cs="Times New Roman" w:eastAsia="Times New Roman" w:hint="default"/>
        </w:rPr>
        <w:t>Research</w:t>
      </w:r>
      <w:r>
        <w:rPr/>
        <w:t>的数据，</w:t>
      </w:r>
      <w:r>
        <w:rPr>
          <w:rFonts w:ascii="Times New Roman" w:hAnsi="Times New Roman" w:cs="Times New Roman" w:eastAsia="Times New Roman" w:hint="default"/>
        </w:rPr>
        <w:t>2017</w:t>
      </w:r>
      <w:r>
        <w:rPr/>
        <w:t>年合成生物学市场规模约为</w:t>
      </w:r>
      <w:r>
        <w:rPr>
          <w:rFonts w:ascii="Times New Roman" w:hAnsi="Times New Roman" w:cs="Times New Roman" w:eastAsia="Times New Roman" w:hint="default"/>
        </w:rPr>
        <w:t>44</w:t>
      </w:r>
      <w:r>
        <w:rPr/>
        <w:t>亿美元， 预计</w:t>
      </w:r>
      <w:r>
        <w:rPr>
          <w:rFonts w:ascii="Times New Roman" w:hAnsi="Times New Roman" w:cs="Times New Roman" w:eastAsia="Times New Roman" w:hint="default"/>
        </w:rPr>
        <w:t>2022</w:t>
      </w:r>
      <w:r>
        <w:rPr/>
        <w:t>年市场规模将达到</w:t>
      </w:r>
      <w:r>
        <w:rPr>
          <w:rFonts w:ascii="Times New Roman" w:hAnsi="Times New Roman" w:cs="Times New Roman" w:eastAsia="Times New Roman" w:hint="default"/>
        </w:rPr>
        <w:t>139</w:t>
      </w:r>
      <w:r>
        <w:rPr/>
        <w:t>亿美元。与高通量测序技术与应用的发展类似，合成生物学相关技术的创新发展，降低了基</w:t>
      </w:r>
      <w:r>
        <w:rPr>
          <w:spacing w:val="-87"/>
        </w:rPr>
        <w:t> </w:t>
      </w:r>
      <w:r>
        <w:rPr>
          <w:spacing w:val="-87"/>
        </w:rPr>
      </w:r>
      <w:r>
        <w:rPr>
          <w:spacing w:val="-2"/>
        </w:rPr>
        <w:t>因合成的成本。可负担的基因合成成本，推动了基因合成相关应用的研究与开发。在医药领域，基于合成生物学开发新的分</w:t>
      </w:r>
      <w:r>
        <w:rPr>
          <w:spacing w:val="-65"/>
        </w:rPr>
        <w:t> </w:t>
      </w:r>
      <w:r>
        <w:rPr>
          <w:spacing w:val="-65"/>
        </w:rPr>
      </w:r>
      <w:r>
        <w:rPr>
          <w:spacing w:val="-2"/>
        </w:rPr>
        <w:t>子诊断技术及治疗方法。在化工领域，基于基因合成技术改良的工程菌，可以用于新型化学品和特种化学品的生产。在农业</w:t>
      </w:r>
      <w:r>
        <w:rPr>
          <w:spacing w:val="-65"/>
        </w:rPr>
        <w:t> </w:t>
      </w:r>
      <w:r>
        <w:rPr>
          <w:spacing w:val="-65"/>
        </w:rPr>
      </w:r>
      <w:r>
        <w:rPr>
          <w:spacing w:val="-2"/>
        </w:rPr>
        <w:t>领域，利用合成生物学技术，可以提高农业育种及农业生产的效率。在信息技术领域低成本高通量的基因合成技术可应用于</w:t>
      </w:r>
      <w:r>
        <w:rPr>
          <w:spacing w:val="-65"/>
        </w:rPr>
        <w:t> </w:t>
      </w:r>
      <w:r>
        <w:rPr>
          <w:spacing w:val="-65"/>
        </w:rPr>
      </w:r>
      <w:r>
        <w:rPr/>
        <w:t>长期数据存储的介质制备。</w:t>
      </w:r>
    </w:p>
    <w:p>
      <w:pPr>
        <w:pStyle w:val="BodyText"/>
        <w:spacing w:line="307" w:lineRule="auto" w:before="142"/>
        <w:ind w:right="1128" w:firstLine="360"/>
        <w:jc w:val="both"/>
      </w:pPr>
      <w:r>
        <w:rPr/>
        <w:t>国际业务方面，目前国别级基因组项目近年呈现快速发展趋势：（</w:t>
      </w:r>
      <w:r>
        <w:rPr>
          <w:rFonts w:ascii="Times New Roman" w:hAnsi="Times New Roman" w:cs="Times New Roman" w:eastAsia="Times New Roman" w:hint="default"/>
        </w:rPr>
        <w:t>1</w:t>
      </w:r>
      <w:r>
        <w:rPr/>
        <w:t>）亚太地区，亚洲</w:t>
      </w:r>
      <w:r>
        <w:rPr>
          <w:rFonts w:ascii="Times New Roman" w:hAnsi="Times New Roman" w:cs="Times New Roman" w:eastAsia="Times New Roman" w:hint="default"/>
        </w:rPr>
        <w:t>10</w:t>
      </w:r>
      <w:r>
        <w:rPr/>
        <w:t>万人基因组项目正在执行中， </w:t>
      </w:r>
      <w:r>
        <w:rPr>
          <w:spacing w:val="-2"/>
        </w:rPr>
        <w:t>新加坡大型糖尿病并发症研究项目已经完成项目设计规划，卡塔尔及迪拜国别级基因组项目已经在筹备中，香港基因组医学</w:t>
      </w:r>
      <w:r>
        <w:rPr>
          <w:spacing w:val="-64"/>
        </w:rPr>
        <w:t> </w:t>
      </w:r>
      <w:r>
        <w:rPr>
          <w:spacing w:val="-64"/>
        </w:rPr>
      </w:r>
      <w:r>
        <w:rPr>
          <w:spacing w:val="-1"/>
        </w:rPr>
        <w:t>指导委员会拟定了一项大规模的基因组测序项目，计划对</w:t>
      </w:r>
      <w:r>
        <w:rPr>
          <w:rFonts w:ascii="Times New Roman" w:hAnsi="Times New Roman" w:cs="Times New Roman" w:eastAsia="Times New Roman" w:hint="default"/>
          <w:spacing w:val="-1"/>
        </w:rPr>
        <w:t>20,000</w:t>
      </w:r>
      <w:r>
        <w:rPr>
          <w:spacing w:val="-1"/>
        </w:rPr>
        <w:t>名患者及其家属的基因组进行测序和分析，以色列启动了</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4"/>
        </w:rPr>
        <w:t> </w:t>
      </w:r>
      <w:r>
        <w:rPr/>
        <w:t>万人基因组项目。（</w:t>
      </w:r>
      <w:r>
        <w:rPr>
          <w:rFonts w:ascii="Times New Roman" w:hAnsi="Times New Roman" w:cs="Times New Roman" w:eastAsia="Times New Roman" w:hint="default"/>
        </w:rPr>
        <w:t>2</w:t>
      </w:r>
      <w:r>
        <w:rPr/>
        <w:t>）欧洲地区，英国正在执行</w:t>
      </w:r>
      <w:r>
        <w:rPr>
          <w:rFonts w:ascii="Times New Roman" w:hAnsi="Times New Roman" w:cs="Times New Roman" w:eastAsia="Times New Roman" w:hint="default"/>
        </w:rPr>
        <w:t>UK</w:t>
      </w:r>
      <w:r>
        <w:rPr>
          <w:rFonts w:ascii="Times New Roman" w:hAnsi="Times New Roman" w:cs="Times New Roman" w:eastAsia="Times New Roman" w:hint="default"/>
          <w:spacing w:val="-9"/>
        </w:rPr>
        <w:t> </w:t>
      </w:r>
      <w:r>
        <w:rPr>
          <w:rFonts w:ascii="Times New Roman" w:hAnsi="Times New Roman" w:cs="Times New Roman" w:eastAsia="Times New Roman" w:hint="default"/>
        </w:rPr>
        <w:t>Biobank</w:t>
      </w:r>
      <w:r>
        <w:rPr/>
        <w:t>项目，并计划未来</w:t>
      </w:r>
      <w:r>
        <w:rPr>
          <w:rFonts w:ascii="Times New Roman" w:hAnsi="Times New Roman" w:cs="Times New Roman" w:eastAsia="Times New Roman" w:hint="default"/>
        </w:rPr>
        <w:t>5</w:t>
      </w:r>
      <w:r>
        <w:rPr/>
        <w:t>年内开展</w:t>
      </w:r>
      <w:r>
        <w:rPr>
          <w:rFonts w:ascii="Times New Roman" w:hAnsi="Times New Roman" w:cs="Times New Roman" w:eastAsia="Times New Roman" w:hint="default"/>
        </w:rPr>
        <w:t>500</w:t>
      </w:r>
      <w:r>
        <w:rPr/>
        <w:t>万人基因组计划，联合中国开</w:t>
      </w:r>
    </w:p>
    <w:p>
      <w:pPr>
        <w:spacing w:after="0" w:line="307"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6"/>
        <w:jc w:val="both"/>
      </w:pPr>
      <w:r>
        <w:rPr/>
        <w:t>展</w:t>
      </w:r>
      <w:r>
        <w:rPr>
          <w:rFonts w:ascii="Times New Roman" w:hAnsi="Times New Roman" w:cs="Times New Roman" w:eastAsia="Times New Roman" w:hint="default"/>
        </w:rPr>
        <w:t>CKB(China Kadoorie Biobank</w:t>
      </w:r>
      <w:r>
        <w:rPr/>
        <w:t>，即</w:t>
      </w:r>
      <w:r>
        <w:rPr>
          <w:rFonts w:ascii="Times New Roman" w:hAnsi="Times New Roman" w:cs="Times New Roman" w:eastAsia="Times New Roman" w:hint="default"/>
        </w:rPr>
        <w:t>“</w:t>
      </w:r>
      <w:r>
        <w:rPr/>
        <w:t>中国慢性病前瞻性研究</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超过</w:t>
      </w:r>
      <w:r>
        <w:rPr>
          <w:rFonts w:ascii="Times New Roman" w:hAnsi="Times New Roman" w:cs="Times New Roman" w:eastAsia="Times New Roman" w:hint="default"/>
        </w:rPr>
        <w:t>50</w:t>
      </w:r>
      <w:r>
        <w:rPr/>
        <w:t>万例大人群的项目。法国政府宣布投资</w:t>
      </w:r>
      <w:r>
        <w:rPr>
          <w:rFonts w:ascii="Times New Roman" w:hAnsi="Times New Roman" w:cs="Times New Roman" w:eastAsia="Times New Roman" w:hint="default"/>
        </w:rPr>
        <w:t>6.7</w:t>
      </w:r>
      <w:r>
        <w:rPr/>
        <w:t>亿欧元启动 基因组和个体化医疗项目（法国基因组医疗</w:t>
      </w:r>
      <w:r>
        <w:rPr>
          <w:rFonts w:ascii="Times New Roman" w:hAnsi="Times New Roman" w:cs="Times New Roman" w:eastAsia="Times New Roman" w:hint="default"/>
        </w:rPr>
        <w:t>2025</w:t>
      </w:r>
      <w:r>
        <w:rPr/>
        <w:t>），土耳其、俄罗斯、匈牙利等国别基因组项目已经在组织实施。（</w:t>
      </w:r>
      <w:r>
        <w:rPr>
          <w:rFonts w:ascii="Times New Roman" w:hAnsi="Times New Roman" w:cs="Times New Roman" w:eastAsia="Times New Roman" w:hint="default"/>
        </w:rPr>
        <w:t>3</w:t>
      </w:r>
      <w:r>
        <w:rPr/>
        <w:t>）非</w:t>
      </w:r>
      <w:r>
        <w:rPr>
          <w:spacing w:val="-83"/>
        </w:rPr>
        <w:t> </w:t>
      </w:r>
      <w:r>
        <w:rPr>
          <w:spacing w:val="-10"/>
          <w:w w:val="99"/>
        </w:rPr>
        <w:t>洲地区，津巴布韦群体基因组研究已经开展。（</w:t>
      </w:r>
      <w:r>
        <w:rPr>
          <w:rFonts w:ascii="Times New Roman" w:hAnsi="Times New Roman" w:cs="Times New Roman" w:eastAsia="Times New Roman" w:hint="default"/>
          <w:spacing w:val="-10"/>
          <w:w w:val="99"/>
        </w:rPr>
        <w:t>4</w:t>
      </w:r>
      <w:r>
        <w:rPr>
          <w:spacing w:val="-10"/>
          <w:w w:val="99"/>
        </w:rPr>
        <w:t>）北美地区，美国精准医学项目有序开展中，美国国立卫生研究院</w:t>
      </w:r>
      <w:r>
        <w:rPr>
          <w:rFonts w:ascii="Times New Roman" w:hAnsi="Times New Roman" w:cs="Times New Roman" w:eastAsia="Times New Roman" w:hint="default"/>
          <w:spacing w:val="-10"/>
          <w:w w:val="99"/>
        </w:rPr>
        <w:t>NIH</w:t>
      </w:r>
      <w:r>
        <w:rPr>
          <w:spacing w:val="-10"/>
          <w:w w:val="99"/>
        </w:rPr>
        <w:t>（</w:t>
      </w:r>
      <w:r>
        <w:rPr>
          <w:rFonts w:ascii="Times New Roman" w:hAnsi="Times New Roman" w:cs="Times New Roman" w:eastAsia="Times New Roman" w:hint="default"/>
          <w:spacing w:val="-10"/>
          <w:w w:val="99"/>
        </w:rPr>
        <w:t>National</w:t>
      </w:r>
      <w:r>
        <w:rPr>
          <w:rFonts w:ascii="Times New Roman" w:hAnsi="Times New Roman" w:cs="Times New Roman" w:eastAsia="Times New Roman" w:hint="default"/>
          <w:spacing w:val="8"/>
          <w:w w:val="99"/>
        </w:rPr>
        <w:t> </w:t>
      </w:r>
      <w:r>
        <w:rPr>
          <w:rFonts w:ascii="Times New Roman" w:hAnsi="Times New Roman" w:cs="Times New Roman" w:eastAsia="Times New Roman" w:hint="default"/>
          <w:spacing w:val="8"/>
          <w:w w:val="99"/>
        </w:rPr>
      </w:r>
      <w:r>
        <w:rPr>
          <w:rFonts w:ascii="Times New Roman" w:hAnsi="Times New Roman" w:cs="Times New Roman" w:eastAsia="Times New Roman" w:hint="default"/>
        </w:rPr>
        <w:t>Institutes of Health)</w:t>
      </w:r>
      <w:r>
        <w:rPr/>
        <w:t>支持下的</w:t>
      </w:r>
      <w:r>
        <w:rPr>
          <w:rFonts w:ascii="Times New Roman" w:hAnsi="Times New Roman" w:cs="Times New Roman" w:eastAsia="Times New Roman" w:hint="default"/>
        </w:rPr>
        <w:t>All of Us</w:t>
      </w:r>
      <w:r>
        <w:rPr/>
        <w:t>研究项目已经初具规模，加拿大发布</w:t>
      </w:r>
      <w:r>
        <w:rPr>
          <w:rFonts w:ascii="Times New Roman" w:hAnsi="Times New Roman" w:cs="Times New Roman" w:eastAsia="Times New Roman" w:hint="default"/>
        </w:rPr>
        <w:t>Genome</w:t>
      </w:r>
      <w:r>
        <w:rPr>
          <w:rFonts w:ascii="Times New Roman" w:hAnsi="Times New Roman" w:cs="Times New Roman" w:eastAsia="Times New Roman" w:hint="default"/>
          <w:spacing w:val="-7"/>
        </w:rPr>
        <w:t> </w:t>
      </w:r>
      <w:r>
        <w:rPr>
          <w:rFonts w:ascii="Times New Roman" w:hAnsi="Times New Roman" w:cs="Times New Roman" w:eastAsia="Times New Roman" w:hint="default"/>
        </w:rPr>
        <w:t>Canada</w:t>
      </w:r>
      <w:r>
        <w:rPr/>
        <w:t>项目促进精准医学开展等。</w:t>
      </w:r>
    </w:p>
    <w:p>
      <w:pPr>
        <w:pStyle w:val="Heading5"/>
        <w:spacing w:line="240" w:lineRule="auto" w:before="133"/>
        <w:ind w:right="1133"/>
        <w:jc w:val="left"/>
        <w:rPr>
          <w:b w:val="0"/>
          <w:bCs w:val="0"/>
        </w:rPr>
      </w:pPr>
      <w:r>
        <w:rPr>
          <w:rFonts w:ascii="Times New Roman" w:hAnsi="Times New Roman" w:cs="Times New Roman" w:eastAsia="Times New Roman" w:hint="default"/>
        </w:rPr>
        <w:t>3</w:t>
      </w:r>
      <w:r>
        <w:rPr/>
        <w:t>、技术与平台优势</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right="1034" w:firstLine="358"/>
        <w:jc w:val="left"/>
      </w:pPr>
      <w:r>
        <w:rPr>
          <w:spacing w:val="-2"/>
        </w:rPr>
        <w:t>基因测序等新型高通量技术的高速发展，是基因组学应用行业发展的重要驱动力。基因测序技术在具备相对成本优势的</w:t>
      </w:r>
      <w:r>
        <w:rPr/>
        <w:t> </w:t>
      </w:r>
      <w:r>
        <w:rPr>
          <w:spacing w:val="-2"/>
        </w:rPr>
        <w:t>前提下，有望逐步替代传统的基因检测技术，如基因芯片技术等。在医疗健康应用上，高通量基因测序技术常见于癌症检测</w:t>
      </w:r>
      <w:r>
        <w:rPr>
          <w:spacing w:val="-64"/>
        </w:rPr>
        <w:t> </w:t>
      </w:r>
      <w:r>
        <w:rPr>
          <w:spacing w:val="-64"/>
        </w:rPr>
      </w:r>
      <w:r>
        <w:rPr>
          <w:spacing w:val="-2"/>
        </w:rPr>
        <w:t>和产前检测方面，技术的多元化和持续发展使得检测的广度、精度、准确度都有了巨大的提升。自主平台基因测序仪具备快</w:t>
      </w:r>
      <w:r>
        <w:rPr>
          <w:spacing w:val="-63"/>
        </w:rPr>
        <w:t> </w:t>
      </w:r>
      <w:r>
        <w:rPr>
          <w:spacing w:val="-63"/>
        </w:rPr>
      </w:r>
      <w:r>
        <w:rPr>
          <w:spacing w:val="-2"/>
        </w:rPr>
        <w:t>速、灵活、超高通量的特点，结合日益扩大的基因组数据库平台作为支撑，有助于降低个人全基因组的测序成本，使得公司</w:t>
      </w:r>
      <w:r>
        <w:rPr>
          <w:spacing w:val="-65"/>
        </w:rPr>
        <w:t> </w:t>
      </w:r>
      <w:r>
        <w:rPr>
          <w:spacing w:val="-65"/>
        </w:rPr>
      </w:r>
      <w:r>
        <w:rPr/>
        <w:t>在测序领域能够实现成本可控，有利于进一步的技术优化。自主测序仪在设备技术研发及临床应用研发方面持续获得进展，</w:t>
      </w:r>
      <w:r>
        <w:rPr>
          <w:spacing w:val="-83"/>
        </w:rPr>
        <w:t> </w:t>
      </w:r>
      <w:r>
        <w:rPr>
          <w:spacing w:val="-83"/>
        </w:rPr>
      </w:r>
      <w:r>
        <w:rPr/>
        <w:t>为基因组学相关产品提供了更多可选择的平台。</w:t>
      </w:r>
    </w:p>
    <w:p>
      <w:pPr>
        <w:pStyle w:val="BodyText"/>
        <w:spacing w:line="300" w:lineRule="auto" w:before="137"/>
        <w:ind w:right="1131" w:firstLine="358"/>
        <w:jc w:val="both"/>
      </w:pPr>
      <w:r>
        <w:rPr>
          <w:spacing w:val="-3"/>
        </w:rPr>
        <w:t>以无创产前基因检测（</w:t>
      </w:r>
      <w:r>
        <w:rPr>
          <w:rFonts w:ascii="Times New Roman" w:hAnsi="Times New Roman" w:cs="Times New Roman" w:eastAsia="Times New Roman" w:hint="default"/>
          <w:spacing w:val="-3"/>
        </w:rPr>
        <w:t>NIPT</w:t>
      </w:r>
      <w:r>
        <w:rPr>
          <w:spacing w:val="-3"/>
        </w:rPr>
        <w:t>）为例，传统的血清学筛查，主要针对</w:t>
      </w:r>
      <w:r>
        <w:rPr>
          <w:rFonts w:ascii="Times New Roman" w:hAnsi="Times New Roman" w:cs="Times New Roman" w:eastAsia="Times New Roman" w:hint="default"/>
          <w:spacing w:val="-3"/>
        </w:rPr>
        <w:t>21-</w:t>
      </w:r>
      <w:r>
        <w:rPr>
          <w:spacing w:val="-3"/>
        </w:rPr>
        <w:t>三体、</w:t>
      </w:r>
      <w:r>
        <w:rPr>
          <w:rFonts w:ascii="Times New Roman" w:hAnsi="Times New Roman" w:cs="Times New Roman" w:eastAsia="Times New Roman" w:hint="default"/>
          <w:spacing w:val="-3"/>
        </w:rPr>
        <w:t>18-</w:t>
      </w:r>
      <w:r>
        <w:rPr>
          <w:spacing w:val="-3"/>
        </w:rPr>
        <w:t>三体、</w:t>
      </w:r>
      <w:r>
        <w:rPr>
          <w:rFonts w:ascii="Times New Roman" w:hAnsi="Times New Roman" w:cs="Times New Roman" w:eastAsia="Times New Roman" w:hint="default"/>
          <w:spacing w:val="-3"/>
        </w:rPr>
        <w:t>13-</w:t>
      </w:r>
      <w:r>
        <w:rPr>
          <w:spacing w:val="-3"/>
        </w:rPr>
        <w:t>三体等染色体非整倍体疾病的</w:t>
      </w:r>
      <w:r>
        <w:rPr/>
        <w:t> 筛查，而随着基因检测的深度和准确度提升，</w:t>
      </w:r>
      <w:r>
        <w:rPr>
          <w:rFonts w:ascii="Times New Roman" w:hAnsi="Times New Roman" w:cs="Times New Roman" w:eastAsia="Times New Roman" w:hint="default"/>
        </w:rPr>
        <w:t>NIPT</w:t>
      </w:r>
      <w:r>
        <w:rPr/>
        <w:t>对染色体非整倍体疾病的检测灵敏度和特异性更高，同时能够检出数十</w:t>
      </w:r>
      <w:r>
        <w:rPr>
          <w:spacing w:val="-41"/>
        </w:rPr>
        <w:t> </w:t>
      </w:r>
      <w:r>
        <w:rPr>
          <w:spacing w:val="-41"/>
        </w:rPr>
      </w:r>
      <w:r>
        <w:rPr/>
        <w:t>种染色体微缺失微重复综合征以及部分单基因疾病。伴随着检测成本的下降，从卫生经济学投入产出比来看，</w:t>
      </w:r>
      <w:r>
        <w:rPr>
          <w:rFonts w:ascii="Times New Roman" w:hAnsi="Times New Roman" w:cs="Times New Roman" w:eastAsia="Times New Roman" w:hint="default"/>
        </w:rPr>
        <w:t>NIPT</w:t>
      </w:r>
      <w:r>
        <w:rPr/>
        <w:t>相较于</w:t>
      </w:r>
      <w:r>
        <w:rPr>
          <w:spacing w:val="-38"/>
        </w:rPr>
        <w:t> </w:t>
      </w:r>
      <w:r>
        <w:rPr>
          <w:spacing w:val="-38"/>
        </w:rPr>
      </w:r>
      <w:r>
        <w:rPr/>
        <w:t>传统血清学筛查的优势正在逐步扩大。</w:t>
      </w:r>
    </w:p>
    <w:p>
      <w:pPr>
        <w:pStyle w:val="BodyText"/>
        <w:spacing w:line="307" w:lineRule="auto" w:before="151"/>
        <w:ind w:right="1129" w:firstLine="358"/>
        <w:jc w:val="both"/>
      </w:pPr>
      <w:r>
        <w:rPr/>
        <w:t>目前公司已有多个可用于医学检测的测序平台</w:t>
      </w:r>
      <w:r>
        <w:rPr>
          <w:spacing w:val="-36"/>
        </w:rPr>
        <w:t> </w:t>
      </w:r>
      <w:r>
        <w:rPr>
          <w:rFonts w:ascii="Times New Roman" w:hAnsi="Times New Roman" w:cs="Times New Roman" w:eastAsia="Times New Roman" w:hint="default"/>
        </w:rPr>
        <w:t>BGISEQ-500</w:t>
      </w:r>
      <w:r>
        <w:rPr/>
        <w:t>、</w:t>
      </w:r>
      <w:r>
        <w:rPr>
          <w:rFonts w:ascii="Times New Roman" w:hAnsi="Times New Roman" w:cs="Times New Roman" w:eastAsia="Times New Roman" w:hint="default"/>
        </w:rPr>
        <w:t>BGISEQ-50</w:t>
      </w:r>
      <w:r>
        <w:rPr/>
        <w:t>、</w:t>
      </w:r>
      <w:r>
        <w:rPr>
          <w:rFonts w:ascii="Times New Roman" w:hAnsi="Times New Roman" w:cs="Times New Roman" w:eastAsia="Times New Roman" w:hint="default"/>
        </w:rPr>
        <w:t>MGISEQ-200</w:t>
      </w:r>
      <w:r>
        <w:rPr/>
        <w:t>、</w:t>
      </w:r>
      <w:r>
        <w:rPr>
          <w:rFonts w:ascii="Times New Roman" w:hAnsi="Times New Roman" w:cs="Times New Roman" w:eastAsia="Times New Roman" w:hint="default"/>
        </w:rPr>
        <w:t>MGISEQ-2000</w:t>
      </w:r>
      <w:r>
        <w:rPr/>
        <w:t>，可根据不同</w:t>
      </w:r>
      <w:r>
        <w:rPr>
          <w:w w:val="99"/>
        </w:rPr>
        <w:t> </w:t>
      </w:r>
      <w:r>
        <w:rPr>
          <w:spacing w:val="-2"/>
        </w:rPr>
        <w:t>测序仪的性能进行有针对性的产品迭代，以不同的测序仪匹配不同的临床应用场景，形成多平台、多产品的梯次化布局，满</w:t>
      </w:r>
      <w:r>
        <w:rPr>
          <w:spacing w:val="-65"/>
        </w:rPr>
        <w:t> </w:t>
      </w:r>
      <w:r>
        <w:rPr>
          <w:spacing w:val="-65"/>
        </w:rPr>
      </w:r>
      <w:r>
        <w:rPr>
          <w:spacing w:val="-2"/>
        </w:rPr>
        <w:t>足临床及科研的多样化需求。凭借自主测序平台的优势，公司在临床应用产品迭代和储备方面积极进行前瞻性布局，不断升</w:t>
      </w:r>
      <w:r>
        <w:rPr>
          <w:spacing w:val="-63"/>
        </w:rPr>
        <w:t> </w:t>
      </w:r>
      <w:r>
        <w:rPr>
          <w:spacing w:val="-63"/>
        </w:rPr>
      </w:r>
      <w:r>
        <w:rPr>
          <w:spacing w:val="-2"/>
        </w:rPr>
        <w:t>级无创产前基因检测、</w:t>
      </w:r>
      <w:r>
        <w:rPr>
          <w:rFonts w:ascii="Times New Roman" w:hAnsi="Times New Roman" w:cs="Times New Roman" w:eastAsia="Times New Roman" w:hint="default"/>
          <w:spacing w:val="-2"/>
        </w:rPr>
        <w:t>HPV</w:t>
      </w:r>
      <w:r>
        <w:rPr>
          <w:spacing w:val="-2"/>
        </w:rPr>
        <w:t>基因检测、肿瘤基因检测及病原微生物感染基因检测，自主测序平台开拓了无创单基因疾病检测</w:t>
      </w:r>
      <w:r>
        <w:rPr>
          <w:spacing w:val="-62"/>
        </w:rPr>
        <w:t> </w:t>
      </w:r>
      <w:r>
        <w:rPr>
          <w:spacing w:val="-62"/>
        </w:rPr>
      </w:r>
      <w:r>
        <w:rPr/>
        <w:t>在临床的潜在应用方向、将遗传性耳聋基因检测产品常规几个高频基因及位点的检测拓展至</w:t>
      </w:r>
      <w:r>
        <w:rPr>
          <w:rFonts w:ascii="Times New Roman" w:hAnsi="Times New Roman" w:cs="Times New Roman" w:eastAsia="Times New Roman" w:hint="default"/>
        </w:rPr>
        <w:t>22</w:t>
      </w:r>
      <w:r>
        <w:rPr/>
        <w:t>个耳聋基因</w:t>
      </w:r>
      <w:r>
        <w:rPr>
          <w:rFonts w:ascii="Times New Roman" w:hAnsi="Times New Roman" w:cs="Times New Roman" w:eastAsia="Times New Roman" w:hint="default"/>
        </w:rPr>
        <w:t>159</w:t>
      </w:r>
      <w:r>
        <w:rPr/>
        <w:t>个明确致病突</w:t>
      </w:r>
      <w:r>
        <w:rPr>
          <w:spacing w:val="-84"/>
        </w:rPr>
        <w:t> </w:t>
      </w:r>
      <w:r>
        <w:rPr>
          <w:spacing w:val="-84"/>
        </w:rPr>
      </w:r>
      <w:r>
        <w:rPr/>
        <w:t>变位点，未来有望更广泛地应用于新生儿全外显子检测和全基因组检测。</w:t>
      </w:r>
    </w:p>
    <w:p>
      <w:pPr>
        <w:pStyle w:val="BodyText"/>
        <w:spacing w:line="312" w:lineRule="auto" w:before="148"/>
        <w:ind w:right="1130" w:firstLine="358"/>
        <w:jc w:val="both"/>
      </w:pPr>
      <w:r>
        <w:rPr>
          <w:spacing w:val="-2"/>
        </w:rPr>
        <w:t>公司建立了高性能计算、云计算、一体机等多种形式的数据分析平台。其中，自建大型计算集群并开发出相应的基因数</w:t>
      </w:r>
      <w:r>
        <w:rPr/>
        <w:t> </w:t>
      </w:r>
      <w:r>
        <w:rPr>
          <w:spacing w:val="-2"/>
        </w:rPr>
        <w:t>据分析软件，基因测序平台、蛋白质谱平台数字化能力在行业处于领先水平，已建成基于本地化基因检测分析解决方案的一</w:t>
      </w:r>
      <w:r>
        <w:rPr>
          <w:spacing w:val="-63"/>
        </w:rPr>
        <w:t> </w:t>
      </w:r>
      <w:r>
        <w:rPr>
          <w:spacing w:val="-63"/>
        </w:rPr>
      </w:r>
      <w:r>
        <w:rPr>
          <w:spacing w:val="-1"/>
        </w:rPr>
        <w:t>体机</w:t>
      </w:r>
      <w:r>
        <w:rPr>
          <w:rFonts w:ascii="Times New Roman" w:hAnsi="Times New Roman" w:cs="Times New Roman" w:eastAsia="Times New Roman" w:hint="default"/>
          <w:spacing w:val="-1"/>
        </w:rPr>
        <w:t>HALOS</w:t>
      </w:r>
      <w:r>
        <w:rPr>
          <w:spacing w:val="-1"/>
        </w:rPr>
        <w:t>和基因云计算平台</w:t>
      </w:r>
      <w:r>
        <w:rPr>
          <w:rFonts w:ascii="Times New Roman" w:hAnsi="Times New Roman" w:cs="Times New Roman" w:eastAsia="Times New Roman" w:hint="default"/>
          <w:spacing w:val="-1"/>
        </w:rPr>
        <w:t>BGI</w:t>
      </w:r>
      <w:r>
        <w:rPr>
          <w:rFonts w:ascii="Times New Roman" w:hAnsi="Times New Roman" w:cs="Times New Roman" w:eastAsia="Times New Roman" w:hint="default"/>
        </w:rPr>
        <w:t> </w:t>
      </w:r>
      <w:r>
        <w:rPr>
          <w:rFonts w:ascii="Times New Roman" w:hAnsi="Times New Roman" w:cs="Times New Roman" w:eastAsia="Times New Roman" w:hint="default"/>
          <w:spacing w:val="-2"/>
        </w:rPr>
        <w:t>Online</w:t>
      </w:r>
      <w:r>
        <w:rPr>
          <w:spacing w:val="-2"/>
        </w:rPr>
        <w:t>，通过交互式报告系统，解决个性化分析，打造数据、平台、传输、管理的一体化</w:t>
      </w:r>
      <w:r>
        <w:rPr>
          <w:spacing w:val="-85"/>
        </w:rPr>
        <w:t> </w:t>
      </w:r>
      <w:r>
        <w:rPr>
          <w:spacing w:val="-85"/>
        </w:rPr>
      </w:r>
      <w:r>
        <w:rPr/>
        <w:t>闭环管理体系。</w:t>
      </w:r>
    </w:p>
    <w:p>
      <w:pPr>
        <w:pStyle w:val="BodyText"/>
        <w:spacing w:line="316" w:lineRule="auto" w:before="145"/>
        <w:ind w:right="1034" w:firstLine="358"/>
        <w:jc w:val="left"/>
      </w:pPr>
      <w:r>
        <w:rPr>
          <w:spacing w:val="-2"/>
        </w:rPr>
        <w:t>作为与基因测序并驾齐驱的平台型技术，质谱检测提供了包括蛋白质组、代谢组、脂质组等分子表型信息。在临床检验</w:t>
      </w:r>
      <w:r>
        <w:rPr/>
        <w:t> </w:t>
      </w:r>
      <w:r>
        <w:rPr>
          <w:spacing w:val="-2"/>
        </w:rPr>
        <w:t>中，质谱技术可应用于临床生化、临床免疫、临床微生物及临床分子诊断等多个方面，其更具灵敏性、特异性和准确性的优</w:t>
      </w:r>
      <w:r>
        <w:rPr>
          <w:spacing w:val="-67"/>
        </w:rPr>
        <w:t> </w:t>
      </w:r>
      <w:r>
        <w:rPr>
          <w:spacing w:val="-67"/>
        </w:rPr>
      </w:r>
      <w:r>
        <w:rPr>
          <w:spacing w:val="-2"/>
        </w:rPr>
        <w:t>势，为精准诊断和精准医疗提供有力的数据前提。而其单次检测同时完成几十甚至上百个检测物质的数据采集，也使其具有</w:t>
      </w:r>
      <w:r>
        <w:rPr>
          <w:spacing w:val="-63"/>
        </w:rPr>
        <w:t> </w:t>
      </w:r>
      <w:r>
        <w:rPr>
          <w:spacing w:val="-63"/>
        </w:rPr>
      </w:r>
      <w:r>
        <w:rPr>
          <w:spacing w:val="-2"/>
        </w:rPr>
        <w:t>高通量、高效率和低成本的优势。目前公司已具有可用于高通量靶向蛋白质、代谢物定量分析的三重四级杆质谱仪，拥有超</w:t>
      </w:r>
      <w:r>
        <w:rPr>
          <w:spacing w:val="-64"/>
        </w:rPr>
        <w:t> </w:t>
      </w:r>
      <w:r>
        <w:rPr>
          <w:spacing w:val="-64"/>
        </w:rPr>
      </w:r>
      <w:r>
        <w:rPr>
          <w:spacing w:val="-2"/>
        </w:rPr>
        <w:t>高精度与灵敏度、广泛应用于各种生物样本非靶向蛋白组、代谢组研究的轨道离子阱质谱仪，以及测定较大分子量能力的基</w:t>
      </w:r>
      <w:r>
        <w:rPr>
          <w:spacing w:val="-63"/>
        </w:rPr>
        <w:t> </w:t>
      </w:r>
      <w:r>
        <w:rPr>
          <w:spacing w:val="-63"/>
        </w:rPr>
      </w:r>
      <w:r>
        <w:rPr>
          <w:spacing w:val="-2"/>
        </w:rPr>
        <w:t>质辅助激光解吸电离飞行时间质谱仪；同时，公司拥有可应用于临床生化、临床免疫、临床微生物及临床分子诊断等多种类</w:t>
      </w:r>
      <w:r>
        <w:rPr>
          <w:spacing w:val="-66"/>
        </w:rPr>
        <w:t> </w:t>
      </w:r>
      <w:r>
        <w:rPr>
          <w:spacing w:val="-66"/>
        </w:rPr>
      </w:r>
      <w:r>
        <w:rPr/>
        <w:t>型的质谱平台。在国内率先开展了基于串联质谱的新生儿遗传代谢病检测，并推动相应检测试剂盒进行体外诊断试剂注册。</w:t>
      </w:r>
      <w:r>
        <w:rPr>
          <w:spacing w:val="-83"/>
        </w:rPr>
        <w:t> </w:t>
      </w:r>
      <w:r>
        <w:rPr>
          <w:spacing w:val="-83"/>
        </w:rPr>
      </w:r>
      <w:r>
        <w:rPr>
          <w:spacing w:val="-5"/>
        </w:rPr>
        <w:t>公司将持续发展临床质谱检测的标准化数据采集，建立更多维生素和激素等内源小分子物质的检测，以及应用于肿瘤、感染、</w:t>
      </w:r>
      <w:r>
        <w:rPr>
          <w:spacing w:val="-79"/>
        </w:rPr>
        <w:t> </w:t>
      </w:r>
      <w:r>
        <w:rPr>
          <w:spacing w:val="-79"/>
        </w:rPr>
      </w:r>
      <w:r>
        <w:rPr/>
        <w:t>心脑血管治疗的药物监测。出于成本可控的需求，在适当情况下公司将发展基于自主质谱平台进行数据采集。</w:t>
      </w:r>
    </w:p>
    <w:p>
      <w:pPr>
        <w:pStyle w:val="BodyText"/>
        <w:spacing w:line="302" w:lineRule="auto" w:before="141"/>
        <w:ind w:right="1128" w:firstLine="358"/>
        <w:jc w:val="both"/>
      </w:pPr>
      <w:r>
        <w:rPr>
          <w:spacing w:val="-2"/>
        </w:rPr>
        <w:t>合成业务方面，公司开发建设全新全自动基因合成平台，实现对基因合成全流程的覆盖，利用自主研发的生物信息分析</w:t>
      </w:r>
      <w:r>
        <w:rPr/>
        <w:t> 软件，有效提升基因合成设计与生产能力，保持行业领先。报告期内，公司收购无锡青兰生物科技有限公司（以下简称</w:t>
      </w:r>
      <w:r>
        <w:rPr>
          <w:rFonts w:ascii="Times New Roman" w:hAnsi="Times New Roman" w:cs="Times New Roman" w:eastAsia="Times New Roman" w:hint="default"/>
        </w:rPr>
        <w:t>“</w:t>
      </w:r>
      <w:r>
        <w:rPr/>
        <w:t>青</w:t>
      </w:r>
      <w:r>
        <w:rPr>
          <w:spacing w:val="-73"/>
        </w:rPr>
        <w:t> </w:t>
      </w:r>
      <w:r>
        <w:rPr/>
        <w:t>兰生物</w:t>
      </w:r>
      <w:r>
        <w:rPr>
          <w:rFonts w:ascii="Times New Roman" w:hAnsi="Times New Roman" w:cs="Times New Roman" w:eastAsia="Times New Roman" w:hint="default"/>
        </w:rPr>
        <w:t>”</w:t>
      </w:r>
      <w:r>
        <w:rPr/>
        <w:t>），青兰生物致力于基因合成以及合成生物学在生命科学领域的应用，并专注于基因合成技术的研发，其自主研发</w:t>
      </w:r>
      <w:r>
        <w:rPr>
          <w:spacing w:val="-76"/>
        </w:rPr>
        <w:t> </w:t>
      </w:r>
      <w:r>
        <w:rPr>
          <w:spacing w:val="-76"/>
        </w:rPr>
      </w:r>
      <w:r>
        <w:rPr/>
        <w:t>的酶促</w:t>
      </w:r>
      <w:r>
        <w:rPr>
          <w:rFonts w:ascii="Times New Roman" w:hAnsi="Times New Roman" w:cs="Times New Roman" w:eastAsia="Times New Roman" w:hint="default"/>
        </w:rPr>
        <w:t>DNA</w:t>
      </w:r>
      <w:r>
        <w:rPr/>
        <w:t>拼接技术可有效大幅提升基因合成的效率，快速合成如高</w:t>
      </w:r>
      <w:r>
        <w:rPr>
          <w:rFonts w:ascii="Times New Roman" w:hAnsi="Times New Roman" w:cs="Times New Roman" w:eastAsia="Times New Roman" w:hint="default"/>
        </w:rPr>
        <w:t>GC</w:t>
      </w:r>
      <w:r>
        <w:rPr/>
        <w:t>、重复序列、超长序列等复杂结构的常规合成技术 </w:t>
      </w:r>
      <w:r>
        <w:rPr>
          <w:spacing w:val="-3"/>
        </w:rPr>
        <w:t>难以合成的基因，拥有多项自主专利。通过整合青兰生物的酶促</w:t>
      </w:r>
      <w:r>
        <w:rPr>
          <w:rFonts w:ascii="Times New Roman" w:hAnsi="Times New Roman" w:cs="Times New Roman" w:eastAsia="Times New Roman" w:hint="default"/>
          <w:spacing w:val="-3"/>
        </w:rPr>
        <w:t>DNA</w:t>
      </w:r>
      <w:r>
        <w:rPr>
          <w:spacing w:val="-3"/>
        </w:rPr>
        <w:t>基因合成技术及公司自动化平台，协同组建大规模、高</w:t>
      </w:r>
      <w:r>
        <w:rPr>
          <w:spacing w:val="-41"/>
        </w:rPr>
        <w:t> </w:t>
      </w:r>
      <w:r>
        <w:rPr>
          <w:spacing w:val="-41"/>
        </w:rPr>
      </w:r>
      <w:r>
        <w:rPr>
          <w:spacing w:val="-3"/>
        </w:rPr>
        <w:t>通量基因合成平台，在现有技术的基础上，协同开发新一代</w:t>
      </w:r>
      <w:r>
        <w:rPr>
          <w:rFonts w:ascii="Times New Roman" w:hAnsi="Times New Roman" w:cs="Times New Roman" w:eastAsia="Times New Roman" w:hint="default"/>
          <w:spacing w:val="-3"/>
        </w:rPr>
        <w:t>DNA</w:t>
      </w:r>
      <w:r>
        <w:rPr>
          <w:spacing w:val="-3"/>
        </w:rPr>
        <w:t>合成技术，打通整个合成生物学产业链，更好地服务于合成</w:t>
      </w:r>
      <w:r>
        <w:rPr>
          <w:spacing w:val="-39"/>
        </w:rPr>
        <w:t> </w:t>
      </w:r>
      <w:r>
        <w:rPr>
          <w:spacing w:val="-39"/>
        </w:rPr>
      </w:r>
      <w:r>
        <w:rPr/>
        <w:t>生物学发展。</w:t>
      </w:r>
    </w:p>
    <w:p>
      <w:pPr>
        <w:spacing w:after="0" w:line="302" w:lineRule="auto"/>
        <w:jc w:val="both"/>
        <w:sectPr>
          <w:pgSz w:w="11910" w:h="16840"/>
          <w:pgMar w:header="748" w:footer="974" w:top="1060" w:bottom="1160" w:left="980" w:right="0"/>
        </w:sectPr>
      </w:pPr>
    </w:p>
    <w:p>
      <w:pPr>
        <w:spacing w:line="240" w:lineRule="auto" w:before="12"/>
        <w:rPr>
          <w:rFonts w:ascii="宋体" w:hAnsi="宋体" w:cs="宋体" w:eastAsia="宋体" w:hint="default"/>
          <w:sz w:val="25"/>
          <w:szCs w:val="25"/>
        </w:rPr>
      </w:pPr>
    </w:p>
    <w:p>
      <w:pPr>
        <w:pStyle w:val="Heading5"/>
        <w:spacing w:line="240" w:lineRule="auto"/>
        <w:ind w:left="424" w:right="1133"/>
        <w:jc w:val="left"/>
        <w:rPr>
          <w:b w:val="0"/>
          <w:bCs w:val="0"/>
        </w:rPr>
      </w:pPr>
      <w:r>
        <w:rPr/>
        <w:t>（四）行业发展格局与公司行业地位</w:t>
      </w:r>
      <w:r>
        <w:rPr>
          <w:b w:val="0"/>
          <w:bCs w:val="0"/>
        </w:rPr>
      </w:r>
    </w:p>
    <w:p>
      <w:pPr>
        <w:spacing w:line="240" w:lineRule="auto" w:before="11"/>
        <w:rPr>
          <w:rFonts w:ascii="宋体" w:hAnsi="宋体" w:cs="宋体" w:eastAsia="宋体" w:hint="default"/>
          <w:b/>
          <w:bCs/>
          <w:sz w:val="14"/>
          <w:szCs w:val="14"/>
        </w:rPr>
      </w:pPr>
    </w:p>
    <w:p>
      <w:pPr>
        <w:pStyle w:val="Heading5"/>
        <w:spacing w:line="240" w:lineRule="auto" w:before="0"/>
        <w:ind w:right="1133"/>
        <w:jc w:val="left"/>
        <w:rPr>
          <w:b w:val="0"/>
          <w:bCs w:val="0"/>
        </w:rPr>
      </w:pPr>
      <w:r>
        <w:rPr>
          <w:rFonts w:ascii="Times New Roman" w:hAnsi="Times New Roman" w:cs="Times New Roman" w:eastAsia="Times New Roman" w:hint="default"/>
        </w:rPr>
        <w:t>1</w:t>
      </w:r>
      <w:r>
        <w:rPr/>
        <w:t>、</w:t>
      </w:r>
      <w:r>
        <w:rPr>
          <w:spacing w:val="-17"/>
        </w:rPr>
        <w:t> </w:t>
      </w:r>
      <w:r>
        <w:rPr/>
        <w:t>行业发展的基本情况与趋势</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1126" w:firstLine="360"/>
        <w:jc w:val="both"/>
      </w:pPr>
      <w:r>
        <w:rPr>
          <w:rFonts w:ascii="Times New Roman" w:hAnsi="Times New Roman" w:cs="Times New Roman" w:eastAsia="Times New Roman" w:hint="default"/>
          <w:spacing w:val="-2"/>
        </w:rPr>
        <w:t>21</w:t>
      </w:r>
      <w:r>
        <w:rPr>
          <w:spacing w:val="-2"/>
        </w:rPr>
        <w:t>世纪被称为生命科学的时代，生物技术在医疗卫生、农业、环保、轻化工、食品保健等重要领域对改善人类健康状况</w:t>
      </w:r>
      <w:r>
        <w:rPr/>
        <w:t> </w:t>
      </w:r>
      <w:r>
        <w:rPr>
          <w:spacing w:val="-2"/>
        </w:rPr>
        <w:t>及生存环境、提高农牧业以及工业的产量与质量正在发挥着越来越重要的作用。国务院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日印发了《生物产业发</w:t>
      </w:r>
      <w:r>
        <w:rPr>
          <w:spacing w:val="-60"/>
        </w:rPr>
        <w:t> </w:t>
      </w:r>
      <w:r>
        <w:rPr>
          <w:spacing w:val="-60"/>
        </w:rPr>
      </w:r>
      <w:r>
        <w:rPr/>
        <w:t>展规划》，文件指出</w:t>
      </w:r>
      <w:r>
        <w:rPr>
          <w:rFonts w:ascii="Times New Roman" w:hAnsi="Times New Roman" w:cs="Times New Roman" w:eastAsia="Times New Roman" w:hint="default"/>
        </w:rPr>
        <w:t>“</w:t>
      </w:r>
      <w:r>
        <w:rPr/>
        <w:t>生物产业是国家确定的一项战略性新兴产业，预计到</w:t>
      </w:r>
      <w:r>
        <w:rPr>
          <w:rFonts w:ascii="Times New Roman" w:hAnsi="Times New Roman" w:cs="Times New Roman" w:eastAsia="Times New Roman" w:hint="default"/>
        </w:rPr>
        <w:t>2020</w:t>
      </w:r>
      <w:r>
        <w:rPr/>
        <w:t>年生物产业将成为我国经济的支柱产业</w:t>
      </w:r>
      <w:r>
        <w:rPr>
          <w:rFonts w:ascii="Times New Roman" w:hAnsi="Times New Roman" w:cs="Times New Roman" w:eastAsia="Times New Roman" w:hint="default"/>
        </w:rPr>
        <w:t>”</w:t>
      </w:r>
      <w:r>
        <w:rPr/>
        <w:t>。</w:t>
      </w:r>
      <w:r>
        <w:rPr>
          <w:spacing w:val="13"/>
        </w:rPr>
        <w:t> </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12</w:t>
      </w:r>
      <w:r>
        <w:rPr>
          <w:spacing w:val="-4"/>
        </w:rPr>
        <w:t>月，国家发展改革委印发的《</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spacing w:val="-4"/>
        </w:rPr>
        <w:t>生物产业发展规划》指出，</w:t>
      </w:r>
      <w:r>
        <w:rPr>
          <w:rFonts w:ascii="Times New Roman" w:hAnsi="Times New Roman" w:cs="Times New Roman" w:eastAsia="Times New Roman" w:hint="default"/>
          <w:spacing w:val="-4"/>
        </w:rPr>
        <w:t>“</w:t>
      </w:r>
      <w:r>
        <w:rPr>
          <w:spacing w:val="-4"/>
        </w:rPr>
        <w:t>十二五</w:t>
      </w:r>
      <w:r>
        <w:rPr>
          <w:rFonts w:ascii="Times New Roman" w:hAnsi="Times New Roman" w:cs="Times New Roman" w:eastAsia="Times New Roman" w:hint="default"/>
          <w:spacing w:val="-4"/>
        </w:rPr>
        <w:t>”</w:t>
      </w:r>
      <w:r>
        <w:rPr>
          <w:spacing w:val="-4"/>
        </w:rPr>
        <w:t>以来，我国生物产业复合增长率达到</w:t>
      </w:r>
      <w:r>
        <w:rPr>
          <w:rFonts w:ascii="Times New Roman" w:hAnsi="Times New Roman" w:cs="Times New Roman" w:eastAsia="Times New Roman" w:hint="default"/>
          <w:spacing w:val="-4"/>
        </w:rPr>
        <w:t>15%</w:t>
      </w:r>
      <w:r>
        <w:rPr>
          <w:rFonts w:ascii="Times New Roman" w:hAnsi="Times New Roman" w:cs="Times New Roman" w:eastAsia="Times New Roman" w:hint="default"/>
          <w:spacing w:val="6"/>
        </w:rPr>
        <w:t> </w:t>
      </w:r>
      <w:r>
        <w:rPr/>
        <w:t>以上，</w:t>
      </w:r>
      <w:r>
        <w:rPr>
          <w:rFonts w:ascii="Times New Roman" w:hAnsi="Times New Roman" w:cs="Times New Roman" w:eastAsia="Times New Roman" w:hint="default"/>
        </w:rPr>
        <w:t>2015</w:t>
      </w:r>
      <w:r>
        <w:rPr/>
        <w:t>年产业规模超过</w:t>
      </w:r>
      <w:r>
        <w:rPr>
          <w:rFonts w:ascii="Times New Roman" w:hAnsi="Times New Roman" w:cs="Times New Roman" w:eastAsia="Times New Roman" w:hint="default"/>
        </w:rPr>
        <w:t>3.5</w:t>
      </w:r>
      <w:r>
        <w:rPr/>
        <w:t>万亿元。到</w:t>
      </w:r>
      <w:r>
        <w:rPr>
          <w:rFonts w:ascii="Times New Roman" w:hAnsi="Times New Roman" w:cs="Times New Roman" w:eastAsia="Times New Roman" w:hint="default"/>
        </w:rPr>
        <w:t>2020</w:t>
      </w:r>
      <w:r>
        <w:rPr/>
        <w:t>年，生物产业规模达到</w:t>
      </w:r>
      <w:r>
        <w:rPr>
          <w:rFonts w:ascii="Times New Roman" w:hAnsi="Times New Roman" w:cs="Times New Roman" w:eastAsia="Times New Roman" w:hint="default"/>
        </w:rPr>
        <w:t>8-10</w:t>
      </w:r>
      <w:r>
        <w:rPr/>
        <w:t>万亿元，生物产业增加值占</w:t>
      </w:r>
      <w:r>
        <w:rPr>
          <w:rFonts w:ascii="Times New Roman" w:hAnsi="Times New Roman" w:cs="Times New Roman" w:eastAsia="Times New Roman" w:hint="default"/>
        </w:rPr>
        <w:t>GDP</w:t>
      </w:r>
      <w:r>
        <w:rPr/>
        <w:t>的比重超过</w:t>
      </w:r>
      <w:r>
        <w:rPr>
          <w:rFonts w:ascii="Times New Roman" w:hAnsi="Times New Roman" w:cs="Times New Roman" w:eastAsia="Times New Roman" w:hint="default"/>
        </w:rPr>
        <w:t>4%</w:t>
      </w:r>
      <w:r>
        <w:rPr/>
        <w:t>，</w:t>
      </w:r>
      <w:r>
        <w:rPr>
          <w:spacing w:val="-74"/>
        </w:rPr>
        <w:t> </w:t>
      </w:r>
      <w:r>
        <w:rPr/>
        <w:t>成为国民经济的主导产业。</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月颁布的《粤港澳大湾区发展规划纲要》中，更是把生物技术列为大湾区四大新支柱产</w:t>
      </w:r>
      <w:r>
        <w:rPr>
          <w:spacing w:val="-85"/>
        </w:rPr>
        <w:t> </w:t>
      </w:r>
      <w:r>
        <w:rPr>
          <w:spacing w:val="-85"/>
        </w:rPr>
      </w:r>
      <w:r>
        <w:rPr/>
        <w:t>业之一，把基因检测列为重点产业领域。</w:t>
      </w:r>
    </w:p>
    <w:p>
      <w:pPr>
        <w:pStyle w:val="BodyText"/>
        <w:spacing w:line="309" w:lineRule="auto" w:before="151"/>
        <w:ind w:right="1130" w:firstLine="360"/>
        <w:jc w:val="both"/>
      </w:pPr>
      <w:r>
        <w:rPr>
          <w:spacing w:val="-2"/>
        </w:rPr>
        <w:t>基因组学是研究生物基因组的组成，组内各基因的精确结构、相互关系及表达调控的科学。基因组学应用行业通过新型</w:t>
      </w:r>
      <w:r>
        <w:rPr/>
        <w:t> </w:t>
      </w:r>
      <w:r>
        <w:rPr>
          <w:spacing w:val="-5"/>
        </w:rPr>
        <w:t>的基因测序仪分析生物样本（组织、细胞、血液样本等）的基因组信息，并将这些信息用于临床医学诊断、个体化用药指导、</w:t>
      </w:r>
      <w:r>
        <w:rPr>
          <w:spacing w:val="-82"/>
        </w:rPr>
        <w:t> </w:t>
      </w:r>
      <w:r>
        <w:rPr>
          <w:spacing w:val="-82"/>
        </w:rPr>
      </w:r>
      <w:r>
        <w:rPr/>
        <w:t>疾病发病机理研究、生命调控机制研究等领域。在可预见的未来，基因组学相关产业将在四大领域取得突破性的发展：</w:t>
      </w:r>
      <w:r>
        <w:rPr>
          <w:rFonts w:ascii="Times New Roman" w:hAnsi="Times New Roman" w:cs="Times New Roman" w:eastAsia="Times New Roman" w:hint="default"/>
        </w:rPr>
        <w:t>1</w:t>
      </w:r>
      <w:r>
        <w:rPr/>
        <w:t>、</w:t>
      </w:r>
      <w:r>
        <w:rPr>
          <w:spacing w:val="-82"/>
        </w:rPr>
        <w:t> </w:t>
      </w:r>
      <w:r>
        <w:rPr>
          <w:spacing w:val="-2"/>
        </w:rPr>
        <w:t>基因技术将被广泛应用于复杂疾病、农业基因组学、微生物学和宏基因组学等研究领域，将对人类健康、农业和环境保护带</w:t>
      </w:r>
      <w:r>
        <w:rPr>
          <w:spacing w:val="-64"/>
        </w:rPr>
        <w:t> </w:t>
      </w:r>
      <w:r>
        <w:rPr>
          <w:spacing w:val="-64"/>
        </w:rPr>
      </w:r>
      <w:r>
        <w:rPr>
          <w:spacing w:val="-2"/>
        </w:rPr>
        <w:t>来巨大的变革；</w:t>
      </w:r>
      <w:r>
        <w:rPr>
          <w:rFonts w:ascii="Times New Roman" w:hAnsi="Times New Roman" w:cs="Times New Roman" w:eastAsia="Times New Roman" w:hint="default"/>
          <w:spacing w:val="-2"/>
        </w:rPr>
        <w:t>2</w:t>
      </w:r>
      <w:r>
        <w:rPr>
          <w:spacing w:val="-2"/>
        </w:rPr>
        <w:t>、基因技术应用于生殖健康，将显著降低出生缺陷，提高人类健康水平；</w:t>
      </w:r>
      <w:r>
        <w:rPr>
          <w:rFonts w:ascii="Times New Roman" w:hAnsi="Times New Roman" w:cs="Times New Roman" w:eastAsia="Times New Roman" w:hint="default"/>
          <w:spacing w:val="-2"/>
        </w:rPr>
        <w:t>3</w:t>
      </w:r>
      <w:r>
        <w:rPr>
          <w:spacing w:val="-2"/>
        </w:rPr>
        <w:t>、肿瘤基因组研究将揭示肿瘤的</w:t>
      </w:r>
      <w:r>
        <w:rPr>
          <w:spacing w:val="-66"/>
        </w:rPr>
        <w:t> </w:t>
      </w:r>
      <w:r>
        <w:rPr>
          <w:spacing w:val="-66"/>
        </w:rPr>
      </w:r>
      <w:r>
        <w:rPr/>
        <w:t>发病机制，肿瘤基因组测序技术成为肿瘤的个体化治疗的基础；</w:t>
      </w:r>
      <w:r>
        <w:rPr>
          <w:rFonts w:ascii="Times New Roman" w:hAnsi="Times New Roman" w:cs="Times New Roman" w:eastAsia="Times New Roman" w:hint="default"/>
        </w:rPr>
        <w:t>4</w:t>
      </w:r>
      <w:r>
        <w:rPr/>
        <w:t>、基因组技术与传统临床医学的最新科研结果结合，形成</w:t>
      </w:r>
      <w:r>
        <w:rPr>
          <w:spacing w:val="-83"/>
        </w:rPr>
        <w:t> </w:t>
      </w:r>
      <w:r>
        <w:rPr>
          <w:spacing w:val="-83"/>
        </w:rPr>
      </w:r>
      <w:r>
        <w:rPr/>
        <w:t>精准医疗，为疾病诊断、治疗、临床决策带来革命性的改变。</w:t>
      </w:r>
    </w:p>
    <w:p>
      <w:pPr>
        <w:pStyle w:val="BodyText"/>
        <w:spacing w:line="432" w:lineRule="exact" w:before="9"/>
        <w:ind w:left="513" w:right="1133"/>
        <w:jc w:val="left"/>
      </w:pPr>
      <w:r>
        <w:rPr/>
        <w:t>（</w:t>
      </w:r>
      <w:r>
        <w:rPr>
          <w:rFonts w:ascii="Times New Roman" w:hAnsi="Times New Roman" w:cs="Times New Roman" w:eastAsia="Times New Roman" w:hint="default"/>
        </w:rPr>
        <w:t>1</w:t>
      </w:r>
      <w:r>
        <w:rPr/>
        <w:t>）生育健康类服务的行业发展基本情况与趋势 </w:t>
      </w:r>
      <w:r>
        <w:rPr>
          <w:spacing w:val="-2"/>
        </w:rPr>
        <w:t>生育健康类服务方面，在</w:t>
      </w:r>
      <w:r>
        <w:rPr>
          <w:rFonts w:ascii="Times New Roman" w:hAnsi="Times New Roman" w:cs="Times New Roman" w:eastAsia="Times New Roman" w:hint="default"/>
          <w:spacing w:val="-2"/>
        </w:rPr>
        <w:t>“</w:t>
      </w:r>
      <w:r>
        <w:rPr>
          <w:spacing w:val="-2"/>
        </w:rPr>
        <w:t>健康中国</w:t>
      </w:r>
      <w:r>
        <w:rPr>
          <w:rFonts w:ascii="Times New Roman" w:hAnsi="Times New Roman" w:cs="Times New Roman" w:eastAsia="Times New Roman" w:hint="default"/>
          <w:spacing w:val="-2"/>
        </w:rPr>
        <w:t>2030”</w:t>
      </w:r>
      <w:r>
        <w:rPr>
          <w:spacing w:val="-2"/>
        </w:rPr>
        <w:t>大背景下，国家连续出台多项政策、指引来规范出生缺陷防控及产前筛查和诊</w:t>
      </w:r>
    </w:p>
    <w:p>
      <w:pPr>
        <w:pStyle w:val="BodyText"/>
        <w:spacing w:line="309" w:lineRule="auto" w:before="15"/>
        <w:ind w:right="1128"/>
        <w:jc w:val="both"/>
      </w:pPr>
      <w:r>
        <w:rPr>
          <w:spacing w:val="-2"/>
        </w:rPr>
        <w:t>断。以基因检测技术为代表的多组学检测技术在出生缺陷防控中的应用正在快速普及。一直以来，华大基因致力于推进无创</w:t>
      </w:r>
      <w:r>
        <w:rPr>
          <w:spacing w:val="-63"/>
        </w:rPr>
        <w:t> </w:t>
      </w:r>
      <w:r>
        <w:rPr>
          <w:spacing w:val="-63"/>
        </w:rPr>
      </w:r>
      <w:r>
        <w:rPr>
          <w:spacing w:val="-2"/>
        </w:rPr>
        <w:t>产前基因检测技术的民生应用，以普惠价格让更多民众享受到基因领域的研究成果。随着检测成本的逐步降低，从卫生经济</w:t>
      </w:r>
      <w:r>
        <w:rPr>
          <w:spacing w:val="-63"/>
        </w:rPr>
        <w:t> </w:t>
      </w:r>
      <w:r>
        <w:rPr>
          <w:spacing w:val="-63"/>
        </w:rPr>
      </w:r>
      <w:r>
        <w:rPr/>
        <w:t>学上来看，</w:t>
      </w:r>
      <w:r>
        <w:rPr>
          <w:rFonts w:ascii="Times New Roman" w:hAnsi="Times New Roman" w:cs="Times New Roman" w:eastAsia="Times New Roman" w:hint="default"/>
        </w:rPr>
        <w:t>NIPT</w:t>
      </w:r>
      <w:r>
        <w:rPr/>
        <w:t>有望逐渐成为唐氏综合征的主流筛查方式。随着人们对健康生活意识的增强，越来越多的家庭期望在产前</w:t>
      </w:r>
      <w:r>
        <w:rPr>
          <w:spacing w:val="-44"/>
        </w:rPr>
        <w:t> </w:t>
      </w:r>
      <w:r>
        <w:rPr>
          <w:spacing w:val="-44"/>
        </w:rPr>
      </w:r>
      <w:r>
        <w:rPr/>
        <w:t>阶段可以检测更多遗传性、发育性疾病，</w:t>
      </w:r>
      <w:r>
        <w:rPr>
          <w:spacing w:val="-31"/>
        </w:rPr>
        <w:t> </w:t>
      </w:r>
      <w:r>
        <w:rPr>
          <w:rFonts w:ascii="Times New Roman" w:hAnsi="Times New Roman" w:cs="Times New Roman" w:eastAsia="Times New Roman" w:hint="default"/>
        </w:rPr>
        <w:t>NIPT</w:t>
      </w:r>
      <w:r>
        <w:rPr/>
        <w:t>未来有望逐渐从仅仅检测</w:t>
      </w:r>
      <w:r>
        <w:rPr>
          <w:rFonts w:ascii="Times New Roman" w:hAnsi="Times New Roman" w:cs="Times New Roman" w:eastAsia="Times New Roman" w:hint="default"/>
        </w:rPr>
        <w:t>21-</w:t>
      </w:r>
      <w:r>
        <w:rPr/>
        <w:t>三体、</w:t>
      </w:r>
      <w:r>
        <w:rPr>
          <w:rFonts w:ascii="Times New Roman" w:hAnsi="Times New Roman" w:cs="Times New Roman" w:eastAsia="Times New Roman" w:hint="default"/>
        </w:rPr>
        <w:t>18-</w:t>
      </w:r>
      <w:r>
        <w:rPr/>
        <w:t>三体、</w:t>
      </w:r>
      <w:r>
        <w:rPr>
          <w:rFonts w:ascii="Times New Roman" w:hAnsi="Times New Roman" w:cs="Times New Roman" w:eastAsia="Times New Roman" w:hint="default"/>
        </w:rPr>
        <w:t>13-</w:t>
      </w:r>
      <w:r>
        <w:rPr/>
        <w:t>三体扩展到其他染色体非整 </w:t>
      </w:r>
      <w:r>
        <w:rPr>
          <w:spacing w:val="-3"/>
        </w:rPr>
        <w:t>倍体、部分明确的染色体缺失</w:t>
      </w:r>
      <w:r>
        <w:rPr>
          <w:rFonts w:ascii="Times New Roman" w:hAnsi="Times New Roman" w:cs="Times New Roman" w:eastAsia="Times New Roman" w:hint="default"/>
          <w:spacing w:val="-3"/>
        </w:rPr>
        <w:t>/</w:t>
      </w:r>
      <w:r>
        <w:rPr>
          <w:spacing w:val="-3"/>
        </w:rPr>
        <w:t>重复综合征，甚至单基因遗传病。另外，从社会经济效益和时间成本等角度考虑，在孕前或孕</w:t>
      </w:r>
      <w:r>
        <w:rPr>
          <w:spacing w:val="-60"/>
        </w:rPr>
        <w:t> </w:t>
      </w:r>
      <w:r>
        <w:rPr>
          <w:spacing w:val="-60"/>
        </w:rPr>
      </w:r>
      <w:r>
        <w:rPr>
          <w:spacing w:val="-2"/>
        </w:rPr>
        <w:t>早期进行扩展性隐性单基因病携带者筛查，对于出生缺陷防控意义重大，具有代表性的是南方多省对于地中海贫血的携带者</w:t>
      </w:r>
      <w:r>
        <w:rPr>
          <w:spacing w:val="-64"/>
        </w:rPr>
        <w:t> </w:t>
      </w:r>
      <w:r>
        <w:rPr>
          <w:spacing w:val="-64"/>
        </w:rPr>
      </w:r>
      <w:r>
        <w:rPr>
          <w:spacing w:val="-2"/>
        </w:rPr>
        <w:t>筛查。在可预见的未来，针对新生儿的基于基因组学和代谢组学等多组学检测技术，有望被越来越广泛地应用于全面评估新</w:t>
      </w:r>
      <w:r>
        <w:rPr>
          <w:spacing w:val="-66"/>
        </w:rPr>
        <w:t> </w:t>
      </w:r>
      <w:r>
        <w:rPr>
          <w:spacing w:val="-66"/>
        </w:rPr>
      </w:r>
      <w:r>
        <w:rPr/>
        <w:t>生儿遗传风险。</w:t>
      </w:r>
    </w:p>
    <w:p>
      <w:pPr>
        <w:pStyle w:val="BodyText"/>
        <w:spacing w:line="415" w:lineRule="auto" w:before="144"/>
        <w:ind w:left="513" w:right="986"/>
        <w:jc w:val="left"/>
      </w:pPr>
      <w:r>
        <w:rPr/>
        <w:t>（</w:t>
      </w:r>
      <w:r>
        <w:rPr>
          <w:rFonts w:ascii="Times New Roman" w:hAnsi="Times New Roman" w:cs="Times New Roman" w:eastAsia="Times New Roman" w:hint="default"/>
        </w:rPr>
        <w:t>2</w:t>
      </w:r>
      <w:r>
        <w:rPr/>
        <w:t>）肿瘤防控及转化医学类服务的行业发展基本情况与趋势 </w:t>
      </w:r>
      <w:r>
        <w:rPr>
          <w:spacing w:val="-2"/>
        </w:rPr>
        <w:t>肿瘤防控及转化医学类服务方面，近年我国肿瘤发病人数不断走高、五年生存率降低，肿瘤患者增量和存量提升拉动了</w:t>
      </w:r>
    </w:p>
    <w:p>
      <w:pPr>
        <w:pStyle w:val="BodyText"/>
        <w:spacing w:line="194" w:lineRule="exact"/>
        <w:ind w:right="0"/>
        <w:jc w:val="both"/>
      </w:pPr>
      <w:r>
        <w:rPr/>
        <w:t>对肿瘤基因检测、特别是伴随诊断的需求。国内基因检测行业</w:t>
      </w:r>
      <w:r>
        <w:rPr>
          <w:rFonts w:ascii="Times New Roman" w:hAnsi="Times New Roman" w:cs="Times New Roman" w:eastAsia="Times New Roman" w:hint="default"/>
        </w:rPr>
        <w:t>2015</w:t>
      </w:r>
      <w:r>
        <w:rPr/>
        <w:t>年开始逐步放开，直至</w:t>
      </w:r>
      <w:r>
        <w:rPr>
          <w:rFonts w:ascii="Times New Roman" w:hAnsi="Times New Roman" w:cs="Times New Roman" w:eastAsia="Times New Roman" w:hint="default"/>
        </w:rPr>
        <w:t>2016</w:t>
      </w:r>
      <w:r>
        <w:rPr/>
        <w:t>年出台一系列政策促进行业走</w:t>
      </w:r>
    </w:p>
    <w:p>
      <w:pPr>
        <w:pStyle w:val="BodyText"/>
        <w:spacing w:line="307" w:lineRule="auto" w:before="63"/>
        <w:ind w:right="1128"/>
        <w:jc w:val="both"/>
      </w:pPr>
      <w:r>
        <w:rPr>
          <w:spacing w:val="2"/>
        </w:rPr>
        <w:t>向规范化。在基因检测市场准入方面，</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月美国</w:t>
      </w:r>
      <w:r>
        <w:rPr>
          <w:rFonts w:ascii="Times New Roman" w:hAnsi="Times New Roman" w:cs="Times New Roman" w:eastAsia="Times New Roman" w:hint="default"/>
          <w:spacing w:val="2"/>
        </w:rPr>
        <w:t>FDA</w:t>
      </w:r>
      <w:r>
        <w:rPr>
          <w:spacing w:val="2"/>
        </w:rPr>
        <w:t>审批通过首个基于高通量测序技术的伴随诊断产品</w:t>
      </w:r>
      <w:r>
        <w:rPr>
          <w:rFonts w:ascii="Times New Roman" w:hAnsi="Times New Roman" w:cs="Times New Roman" w:eastAsia="Times New Roman" w:hint="default"/>
          <w:spacing w:val="2"/>
        </w:rPr>
        <w:t>Foundation</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rFonts w:ascii="Times New Roman" w:hAnsi="Times New Roman" w:cs="Times New Roman" w:eastAsia="Times New Roman" w:hint="default"/>
        </w:rPr>
        <w:t>Focus</w:t>
      </w:r>
      <w:r>
        <w:rPr>
          <w:rFonts w:ascii="Times New Roman" w:hAnsi="Times New Roman" w:cs="Times New Roman" w:eastAsia="Times New Roman" w:hint="default"/>
          <w:spacing w:val="-31"/>
        </w:rPr>
        <w:t> </w:t>
      </w:r>
      <w:r>
        <w:rPr>
          <w:rFonts w:ascii="Times New Roman" w:hAnsi="Times New Roman" w:cs="Times New Roman" w:eastAsia="Times New Roman" w:hint="default"/>
        </w:rPr>
        <w:t>CDxBRCA</w:t>
      </w:r>
      <w:r>
        <w:rPr/>
        <w:t>，</w:t>
      </w:r>
      <w:r>
        <w:rPr>
          <w:rFonts w:ascii="Times New Roman" w:hAnsi="Times New Roman" w:cs="Times New Roman" w:eastAsia="Times New Roman" w:hint="default"/>
        </w:rPr>
        <w:t>2017</w:t>
      </w:r>
      <w:r>
        <w:rPr/>
        <w:t>年多基因泛癌种基因检测产品</w:t>
      </w:r>
      <w:r>
        <w:rPr>
          <w:rFonts w:ascii="Times New Roman" w:hAnsi="Times New Roman" w:cs="Times New Roman" w:eastAsia="Times New Roman" w:hint="default"/>
        </w:rPr>
        <w:t>MSK-IMPACT</w:t>
      </w:r>
      <w:r>
        <w:rPr/>
        <w:t>和</w:t>
      </w:r>
      <w:r>
        <w:rPr>
          <w:rFonts w:ascii="Times New Roman" w:hAnsi="Times New Roman" w:cs="Times New Roman" w:eastAsia="Times New Roman" w:hint="default"/>
        </w:rPr>
        <w:t>FoundationOne</w:t>
      </w:r>
      <w:r>
        <w:rPr>
          <w:rFonts w:ascii="Times New Roman" w:hAnsi="Times New Roman" w:cs="Times New Roman" w:eastAsia="Times New Roman" w:hint="default"/>
          <w:spacing w:val="-31"/>
        </w:rPr>
        <w:t> </w:t>
      </w:r>
      <w:r>
        <w:rPr>
          <w:rFonts w:ascii="Times New Roman" w:hAnsi="Times New Roman" w:cs="Times New Roman" w:eastAsia="Times New Roman" w:hint="default"/>
        </w:rPr>
        <w:t>CDx</w:t>
      </w:r>
      <w:r>
        <w:rPr/>
        <w:t>陆续获批。我国在</w:t>
      </w:r>
      <w:r>
        <w:rPr>
          <w:rFonts w:ascii="Times New Roman" w:hAnsi="Times New Roman" w:cs="Times New Roman" w:eastAsia="Times New Roman" w:hint="default"/>
        </w:rPr>
        <w:t>2017</w:t>
      </w:r>
      <w:r>
        <w:rPr/>
        <w:t>年进一步加 </w:t>
      </w:r>
      <w:r>
        <w:rPr>
          <w:spacing w:val="-2"/>
        </w:rPr>
        <w:t>大了对创新药品和医疗器械审评审批改革力度。从产品维度考虑，多基因泛癌种基因检测成为基于高通量测序技术的伴随诊</w:t>
      </w:r>
      <w:r>
        <w:rPr>
          <w:spacing w:val="-64"/>
        </w:rPr>
        <w:t> </w:t>
      </w:r>
      <w:r>
        <w:rPr>
          <w:spacing w:val="-64"/>
        </w:rPr>
      </w:r>
      <w:r>
        <w:rPr>
          <w:spacing w:val="-2"/>
        </w:rPr>
        <w:t>断产品的未来发展方向。但目前体外诊断试剂盒资质申报成本较高、流程复杂、注册周期长等因素影响多基因检测产品快速</w:t>
      </w:r>
      <w:r>
        <w:rPr>
          <w:spacing w:val="-66"/>
        </w:rPr>
        <w:t> </w:t>
      </w:r>
      <w:r>
        <w:rPr>
          <w:spacing w:val="-66"/>
        </w:rPr>
      </w:r>
      <w:r>
        <w:rPr/>
        <w:t>迭代后的市场准入步伐，而</w:t>
      </w:r>
      <w:r>
        <w:rPr>
          <w:rFonts w:ascii="Times New Roman" w:hAnsi="Times New Roman" w:cs="Times New Roman" w:eastAsia="Times New Roman" w:hint="default"/>
        </w:rPr>
        <w:t>LDT</w:t>
      </w:r>
      <w:r>
        <w:rPr/>
        <w:t>（</w:t>
      </w:r>
      <w:r>
        <w:rPr>
          <w:rFonts w:ascii="Times New Roman" w:hAnsi="Times New Roman" w:cs="Times New Roman" w:eastAsia="Times New Roman" w:hint="default"/>
        </w:rPr>
        <w:t>Laboratory</w:t>
      </w:r>
      <w:r>
        <w:rPr>
          <w:rFonts w:ascii="Times New Roman" w:hAnsi="Times New Roman" w:cs="Times New Roman" w:eastAsia="Times New Roman" w:hint="default"/>
          <w:spacing w:val="-34"/>
        </w:rPr>
        <w:t> </w:t>
      </w:r>
      <w:r>
        <w:rPr>
          <w:rFonts w:ascii="Times New Roman" w:hAnsi="Times New Roman" w:cs="Times New Roman" w:eastAsia="Times New Roman" w:hint="default"/>
        </w:rPr>
        <w:t>Developed</w:t>
      </w:r>
      <w:r>
        <w:rPr>
          <w:rFonts w:ascii="Times New Roman" w:hAnsi="Times New Roman" w:cs="Times New Roman" w:eastAsia="Times New Roman" w:hint="default"/>
          <w:spacing w:val="-33"/>
        </w:rPr>
        <w:t> </w:t>
      </w:r>
      <w:r>
        <w:rPr>
          <w:rFonts w:ascii="Times New Roman" w:hAnsi="Times New Roman" w:cs="Times New Roman" w:eastAsia="Times New Roman" w:hint="default"/>
        </w:rPr>
        <w:t>Test</w:t>
      </w:r>
      <w:r>
        <w:rPr/>
        <w:t>）模式在中国相关监管法规仍在完善中。随着基于高通量测序技 术的肿瘤检测产品商业化进程加快，国产肿瘤检测产品和服务有望向海外市场进一步扩张。</w:t>
      </w:r>
    </w:p>
    <w:p>
      <w:pPr>
        <w:pStyle w:val="BodyText"/>
        <w:spacing w:line="415" w:lineRule="auto" w:before="146"/>
        <w:ind w:left="513" w:right="986"/>
        <w:jc w:val="left"/>
      </w:pPr>
      <w:r>
        <w:rPr/>
        <w:t>（</w:t>
      </w:r>
      <w:r>
        <w:rPr>
          <w:rFonts w:ascii="Times New Roman" w:hAnsi="Times New Roman" w:cs="Times New Roman" w:eastAsia="Times New Roman" w:hint="default"/>
        </w:rPr>
        <w:t>3</w:t>
      </w:r>
      <w:r>
        <w:rPr/>
        <w:t>）感染防控类服务的行业基本情况与趋势 </w:t>
      </w:r>
      <w:r>
        <w:rPr>
          <w:spacing w:val="-2"/>
        </w:rPr>
        <w:t>微生物检测作为基因检测的重要应用领域，发展空间值得期待。以病原高通量测序技术为代表的微生物检测技术是未来</w:t>
      </w:r>
    </w:p>
    <w:p>
      <w:pPr>
        <w:pStyle w:val="BodyText"/>
        <w:spacing w:line="194" w:lineRule="exact"/>
        <w:ind w:right="0"/>
        <w:jc w:val="both"/>
      </w:pPr>
      <w:r>
        <w:rPr/>
        <w:t>的发展方向和趋势。相较于早期的分离培养、免疫学、</w:t>
      </w:r>
      <w:r>
        <w:rPr>
          <w:rFonts w:ascii="Times New Roman" w:hAnsi="Times New Roman" w:cs="Times New Roman" w:eastAsia="Times New Roman" w:hint="default"/>
        </w:rPr>
        <w:t>PCR</w:t>
      </w:r>
      <w:r>
        <w:rPr/>
        <w:t>和基因芯片等检测技术，宏基因组高通量测序具有检测范围广、</w:t>
      </w:r>
    </w:p>
    <w:p>
      <w:pPr>
        <w:pStyle w:val="BodyText"/>
        <w:spacing w:line="240" w:lineRule="auto" w:before="63"/>
        <w:ind w:right="0"/>
        <w:jc w:val="both"/>
      </w:pPr>
      <w:r>
        <w:rPr/>
        <w:t>无需预先培养样本、检测通量高、可检测未知微生物的综合优势，预计未来应用前景较为广阔。</w:t>
      </w:r>
    </w:p>
    <w:p>
      <w:pPr>
        <w:spacing w:line="240" w:lineRule="auto" w:before="1"/>
        <w:rPr>
          <w:rFonts w:ascii="宋体" w:hAnsi="宋体" w:cs="宋体" w:eastAsia="宋体" w:hint="default"/>
          <w:sz w:val="15"/>
          <w:szCs w:val="15"/>
        </w:rPr>
      </w:pPr>
    </w:p>
    <w:p>
      <w:pPr>
        <w:pStyle w:val="BodyText"/>
        <w:spacing w:line="300" w:lineRule="auto"/>
        <w:ind w:right="1132" w:firstLine="360"/>
        <w:jc w:val="both"/>
      </w:pPr>
      <w:r>
        <w:rPr>
          <w:rFonts w:ascii="Times New Roman" w:hAnsi="Times New Roman" w:cs="Times New Roman" w:eastAsia="Times New Roman" w:hint="default"/>
        </w:rPr>
        <w:t>2016</w:t>
      </w:r>
      <w:r>
        <w:rPr/>
        <w:t>年美国</w:t>
      </w:r>
      <w:r>
        <w:rPr>
          <w:rFonts w:ascii="Times New Roman" w:hAnsi="Times New Roman" w:cs="Times New Roman" w:eastAsia="Times New Roman" w:hint="default"/>
        </w:rPr>
        <w:t>FDA</w:t>
      </w:r>
      <w:r>
        <w:rPr/>
        <w:t>发布了基于高通量测序的传染病诊断设备的指南草案；</w:t>
      </w:r>
      <w:r>
        <w:rPr>
          <w:rFonts w:ascii="Times New Roman" w:hAnsi="Times New Roman" w:cs="Times New Roman" w:eastAsia="Times New Roman" w:hint="default"/>
        </w:rPr>
        <w:t>2017</w:t>
      </w:r>
      <w:r>
        <w:rPr/>
        <w:t>年美国微生物学会专业实践委员会和实验 </w:t>
      </w:r>
      <w:r>
        <w:rPr>
          <w:spacing w:val="-2"/>
        </w:rPr>
        <w:t>室规范委员会及美国病理学家协会微生物资源委员会发布了《通用病原体检测的宏基因组高通量测序试剂盒确认》，标志着</w:t>
      </w:r>
    </w:p>
    <w:p>
      <w:pPr>
        <w:spacing w:after="0" w:line="300"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测序技术在国外也已开始进入病原体检测的临床应用。</w:t>
      </w:r>
    </w:p>
    <w:p>
      <w:pPr>
        <w:spacing w:line="240" w:lineRule="auto" w:before="0"/>
        <w:rPr>
          <w:rFonts w:ascii="宋体" w:hAnsi="宋体" w:cs="宋体" w:eastAsia="宋体" w:hint="default"/>
          <w:sz w:val="15"/>
          <w:szCs w:val="15"/>
        </w:rPr>
      </w:pPr>
    </w:p>
    <w:p>
      <w:pPr>
        <w:pStyle w:val="BodyText"/>
        <w:spacing w:line="304" w:lineRule="auto"/>
        <w:ind w:right="113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月，《中华传染病杂志》发表《中国利什曼原虫感染诊断和治疗专家共识》，指出高通量测序技术应用于临床 </w:t>
      </w:r>
      <w:r>
        <w:rPr>
          <w:spacing w:val="-6"/>
        </w:rPr>
        <w:t>的可能性。</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4</w:t>
      </w:r>
      <w:r>
        <w:rPr>
          <w:spacing w:val="-6"/>
        </w:rPr>
        <w:t>月，《中华结核和呼吸杂志》发表了《中国成人医院获得性肺炎与呼吸机相关性肺炎诊断和治疗指南</w:t>
      </w:r>
      <w:r>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1"/>
        </w:rPr>
        <w:t>年版</w:t>
      </w:r>
      <w:r>
        <w:rPr>
          <w:rFonts w:ascii="Times New Roman" w:hAnsi="Times New Roman" w:cs="Times New Roman" w:eastAsia="Times New Roman" w:hint="default"/>
          <w:spacing w:val="-1"/>
        </w:rPr>
        <w:t>)</w:t>
      </w:r>
      <w:r>
        <w:rPr>
          <w:spacing w:val="-1"/>
        </w:rPr>
        <w:t>》，高通量测序技术首次被写入呼吸相关指南。</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月，《临床肝胆病杂志》发表《终末期肝病合并感染诊治专家</w:t>
      </w:r>
      <w:r>
        <w:rPr/>
        <w:t> 共识》，肯定了高通量测序在病原学诊断方面的重要作用。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月，《中国实用儿科杂志》发表《儿童呼吸道感染微生</w:t>
      </w:r>
      <w:r>
        <w:rPr>
          <w:spacing w:val="-83"/>
        </w:rPr>
        <w:t> </w:t>
      </w:r>
      <w:r>
        <w:rPr>
          <w:spacing w:val="-83"/>
        </w:rPr>
      </w:r>
      <w:r>
        <w:rPr>
          <w:spacing w:val="-2"/>
        </w:rPr>
        <w:t>物检验标本采集转运与检测建议（病毒篇）》和《儿童呼吸道感染微生物检验标本采集转运与检测建议（细菌篇）》，指出</w:t>
      </w:r>
      <w:r>
        <w:rPr>
          <w:spacing w:val="-68"/>
        </w:rPr>
        <w:t> </w:t>
      </w:r>
      <w:r>
        <w:rPr>
          <w:spacing w:val="-68"/>
        </w:rPr>
      </w:r>
      <w:r>
        <w:rPr/>
        <w:t>高通量测序在未知病原体的发现上有着显著优势。</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月，首篇宏基因组高通量测序临床应用的专家共识《宏基因组分</w:t>
      </w:r>
      <w:r>
        <w:rPr>
          <w:spacing w:val="-85"/>
        </w:rPr>
        <w:t> </w:t>
      </w:r>
      <w:r>
        <w:rPr>
          <w:spacing w:val="-85"/>
        </w:rPr>
      </w:r>
      <w:r>
        <w:rPr>
          <w:spacing w:val="-2"/>
        </w:rPr>
        <w:t>析和诊断技术在急危重症感染应用的专家共识》发表在《中华急诊医学杂志》上。标志着以病原高通量测序技术为代表的微</w:t>
      </w:r>
      <w:r>
        <w:rPr>
          <w:spacing w:val="-66"/>
        </w:rPr>
        <w:t> </w:t>
      </w:r>
      <w:r>
        <w:rPr>
          <w:spacing w:val="-66"/>
        </w:rPr>
      </w:r>
      <w:r>
        <w:rPr/>
        <w:t>生物检测技术已经深入临床，有着广阔的临床应用前景。</w:t>
      </w:r>
    </w:p>
    <w:p>
      <w:pPr>
        <w:pStyle w:val="BodyText"/>
        <w:spacing w:line="314" w:lineRule="auto" w:before="148"/>
        <w:ind w:right="1034" w:firstLine="360"/>
        <w:jc w:val="left"/>
      </w:pPr>
      <w:r>
        <w:rPr/>
        <w:t>华大基因是国内率先开始进行宏基因组高通量测序病原检测相关产品研发的企业，公司推出主力产品</w:t>
      </w:r>
      <w:r>
        <w:rPr>
          <w:rFonts w:ascii="Times New Roman" w:hAnsi="Times New Roman" w:cs="Times New Roman" w:eastAsia="Times New Roman" w:hint="default"/>
        </w:rPr>
        <w:t>PMseq</w:t>
      </w:r>
      <w:r>
        <w:rPr/>
        <w:t>感染病原高 </w:t>
      </w:r>
      <w:r>
        <w:rPr>
          <w:spacing w:val="-2"/>
        </w:rPr>
        <w:t>通量基因检测，并逐渐渗透到临床。近几年来，与北京协和医院联合开展基于宏基因组高通量测序技术的脑炎脑膜炎多中心</w:t>
      </w:r>
      <w:r>
        <w:rPr>
          <w:spacing w:val="-66"/>
        </w:rPr>
        <w:t> </w:t>
      </w:r>
      <w:r>
        <w:rPr>
          <w:spacing w:val="-66"/>
        </w:rPr>
      </w:r>
      <w:r>
        <w:rPr>
          <w:spacing w:val="-2"/>
        </w:rPr>
        <w:t>病原微生物检测研究，与复旦大学附属中山医院、华山医院等开展基于宏基因组高通量测序技术的多中心病原微生物检测研</w:t>
      </w:r>
      <w:r>
        <w:rPr>
          <w:spacing w:val="-64"/>
        </w:rPr>
        <w:t> </w:t>
      </w:r>
      <w:r>
        <w:rPr>
          <w:spacing w:val="-64"/>
        </w:rPr>
      </w:r>
      <w:r>
        <w:rPr>
          <w:spacing w:val="-2"/>
        </w:rPr>
        <w:t>究，经过几年的技术积累，以病原高通量测序技术为代表的微生物检测技术对于感染精准防控起到了重要的推动作用，并得</w:t>
      </w:r>
      <w:r>
        <w:rPr>
          <w:spacing w:val="-66"/>
        </w:rPr>
        <w:t> </w:t>
      </w:r>
      <w:r>
        <w:rPr>
          <w:spacing w:val="-66"/>
        </w:rPr>
      </w:r>
      <w:r>
        <w:rPr>
          <w:spacing w:val="-2"/>
        </w:rPr>
        <w:t>到了临床的广泛认可。包括北京协和医院、复旦大学附属华山医院、复旦大学附属中山医院在内的多家医院、多位临床专家</w:t>
      </w:r>
      <w:r>
        <w:rPr>
          <w:spacing w:val="-65"/>
        </w:rPr>
        <w:t> </w:t>
      </w:r>
      <w:r>
        <w:rPr>
          <w:spacing w:val="-65"/>
        </w:rPr>
      </w:r>
      <w:r>
        <w:rPr/>
        <w:t>大力推动了宏基因组高通量测序的临床转化，并在多家杂志上发表多篇宏基因组高通量测序临床应用研究成果和专家共识，</w:t>
      </w:r>
      <w:r>
        <w:rPr>
          <w:spacing w:val="-82"/>
        </w:rPr>
        <w:t> </w:t>
      </w:r>
      <w:r>
        <w:rPr>
          <w:spacing w:val="-82"/>
        </w:rPr>
      </w:r>
      <w:r>
        <w:rPr/>
        <w:t>为宏基因组高通量测序深入临床做出了重要的贡献。</w:t>
      </w:r>
    </w:p>
    <w:p>
      <w:pPr>
        <w:pStyle w:val="BodyText"/>
        <w:spacing w:line="432" w:lineRule="exact" w:before="5"/>
        <w:ind w:left="513" w:right="986"/>
        <w:jc w:val="left"/>
      </w:pPr>
      <w:r>
        <w:rPr/>
        <w:t>（</w:t>
      </w:r>
      <w:r>
        <w:rPr>
          <w:rFonts w:ascii="Times New Roman" w:hAnsi="Times New Roman" w:cs="Times New Roman" w:eastAsia="Times New Roman" w:hint="default"/>
        </w:rPr>
        <w:t>4</w:t>
      </w:r>
      <w:r>
        <w:rPr/>
        <w:t>）多组学大数据服务与合成业务的行业基本情况与趋势 </w:t>
      </w:r>
      <w:r>
        <w:rPr>
          <w:spacing w:val="-2"/>
        </w:rPr>
        <w:t>从</w:t>
      </w:r>
      <w:r>
        <w:rPr>
          <w:rFonts w:ascii="Times New Roman" w:hAnsi="Times New Roman" w:cs="Times New Roman" w:eastAsia="Times New Roman" w:hint="default"/>
          <w:spacing w:val="-2"/>
        </w:rPr>
        <w:t>1990</w:t>
      </w:r>
      <w:r>
        <w:rPr>
          <w:spacing w:val="-2"/>
        </w:rPr>
        <w:t>年人类基因组计划启动开始，基因组学应用的壮阔前景开始展现在人类面前。</w:t>
      </w:r>
      <w:r>
        <w:rPr>
          <w:rFonts w:ascii="Times New Roman" w:hAnsi="Times New Roman" w:cs="Times New Roman" w:eastAsia="Times New Roman" w:hint="default"/>
          <w:spacing w:val="-2"/>
        </w:rPr>
        <w:t>1998</w:t>
      </w:r>
      <w:r>
        <w:rPr>
          <w:spacing w:val="-2"/>
        </w:rPr>
        <w:t>年毛细管测序技术问世，测序</w:t>
      </w:r>
    </w:p>
    <w:p>
      <w:pPr>
        <w:pStyle w:val="BodyText"/>
        <w:spacing w:line="309" w:lineRule="auto" w:before="15"/>
        <w:ind w:right="1129"/>
        <w:jc w:val="both"/>
      </w:pPr>
      <w:r>
        <w:rPr>
          <w:spacing w:val="-2"/>
        </w:rPr>
        <w:t>提速</w:t>
      </w:r>
      <w:r>
        <w:rPr>
          <w:rFonts w:ascii="Times New Roman" w:hAnsi="Times New Roman" w:cs="Times New Roman" w:eastAsia="Times New Roman" w:hint="default"/>
          <w:spacing w:val="-2"/>
        </w:rPr>
        <w:t>10</w:t>
      </w:r>
      <w:r>
        <w:rPr>
          <w:spacing w:val="-2"/>
        </w:rPr>
        <w:t>倍，原计划</w:t>
      </w:r>
      <w:r>
        <w:rPr>
          <w:rFonts w:ascii="Times New Roman" w:hAnsi="Times New Roman" w:cs="Times New Roman" w:eastAsia="Times New Roman" w:hint="default"/>
          <w:spacing w:val="-2"/>
        </w:rPr>
        <w:t>15</w:t>
      </w:r>
      <w:r>
        <w:rPr>
          <w:spacing w:val="-2"/>
        </w:rPr>
        <w:t>年完成的人类基因组计划加快进度。</w:t>
      </w:r>
      <w:r>
        <w:rPr>
          <w:rFonts w:ascii="Times New Roman" w:hAnsi="Times New Roman" w:cs="Times New Roman" w:eastAsia="Times New Roman" w:hint="default"/>
          <w:spacing w:val="-2"/>
        </w:rPr>
        <w:t>2005</w:t>
      </w:r>
      <w:r>
        <w:rPr>
          <w:spacing w:val="-2"/>
        </w:rPr>
        <w:t>年高通量测序仪诞生，高通量测序技术可以实现百万甚至千万</w:t>
      </w:r>
      <w:r>
        <w:rPr>
          <w:spacing w:val="-61"/>
        </w:rPr>
        <w:t> </w:t>
      </w:r>
      <w:r>
        <w:rPr>
          <w:spacing w:val="-61"/>
        </w:rPr>
      </w:r>
      <w:r>
        <w:rPr>
          <w:spacing w:val="-2"/>
        </w:rPr>
        <w:t>个</w:t>
      </w:r>
      <w:r>
        <w:rPr>
          <w:rFonts w:ascii="Times New Roman" w:hAnsi="Times New Roman" w:cs="Times New Roman" w:eastAsia="Times New Roman" w:hint="default"/>
          <w:spacing w:val="-2"/>
        </w:rPr>
        <w:t>DNA</w:t>
      </w:r>
      <w:r>
        <w:rPr>
          <w:spacing w:val="-2"/>
        </w:rPr>
        <w:t>分子的并行测序，在测序通量、周期与成本上都有根本性突破，形成</w:t>
      </w:r>
      <w:r>
        <w:rPr>
          <w:rFonts w:ascii="Times New Roman" w:hAnsi="Times New Roman" w:cs="Times New Roman" w:eastAsia="Times New Roman" w:hint="default"/>
          <w:spacing w:val="-2"/>
        </w:rPr>
        <w:t>“</w:t>
      </w:r>
      <w:r>
        <w:rPr>
          <w:spacing w:val="-2"/>
        </w:rPr>
        <w:t>超摩尔定律</w:t>
      </w:r>
      <w:r>
        <w:rPr>
          <w:rFonts w:ascii="Times New Roman" w:hAnsi="Times New Roman" w:cs="Times New Roman" w:eastAsia="Times New Roman" w:hint="default"/>
          <w:spacing w:val="-2"/>
        </w:rPr>
        <w:t>”</w:t>
      </w:r>
      <w:r>
        <w:rPr>
          <w:spacing w:val="-2"/>
        </w:rPr>
        <w:t>之势。随着测序成本的显著降低和</w:t>
      </w:r>
      <w:r>
        <w:rPr>
          <w:spacing w:val="-69"/>
        </w:rPr>
        <w:t> </w:t>
      </w:r>
      <w:r>
        <w:rPr>
          <w:spacing w:val="-69"/>
        </w:rPr>
      </w:r>
      <w:r>
        <w:rPr>
          <w:spacing w:val="-2"/>
        </w:rPr>
        <w:t>生物信息分析能力的显著上升，美国等西方发达国家已在这一领域做出前瞻式布局：鼓励高端测序仪的研发和商业化、建立</w:t>
      </w:r>
      <w:r>
        <w:rPr>
          <w:spacing w:val="-63"/>
        </w:rPr>
        <w:t> </w:t>
      </w:r>
      <w:r>
        <w:rPr>
          <w:spacing w:val="-63"/>
        </w:rPr>
      </w:r>
      <w:r>
        <w:rPr>
          <w:spacing w:val="-2"/>
        </w:rPr>
        <w:t>配套的生物信息计算平台、推进基因组领域的科学研发和临床转化。随着基因测序的成本急速下降，测序读长越来越长，通</w:t>
      </w:r>
      <w:r>
        <w:rPr>
          <w:spacing w:val="-64"/>
        </w:rPr>
        <w:t> </w:t>
      </w:r>
      <w:r>
        <w:rPr>
          <w:spacing w:val="-64"/>
        </w:rPr>
      </w:r>
      <w:r>
        <w:rPr/>
        <w:t>量越来越大，以及以单细胞测序、</w:t>
      </w:r>
      <w:r>
        <w:rPr>
          <w:rFonts w:ascii="Times New Roman" w:hAnsi="Times New Roman" w:cs="Times New Roman" w:eastAsia="Times New Roman" w:hint="default"/>
        </w:rPr>
        <w:t>stLFR</w:t>
      </w:r>
      <w:r>
        <w:rPr/>
        <w:t>技术等为代表的先进技术的应用，多组学数据积累速度加快。随之而来的生命云计</w:t>
      </w:r>
      <w:r>
        <w:rPr>
          <w:spacing w:val="-84"/>
        </w:rPr>
        <w:t> </w:t>
      </w:r>
      <w:r>
        <w:rPr>
          <w:spacing w:val="-84"/>
        </w:rPr>
      </w:r>
      <w:r>
        <w:rPr>
          <w:spacing w:val="-2"/>
        </w:rPr>
        <w:t>算、大数据存储和分析的需求被不断激发和完善，相关政策法规的进一步完善，多组学大数据服务将会更广泛应用于在复杂</w:t>
      </w:r>
      <w:r>
        <w:rPr>
          <w:spacing w:val="-63"/>
        </w:rPr>
        <w:t> </w:t>
      </w:r>
      <w:r>
        <w:rPr>
          <w:spacing w:val="-63"/>
        </w:rPr>
      </w:r>
      <w:r>
        <w:rPr/>
        <w:t>疾病、农业基因组学、微生物学和宏基因组学等研究领域。</w:t>
      </w:r>
    </w:p>
    <w:p>
      <w:pPr>
        <w:pStyle w:val="BodyText"/>
        <w:spacing w:line="316" w:lineRule="auto" w:before="144"/>
        <w:ind w:right="1034" w:firstLine="360"/>
        <w:jc w:val="left"/>
      </w:pPr>
      <w:r>
        <w:rPr>
          <w:spacing w:val="-2"/>
        </w:rPr>
        <w:t>高通量测序技术促进生命进入数字化时代，基因组合成技术赋予人类探索生命本质并改造利用的可能性，在医药、化工</w:t>
      </w:r>
      <w:r>
        <w:rPr/>
        <w:t> 材料、农业、环境等方面展现出巨大潜力和应用前景。合成生物学技术正促使生命科学从观测性、描述性、经验性的科学，</w:t>
      </w:r>
      <w:r>
        <w:rPr>
          <w:spacing w:val="-83"/>
        </w:rPr>
        <w:t> </w:t>
      </w:r>
      <w:r>
        <w:rPr>
          <w:spacing w:val="-83"/>
        </w:rPr>
      </w:r>
      <w:r>
        <w:rPr>
          <w:spacing w:val="-4"/>
        </w:rPr>
        <w:t>跃升为可定量、可预测、可工程化的科学，全球在合成生物学领域的研发投入超过百亿人民币级别，以美国在 </w:t>
      </w: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spacing w:val="-13"/>
        </w:rPr>
        <w:t>年的《国</w:t>
      </w:r>
    </w:p>
    <w:p>
      <w:pPr>
        <w:pStyle w:val="BodyText"/>
        <w:spacing w:line="300" w:lineRule="auto"/>
        <w:ind w:right="1127"/>
        <w:jc w:val="both"/>
      </w:pPr>
      <w:r>
        <w:rPr>
          <w:spacing w:val="-4"/>
        </w:rPr>
        <w:t>家生物经济蓝图》和</w:t>
      </w:r>
      <w:r>
        <w:rPr>
          <w:spacing w:val="-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8"/>
        </w:rPr>
        <w:t> </w:t>
      </w:r>
      <w:r>
        <w:rPr>
          <w:spacing w:val="-5"/>
        </w:rPr>
        <w:t>年的《加快美国先进制造业发展》报告，均将合成生物学列为重要发展方向；英国、荷兰、瑞士、</w:t>
      </w:r>
      <w:r>
        <w:rPr>
          <w:spacing w:val="-88"/>
        </w:rPr>
        <w:t> </w:t>
      </w:r>
      <w:r>
        <w:rPr>
          <w:spacing w:val="-88"/>
        </w:rPr>
      </w:r>
      <w:r>
        <w:rPr>
          <w:spacing w:val="-2"/>
        </w:rPr>
        <w:t>德国等国政府将合成生物学领域研究列为重点资助对象；我国在合成生物技术领域已开展前瞻性和战略性布局，在</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spacing w:val="-3"/>
        </w:rPr>
        <w:t>期间，科技部设立了一系列</w:t>
      </w:r>
      <w:r>
        <w:rPr>
          <w:rFonts w:ascii="Times New Roman" w:hAnsi="Times New Roman" w:cs="Times New Roman" w:eastAsia="Times New Roman" w:hint="default"/>
          <w:spacing w:val="-3"/>
        </w:rPr>
        <w:t>“973”</w:t>
      </w:r>
      <w:r>
        <w:rPr>
          <w:spacing w:val="-3"/>
        </w:rPr>
        <w:t>、</w:t>
      </w:r>
      <w:r>
        <w:rPr>
          <w:rFonts w:ascii="Times New Roman" w:hAnsi="Times New Roman" w:cs="Times New Roman" w:eastAsia="Times New Roman" w:hint="default"/>
          <w:spacing w:val="-3"/>
        </w:rPr>
        <w:t>“863”</w:t>
      </w:r>
      <w:r>
        <w:rPr>
          <w:spacing w:val="-3"/>
        </w:rPr>
        <w:t>重大项目，为我国合成生物学发展奠定了学科和技术基础，同时正在布局</w:t>
      </w:r>
      <w:r>
        <w:rPr>
          <w:rFonts w:ascii="Times New Roman" w:hAnsi="Times New Roman" w:cs="Times New Roman" w:eastAsia="Times New Roman" w:hint="default"/>
          <w:spacing w:val="-3"/>
        </w:rPr>
        <w:t>“</w:t>
      </w:r>
      <w:r>
        <w:rPr>
          <w:spacing w:val="-3"/>
        </w:rPr>
        <w:t>十三五合</w:t>
      </w:r>
      <w:r>
        <w:rPr>
          <w:spacing w:val="-34"/>
        </w:rPr>
        <w:t> </w:t>
      </w:r>
      <w:r>
        <w:rPr>
          <w:spacing w:val="-34"/>
        </w:rPr>
      </w:r>
      <w:r>
        <w:rPr/>
        <w:t>成生物学</w:t>
      </w:r>
      <w:r>
        <w:rPr>
          <w:rFonts w:ascii="Times New Roman" w:hAnsi="Times New Roman" w:cs="Times New Roman" w:eastAsia="Times New Roman" w:hint="default"/>
        </w:rPr>
        <w:t>”</w:t>
      </w:r>
      <w:r>
        <w:rPr/>
        <w:t>专项研究。华大基因是国内领先的合成生物学科研及产业机构，参与中美英等六国合作的</w:t>
      </w:r>
      <w:r>
        <w:rPr>
          <w:rFonts w:ascii="Times New Roman" w:hAnsi="Times New Roman" w:cs="Times New Roman" w:eastAsia="Times New Roman" w:hint="default"/>
        </w:rPr>
        <w:t>“</w:t>
      </w:r>
      <w:r>
        <w:rPr/>
        <w:t>合成酿酒酵母基因组</w:t>
      </w:r>
    </w:p>
    <w:p>
      <w:pPr>
        <w:pStyle w:val="BodyText"/>
        <w:spacing w:line="300" w:lineRule="auto" w:before="13"/>
        <w:ind w:right="1132"/>
        <w:jc w:val="both"/>
      </w:pPr>
      <w:r>
        <w:rPr>
          <w:spacing w:val="-4"/>
        </w:rPr>
        <w:t>（</w:t>
      </w:r>
      <w:r>
        <w:rPr>
          <w:rFonts w:ascii="Times New Roman" w:hAnsi="Times New Roman" w:cs="Times New Roman" w:eastAsia="Times New Roman" w:hint="default"/>
          <w:spacing w:val="-4"/>
        </w:rPr>
        <w:t>Sc2.0</w:t>
      </w:r>
      <w:r>
        <w:rPr>
          <w:spacing w:val="-4"/>
        </w:rPr>
        <w:t>）</w:t>
      </w:r>
      <w:r>
        <w:rPr>
          <w:rFonts w:ascii="Times New Roman" w:hAnsi="Times New Roman" w:cs="Times New Roman" w:eastAsia="Times New Roman" w:hint="default"/>
          <w:spacing w:val="-4"/>
        </w:rPr>
        <w:t>”</w:t>
      </w:r>
      <w:r>
        <w:rPr>
          <w:rFonts w:ascii="Times New Roman" w:hAnsi="Times New Roman" w:cs="Times New Roman" w:eastAsia="Times New Roman" w:hint="default"/>
        </w:rPr>
        <w:t> </w:t>
      </w:r>
      <w:r>
        <w:rPr>
          <w:spacing w:val="-2"/>
        </w:rPr>
        <w:t>项目，并承担多条染色体的合成，该成果被评为</w:t>
      </w:r>
      <w:r>
        <w:rPr>
          <w:rFonts w:ascii="Times New Roman" w:hAnsi="Times New Roman" w:cs="Times New Roman" w:eastAsia="Times New Roman" w:hint="default"/>
          <w:spacing w:val="-2"/>
        </w:rPr>
        <w:t>2017</w:t>
      </w:r>
      <w:r>
        <w:rPr>
          <w:spacing w:val="-2"/>
        </w:rPr>
        <w:t>年中国十大科技进展之首。公司合成平台同时广泛服务于全</w:t>
      </w:r>
      <w:r>
        <w:rPr>
          <w:spacing w:val="-77"/>
        </w:rPr>
        <w:t> </w:t>
      </w:r>
      <w:r>
        <w:rPr>
          <w:spacing w:val="-77"/>
        </w:rPr>
      </w:r>
      <w:r>
        <w:rPr/>
        <w:t>球科研客户例如（麻省理工大学，哈佛大学等）及工业客户（</w:t>
      </w:r>
      <w:r>
        <w:rPr>
          <w:rFonts w:ascii="Times New Roman" w:hAnsi="Times New Roman" w:cs="Times New Roman" w:eastAsia="Times New Roman" w:hint="default"/>
        </w:rPr>
        <w:t>Amyris</w:t>
      </w:r>
      <w:r>
        <w:rPr/>
        <w:t>等）。</w:t>
      </w:r>
    </w:p>
    <w:p>
      <w:pPr>
        <w:pStyle w:val="Heading5"/>
        <w:spacing w:line="240" w:lineRule="auto" w:before="133"/>
        <w:ind w:right="1133"/>
        <w:jc w:val="left"/>
        <w:rPr>
          <w:b w:val="0"/>
          <w:bCs w:val="0"/>
        </w:rPr>
      </w:pPr>
      <w:r>
        <w:rPr>
          <w:rFonts w:ascii="Times New Roman" w:hAnsi="Times New Roman" w:cs="Times New Roman" w:eastAsia="Times New Roman" w:hint="default"/>
        </w:rPr>
        <w:t>2</w:t>
      </w:r>
      <w:r>
        <w:rPr/>
        <w:t>、行业的市场竞争格局</w:t>
      </w:r>
      <w:r>
        <w:rPr>
          <w:b w:val="0"/>
          <w:bCs w:val="0"/>
        </w:rPr>
      </w:r>
    </w:p>
    <w:p>
      <w:pPr>
        <w:spacing w:line="240" w:lineRule="auto" w:before="13"/>
        <w:rPr>
          <w:rFonts w:ascii="宋体" w:hAnsi="宋体" w:cs="宋体" w:eastAsia="宋体" w:hint="default"/>
          <w:b/>
          <w:bCs/>
          <w:sz w:val="13"/>
          <w:szCs w:val="13"/>
        </w:rPr>
      </w:pPr>
    </w:p>
    <w:p>
      <w:pPr>
        <w:pStyle w:val="BodyText"/>
        <w:spacing w:line="307" w:lineRule="auto"/>
        <w:ind w:right="1034" w:firstLine="360"/>
        <w:jc w:val="left"/>
      </w:pPr>
      <w:r>
        <w:rPr>
          <w:spacing w:val="-2"/>
        </w:rPr>
        <w:t>自</w:t>
      </w:r>
      <w:r>
        <w:rPr>
          <w:rFonts w:ascii="Times New Roman" w:hAnsi="Times New Roman" w:cs="Times New Roman" w:eastAsia="Times New Roman" w:hint="default"/>
          <w:spacing w:val="-2"/>
        </w:rPr>
        <w:t>2003</w:t>
      </w:r>
      <w:r>
        <w:rPr>
          <w:spacing w:val="-2"/>
        </w:rPr>
        <w:t>年人类基因组计划完成以来，以基因组研究和基因测序为主的相关应用开始兴起。特别在</w:t>
      </w:r>
      <w:r>
        <w:rPr>
          <w:rFonts w:ascii="Times New Roman" w:hAnsi="Times New Roman" w:cs="Times New Roman" w:eastAsia="Times New Roman" w:hint="default"/>
          <w:spacing w:val="-2"/>
        </w:rPr>
        <w:t>2005</w:t>
      </w:r>
      <w:r>
        <w:rPr>
          <w:spacing w:val="-2"/>
        </w:rPr>
        <w:t>年后，罗氏公司发</w:t>
      </w:r>
      <w:r>
        <w:rPr/>
        <w:t> 布基于焦磷酸测序技术的</w:t>
      </w:r>
      <w:r>
        <w:rPr>
          <w:rFonts w:ascii="Times New Roman" w:hAnsi="Times New Roman" w:cs="Times New Roman" w:eastAsia="Times New Roman" w:hint="default"/>
        </w:rPr>
        <w:t>454</w:t>
      </w:r>
      <w:r>
        <w:rPr/>
        <w:t>测序仪开始，使得测序成本大幅度下降，新的测序技术不断涌现，基因测序在全球范围进一步</w:t>
      </w:r>
      <w:r>
        <w:rPr>
          <w:spacing w:val="-85"/>
        </w:rPr>
        <w:t> </w:t>
      </w:r>
      <w:r>
        <w:rPr>
          <w:spacing w:val="-85"/>
        </w:rPr>
      </w:r>
      <w:r>
        <w:rPr>
          <w:spacing w:val="-4"/>
        </w:rPr>
        <w:t>普及，越来越多的人类基因组和物种基因组解密完成。</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Illumina</w:t>
      </w:r>
      <w:r>
        <w:rPr>
          <w:spacing w:val="-4"/>
        </w:rPr>
        <w:t>公司首次将人全基因组测序价格降至</w:t>
      </w:r>
      <w:r>
        <w:rPr>
          <w:rFonts w:ascii="Times New Roman" w:hAnsi="Times New Roman" w:cs="Times New Roman" w:eastAsia="Times New Roman" w:hint="default"/>
          <w:spacing w:val="-4"/>
        </w:rPr>
        <w:t>1,000</w:t>
      </w:r>
      <w:r>
        <w:rPr>
          <w:spacing w:val="-4"/>
        </w:rPr>
        <w:t>美金，</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年，华大基因率先将人全基因组测序价格下降至</w:t>
      </w:r>
      <w:r>
        <w:rPr>
          <w:rFonts w:ascii="Times New Roman" w:hAnsi="Times New Roman" w:cs="Times New Roman" w:eastAsia="Times New Roman" w:hint="default"/>
        </w:rPr>
        <w:t>600</w:t>
      </w:r>
      <w:r>
        <w:rPr/>
        <w:t>美金。成本的持续下降促使了基因数据的井喷产出，进而助力参考物种</w:t>
      </w:r>
      <w:r>
        <w:rPr>
          <w:spacing w:val="-84"/>
        </w:rPr>
        <w:t> </w:t>
      </w:r>
      <w:r>
        <w:rPr>
          <w:spacing w:val="-84"/>
        </w:rPr>
      </w:r>
      <w:r>
        <w:rPr>
          <w:spacing w:val="-2"/>
        </w:rPr>
        <w:t>基因组研究、大群体大队列基因组研究、大规模转录组研究、表观遗传学研究、宏基因组研究等领域飞速发展。而以测序技</w:t>
      </w:r>
      <w:r>
        <w:rPr>
          <w:spacing w:val="-67"/>
        </w:rPr>
        <w:t> </w:t>
      </w:r>
      <w:r>
        <w:rPr>
          <w:spacing w:val="-67"/>
        </w:rPr>
      </w:r>
      <w:r>
        <w:rPr/>
        <w:t>术为代表的基因组技术的发展也大大加速了其他生命科学技术的发展，包括但不限于以质谱技术为核心支撑的蛋白质组学、</w:t>
      </w:r>
      <w:r>
        <w:rPr>
          <w:spacing w:val="-83"/>
        </w:rPr>
        <w:t> </w:t>
      </w:r>
      <w:r>
        <w:rPr>
          <w:spacing w:val="-83"/>
        </w:rPr>
      </w:r>
      <w:r>
        <w:rPr>
          <w:spacing w:val="-2"/>
        </w:rPr>
        <w:t>代谢组学、脂质组学、糖组学、金属组学等组学技术发展，和基因组学一起从多个维度不断推动生命科学的系统性进展。与</w:t>
      </w:r>
    </w:p>
    <w:p>
      <w:pPr>
        <w:spacing w:after="0" w:line="307"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986"/>
        <w:jc w:val="left"/>
      </w:pPr>
      <w:r>
        <w:rPr>
          <w:spacing w:val="-2"/>
        </w:rPr>
        <w:t>此同时，呈几何级数增长的基因大数据产出也派生出对信息科技的强大需求，融合派生出如生物信息学、生物超级计算和云</w:t>
      </w:r>
      <w:r>
        <w:rPr>
          <w:spacing w:val="-63"/>
        </w:rPr>
        <w:t> </w:t>
      </w:r>
      <w:r>
        <w:rPr>
          <w:spacing w:val="-63"/>
        </w:rPr>
      </w:r>
      <w:r>
        <w:rPr/>
        <w:t>计算、生物大数据、合成生物学智能设计、</w:t>
      </w:r>
      <w:r>
        <w:rPr>
          <w:rFonts w:ascii="Times New Roman" w:hAnsi="Times New Roman" w:cs="Times New Roman" w:eastAsia="Times New Roman" w:hint="default"/>
        </w:rPr>
        <w:t>DNA</w:t>
      </w:r>
      <w:r>
        <w:rPr/>
        <w:t>生物存储等一系列跨学科应用。</w:t>
      </w:r>
    </w:p>
    <w:p>
      <w:pPr>
        <w:pStyle w:val="BodyText"/>
        <w:spacing w:line="316" w:lineRule="auto" w:before="119"/>
        <w:ind w:right="1129" w:firstLine="360"/>
        <w:jc w:val="both"/>
      </w:pPr>
      <w:r>
        <w:rPr>
          <w:spacing w:val="-5"/>
        </w:rPr>
        <w:t>基因科技在科研领域的不断突破，带动了生命科学和生物技术产业应用的全面兴起，如生物医学、生物材料、生物制造、</w:t>
      </w:r>
      <w:r>
        <w:rPr/>
        <w:t> </w:t>
      </w:r>
      <w:r>
        <w:rPr>
          <w:spacing w:val="-2"/>
        </w:rPr>
        <w:t>生物农业、生物环保。特别是以基因检测作为核心技术支撑的精准医学更是成为其中的焦点，其代表性应用包括以无创产前</w:t>
      </w:r>
      <w:r>
        <w:rPr>
          <w:spacing w:val="-66"/>
        </w:rPr>
        <w:t> </w:t>
      </w:r>
      <w:r>
        <w:rPr>
          <w:spacing w:val="-66"/>
        </w:rPr>
      </w:r>
      <w:r>
        <w:rPr>
          <w:spacing w:val="-2"/>
        </w:rPr>
        <w:t>基因检测、基因遗传病检测为代表的生育健康方向、以伴随诊断、液体活检、预测早筛为代表的肿瘤防控方向和以宏基因组</w:t>
      </w:r>
      <w:r>
        <w:rPr>
          <w:spacing w:val="-64"/>
        </w:rPr>
        <w:t> </w:t>
      </w:r>
      <w:r>
        <w:rPr>
          <w:spacing w:val="-64"/>
        </w:rPr>
      </w:r>
      <w:r>
        <w:rPr>
          <w:spacing w:val="-2"/>
        </w:rPr>
        <w:t>学的方式进行传染感染疾病的精准诊断方向。这些典型的应用不但在准确率、安全性、适用范围、可扩展性上相较于传统诊</w:t>
      </w:r>
      <w:r>
        <w:rPr>
          <w:spacing w:val="-64"/>
        </w:rPr>
        <w:t> </w:t>
      </w:r>
      <w:r>
        <w:rPr>
          <w:spacing w:val="-64"/>
        </w:rPr>
      </w:r>
      <w:r>
        <w:rPr/>
        <w:t>断方法有明显的优势，且随着检测成本的进一步下降而不断普及。</w:t>
      </w:r>
    </w:p>
    <w:p>
      <w:pPr>
        <w:pStyle w:val="BodyText"/>
        <w:spacing w:line="316" w:lineRule="auto" w:before="139"/>
        <w:ind w:right="1131" w:firstLine="360"/>
        <w:jc w:val="both"/>
      </w:pPr>
      <w:r>
        <w:rPr>
          <w:spacing w:val="-2"/>
        </w:rPr>
        <w:t>基因组相关产业已形成了包含科学发现、技术发明、产业发展的完整产业链条。高通量基因测序仪的代表企业是华大智</w:t>
      </w:r>
      <w:r>
        <w:rPr/>
        <w:t> 造（华大基因同一控制人下的关联公司）、美国</w:t>
      </w:r>
      <w:r>
        <w:rPr>
          <w:rFonts w:ascii="Times New Roman" w:hAnsi="Times New Roman" w:cs="Times New Roman" w:eastAsia="Times New Roman" w:hint="default"/>
        </w:rPr>
        <w:t>Illumina,</w:t>
      </w:r>
      <w:r>
        <w:rPr>
          <w:rFonts w:ascii="Times New Roman" w:hAnsi="Times New Roman" w:cs="Times New Roman" w:eastAsia="Times New Roman" w:hint="default"/>
          <w:spacing w:val="-7"/>
        </w:rPr>
        <w:t> </w:t>
      </w:r>
      <w:r>
        <w:rPr>
          <w:rFonts w:ascii="Times New Roman" w:hAnsi="Times New Roman" w:cs="Times New Roman" w:eastAsia="Times New Roman" w:hint="default"/>
        </w:rPr>
        <w:t>Inc.</w:t>
      </w:r>
      <w:r>
        <w:rPr/>
        <w:t>（公司于</w:t>
      </w:r>
      <w:r>
        <w:rPr>
          <w:rFonts w:ascii="Times New Roman" w:hAnsi="Times New Roman" w:cs="Times New Roman" w:eastAsia="Times New Roman" w:hint="default"/>
        </w:rPr>
        <w:t>2018</w:t>
      </w:r>
      <w:r>
        <w:rPr/>
        <w:t>年宣布收购</w:t>
      </w:r>
      <w:r>
        <w:rPr>
          <w:rFonts w:ascii="Times New Roman" w:hAnsi="Times New Roman" w:cs="Times New Roman" w:eastAsia="Times New Roman" w:hint="default"/>
        </w:rPr>
        <w:t>PacBio</w:t>
      </w:r>
      <w:r>
        <w:rPr/>
        <w:t>）。</w:t>
      </w:r>
    </w:p>
    <w:p>
      <w:pPr>
        <w:pStyle w:val="BodyText"/>
        <w:spacing w:line="307" w:lineRule="auto" w:before="119"/>
        <w:ind w:right="1130" w:firstLine="360"/>
        <w:jc w:val="both"/>
      </w:pPr>
      <w:r>
        <w:rPr>
          <w:spacing w:val="-2"/>
        </w:rPr>
        <w:t>高通量基因测序技术在早期主要被应用于科研服务，中国的代表机构是华大基因、中国科学院北京基因组研究所等；国</w:t>
      </w:r>
      <w:r>
        <w:rPr/>
        <w:t> 外代表机构主要是</w:t>
      </w:r>
      <w:r>
        <w:rPr>
          <w:rFonts w:ascii="Times New Roman" w:hAnsi="Times New Roman" w:cs="Times New Roman" w:eastAsia="Times New Roman" w:hint="default"/>
        </w:rPr>
        <w:t>Macrogen</w:t>
      </w:r>
      <w:r>
        <w:rPr/>
        <w:t>公司，以及类似</w:t>
      </w:r>
      <w:r>
        <w:rPr>
          <w:rFonts w:ascii="Times New Roman" w:hAnsi="Times New Roman" w:cs="Times New Roman" w:eastAsia="Times New Roman" w:hint="default"/>
        </w:rPr>
        <w:t>Wellcome</w:t>
      </w:r>
      <w:r>
        <w:rPr>
          <w:rFonts w:ascii="Times New Roman" w:hAnsi="Times New Roman" w:cs="Times New Roman" w:eastAsia="Times New Roman" w:hint="default"/>
          <w:spacing w:val="-32"/>
        </w:rPr>
        <w:t> </w:t>
      </w:r>
      <w:r>
        <w:rPr>
          <w:rFonts w:ascii="Times New Roman" w:hAnsi="Times New Roman" w:cs="Times New Roman" w:eastAsia="Times New Roman" w:hint="default"/>
        </w:rPr>
        <w:t>Trust</w:t>
      </w:r>
      <w:r>
        <w:rPr>
          <w:rFonts w:ascii="Times New Roman" w:hAnsi="Times New Roman" w:cs="Times New Roman" w:eastAsia="Times New Roman" w:hint="default"/>
          <w:spacing w:val="-32"/>
        </w:rPr>
        <w:t> </w:t>
      </w:r>
      <w:r>
        <w:rPr>
          <w:rFonts w:ascii="Times New Roman" w:hAnsi="Times New Roman" w:cs="Times New Roman" w:eastAsia="Times New Roman" w:hint="default"/>
        </w:rPr>
        <w:t>Sanger</w:t>
      </w:r>
      <w:r>
        <w:rPr>
          <w:rFonts w:ascii="Times New Roman" w:hAnsi="Times New Roman" w:cs="Times New Roman" w:eastAsia="Times New Roman" w:hint="default"/>
          <w:spacing w:val="-32"/>
        </w:rPr>
        <w:t> </w:t>
      </w:r>
      <w:r>
        <w:rPr>
          <w:rFonts w:ascii="Times New Roman" w:hAnsi="Times New Roman" w:cs="Times New Roman" w:eastAsia="Times New Roman" w:hint="default"/>
        </w:rPr>
        <w:t>Institute</w:t>
      </w:r>
      <w:r>
        <w:rPr/>
        <w:t>等研究机构。全球范围内拥有高深度人全基因组测 序技术平台的代表企业仅有中国华大智造和美国</w:t>
      </w:r>
      <w:r>
        <w:rPr>
          <w:rFonts w:ascii="Times New Roman" w:hAnsi="Times New Roman" w:cs="Times New Roman" w:eastAsia="Times New Roman" w:hint="default"/>
        </w:rPr>
        <w:t>Illumina</w:t>
      </w:r>
      <w:r>
        <w:rPr/>
        <w:t>。利用独有的</w:t>
      </w:r>
      <w:r>
        <w:rPr>
          <w:rFonts w:ascii="Times New Roman" w:hAnsi="Times New Roman" w:cs="Times New Roman" w:eastAsia="Times New Roman" w:hint="default"/>
        </w:rPr>
        <w:t>stLFR</w:t>
      </w:r>
      <w:r>
        <w:rPr/>
        <w:t>建库技术、</w:t>
      </w:r>
      <w:r>
        <w:rPr>
          <w:rFonts w:ascii="Times New Roman" w:hAnsi="Times New Roman" w:cs="Times New Roman" w:eastAsia="Times New Roman" w:hint="default"/>
        </w:rPr>
        <w:t>BGI</w:t>
      </w:r>
      <w:r>
        <w:rPr>
          <w:rFonts w:ascii="Times New Roman" w:hAnsi="Times New Roman" w:cs="Times New Roman" w:eastAsia="Times New Roman" w:hint="default"/>
          <w:spacing w:val="7"/>
        </w:rPr>
        <w:t> </w:t>
      </w:r>
      <w:r>
        <w:rPr>
          <w:rFonts w:ascii="Times New Roman" w:hAnsi="Times New Roman" w:cs="Times New Roman" w:eastAsia="Times New Roman" w:hint="default"/>
        </w:rPr>
        <w:t>Online</w:t>
      </w:r>
      <w:r>
        <w:rPr/>
        <w:t>云计算平台、</w:t>
      </w:r>
      <w:r>
        <w:rPr>
          <w:rFonts w:ascii="Times New Roman" w:hAnsi="Times New Roman" w:cs="Times New Roman" w:eastAsia="Times New Roman" w:hint="default"/>
        </w:rPr>
        <w:t>MegaBOLT </w:t>
      </w:r>
      <w:r>
        <w:rPr/>
        <w:t>生物信息分析加速器等，华大基因基于自主平台提供的人全基因组测序服务全球领先。</w:t>
      </w:r>
    </w:p>
    <w:p>
      <w:pPr>
        <w:pStyle w:val="BodyText"/>
        <w:spacing w:line="309" w:lineRule="auto" w:before="146"/>
        <w:ind w:right="1132" w:firstLine="360"/>
        <w:jc w:val="both"/>
      </w:pPr>
      <w:r>
        <w:rPr>
          <w:spacing w:val="-2"/>
        </w:rPr>
        <w:t>高通量基因测序技术目前最广泛的应用是在临床医学服务，代表性的应用有无创产前基因检测，中国的代表企业是华大</w:t>
      </w:r>
      <w:r>
        <w:rPr/>
        <w:t> 基因和贝瑞基因；国外代表企业包括美国</w:t>
      </w:r>
      <w:r>
        <w:rPr>
          <w:rFonts w:ascii="Times New Roman" w:hAnsi="Times New Roman" w:cs="Times New Roman" w:eastAsia="Times New Roman" w:hint="default"/>
        </w:rPr>
        <w:t>Natera</w:t>
      </w:r>
      <w:r>
        <w:rPr/>
        <w:t>、</w:t>
      </w:r>
      <w:r>
        <w:rPr>
          <w:rFonts w:ascii="Times New Roman" w:hAnsi="Times New Roman" w:cs="Times New Roman" w:eastAsia="Times New Roman" w:hint="default"/>
        </w:rPr>
        <w:t>LabCorp</w:t>
      </w:r>
      <w:r>
        <w:rPr/>
        <w:t>（公司于</w:t>
      </w:r>
      <w:r>
        <w:rPr>
          <w:rFonts w:ascii="Times New Roman" w:hAnsi="Times New Roman" w:cs="Times New Roman" w:eastAsia="Times New Roman" w:hint="default"/>
        </w:rPr>
        <w:t>2016</w:t>
      </w:r>
      <w:r>
        <w:rPr/>
        <w:t>年收购</w:t>
      </w:r>
      <w:r>
        <w:rPr>
          <w:rFonts w:ascii="Times New Roman" w:hAnsi="Times New Roman" w:cs="Times New Roman" w:eastAsia="Times New Roman" w:hint="default"/>
        </w:rPr>
        <w:t>Sequenom</w:t>
      </w:r>
      <w:r>
        <w:rPr/>
        <w:t>）、瑞士罗氏公司（公司于</w:t>
      </w:r>
      <w:r>
        <w:rPr>
          <w:rFonts w:ascii="Times New Roman" w:hAnsi="Times New Roman" w:cs="Times New Roman" w:eastAsia="Times New Roman" w:hint="default"/>
        </w:rPr>
        <w:t>2014</w:t>
      </w:r>
      <w:r>
        <w:rPr/>
        <w:t>年</w:t>
      </w:r>
      <w:r>
        <w:rPr>
          <w:spacing w:val="-84"/>
        </w:rPr>
        <w:t> </w:t>
      </w:r>
      <w:r>
        <w:rPr/>
        <w:t>收购</w:t>
      </w:r>
      <w:r>
        <w:rPr>
          <w:rFonts w:ascii="Times New Roman" w:hAnsi="Times New Roman" w:cs="Times New Roman" w:eastAsia="Times New Roman" w:hint="default"/>
        </w:rPr>
        <w:t>Ariosa</w:t>
      </w:r>
      <w:r>
        <w:rPr/>
        <w:t>）、</w:t>
      </w:r>
      <w:r>
        <w:rPr>
          <w:rFonts w:ascii="Times New Roman" w:hAnsi="Times New Roman" w:cs="Times New Roman" w:eastAsia="Times New Roman" w:hint="default"/>
        </w:rPr>
        <w:t>Eurofins( </w:t>
      </w:r>
      <w:r>
        <w:rPr/>
        <w:t>公司于</w:t>
      </w:r>
      <w:r>
        <w:rPr>
          <w:rFonts w:ascii="Times New Roman" w:hAnsi="Times New Roman" w:cs="Times New Roman" w:eastAsia="Times New Roman" w:hint="default"/>
        </w:rPr>
        <w:t>2017</w:t>
      </w:r>
      <w:r>
        <w:rPr/>
        <w:t>年收购</w:t>
      </w:r>
      <w:r>
        <w:rPr>
          <w:rFonts w:ascii="Times New Roman" w:hAnsi="Times New Roman" w:cs="Times New Roman" w:eastAsia="Times New Roman" w:hint="default"/>
        </w:rPr>
        <w:t>LifeCodexx)</w:t>
      </w:r>
      <w:r>
        <w:rPr/>
        <w:t>、美国</w:t>
      </w:r>
      <w:r>
        <w:rPr>
          <w:rFonts w:ascii="Times New Roman" w:hAnsi="Times New Roman" w:cs="Times New Roman" w:eastAsia="Times New Roman" w:hint="default"/>
        </w:rPr>
        <w:t>Illumina, Inc.</w:t>
      </w:r>
      <w:r>
        <w:rPr/>
        <w:t>（公司于</w:t>
      </w:r>
      <w:r>
        <w:rPr>
          <w:rFonts w:ascii="Times New Roman" w:hAnsi="Times New Roman" w:cs="Times New Roman" w:eastAsia="Times New Roman" w:hint="default"/>
        </w:rPr>
        <w:t>2013</w:t>
      </w:r>
      <w:r>
        <w:rPr/>
        <w:t>年收购</w:t>
      </w:r>
      <w:r>
        <w:rPr>
          <w:rFonts w:ascii="Times New Roman" w:hAnsi="Times New Roman" w:cs="Times New Roman" w:eastAsia="Times New Roman" w:hint="default"/>
        </w:rPr>
        <w:t>Verinata</w:t>
      </w:r>
      <w:r>
        <w:rPr>
          <w:rFonts w:ascii="Times New Roman" w:hAnsi="Times New Roman" w:cs="Times New Roman" w:eastAsia="Times New Roman" w:hint="default"/>
          <w:spacing w:val="10"/>
        </w:rPr>
        <w:t> </w:t>
      </w:r>
      <w:r>
        <w:rPr>
          <w:rFonts w:ascii="Times New Roman" w:hAnsi="Times New Roman" w:cs="Times New Roman" w:eastAsia="Times New Roman" w:hint="default"/>
        </w:rPr>
        <w:t>Health</w:t>
      </w:r>
      <w:r>
        <w:rPr/>
        <w:t>）。</w:t>
      </w:r>
    </w:p>
    <w:p>
      <w:pPr>
        <w:pStyle w:val="BodyText"/>
        <w:spacing w:line="316" w:lineRule="auto" w:before="125"/>
        <w:ind w:right="1034" w:firstLine="360"/>
        <w:jc w:val="left"/>
      </w:pPr>
      <w:r>
        <w:rPr/>
        <w:t>基因测序技术在临床医学服务中重要应用有肿瘤防控基因检测。目前肿瘤辅助诊断手段包括分子检测（包含高通量测 序）、质谱、免疫检测、生化检测等，各技术在应用场景上有所互补。我国肿瘤基因检测处于行业生命周期中的成长阶段，</w:t>
      </w:r>
      <w:r>
        <w:rPr>
          <w:spacing w:val="-83"/>
        </w:rPr>
        <w:t> </w:t>
      </w:r>
      <w:r>
        <w:rPr>
          <w:spacing w:val="-83"/>
        </w:rPr>
      </w:r>
      <w:r>
        <w:rPr>
          <w:spacing w:val="-2"/>
        </w:rPr>
        <w:t>尚未建立统一的行业规范。行业内众多公司均在加速核心技术开发、加强数据分析能力方面寻找临床应用切入点、构建完整</w:t>
      </w:r>
      <w:r>
        <w:rPr>
          <w:spacing w:val="-63"/>
        </w:rPr>
        <w:t> </w:t>
      </w:r>
      <w:r>
        <w:rPr>
          <w:spacing w:val="-63"/>
        </w:rPr>
      </w:r>
      <w:r>
        <w:rPr>
          <w:spacing w:val="-2"/>
        </w:rPr>
        <w:t>产业链；同时努力提高培养和保有人才的能力、拓展多组学样本获取渠道和产品服务销售渠道，加大市场准入力度，以及生</w:t>
      </w:r>
      <w:r>
        <w:rPr>
          <w:spacing w:val="-64"/>
        </w:rPr>
        <w:t> </w:t>
      </w:r>
      <w:r>
        <w:rPr>
          <w:spacing w:val="-64"/>
        </w:rPr>
      </w:r>
      <w:r>
        <w:rPr>
          <w:spacing w:val="-2"/>
        </w:rPr>
        <w:t>物信息大数据积累和平台建设。由于中美之间不断产生的贸易摩擦，依赖于国外进口仪器和试剂耗材的中下游企业未来发展</w:t>
      </w:r>
      <w:r>
        <w:rPr>
          <w:spacing w:val="-62"/>
        </w:rPr>
        <w:t> </w:t>
      </w:r>
      <w:r>
        <w:rPr>
          <w:spacing w:val="-62"/>
        </w:rPr>
      </w:r>
      <w:r>
        <w:rPr>
          <w:spacing w:val="-2"/>
        </w:rPr>
        <w:t>面临的不确定性加大，而基于自主国产测序平台，从事技术开发产品和服务的机构因政策扶持和成本可控未来有望提升在行</w:t>
      </w:r>
      <w:r>
        <w:rPr>
          <w:spacing w:val="-64"/>
        </w:rPr>
        <w:t> </w:t>
      </w:r>
      <w:r>
        <w:rPr>
          <w:spacing w:val="-64"/>
        </w:rPr>
      </w:r>
      <w:r>
        <w:rPr>
          <w:spacing w:val="-2"/>
        </w:rPr>
        <w:t>业内的主动权。在基因检测方面，肿瘤伴随诊断产业链涉足的企业较多，国内代表企业有华大基因、吉因加、泛生子等；国</w:t>
      </w:r>
      <w:r>
        <w:rPr>
          <w:spacing w:val="-70"/>
        </w:rPr>
        <w:t> </w:t>
      </w:r>
      <w:r>
        <w:rPr>
          <w:spacing w:val="-70"/>
        </w:rPr>
      </w:r>
      <w:r>
        <w:rPr/>
        <w:t>外代表企业包括</w:t>
      </w:r>
      <w:r>
        <w:rPr>
          <w:rFonts w:ascii="Times New Roman" w:hAnsi="Times New Roman" w:cs="Times New Roman" w:eastAsia="Times New Roman" w:hint="default"/>
        </w:rPr>
        <w:t>Myriad Genetics</w:t>
      </w:r>
      <w:r>
        <w:rPr/>
        <w:t>、</w:t>
      </w:r>
      <w:r>
        <w:rPr>
          <w:rFonts w:ascii="Times New Roman" w:hAnsi="Times New Roman" w:cs="Times New Roman" w:eastAsia="Times New Roman" w:hint="default"/>
        </w:rPr>
        <w:t>Foundation Medicine</w:t>
      </w:r>
      <w:r>
        <w:rPr/>
        <w:t>、</w:t>
      </w:r>
      <w:r>
        <w:rPr>
          <w:rFonts w:ascii="Times New Roman" w:hAnsi="Times New Roman" w:cs="Times New Roman" w:eastAsia="Times New Roman" w:hint="default"/>
        </w:rPr>
        <w:t>Guardant</w:t>
      </w:r>
      <w:r>
        <w:rPr>
          <w:rFonts w:ascii="Times New Roman" w:hAnsi="Times New Roman" w:cs="Times New Roman" w:eastAsia="Times New Roman" w:hint="default"/>
          <w:spacing w:val="-11"/>
        </w:rPr>
        <w:t> </w:t>
      </w:r>
      <w:r>
        <w:rPr>
          <w:rFonts w:ascii="Times New Roman" w:hAnsi="Times New Roman" w:cs="Times New Roman" w:eastAsia="Times New Roman" w:hint="default"/>
        </w:rPr>
        <w:t>Health</w:t>
      </w:r>
      <w:r>
        <w:rPr/>
        <w:t>。</w:t>
      </w:r>
    </w:p>
    <w:p>
      <w:pPr>
        <w:pStyle w:val="BodyText"/>
        <w:spacing w:line="309" w:lineRule="auto" w:before="119"/>
        <w:ind w:right="1127" w:firstLine="358"/>
        <w:jc w:val="both"/>
      </w:pPr>
      <w:r>
        <w:rPr/>
        <w:t>随着精准医疗概念的提出及测序技术的不断发展，感染防控类基因检测已成为基因测序技术在临床医学服务中的重要</w:t>
      </w:r>
      <w:r>
        <w:rPr>
          <w:spacing w:val="2"/>
        </w:rPr>
        <w:t> </w:t>
      </w:r>
      <w:r>
        <w:rPr>
          <w:spacing w:val="-1"/>
        </w:rPr>
        <w:t>应用领域。在病原微生物检测方面，公司率先依托高通量测序平台，结合宏基因组学技术独家推出了主力产品</w:t>
      </w:r>
      <w:r>
        <w:rPr>
          <w:rFonts w:ascii="Times New Roman" w:hAnsi="Times New Roman" w:cs="Times New Roman" w:eastAsia="Times New Roman" w:hint="default"/>
          <w:spacing w:val="-1"/>
        </w:rPr>
        <w:t>PMseq</w:t>
      </w:r>
      <w:r>
        <w:rPr>
          <w:spacing w:val="-1"/>
        </w:rPr>
        <w:t>感染高</w:t>
      </w:r>
      <w:r>
        <w:rPr>
          <w:spacing w:val="-82"/>
        </w:rPr>
        <w:t> </w:t>
      </w:r>
      <w:r>
        <w:rPr>
          <w:spacing w:val="-82"/>
        </w:rPr>
      </w:r>
      <w:r>
        <w:rPr/>
        <w:t>通量基因检测。除此之外，以多重</w:t>
      </w:r>
      <w:r>
        <w:rPr>
          <w:rFonts w:ascii="Times New Roman" w:hAnsi="Times New Roman" w:cs="Times New Roman" w:eastAsia="Times New Roman" w:hint="default"/>
        </w:rPr>
        <w:t>PCR</w:t>
      </w:r>
      <w:r>
        <w:rPr/>
        <w:t>、微流控等技术为依托的新型基因检测技术的市场份额逐渐提升。</w:t>
      </w:r>
    </w:p>
    <w:p>
      <w:pPr>
        <w:pStyle w:val="Heading5"/>
        <w:spacing w:line="240" w:lineRule="auto" w:before="125"/>
        <w:ind w:left="510" w:right="1133"/>
        <w:jc w:val="left"/>
        <w:rPr>
          <w:b w:val="0"/>
          <w:bCs w:val="0"/>
        </w:rPr>
      </w:pPr>
      <w:r>
        <w:rPr>
          <w:rFonts w:ascii="Times New Roman" w:hAnsi="Times New Roman" w:cs="Times New Roman" w:eastAsia="Times New Roman" w:hint="default"/>
        </w:rPr>
        <w:t>3</w:t>
      </w:r>
      <w:r>
        <w:rPr/>
        <w:t>、公司所处的行业地位</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right="1131" w:firstLine="360"/>
        <w:jc w:val="both"/>
      </w:pPr>
      <w:r>
        <w:rPr>
          <w:spacing w:val="-2"/>
        </w:rPr>
        <w:t>作为全球基因行业的开拓者和奠基者，立足于技术先进、配置齐全和规模巨大的多组学产出平台，经过近二十年的人才</w:t>
      </w:r>
      <w:r>
        <w:rPr/>
        <w:t> </w:t>
      </w:r>
      <w:r>
        <w:rPr>
          <w:spacing w:val="-2"/>
        </w:rPr>
        <w:t>积聚、科研积累和产业积淀，华大基因已建成覆盖国内所有省市自治区和海外百余个国家的营销服务网络，成为了全球屈指</w:t>
      </w:r>
      <w:r>
        <w:rPr>
          <w:spacing w:val="-64"/>
        </w:rPr>
        <w:t> </w:t>
      </w:r>
      <w:r>
        <w:rPr>
          <w:spacing w:val="-64"/>
        </w:rPr>
      </w:r>
      <w:r>
        <w:rPr>
          <w:spacing w:val="-2"/>
        </w:rPr>
        <w:t>可数的掌握基因行业全产业链及全应用领域关键要素的科技公司，并致力于将自身打造为全球领先的基因大数据中心、科学</w:t>
      </w:r>
      <w:r>
        <w:rPr>
          <w:spacing w:val="-64"/>
        </w:rPr>
        <w:t> </w:t>
      </w:r>
      <w:r>
        <w:rPr>
          <w:spacing w:val="-64"/>
        </w:rPr>
      </w:r>
      <w:r>
        <w:rPr/>
        <w:t>技术服务提供商和精准医疗服务运营商。</w:t>
      </w:r>
    </w:p>
    <w:p>
      <w:pPr>
        <w:pStyle w:val="BodyText"/>
        <w:spacing w:line="300" w:lineRule="auto" w:before="137"/>
        <w:ind w:right="1129" w:firstLine="360"/>
        <w:jc w:val="both"/>
      </w:pPr>
      <w:r>
        <w:rPr>
          <w:spacing w:val="-2"/>
        </w:rPr>
        <w:t>人才积聚上，公司核心管理团队在基因组学相关行业平均从业年限超过</w:t>
      </w:r>
      <w:r>
        <w:rPr>
          <w:rFonts w:ascii="Times New Roman" w:hAnsi="Times New Roman" w:cs="Times New Roman" w:eastAsia="Times New Roman" w:hint="default"/>
          <w:spacing w:val="-2"/>
        </w:rPr>
        <w:t>10</w:t>
      </w:r>
      <w:r>
        <w:rPr>
          <w:spacing w:val="-2"/>
        </w:rPr>
        <w:t>年，整体积聚了一批高学历、高专业水平的年</w:t>
      </w:r>
      <w:r>
        <w:rPr/>
        <w:t> 轻化优秀员工，已成为公司发展的中坚力量，引领了行业人才标准。</w:t>
      </w:r>
    </w:p>
    <w:p>
      <w:pPr>
        <w:pStyle w:val="BodyText"/>
        <w:spacing w:line="300" w:lineRule="auto" w:before="151"/>
        <w:ind w:right="1133" w:firstLine="360"/>
        <w:jc w:val="both"/>
      </w:pPr>
      <w:r>
        <w:rPr>
          <w:spacing w:val="2"/>
        </w:rPr>
        <w:t>科研积累上，截至报告期末，公司累计参与发表</w:t>
      </w:r>
      <w:r>
        <w:rPr>
          <w:rFonts w:ascii="Times New Roman" w:hAnsi="Times New Roman" w:cs="Times New Roman" w:eastAsia="Times New Roman" w:hint="default"/>
          <w:spacing w:val="2"/>
        </w:rPr>
        <w:t>1,270</w:t>
      </w:r>
      <w:r>
        <w:rPr>
          <w:spacing w:val="2"/>
        </w:rPr>
        <w:t>篇文章（其中</w:t>
      </w:r>
      <w:r>
        <w:rPr>
          <w:rFonts w:ascii="Times New Roman" w:hAnsi="Times New Roman" w:cs="Times New Roman" w:eastAsia="Times New Roman" w:hint="default"/>
          <w:spacing w:val="2"/>
        </w:rPr>
        <w:t>SCI </w:t>
      </w:r>
      <w:r>
        <w:rPr>
          <w:rFonts w:ascii="Times New Roman" w:hAnsi="Times New Roman" w:cs="Times New Roman" w:eastAsia="Times New Roman" w:hint="default"/>
        </w:rPr>
        <w:t>1,147</w:t>
      </w:r>
      <w:r>
        <w:rPr/>
        <w:t>篇，</w:t>
      </w:r>
      <w:r>
        <w:rPr>
          <w:rFonts w:ascii="Times New Roman" w:hAnsi="Times New Roman" w:cs="Times New Roman" w:eastAsia="Times New Roman" w:hint="default"/>
        </w:rPr>
        <w:t>CNNS</w:t>
      </w:r>
      <w:r>
        <w:rPr>
          <w:rFonts w:ascii="Times New Roman" w:hAnsi="Times New Roman" w:cs="Times New Roman" w:eastAsia="Times New Roman" w:hint="default"/>
          <w:spacing w:val="1"/>
        </w:rPr>
        <w:t> </w:t>
      </w:r>
      <w:r>
        <w:rPr>
          <w:rFonts w:ascii="Times New Roman" w:hAnsi="Times New Roman" w:cs="Times New Roman" w:eastAsia="Times New Roman" w:hint="default"/>
        </w:rPr>
        <w:t>105</w:t>
      </w:r>
      <w:r>
        <w:rPr/>
        <w:t>篇），累计影响因子为</w:t>
      </w:r>
      <w:r>
        <w:rPr>
          <w:spacing w:val="2"/>
        </w:rPr>
        <w:t> </w:t>
      </w:r>
      <w:r>
        <w:rPr>
          <w:rFonts w:ascii="Times New Roman" w:hAnsi="Times New Roman" w:cs="Times New Roman" w:eastAsia="Times New Roman" w:hint="default"/>
        </w:rPr>
        <w:t>10,737.816</w:t>
      </w:r>
      <w:r>
        <w:rPr/>
        <w:t>。</w:t>
      </w:r>
    </w:p>
    <w:p>
      <w:pPr>
        <w:pStyle w:val="BodyText"/>
        <w:spacing w:line="300" w:lineRule="auto" w:before="133"/>
        <w:ind w:right="1128" w:firstLine="360"/>
        <w:jc w:val="both"/>
      </w:pPr>
      <w:r>
        <w:rPr/>
        <w:t>产业积淀上，公司核心业务覆盖全产业链，上游测序仪和配套试剂自主可控，中游在全球范围内运行超过</w:t>
      </w:r>
      <w:r>
        <w:rPr>
          <w:rFonts w:ascii="Times New Roman" w:hAnsi="Times New Roman" w:cs="Times New Roman" w:eastAsia="Times New Roman" w:hint="default"/>
        </w:rPr>
        <w:t>200</w:t>
      </w:r>
      <w:r>
        <w:rPr/>
        <w:t>个基因组 学实验室，公司拥有测序、质谱在内的，具有领先的资质优势，下至行业各细分领域进行布局。</w:t>
      </w:r>
    </w:p>
    <w:p>
      <w:pPr>
        <w:pStyle w:val="BodyText"/>
        <w:spacing w:line="316" w:lineRule="auto" w:before="152"/>
        <w:ind w:right="1133" w:firstLine="360"/>
        <w:jc w:val="both"/>
      </w:pPr>
      <w:r>
        <w:rPr>
          <w:spacing w:val="-2"/>
        </w:rPr>
        <w:t>核心业务上，公司核心业务基本涵盖了当前精准医学的主要应用，包括生育健康领域、肿瘤防控领域、病原感染检测领</w:t>
      </w:r>
      <w:r>
        <w:rPr/>
        <w:t> 域，并与之配套建设了系列数据库。</w:t>
      </w:r>
    </w:p>
    <w:p>
      <w:pPr>
        <w:spacing w:after="0" w:line="316"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986" w:firstLine="360"/>
        <w:jc w:val="left"/>
      </w:pPr>
      <w:r>
        <w:rPr>
          <w:spacing w:val="-2"/>
        </w:rPr>
        <w:t>渠道优势上，公司业务已经覆盖了全球</w:t>
      </w:r>
      <w:r>
        <w:rPr>
          <w:rFonts w:ascii="Times New Roman" w:hAnsi="Times New Roman" w:cs="Times New Roman" w:eastAsia="Times New Roman" w:hint="default"/>
          <w:spacing w:val="-2"/>
        </w:rPr>
        <w:t>100</w:t>
      </w:r>
      <w:r>
        <w:rPr>
          <w:spacing w:val="-2"/>
        </w:rPr>
        <w:t>多个国家和地区，包括中国境内</w:t>
      </w:r>
      <w:r>
        <w:rPr>
          <w:rFonts w:ascii="Times New Roman" w:hAnsi="Times New Roman" w:cs="Times New Roman" w:eastAsia="Times New Roman" w:hint="default"/>
          <w:spacing w:val="-2"/>
        </w:rPr>
        <w:t>2,000</w:t>
      </w:r>
      <w:r>
        <w:rPr>
          <w:spacing w:val="-2"/>
        </w:rPr>
        <w:t>多家科研机构和</w:t>
      </w:r>
      <w:r>
        <w:rPr>
          <w:rFonts w:ascii="Times New Roman" w:hAnsi="Times New Roman" w:cs="Times New Roman" w:eastAsia="Times New Roman" w:hint="default"/>
          <w:spacing w:val="-2"/>
        </w:rPr>
        <w:t>2,300</w:t>
      </w:r>
      <w:r>
        <w:rPr>
          <w:spacing w:val="-2"/>
        </w:rPr>
        <w:t>多家医疗机构，其</w:t>
      </w:r>
      <w:r>
        <w:rPr/>
        <w:t> 中三甲医院</w:t>
      </w:r>
      <w:r>
        <w:rPr>
          <w:rFonts w:ascii="Times New Roman" w:hAnsi="Times New Roman" w:cs="Times New Roman" w:eastAsia="Times New Roman" w:hint="default"/>
        </w:rPr>
        <w:t>300</w:t>
      </w:r>
      <w:r>
        <w:rPr/>
        <w:t>多家；欧洲、美洲、亚太等地区合作的海外医疗和科研机构超过</w:t>
      </w:r>
      <w:r>
        <w:rPr>
          <w:rFonts w:ascii="Times New Roman" w:hAnsi="Times New Roman" w:cs="Times New Roman" w:eastAsia="Times New Roman" w:hint="default"/>
        </w:rPr>
        <w:t>3,000</w:t>
      </w:r>
      <w:r>
        <w:rPr/>
        <w:t>家。</w:t>
      </w:r>
    </w:p>
    <w:p>
      <w:pPr>
        <w:pStyle w:val="BodyText"/>
        <w:spacing w:line="316" w:lineRule="auto" w:before="133"/>
        <w:ind w:right="1130" w:firstLine="360"/>
        <w:jc w:val="both"/>
      </w:pPr>
      <w:r>
        <w:rPr>
          <w:spacing w:val="-5"/>
        </w:rPr>
        <w:t>公司核心业务覆盖全产业链，拥有全球领先的基因组大数据中心，核心业务具备全产业链资源，更涵盖新一代组学技术，</w:t>
      </w:r>
      <w:r>
        <w:rPr/>
        <w:t> </w:t>
      </w:r>
      <w:r>
        <w:rPr>
          <w:spacing w:val="-2"/>
        </w:rPr>
        <w:t>特别是基因测序和质谱检测领域的人才中心、标准中心、研发中心、样本中心及数据中心。公司已成为全球少数具备全产业</w:t>
      </w:r>
      <w:r>
        <w:rPr>
          <w:spacing w:val="-64"/>
        </w:rPr>
        <w:t> </w:t>
      </w:r>
      <w:r>
        <w:rPr>
          <w:spacing w:val="-64"/>
        </w:rPr>
      </w:r>
      <w:r>
        <w:rPr>
          <w:spacing w:val="-2"/>
        </w:rPr>
        <w:t>链资源的多组学科学技术服务提供商和医疗服务运营商，上游测序仪和配套试剂自主可控，具有领先的资质优势，下至行业</w:t>
      </w:r>
      <w:r>
        <w:rPr>
          <w:spacing w:val="-66"/>
        </w:rPr>
        <w:t> </w:t>
      </w:r>
      <w:r>
        <w:rPr>
          <w:spacing w:val="-66"/>
        </w:rPr>
      </w:r>
      <w:r>
        <w:rPr/>
        <w:t>各细分领域进行布局，把握行业核心竞争力，是业内具有全产业链优势的基因测序龙头企业。</w:t>
      </w:r>
    </w:p>
    <w:p>
      <w:pPr>
        <w:pStyle w:val="BodyText"/>
        <w:spacing w:line="316" w:lineRule="auto" w:before="139"/>
        <w:ind w:right="1034" w:firstLine="360"/>
        <w:jc w:val="left"/>
      </w:pPr>
      <w:r>
        <w:rPr>
          <w:spacing w:val="-2"/>
        </w:rPr>
        <w:t>公司基于自主可控的测序技术和平台，从预防、早筛、诊疗、监测四个维度全面建立低中高配、具有差异化的肿瘤基因</w:t>
      </w:r>
      <w:r>
        <w:rPr/>
        <w:t> </w:t>
      </w:r>
      <w:r>
        <w:rPr>
          <w:spacing w:val="-2"/>
        </w:rPr>
        <w:t>检测产品线。主要核心产品为肿瘤个体化用药指导基因检测。临床试验和大规模人群验证后，公司正在努力推进肠癌血液早</w:t>
      </w:r>
      <w:r>
        <w:rPr>
          <w:spacing w:val="-63"/>
        </w:rPr>
        <w:t> </w:t>
      </w:r>
      <w:r>
        <w:rPr>
          <w:spacing w:val="-63"/>
        </w:rPr>
      </w:r>
      <w:r>
        <w:rPr/>
        <w:t>筛、泛癌种多组学早筛、多癌种以及全外显子基因检测，其中泛癌种多组学早筛测试中里，其敏感性和特异性等性能较好，</w:t>
      </w:r>
      <w:r>
        <w:rPr>
          <w:spacing w:val="-83"/>
        </w:rPr>
        <w:t> </w:t>
      </w:r>
      <w:r>
        <w:rPr>
          <w:spacing w:val="-83"/>
        </w:rPr>
      </w:r>
      <w:r>
        <w:rPr>
          <w:spacing w:val="-2"/>
        </w:rPr>
        <w:t>目前已有资质申报计划。在产品资质申报方面，</w:t>
      </w:r>
      <w:r>
        <w:rPr>
          <w:rFonts w:ascii="Times New Roman" w:hAnsi="Times New Roman" w:cs="Times New Roman" w:eastAsia="Times New Roman" w:hint="default"/>
          <w:spacing w:val="-2"/>
        </w:rPr>
        <w:t>BRCA1/2</w:t>
      </w:r>
      <w:r>
        <w:rPr>
          <w:spacing w:val="-2"/>
        </w:rPr>
        <w:t>基因突变检测试剂盒成为中国首个获得国家食品药品监督管理总局</w:t>
      </w:r>
    </w:p>
    <w:p>
      <w:pPr>
        <w:pStyle w:val="BodyText"/>
        <w:spacing w:line="249" w:lineRule="exact"/>
        <w:ind w:right="1133"/>
        <w:jc w:val="left"/>
      </w:pPr>
      <w:r>
        <w:rPr/>
        <w:t>（现国家药监局）创新特别审批的</w:t>
      </w:r>
      <w:r>
        <w:rPr>
          <w:rFonts w:ascii="Times New Roman" w:hAnsi="Times New Roman" w:cs="Times New Roman" w:eastAsia="Times New Roman" w:hint="default"/>
        </w:rPr>
        <w:t>BRCA1/2</w:t>
      </w:r>
      <w:r>
        <w:rPr/>
        <w:t>基因检测试剂盒。</w:t>
      </w:r>
    </w:p>
    <w:p>
      <w:pPr>
        <w:spacing w:line="240" w:lineRule="auto" w:before="13"/>
        <w:rPr>
          <w:rFonts w:ascii="宋体" w:hAnsi="宋体" w:cs="宋体" w:eastAsia="宋体" w:hint="default"/>
          <w:sz w:val="13"/>
          <w:szCs w:val="13"/>
        </w:rPr>
      </w:pPr>
    </w:p>
    <w:p>
      <w:pPr>
        <w:pStyle w:val="BodyText"/>
        <w:spacing w:line="316" w:lineRule="auto"/>
        <w:ind w:right="1229" w:firstLine="360"/>
        <w:jc w:val="both"/>
      </w:pPr>
      <w:r>
        <w:rPr/>
        <w:t>在病原微生物传统检测方面，公司检验项目产品线较为丰富，市场服务水平不断提升，已逐渐成为国内体外诊断行业 平台最齐全的企业之一。目前拥有酶联免疫检测技术平台、化学发光检测技术平台、联合检测技术平台、核酸检测技术平 台以及胶体金检测技术平台等，在传统检测领域占据了一定的市场份额。在以基因测序技术为代表的病原微生物检测技术 方面，公司作为病原微生物高通量测序领域的领先企业，充分发挥全产业链的优势，在感染防控行业各细分领域进行制高 点布局，确保先发优势和渠道核心竞争力。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4"/>
        <w:ind w:right="1133"/>
        <w:jc w:val="left"/>
        <w:rPr>
          <w:b w:val="0"/>
          <w:bCs w:val="0"/>
        </w:rPr>
      </w:pPr>
      <w:r>
        <w:rPr/>
        <w:t>二、主要资产重大变化情况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051"/>
        <w:gridCol w:w="6517"/>
      </w:tblGrid>
      <w:tr>
        <w:trPr>
          <w:trHeight w:val="185"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固定资产增长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47.04%</w:t>
            </w:r>
            <w:r>
              <w:rPr>
                <w:rFonts w:ascii="宋体" w:hAnsi="宋体" w:cs="宋体" w:eastAsia="宋体" w:hint="default"/>
                <w:sz w:val="18"/>
                <w:szCs w:val="18"/>
              </w:rPr>
              <w:t>，主要系生产规模扩大，设备投入增加所致。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在建工程较期初增加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489.78%</w:t>
            </w:r>
            <w:r>
              <w:rPr>
                <w:rFonts w:ascii="宋体" w:hAnsi="宋体" w:cs="宋体" w:eastAsia="宋体" w:hint="default"/>
                <w:sz w:val="18"/>
                <w:szCs w:val="18"/>
              </w:rPr>
              <w:t>，主要系待安装设备增加所致。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长期股权投资增长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143.33%</w:t>
            </w:r>
            <w:r>
              <w:rPr>
                <w:rFonts w:ascii="宋体" w:hAnsi="宋体" w:cs="宋体" w:eastAsia="宋体" w:hint="default"/>
                <w:sz w:val="18"/>
                <w:szCs w:val="18"/>
              </w:rPr>
              <w:t>，主要系报告期公司增加联营、合营企业投资所致。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应收票据及应收账款增长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52.72%</w:t>
            </w:r>
            <w:r>
              <w:rPr>
                <w:rFonts w:ascii="宋体" w:hAnsi="宋体" w:cs="宋体" w:eastAsia="宋体" w:hint="default"/>
                <w:sz w:val="18"/>
                <w:szCs w:val="18"/>
              </w:rPr>
              <w:t>，主要系销售规模扩大所致。</w:t>
            </w: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预付账款增长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66.79%</w:t>
            </w:r>
            <w:r>
              <w:rPr>
                <w:rFonts w:ascii="宋体" w:hAnsi="宋体" w:cs="宋体" w:eastAsia="宋体" w:hint="default"/>
                <w:sz w:val="18"/>
                <w:szCs w:val="18"/>
              </w:rPr>
              <w:t>，主要系生产规模扩大，相应外协平台服务增加所致。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其他应收款增长</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115.24%</w:t>
            </w:r>
            <w:r>
              <w:rPr>
                <w:rFonts w:ascii="宋体" w:hAnsi="宋体" w:cs="宋体" w:eastAsia="宋体" w:hint="default"/>
                <w:sz w:val="18"/>
                <w:szCs w:val="18"/>
              </w:rPr>
              <w:t>，主要系押金和保证金增加所致。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存货增长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74.56%</w:t>
            </w:r>
            <w:r>
              <w:rPr>
                <w:rFonts w:ascii="宋体" w:hAnsi="宋体" w:cs="宋体" w:eastAsia="宋体" w:hint="default"/>
                <w:sz w:val="18"/>
                <w:szCs w:val="18"/>
              </w:rPr>
              <w:t>，主要系销售规模扩大，相应的原材料及产成品增加所致。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其他流动资产减少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67.99%</w:t>
            </w:r>
            <w:r>
              <w:rPr>
                <w:rFonts w:ascii="宋体" w:hAnsi="宋体" w:cs="宋体" w:eastAsia="宋体" w:hint="default"/>
                <w:sz w:val="18"/>
                <w:szCs w:val="18"/>
              </w:rPr>
              <w:t>，主要系一年内到期的银行理财产品及利息减少所致。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递延所得资产增长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45.90%</w:t>
            </w:r>
            <w:r>
              <w:rPr>
                <w:rFonts w:ascii="宋体" w:hAnsi="宋体" w:cs="宋体" w:eastAsia="宋体" w:hint="default"/>
                <w:sz w:val="18"/>
                <w:szCs w:val="18"/>
              </w:rPr>
              <w:t>，主要系可抵扣亏损和资产减值准备增加所致。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其他非流动资产增长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403.97%</w:t>
            </w:r>
            <w:r>
              <w:rPr>
                <w:rFonts w:ascii="宋体" w:hAnsi="宋体" w:cs="宋体" w:eastAsia="宋体" w:hint="default"/>
                <w:sz w:val="18"/>
                <w:szCs w:val="18"/>
              </w:rPr>
              <w:t>，主要系报告期预付设备款、投资款增加所致。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066"/>
        <w:gridCol w:w="1061"/>
        <w:gridCol w:w="1064"/>
        <w:gridCol w:w="1063"/>
        <w:gridCol w:w="1066"/>
        <w:gridCol w:w="1063"/>
        <w:gridCol w:w="1063"/>
        <w:gridCol w:w="1066"/>
        <w:gridCol w:w="1058"/>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9" w:right="0"/>
              <w:jc w:val="left"/>
              <w:rPr>
                <w:rFonts w:ascii="宋体" w:hAnsi="宋体" w:cs="宋体" w:eastAsia="宋体" w:hint="default"/>
                <w:sz w:val="18"/>
                <w:szCs w:val="18"/>
              </w:rPr>
            </w:pPr>
            <w:r>
              <w:rPr>
                <w:rFonts w:ascii="宋体" w:hAnsi="宋体" w:cs="宋体" w:eastAsia="宋体" w:hint="default"/>
                <w:sz w:val="18"/>
                <w:szCs w:val="18"/>
              </w:rPr>
              <w:t>资产的具体</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7"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7"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保障资产安</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境外资产占</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 w:right="0"/>
              <w:jc w:val="left"/>
              <w:rPr>
                <w:rFonts w:ascii="宋体" w:hAnsi="宋体" w:cs="宋体" w:eastAsia="宋体" w:hint="default"/>
                <w:sz w:val="18"/>
                <w:szCs w:val="18"/>
              </w:rPr>
            </w:pPr>
            <w:r>
              <w:rPr>
                <w:rFonts w:ascii="宋体" w:hAnsi="宋体" w:cs="宋体" w:eastAsia="宋体" w:hint="default"/>
                <w:sz w:val="18"/>
                <w:szCs w:val="18"/>
              </w:rPr>
              <w:t>是否存在重</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066"/>
        <w:gridCol w:w="1061"/>
        <w:gridCol w:w="1064"/>
        <w:gridCol w:w="1063"/>
        <w:gridCol w:w="1066"/>
        <w:gridCol w:w="1063"/>
        <w:gridCol w:w="1063"/>
        <w:gridCol w:w="1066"/>
        <w:gridCol w:w="1058"/>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45"/>
              <w:jc w:val="right"/>
              <w:rPr>
                <w:rFonts w:ascii="宋体" w:hAnsi="宋体" w:cs="宋体" w:eastAsia="宋体" w:hint="default"/>
                <w:sz w:val="18"/>
                <w:szCs w:val="18"/>
              </w:rPr>
            </w:pPr>
            <w:r>
              <w:rPr>
                <w:rFonts w:ascii="宋体" w:hAnsi="宋体" w:cs="宋体" w:eastAsia="宋体" w:hint="default"/>
                <w:sz w:val="18"/>
                <w:szCs w:val="18"/>
              </w:rPr>
              <w:t>内容</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47" w:right="74" w:hanging="272"/>
              <w:jc w:val="left"/>
              <w:rPr>
                <w:rFonts w:ascii="宋体" w:hAnsi="宋体" w:cs="宋体" w:eastAsia="宋体" w:hint="default"/>
                <w:sz w:val="18"/>
                <w:szCs w:val="18"/>
              </w:rPr>
            </w:pPr>
            <w:r>
              <w:rPr>
                <w:rFonts w:ascii="宋体" w:hAnsi="宋体" w:cs="宋体" w:eastAsia="宋体" w:hint="default"/>
                <w:sz w:val="18"/>
                <w:szCs w:val="18"/>
              </w:rPr>
              <w:t>全性的控制 措施</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57" w:right="77" w:hanging="181"/>
              <w:jc w:val="left"/>
              <w:rPr>
                <w:rFonts w:ascii="宋体" w:hAnsi="宋体" w:cs="宋体" w:eastAsia="宋体" w:hint="default"/>
                <w:sz w:val="18"/>
                <w:szCs w:val="18"/>
              </w:rPr>
            </w:pPr>
            <w:r>
              <w:rPr>
                <w:rFonts w:ascii="宋体" w:hAnsi="宋体" w:cs="宋体" w:eastAsia="宋体" w:hint="default"/>
                <w:sz w:val="18"/>
                <w:szCs w:val="18"/>
              </w:rPr>
              <w:t>公司净资产 的比重</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 w:right="0"/>
              <w:jc w:val="left"/>
              <w:rPr>
                <w:rFonts w:ascii="宋体" w:hAnsi="宋体" w:cs="宋体" w:eastAsia="宋体" w:hint="default"/>
                <w:sz w:val="18"/>
                <w:szCs w:val="18"/>
              </w:rPr>
            </w:pPr>
            <w:r>
              <w:rPr>
                <w:rFonts w:ascii="宋体" w:hAnsi="宋体" w:cs="宋体" w:eastAsia="宋体" w:hint="default"/>
                <w:sz w:val="18"/>
                <w:szCs w:val="18"/>
              </w:rPr>
              <w:t>大减值风险</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0"/>
              <w:jc w:val="right"/>
              <w:rPr>
                <w:rFonts w:ascii="宋体" w:hAnsi="宋体" w:cs="宋体" w:eastAsia="宋体" w:hint="default"/>
                <w:sz w:val="18"/>
                <w:szCs w:val="18"/>
              </w:rPr>
            </w:pPr>
            <w:r>
              <w:rPr>
                <w:rFonts w:ascii="宋体" w:hAnsi="宋体" w:cs="宋体" w:eastAsia="宋体" w:hint="default"/>
                <w:sz w:val="18"/>
                <w:szCs w:val="18"/>
              </w:rPr>
              <w:t>俊康大厦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购入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6"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9,770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 民币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香港大埔工 业村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自用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公司物业和 保安团队管 理维护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自用、出租</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2.29%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其他情况说 明</w:t>
            </w:r>
          </w:p>
        </w:tc>
        <w:tc>
          <w:tcPr>
            <w:tcW w:w="850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作为香港华大基因科技服务有限公司的生产、研发中心和办公用地，部分出租</w:t>
            </w:r>
          </w:p>
        </w:tc>
      </w:tr>
    </w:tbl>
    <w:p>
      <w:pPr>
        <w:spacing w:line="240" w:lineRule="auto" w:before="3"/>
        <w:rPr>
          <w:rFonts w:ascii="宋体" w:hAnsi="宋体" w:cs="宋体" w:eastAsia="宋体" w:hint="default"/>
          <w:sz w:val="18"/>
          <w:szCs w:val="18"/>
        </w:rPr>
      </w:pPr>
    </w:p>
    <w:p>
      <w:pPr>
        <w:pStyle w:val="Heading2"/>
        <w:spacing w:line="240" w:lineRule="auto" w:before="26"/>
        <w:ind w:right="1133"/>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1133"/>
        <w:jc w:val="left"/>
      </w:pPr>
      <w:r>
        <w:rPr/>
        <w:t>医疗器械业</w:t>
      </w:r>
    </w:p>
    <w:p>
      <w:pPr>
        <w:spacing w:line="240" w:lineRule="auto" w:before="3"/>
        <w:rPr>
          <w:rFonts w:ascii="宋体" w:hAnsi="宋体" w:cs="宋体" w:eastAsia="宋体" w:hint="default"/>
          <w:sz w:val="15"/>
          <w:szCs w:val="15"/>
        </w:rPr>
      </w:pPr>
    </w:p>
    <w:p>
      <w:pPr>
        <w:pStyle w:val="BodyText"/>
        <w:spacing w:line="314" w:lineRule="auto"/>
        <w:ind w:right="1132" w:firstLine="360"/>
        <w:jc w:val="both"/>
      </w:pPr>
      <w:r>
        <w:rPr>
          <w:spacing w:val="-2"/>
        </w:rPr>
        <w:t>公司作为全球少数具备全产业链资源的多组学科学技术服务提供商和医疗服务运营商，具有专利技术与产品线优势、资</w:t>
      </w:r>
      <w:r>
        <w:rPr/>
        <w:t> 质认证优势、基因检测实验室规模和布局优势、临床研究优势、基因组数据库优势和专业人才优势。</w:t>
      </w:r>
    </w:p>
    <w:p>
      <w:pPr>
        <w:pStyle w:val="BodyText"/>
        <w:spacing w:line="432" w:lineRule="exact" w:before="5"/>
        <w:ind w:left="513" w:right="986"/>
        <w:jc w:val="left"/>
      </w:pPr>
      <w:r>
        <w:rPr>
          <w:rFonts w:ascii="Times New Roman" w:hAnsi="Times New Roman" w:cs="Times New Roman" w:eastAsia="Times New Roman" w:hint="default"/>
          <w:b/>
          <w:bCs/>
        </w:rPr>
        <w:t>1</w:t>
      </w:r>
      <w:r>
        <w:rPr>
          <w:rFonts w:ascii="宋体" w:hAnsi="宋体" w:cs="宋体" w:eastAsia="宋体" w:hint="default"/>
          <w:b/>
          <w:bCs/>
        </w:rPr>
        <w:t>、专利技术与产品线优势</w:t>
      </w:r>
      <w:r>
        <w:rPr>
          <w:rFonts w:ascii="宋体" w:hAnsi="宋体" w:cs="宋体" w:eastAsia="宋体" w:hint="default"/>
          <w:b/>
          <w:bCs/>
          <w:w w:val="99"/>
        </w:rPr>
        <w:t> </w:t>
      </w:r>
      <w:r>
        <w:rPr>
          <w:spacing w:val="-2"/>
        </w:rPr>
        <w:t>公司具有先进的技术平台，是国内少有的掌握核心测序技术的企业之一。公司凭借先进的测序和检测技术、高效的信息</w:t>
      </w:r>
    </w:p>
    <w:p>
      <w:pPr>
        <w:pStyle w:val="BodyText"/>
        <w:spacing w:line="319" w:lineRule="auto" w:before="15"/>
        <w:ind w:right="1034"/>
        <w:jc w:val="left"/>
      </w:pPr>
      <w:r>
        <w:rPr>
          <w:spacing w:val="-2"/>
        </w:rPr>
        <w:t>分析能力、丰富的生物资源，搭建了世界先进的多技术平台，可实现从中心法则到结构与功能的贯穿研究，构建生物技术与</w:t>
      </w:r>
      <w:r>
        <w:rPr>
          <w:spacing w:val="-64"/>
        </w:rPr>
        <w:t> </w:t>
      </w:r>
      <w:r>
        <w:rPr>
          <w:spacing w:val="-64"/>
        </w:rPr>
      </w:r>
      <w:r>
        <w:rPr/>
        <w:t>信息技术相融合的网络体系。目前拥有测序平台、质谱平台、信息平台、自主研发的技术平台（包括癌症个体化诊疗技术、</w:t>
      </w:r>
      <w:r>
        <w:rPr>
          <w:spacing w:val="-83"/>
        </w:rPr>
        <w:t> </w:t>
      </w:r>
      <w:r>
        <w:rPr>
          <w:spacing w:val="-83"/>
        </w:rPr>
      </w:r>
      <w:r>
        <w:rPr>
          <w:spacing w:val="-2"/>
        </w:rPr>
        <w:t>肿瘤低频检测技术、人体共生微生物和健康研究、蛋白质组学研究、代谢组研究）等技术体系及资源库，能够为临床及科研</w:t>
      </w:r>
      <w:r>
        <w:rPr>
          <w:spacing w:val="-67"/>
        </w:rPr>
        <w:t> </w:t>
      </w:r>
      <w:r>
        <w:rPr>
          <w:spacing w:val="-67"/>
        </w:rPr>
      </w:r>
      <w:r>
        <w:rPr/>
        <w:t>提供完整的基因组学解决方案。</w:t>
      </w:r>
    </w:p>
    <w:p>
      <w:pPr>
        <w:pStyle w:val="BodyText"/>
        <w:spacing w:line="304" w:lineRule="auto" w:before="137"/>
        <w:ind w:right="1131" w:firstLine="360"/>
        <w:jc w:val="both"/>
      </w:pPr>
      <w:r>
        <w:rPr>
          <w:spacing w:val="-2"/>
        </w:rPr>
        <w:t>公司近年来持续加大研发投入，取得了一系列重要的专利成果。截至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日，公司及其全资、控股子公司拥有</w:t>
      </w:r>
      <w:r>
        <w:rPr/>
        <w:t> 的已获授权专利共计 </w:t>
      </w:r>
      <w:r>
        <w:rPr>
          <w:rFonts w:ascii="Times New Roman" w:hAnsi="Times New Roman" w:cs="Times New Roman" w:eastAsia="Times New Roman" w:hint="default"/>
        </w:rPr>
        <w:t>346 </w:t>
      </w:r>
      <w:r>
        <w:rPr/>
        <w:t>项，其中发明专利 </w:t>
      </w:r>
      <w:r>
        <w:rPr>
          <w:rFonts w:ascii="Times New Roman" w:hAnsi="Times New Roman" w:cs="Times New Roman" w:eastAsia="Times New Roman" w:hint="default"/>
        </w:rPr>
        <w:t>322 </w:t>
      </w:r>
      <w:r>
        <w:rPr/>
        <w:t>项，实用新型专利 </w:t>
      </w:r>
      <w:r>
        <w:rPr>
          <w:rFonts w:ascii="Times New Roman" w:hAnsi="Times New Roman" w:cs="Times New Roman" w:eastAsia="Times New Roman" w:hint="default"/>
        </w:rPr>
        <w:t>16 </w:t>
      </w:r>
      <w:r>
        <w:rPr/>
        <w:t>项，外观设计专利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项。报告期内，新增获授权专 </w:t>
      </w:r>
      <w:r>
        <w:rPr>
          <w:spacing w:val="-4"/>
        </w:rPr>
        <w:t>利</w:t>
      </w:r>
      <w:r>
        <w:rPr>
          <w:rFonts w:ascii="Times New Roman" w:hAnsi="Times New Roman" w:cs="Times New Roman" w:eastAsia="Times New Roman" w:hint="default"/>
          <w:spacing w:val="-4"/>
        </w:rPr>
        <w:t>65</w:t>
      </w:r>
      <w:r>
        <w:rPr>
          <w:spacing w:val="-4"/>
        </w:rPr>
        <w:t>项，其中发明专利</w:t>
      </w:r>
      <w:r>
        <w:rPr>
          <w:rFonts w:ascii="Times New Roman" w:hAnsi="Times New Roman" w:cs="Times New Roman" w:eastAsia="Times New Roman" w:hint="default"/>
          <w:spacing w:val="-4"/>
        </w:rPr>
        <w:t>59</w:t>
      </w:r>
      <w:r>
        <w:rPr>
          <w:spacing w:val="-4"/>
        </w:rPr>
        <w:t>项，实用新型专利</w:t>
      </w:r>
      <w:r>
        <w:rPr>
          <w:rFonts w:ascii="Times New Roman" w:hAnsi="Times New Roman" w:cs="Times New Roman" w:eastAsia="Times New Roman" w:hint="default"/>
          <w:spacing w:val="-4"/>
        </w:rPr>
        <w:t>6</w:t>
      </w:r>
      <w:r>
        <w:rPr>
          <w:spacing w:val="-4"/>
        </w:rPr>
        <w:t>项；新增专利申请</w:t>
      </w:r>
      <w:r>
        <w:rPr>
          <w:rFonts w:ascii="Times New Roman" w:hAnsi="Times New Roman" w:cs="Times New Roman" w:eastAsia="Times New Roman" w:hint="default"/>
          <w:spacing w:val="-4"/>
        </w:rPr>
        <w:t>45</w:t>
      </w:r>
      <w:r>
        <w:rPr>
          <w:spacing w:val="-4"/>
        </w:rPr>
        <w:t>项（其中发明专利</w:t>
      </w:r>
      <w:r>
        <w:rPr>
          <w:rFonts w:ascii="Times New Roman" w:hAnsi="Times New Roman" w:cs="Times New Roman" w:eastAsia="Times New Roman" w:hint="default"/>
          <w:spacing w:val="-4"/>
        </w:rPr>
        <w:t>38</w:t>
      </w:r>
      <w:r>
        <w:rPr>
          <w:spacing w:val="-4"/>
        </w:rPr>
        <w:t>项，专利合作协定（简称</w:t>
      </w:r>
      <w:r>
        <w:rPr>
          <w:rFonts w:ascii="Times New Roman" w:hAnsi="Times New Roman" w:cs="Times New Roman" w:eastAsia="Times New Roman" w:hint="default"/>
          <w:spacing w:val="-4"/>
        </w:rPr>
        <w:t>“PCT”</w:t>
      </w:r>
      <w:r>
        <w:rPr>
          <w:spacing w:val="-4"/>
        </w:rPr>
        <w:t>）</w:t>
      </w:r>
      <w:r>
        <w:rPr>
          <w:rFonts w:ascii="Times New Roman" w:hAnsi="Times New Roman" w:cs="Times New Roman" w:eastAsia="Times New Roman" w:hint="default"/>
          <w:spacing w:val="-4"/>
        </w:rPr>
        <w:t>3</w:t>
      </w:r>
      <w:r>
        <w:rPr>
          <w:spacing w:val="-4"/>
        </w:rPr>
        <w:t>项，</w:t>
      </w:r>
      <w:r>
        <w:rPr>
          <w:spacing w:val="-66"/>
        </w:rPr>
        <w:t> </w:t>
      </w:r>
      <w:r>
        <w:rPr/>
        <w:t>实用新型</w:t>
      </w:r>
      <w:r>
        <w:rPr>
          <w:rFonts w:ascii="Times New Roman" w:hAnsi="Times New Roman" w:cs="Times New Roman" w:eastAsia="Times New Roman" w:hint="default"/>
        </w:rPr>
        <w:t>4</w:t>
      </w:r>
      <w:r>
        <w:rPr/>
        <w:t>项）。截至报告期末，公司自有注册商标</w:t>
      </w:r>
      <w:r>
        <w:rPr>
          <w:rFonts w:ascii="Times New Roman" w:hAnsi="Times New Roman" w:cs="Times New Roman" w:eastAsia="Times New Roman" w:hint="default"/>
        </w:rPr>
        <w:t>415</w:t>
      </w:r>
      <w:r>
        <w:rPr/>
        <w:t>项，其中报告期内新增商标申请</w:t>
      </w:r>
      <w:r>
        <w:rPr>
          <w:rFonts w:ascii="Times New Roman" w:hAnsi="Times New Roman" w:cs="Times New Roman" w:eastAsia="Times New Roman" w:hint="default"/>
        </w:rPr>
        <w:t>150</w:t>
      </w:r>
      <w:r>
        <w:rPr/>
        <w:t>项；公司核心技术专利范围涵盖 </w:t>
      </w:r>
      <w:r>
        <w:rPr>
          <w:spacing w:val="-2"/>
        </w:rPr>
        <w:t>实验仪器、样品处理、测序文库构建、质量控制、生物信息分析等各个关键技术环节，生物信息分析等方面自主软件取得了</w:t>
      </w:r>
      <w:r>
        <w:rPr>
          <w:spacing w:val="-67"/>
        </w:rPr>
        <w:t> </w:t>
      </w:r>
      <w:r>
        <w:rPr>
          <w:spacing w:val="-67"/>
        </w:rPr>
      </w:r>
      <w:r>
        <w:rPr>
          <w:rFonts w:ascii="Times New Roman" w:hAnsi="Times New Roman" w:cs="Times New Roman" w:eastAsia="Times New Roman" w:hint="default"/>
        </w:rPr>
        <w:t>561</w:t>
      </w:r>
      <w:r>
        <w:rPr/>
        <w:t>项软件著作权。</w:t>
      </w:r>
    </w:p>
    <w:p>
      <w:pPr>
        <w:pStyle w:val="BodyText"/>
        <w:spacing w:line="307" w:lineRule="auto" w:before="129"/>
        <w:ind w:right="1034" w:firstLine="360"/>
        <w:jc w:val="left"/>
      </w:pPr>
      <w:r>
        <w:rPr/>
        <w:t>公司进一步加大科研创新，持续优化产品结构，完善产品布局。生育健康基础研究和临床应用服务方面，公司在孕前、 孕期、新生儿和儿童等国家卫健委要求的出生缺陷防控各领域均建立了丰富的产品线，近年来不断升级无创产前基因检测、</w:t>
      </w:r>
      <w:r>
        <w:rPr>
          <w:spacing w:val="-83"/>
        </w:rPr>
        <w:t> </w:t>
      </w:r>
      <w:r>
        <w:rPr>
          <w:spacing w:val="-83"/>
        </w:rPr>
      </w:r>
      <w:r>
        <w:rPr/>
        <w:t>开拓无创单基因疾病检测在临床的潜在应用方向；将遗传性耳聋基因检测产品常规几个高频基因及位点的检测拓展至</w:t>
      </w:r>
      <w:r>
        <w:rPr>
          <w:rFonts w:ascii="Times New Roman" w:hAnsi="Times New Roman" w:cs="Times New Roman" w:eastAsia="Times New Roman" w:hint="default"/>
        </w:rPr>
        <w:t>22</w:t>
      </w:r>
      <w:r>
        <w:rPr/>
        <w:t>个</w:t>
      </w:r>
      <w:r>
        <w:rPr>
          <w:spacing w:val="-2"/>
        </w:rPr>
        <w:t> </w:t>
      </w:r>
      <w:r>
        <w:rPr/>
        <w:t>耳聋基因</w:t>
      </w:r>
      <w:r>
        <w:rPr>
          <w:rFonts w:ascii="Times New Roman" w:hAnsi="Times New Roman" w:cs="Times New Roman" w:eastAsia="Times New Roman" w:hint="default"/>
        </w:rPr>
        <w:t>159</w:t>
      </w:r>
      <w:r>
        <w:rPr/>
        <w:t>个明确致病突变位点以提供更全面的耳聋基因筛查服务，遗传性耳聋基因分析软件是率先获得</w:t>
      </w:r>
      <w:r>
        <w:rPr>
          <w:rFonts w:ascii="Times New Roman" w:hAnsi="Times New Roman" w:cs="Times New Roman" w:eastAsia="Times New Roman" w:hint="default"/>
        </w:rPr>
        <w:t>NMPA</w:t>
      </w:r>
      <w:r>
        <w:rPr/>
        <w:t>医疗器械</w:t>
      </w:r>
      <w:r>
        <w:rPr>
          <w:spacing w:val="-65"/>
        </w:rPr>
        <w:t> </w:t>
      </w:r>
      <w:r>
        <w:rPr>
          <w:spacing w:val="-65"/>
        </w:rPr>
      </w:r>
      <w:r>
        <w:rPr>
          <w:spacing w:val="-4"/>
        </w:rPr>
        <w:t>注册证的耳聋检测软件；公司创新性地将高通量测序技术应用于地中海贫血基因筛查，提供超过</w:t>
      </w:r>
      <w:r>
        <w:rPr>
          <w:rFonts w:ascii="Times New Roman" w:hAnsi="Times New Roman" w:cs="Times New Roman" w:eastAsia="Times New Roman" w:hint="default"/>
          <w:spacing w:val="-4"/>
        </w:rPr>
        <w:t>300</w:t>
      </w:r>
      <w:r>
        <w:rPr>
          <w:spacing w:val="-4"/>
        </w:rPr>
        <w:t>多种地贫基因变异检测，</w:t>
      </w:r>
      <w:r>
        <w:rPr>
          <w:spacing w:val="-36"/>
        </w:rPr>
        <w:t> </w:t>
      </w:r>
      <w:r>
        <w:rPr/>
        <w:t>已在国内多个地贫高发区域得以应用。报告期内，生育健康方向参与发表科研文章</w:t>
      </w:r>
      <w:r>
        <w:rPr>
          <w:rFonts w:ascii="Times New Roman" w:hAnsi="Times New Roman" w:cs="Times New Roman" w:eastAsia="Times New Roman" w:hint="default"/>
        </w:rPr>
        <w:t>23</w:t>
      </w:r>
      <w:r>
        <w:rPr/>
        <w:t>篇，累计影响因子为</w:t>
      </w:r>
      <w:r>
        <w:rPr>
          <w:rFonts w:ascii="Times New Roman" w:hAnsi="Times New Roman" w:cs="Times New Roman" w:eastAsia="Times New Roman" w:hint="default"/>
        </w:rPr>
        <w:t>102.14</w:t>
      </w:r>
      <w:r>
        <w:rPr/>
        <w:t>。</w:t>
      </w:r>
    </w:p>
    <w:p>
      <w:pPr>
        <w:pStyle w:val="BodyText"/>
        <w:spacing w:line="312" w:lineRule="auto" w:before="127"/>
        <w:ind w:right="1131" w:firstLine="360"/>
        <w:jc w:val="both"/>
      </w:pPr>
      <w:r>
        <w:rPr>
          <w:spacing w:val="-2"/>
        </w:rPr>
        <w:t>肿瘤防控及转化医学类服务方面，公司围绕</w:t>
      </w:r>
      <w:r>
        <w:rPr>
          <w:rFonts w:ascii="Times New Roman" w:hAnsi="Times New Roman" w:cs="Times New Roman" w:eastAsia="Times New Roman" w:hint="default"/>
          <w:spacing w:val="-2"/>
        </w:rPr>
        <w:t>“</w:t>
      </w:r>
      <w:r>
        <w:rPr>
          <w:spacing w:val="-2"/>
        </w:rPr>
        <w:t>预、筛、诊、治、监</w:t>
      </w:r>
      <w:r>
        <w:rPr>
          <w:rFonts w:ascii="Times New Roman" w:hAnsi="Times New Roman" w:cs="Times New Roman" w:eastAsia="Times New Roman" w:hint="default"/>
          <w:spacing w:val="-2"/>
        </w:rPr>
        <w:t>”</w:t>
      </w:r>
      <w:r>
        <w:rPr>
          <w:spacing w:val="-2"/>
        </w:rPr>
        <w:t>各个肿瘤精准防控环节，基于高通量测序技术为主的</w:t>
      </w:r>
      <w:r>
        <w:rPr/>
        <w:t> </w:t>
      </w:r>
      <w:r>
        <w:rPr>
          <w:spacing w:val="-2"/>
        </w:rPr>
        <w:t>分子诊断及免疫诊断技术建立全面完善的产品线，形成遗传性风险评估、肿瘤筛查、肿瘤用药指导、肿瘤复发监测等产品布</w:t>
      </w:r>
      <w:r>
        <w:rPr>
          <w:spacing w:val="-64"/>
        </w:rPr>
        <w:t> </w:t>
      </w:r>
      <w:r>
        <w:rPr>
          <w:spacing w:val="-64"/>
        </w:rPr>
      </w:r>
      <w:r>
        <w:rPr>
          <w:spacing w:val="-2"/>
        </w:rPr>
        <w:t>局。近年来公司持续提升产品性能，不断提高检测精度，扩大通量能力，研发投入</w:t>
      </w:r>
      <w:r>
        <w:rPr>
          <w:rFonts w:ascii="Times New Roman" w:hAnsi="Times New Roman" w:cs="Times New Roman" w:eastAsia="Times New Roman" w:hint="default"/>
          <w:spacing w:val="-2"/>
        </w:rPr>
        <w:t>TMB</w:t>
      </w:r>
      <w:r>
        <w:rPr>
          <w:spacing w:val="-2"/>
        </w:rPr>
        <w:t>、</w:t>
      </w:r>
      <w:r>
        <w:rPr>
          <w:rFonts w:ascii="Times New Roman" w:hAnsi="Times New Roman" w:cs="Times New Roman" w:eastAsia="Times New Roman" w:hint="default"/>
          <w:spacing w:val="-2"/>
        </w:rPr>
        <w:t>MSI</w:t>
      </w:r>
      <w:r>
        <w:rPr>
          <w:spacing w:val="-2"/>
        </w:rPr>
        <w:t>等免疫治疗相关精准医学检测</w:t>
      </w:r>
      <w:r>
        <w:rPr>
          <w:spacing w:val="-55"/>
        </w:rPr>
        <w:t> </w:t>
      </w:r>
      <w:r>
        <w:rPr>
          <w:spacing w:val="-55"/>
        </w:rPr>
      </w:r>
      <w:r>
        <w:rPr>
          <w:spacing w:val="-2"/>
        </w:rPr>
        <w:t>管线，并基于国内外最新诊疗指南、整合权威癌症数据库信息以及最新科研成果，建设更全面解读信息库，提供全方位专业</w:t>
      </w:r>
      <w:r>
        <w:rPr>
          <w:spacing w:val="-65"/>
        </w:rPr>
        <w:t> </w:t>
      </w:r>
      <w:r>
        <w:rPr>
          <w:spacing w:val="-65"/>
        </w:rPr>
      </w:r>
      <w:r>
        <w:rPr>
          <w:spacing w:val="-2"/>
        </w:rPr>
        <w:t>基因检测临床服务。公司凭借与国内外知名制药机构开展检测合作的优势，拓展开发了致病机理发现、生物标记开发、药物</w:t>
      </w:r>
      <w:r>
        <w:rPr>
          <w:spacing w:val="-64"/>
        </w:rPr>
        <w:t> </w:t>
      </w:r>
      <w:r>
        <w:rPr>
          <w:spacing w:val="-64"/>
        </w:rPr>
      </w:r>
      <w:r>
        <w:rPr>
          <w:spacing w:val="-2"/>
        </w:rPr>
        <w:t>靶位确认和药物风险管控等全套的药物基因组学研究业务，完善了肿瘤药物研发检测产品布局。报告期内，肿瘤防控方向参</w:t>
      </w:r>
      <w:r>
        <w:rPr>
          <w:spacing w:val="-64"/>
        </w:rPr>
        <w:t> </w:t>
      </w:r>
      <w:r>
        <w:rPr>
          <w:spacing w:val="-64"/>
        </w:rPr>
      </w:r>
      <w:r>
        <w:rPr/>
        <w:t>与发表科研文章</w:t>
      </w:r>
      <w:r>
        <w:rPr>
          <w:rFonts w:ascii="宋体" w:hAnsi="宋体" w:cs="宋体" w:eastAsia="宋体" w:hint="default"/>
        </w:rPr>
        <w:t>10</w:t>
      </w:r>
      <w:r>
        <w:rPr/>
        <w:t>篇，累计影响因子为</w:t>
      </w:r>
      <w:r>
        <w:rPr>
          <w:rFonts w:ascii="宋体" w:hAnsi="宋体" w:cs="宋体" w:eastAsia="宋体" w:hint="default"/>
        </w:rPr>
        <w:t>58.56</w:t>
      </w:r>
      <w:r>
        <w:rPr/>
        <w:t>。</w:t>
      </w:r>
    </w:p>
    <w:p>
      <w:pPr>
        <w:pStyle w:val="BodyText"/>
        <w:spacing w:line="240" w:lineRule="auto" w:before="142"/>
        <w:ind w:left="513" w:right="986"/>
        <w:jc w:val="left"/>
      </w:pPr>
      <w:r>
        <w:rPr/>
        <w:t>感染防控基础研究和临床应用服务方面，公司在病原微生物感染检测方面具有丰富的产品线，可满足不同客户的需求。</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5"/>
          <w:szCs w:val="25"/>
        </w:rPr>
      </w:pPr>
    </w:p>
    <w:p>
      <w:pPr>
        <w:pStyle w:val="BodyText"/>
        <w:spacing w:line="300" w:lineRule="auto" w:before="46"/>
        <w:ind w:right="986"/>
        <w:jc w:val="left"/>
      </w:pPr>
      <w:r>
        <w:rPr>
          <w:rFonts w:ascii="Times New Roman" w:hAnsi="Times New Roman" w:cs="Times New Roman" w:eastAsia="Times New Roman" w:hint="default"/>
        </w:rPr>
        <w:t>PMseq</w:t>
      </w:r>
      <w:r>
        <w:rPr>
          <w:rFonts w:ascii="Times New Roman" w:hAnsi="Times New Roman" w:cs="Times New Roman" w:eastAsia="Times New Roman" w:hint="default"/>
          <w:position w:val="6"/>
          <w:sz w:val="12"/>
          <w:szCs w:val="12"/>
        </w:rPr>
        <w:t>TM</w:t>
      </w:r>
      <w:r>
        <w:rPr/>
        <w:t>感染病原高通量基因检测作为主力产品，相配套的病原数据库汇聚了大量病原的基因组序列数据及相关注释信息，</w:t>
      </w:r>
      <w:r>
        <w:rPr>
          <w:spacing w:val="-56"/>
        </w:rPr>
        <w:t> </w:t>
      </w:r>
      <w:r>
        <w:rPr>
          <w:spacing w:val="-56"/>
        </w:rPr>
      </w:r>
      <w:r>
        <w:rPr>
          <w:spacing w:val="-3"/>
        </w:rPr>
        <w:t>覆盖细菌、真菌、病毒及寄生虫等</w:t>
      </w:r>
      <w:r>
        <w:rPr>
          <w:rFonts w:ascii="Times New Roman" w:hAnsi="Times New Roman" w:cs="Times New Roman" w:eastAsia="Times New Roman" w:hint="default"/>
          <w:spacing w:val="-3"/>
        </w:rPr>
        <w:t>8,000</w:t>
      </w:r>
      <w:r>
        <w:rPr>
          <w:spacing w:val="-3"/>
        </w:rPr>
        <w:t>余个物种，有利于拓展病原微生物感染检测多样化产品布局。报告期内，病原感染方</w:t>
      </w:r>
      <w:r>
        <w:rPr>
          <w:spacing w:val="-50"/>
        </w:rPr>
        <w:t> </w:t>
      </w:r>
      <w:r>
        <w:rPr>
          <w:spacing w:val="-50"/>
        </w:rPr>
      </w:r>
      <w:r>
        <w:rPr/>
        <w:t>向参与发表科研文章</w:t>
      </w:r>
      <w:r>
        <w:rPr>
          <w:rFonts w:ascii="Times New Roman" w:hAnsi="Times New Roman" w:cs="Times New Roman" w:eastAsia="Times New Roman" w:hint="default"/>
        </w:rPr>
        <w:t>14</w:t>
      </w:r>
      <w:r>
        <w:rPr/>
        <w:t>篇，影响因子为</w:t>
      </w:r>
      <w:r>
        <w:rPr>
          <w:rFonts w:ascii="Times New Roman" w:hAnsi="Times New Roman" w:cs="Times New Roman" w:eastAsia="Times New Roman" w:hint="default"/>
        </w:rPr>
        <w:t>42.29</w:t>
      </w:r>
      <w:r>
        <w:rPr/>
        <w:t>。</w:t>
      </w:r>
    </w:p>
    <w:p>
      <w:pPr>
        <w:pStyle w:val="BodyText"/>
        <w:spacing w:line="316" w:lineRule="auto" w:before="133"/>
        <w:ind w:right="1034" w:firstLine="360"/>
        <w:jc w:val="left"/>
      </w:pPr>
      <w:r>
        <w:rPr>
          <w:spacing w:val="-2"/>
        </w:rPr>
        <w:t>多组学大数据服务方面，公司拥有全球领先的基因组学多组学大数据服务体系，利用基因测序、质谱、基因合成、大数</w:t>
      </w:r>
      <w:r>
        <w:rPr/>
        <w:t> 据、云计算等技术，向客户提供基于基因组学、转录组学、表观基因组学、蛋白质组学、代谢组学等多组学的大数据采集、</w:t>
      </w:r>
      <w:r>
        <w:rPr>
          <w:spacing w:val="-83"/>
        </w:rPr>
        <w:t> </w:t>
      </w:r>
      <w:r>
        <w:rPr>
          <w:spacing w:val="-83"/>
        </w:rPr>
      </w:r>
      <w:r>
        <w:rPr>
          <w:spacing w:val="-3"/>
        </w:rPr>
        <w:t>分析和挖掘的综合解决方案服务。报告期内，多组学大数据与合成业务方向参与发表科研文章</w:t>
      </w:r>
      <w:r>
        <w:rPr>
          <w:rFonts w:ascii="Times New Roman" w:hAnsi="Times New Roman" w:cs="Times New Roman" w:eastAsia="Times New Roman" w:hint="default"/>
          <w:spacing w:val="-3"/>
        </w:rPr>
        <w:t>67</w:t>
      </w:r>
      <w:r>
        <w:rPr>
          <w:spacing w:val="-3"/>
        </w:rPr>
        <w:t>篇，累计影响因子为</w:t>
      </w:r>
      <w:r>
        <w:rPr>
          <w:rFonts w:ascii="Times New Roman" w:hAnsi="Times New Roman" w:cs="Times New Roman" w:eastAsia="Times New Roman" w:hint="default"/>
          <w:spacing w:val="-3"/>
        </w:rPr>
        <w:t>504.94</w:t>
      </w:r>
      <w:r>
        <w:rPr>
          <w:spacing w:val="-3"/>
        </w:rPr>
        <w:t>。</w:t>
      </w:r>
    </w:p>
    <w:p>
      <w:pPr>
        <w:pStyle w:val="Heading5"/>
        <w:spacing w:line="240" w:lineRule="auto" w:before="119"/>
        <w:ind w:right="1133"/>
        <w:jc w:val="left"/>
        <w:rPr>
          <w:b w:val="0"/>
          <w:bCs w:val="0"/>
        </w:rPr>
      </w:pPr>
      <w:r>
        <w:rPr>
          <w:rFonts w:ascii="Times New Roman" w:hAnsi="Times New Roman" w:cs="Times New Roman" w:eastAsia="Times New Roman" w:hint="default"/>
        </w:rPr>
        <w:t>2</w:t>
      </w:r>
      <w:r>
        <w:rPr/>
        <w:t>、资质优势</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1126" w:firstLine="360"/>
        <w:jc w:val="both"/>
      </w:pPr>
      <w:r>
        <w:rPr>
          <w:spacing w:val="-2"/>
        </w:rPr>
        <w:t>公司具有全面的资质优势。截至报告期末，公司共有</w:t>
      </w:r>
      <w:r>
        <w:rPr>
          <w:rFonts w:ascii="Times New Roman" w:hAnsi="Times New Roman" w:cs="Times New Roman" w:eastAsia="Times New Roman" w:hint="default"/>
          <w:spacing w:val="-2"/>
        </w:rPr>
        <w:t>14</w:t>
      </w:r>
      <w:r>
        <w:rPr>
          <w:spacing w:val="-2"/>
        </w:rPr>
        <w:t>家医学检验实验室拥有医疗机构执业许可证书，</w:t>
      </w:r>
      <w:r>
        <w:rPr>
          <w:rFonts w:ascii="Times New Roman" w:hAnsi="Times New Roman" w:cs="Times New Roman" w:eastAsia="Times New Roman" w:hint="default"/>
          <w:spacing w:val="-2"/>
        </w:rPr>
        <w:t>12</w:t>
      </w:r>
      <w:r>
        <w:rPr>
          <w:spacing w:val="-2"/>
        </w:rPr>
        <w:t>家医学检验实</w:t>
      </w:r>
      <w:r>
        <w:rPr/>
        <w:t> 验室通过临床基因扩增检验实验室技术验收，另有</w:t>
      </w:r>
      <w:r>
        <w:rPr>
          <w:rFonts w:ascii="Times New Roman" w:hAnsi="Times New Roman" w:cs="Times New Roman" w:eastAsia="Times New Roman" w:hint="default"/>
        </w:rPr>
        <w:t>3</w:t>
      </w:r>
      <w:r>
        <w:rPr/>
        <w:t>家医学检验实验室获得了首批遗传病诊断专业、植入前胚胎遗传学诊断</w:t>
      </w:r>
      <w:r>
        <w:rPr>
          <w:spacing w:val="-83"/>
        </w:rPr>
        <w:t> </w:t>
      </w:r>
      <w:r>
        <w:rPr>
          <w:spacing w:val="-83"/>
        </w:rPr>
      </w:r>
      <w:r>
        <w:rPr>
          <w:spacing w:val="-3"/>
        </w:rPr>
        <w:t>专业、肿瘤诊断与治疗项目的高通量基因测序技术临床应用试点单位资质，香港实验室拥有</w:t>
      </w:r>
      <w:r>
        <w:rPr>
          <w:rFonts w:ascii="Times New Roman" w:hAnsi="Times New Roman" w:cs="Times New Roman" w:eastAsia="Times New Roman" w:hint="default"/>
          <w:spacing w:val="-3"/>
        </w:rPr>
        <w:t>CLIA</w:t>
      </w:r>
      <w:r>
        <w:rPr>
          <w:spacing w:val="-3"/>
        </w:rPr>
        <w:t>（临床实验室改进修正案）</w:t>
      </w:r>
      <w:r>
        <w:rPr>
          <w:spacing w:val="-68"/>
        </w:rPr>
        <w:t> </w:t>
      </w:r>
      <w:r>
        <w:rPr>
          <w:spacing w:val="-68"/>
        </w:rPr>
      </w:r>
      <w:r>
        <w:rPr>
          <w:spacing w:val="-2"/>
        </w:rPr>
        <w:t>资质。公司共有</w:t>
      </w:r>
      <w:r>
        <w:rPr>
          <w:rFonts w:ascii="Times New Roman" w:hAnsi="Times New Roman" w:cs="Times New Roman" w:eastAsia="Times New Roman" w:hint="default"/>
          <w:spacing w:val="-2"/>
        </w:rPr>
        <w:t>104</w:t>
      </w:r>
      <w:r>
        <w:rPr>
          <w:spacing w:val="-2"/>
        </w:rPr>
        <w:t>项产品获得药品监督管理局批准的医疗器械注册证或备案证，</w:t>
      </w:r>
      <w:r>
        <w:rPr>
          <w:rFonts w:ascii="Times New Roman" w:hAnsi="Times New Roman" w:cs="Times New Roman" w:eastAsia="Times New Roman" w:hint="default"/>
          <w:spacing w:val="-2"/>
        </w:rPr>
        <w:t>BGISEQ-500</w:t>
      </w:r>
      <w:r>
        <w:rPr>
          <w:spacing w:val="-2"/>
        </w:rPr>
        <w:t>基因测序仪器及无创产前基因</w:t>
      </w:r>
      <w:r>
        <w:rPr>
          <w:spacing w:val="-46"/>
        </w:rPr>
        <w:t> </w:t>
      </w:r>
      <w:r>
        <w:rPr>
          <w:spacing w:val="-46"/>
        </w:rPr>
      </w:r>
      <w:r>
        <w:rPr/>
        <w:t>测序业务的配套试剂、软件获得了欧盟</w:t>
      </w:r>
      <w:r>
        <w:rPr>
          <w:rFonts w:ascii="Times New Roman" w:hAnsi="Times New Roman" w:cs="Times New Roman" w:eastAsia="Times New Roman" w:hint="default"/>
        </w:rPr>
        <w:t>CE</w:t>
      </w:r>
      <w:r>
        <w:rPr/>
        <w:t>认证，核酸提取试剂盒获得了马来西亚</w:t>
      </w:r>
      <w:r>
        <w:rPr>
          <w:rFonts w:ascii="Times New Roman" w:hAnsi="Times New Roman" w:cs="Times New Roman" w:eastAsia="Times New Roman" w:hint="default"/>
        </w:rPr>
        <w:t>MDA</w:t>
      </w:r>
      <w:r>
        <w:rPr/>
        <w:t>注册证。</w:t>
      </w:r>
    </w:p>
    <w:p>
      <w:pPr>
        <w:pStyle w:val="BodyText"/>
        <w:spacing w:line="300" w:lineRule="auto" w:before="133"/>
        <w:ind w:right="1126" w:firstLine="360"/>
        <w:jc w:val="both"/>
      </w:pPr>
      <w:r>
        <w:rPr>
          <w:spacing w:val="-1"/>
        </w:rPr>
        <w:t>公司格外注重质量管理，视质量如命脉，坚持</w:t>
      </w:r>
      <w:r>
        <w:rPr>
          <w:rFonts w:ascii="Times New Roman" w:hAnsi="Times New Roman" w:cs="Times New Roman" w:eastAsia="Times New Roman" w:hint="default"/>
          <w:spacing w:val="-1"/>
        </w:rPr>
        <w:t>“</w:t>
      </w:r>
      <w:r>
        <w:rPr>
          <w:spacing w:val="-1"/>
        </w:rPr>
        <w:t>引领行业需先引领质量</w:t>
      </w:r>
      <w:r>
        <w:rPr>
          <w:rFonts w:ascii="Times New Roman" w:hAnsi="Times New Roman" w:cs="Times New Roman" w:eastAsia="Times New Roman" w:hint="default"/>
          <w:spacing w:val="-1"/>
        </w:rPr>
        <w:t>”</w:t>
      </w:r>
      <w:r>
        <w:rPr>
          <w:spacing w:val="-1"/>
        </w:rPr>
        <w:t>，严格恪守</w:t>
      </w:r>
      <w:r>
        <w:rPr>
          <w:rFonts w:ascii="Times New Roman" w:hAnsi="Times New Roman" w:cs="Times New Roman" w:eastAsia="Times New Roman" w:hint="default"/>
          <w:spacing w:val="-1"/>
        </w:rPr>
        <w:t>“</w:t>
      </w:r>
      <w:r>
        <w:rPr>
          <w:spacing w:val="-1"/>
        </w:rPr>
        <w:t>公正、科学、严谨、准确、及时</w:t>
      </w:r>
      <w:r>
        <w:rPr>
          <w:rFonts w:ascii="Times New Roman" w:hAnsi="Times New Roman" w:cs="Times New Roman" w:eastAsia="Times New Roman" w:hint="default"/>
          <w:spacing w:val="-1"/>
        </w:rPr>
        <w:t>”</w:t>
      </w:r>
      <w:r>
        <w:rPr>
          <w:spacing w:val="-1"/>
        </w:rPr>
        <w:t>的</w:t>
      </w:r>
      <w:r>
        <w:rPr/>
        <w:t> 质量方针。为此，公司通过了质量（</w:t>
      </w:r>
      <w:r>
        <w:rPr>
          <w:rFonts w:ascii="Times New Roman" w:hAnsi="Times New Roman" w:cs="Times New Roman" w:eastAsia="Times New Roman" w:hint="default"/>
        </w:rPr>
        <w:t>ISO</w:t>
      </w:r>
      <w:r>
        <w:rPr>
          <w:rFonts w:ascii="Times New Roman" w:hAnsi="Times New Roman" w:cs="Times New Roman" w:eastAsia="Times New Roman" w:hint="default"/>
          <w:spacing w:val="-33"/>
        </w:rPr>
        <w:t> </w:t>
      </w:r>
      <w:r>
        <w:rPr>
          <w:rFonts w:ascii="Times New Roman" w:hAnsi="Times New Roman" w:cs="Times New Roman" w:eastAsia="Times New Roman" w:hint="default"/>
        </w:rPr>
        <w:t>9001:2015</w:t>
      </w:r>
      <w:r>
        <w:rPr/>
        <w:t>）、环境（</w:t>
      </w:r>
      <w:r>
        <w:rPr>
          <w:rFonts w:ascii="Times New Roman" w:hAnsi="Times New Roman" w:cs="Times New Roman" w:eastAsia="Times New Roman" w:hint="default"/>
        </w:rPr>
        <w:t>ISO</w:t>
      </w:r>
      <w:r>
        <w:rPr>
          <w:rFonts w:ascii="Times New Roman" w:hAnsi="Times New Roman" w:cs="Times New Roman" w:eastAsia="Times New Roman" w:hint="default"/>
          <w:spacing w:val="-33"/>
        </w:rPr>
        <w:t> </w:t>
      </w:r>
      <w:r>
        <w:rPr>
          <w:rFonts w:ascii="Times New Roman" w:hAnsi="Times New Roman" w:cs="Times New Roman" w:eastAsia="Times New Roman" w:hint="default"/>
        </w:rPr>
        <w:t>14001:2015</w:t>
      </w:r>
      <w:r>
        <w:rPr/>
        <w:t>）、职业健康安全（</w:t>
      </w:r>
      <w:r>
        <w:rPr>
          <w:rFonts w:ascii="Times New Roman" w:hAnsi="Times New Roman" w:cs="Times New Roman" w:eastAsia="Times New Roman" w:hint="default"/>
        </w:rPr>
        <w:t>OHSAS</w:t>
      </w:r>
      <w:r>
        <w:rPr>
          <w:rFonts w:ascii="Times New Roman" w:hAnsi="Times New Roman" w:cs="Times New Roman" w:eastAsia="Times New Roman" w:hint="default"/>
          <w:spacing w:val="-33"/>
        </w:rPr>
        <w:t> </w:t>
      </w:r>
      <w:r>
        <w:rPr>
          <w:rFonts w:ascii="Times New Roman" w:hAnsi="Times New Roman" w:cs="Times New Roman" w:eastAsia="Times New Roman" w:hint="default"/>
        </w:rPr>
        <w:t>18001:2007</w:t>
      </w:r>
      <w:r>
        <w:rPr/>
        <w:t>）、信</w:t>
      </w:r>
      <w:r>
        <w:rPr>
          <w:spacing w:val="-8"/>
        </w:rPr>
        <w:t> </w:t>
      </w:r>
      <w:r>
        <w:rPr>
          <w:spacing w:val="-4"/>
        </w:rPr>
        <w:t>息安全（</w:t>
      </w:r>
      <w:r>
        <w:rPr>
          <w:rFonts w:ascii="Times New Roman" w:hAnsi="Times New Roman" w:cs="Times New Roman" w:eastAsia="Times New Roman" w:hint="default"/>
          <w:spacing w:val="-4"/>
        </w:rPr>
        <w:t>ISO/IEC </w:t>
      </w:r>
      <w:r>
        <w:rPr>
          <w:rFonts w:ascii="Times New Roman" w:hAnsi="Times New Roman" w:cs="Times New Roman" w:eastAsia="Times New Roman" w:hint="default"/>
          <w:spacing w:val="-3"/>
        </w:rPr>
        <w:t>27001:2013</w:t>
      </w:r>
      <w:r>
        <w:rPr>
          <w:spacing w:val="-3"/>
        </w:rPr>
        <w:t>）管理体系认证和医疗器械质量管理体系认证（</w:t>
      </w:r>
      <w:r>
        <w:rPr>
          <w:rFonts w:ascii="Times New Roman" w:hAnsi="Times New Roman" w:cs="Times New Roman" w:eastAsia="Times New Roman" w:hint="default"/>
          <w:spacing w:val="-3"/>
        </w:rPr>
        <w:t>ISO 13485:2016</w:t>
      </w:r>
      <w:r>
        <w:rPr>
          <w:spacing w:val="-3"/>
        </w:rPr>
        <w:t>）以及检测实验室认可（</w:t>
      </w:r>
      <w:r>
        <w:rPr>
          <w:rFonts w:ascii="Times New Roman" w:hAnsi="Times New Roman" w:cs="Times New Roman" w:eastAsia="Times New Roman" w:hint="default"/>
          <w:spacing w:val="-3"/>
        </w:rPr>
        <w:t>ISO/IEC</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rFonts w:ascii="Times New Roman" w:hAnsi="Times New Roman" w:cs="Times New Roman" w:eastAsia="Times New Roman" w:hint="default"/>
        </w:rPr>
        <w:t>17025:2005</w:t>
      </w:r>
      <w:r>
        <w:rPr/>
        <w:t>）、医学实验室认可（</w:t>
      </w:r>
      <w:r>
        <w:rPr>
          <w:rFonts w:ascii="Times New Roman" w:hAnsi="Times New Roman" w:cs="Times New Roman" w:eastAsia="Times New Roman" w:hint="default"/>
        </w:rPr>
        <w:t>ISO</w:t>
      </w:r>
      <w:r>
        <w:rPr>
          <w:rFonts w:ascii="Times New Roman" w:hAnsi="Times New Roman" w:cs="Times New Roman" w:eastAsia="Times New Roman" w:hint="default"/>
          <w:spacing w:val="-28"/>
        </w:rPr>
        <w:t> </w:t>
      </w:r>
      <w:r>
        <w:rPr>
          <w:rFonts w:ascii="Times New Roman" w:hAnsi="Times New Roman" w:cs="Times New Roman" w:eastAsia="Times New Roman" w:hint="default"/>
        </w:rPr>
        <w:t>15189:2012</w:t>
      </w:r>
      <w:r>
        <w:rPr/>
        <w:t>），美国病理学家协会</w:t>
      </w:r>
      <w:r>
        <w:rPr>
          <w:rFonts w:ascii="Times New Roman" w:hAnsi="Times New Roman" w:cs="Times New Roman" w:eastAsia="Times New Roman" w:hint="default"/>
        </w:rPr>
        <w:t>CAP</w:t>
      </w:r>
      <w:r>
        <w:rPr/>
        <w:t>认可和</w:t>
      </w:r>
      <w:r>
        <w:rPr>
          <w:rFonts w:ascii="Times New Roman" w:hAnsi="Times New Roman" w:cs="Times New Roman" w:eastAsia="Times New Roman" w:hint="default"/>
        </w:rPr>
        <w:t>CLIA</w:t>
      </w:r>
      <w:r>
        <w:rPr/>
        <w:t>认证等多项专业实验室认可。公司 的实验室信息管理系统还通过了按照美国</w:t>
      </w:r>
      <w:r>
        <w:rPr>
          <w:rFonts w:ascii="Times New Roman" w:hAnsi="Times New Roman" w:cs="Times New Roman" w:eastAsia="Times New Roman" w:hint="default"/>
        </w:rPr>
        <w:t>FDA 21 CFR PART</w:t>
      </w:r>
      <w:r>
        <w:rPr>
          <w:rFonts w:ascii="Times New Roman" w:hAnsi="Times New Roman" w:cs="Times New Roman" w:eastAsia="Times New Roman" w:hint="default"/>
          <w:spacing w:val="-1"/>
        </w:rPr>
        <w:t> </w:t>
      </w:r>
      <w:r>
        <w:rPr>
          <w:rFonts w:ascii="Times New Roman" w:hAnsi="Times New Roman" w:cs="Times New Roman" w:eastAsia="Times New Roman" w:hint="default"/>
        </w:rPr>
        <w:t>11</w:t>
      </w:r>
      <w:r>
        <w:rPr/>
        <w:t>法规进行的第三方验证。</w:t>
      </w:r>
    </w:p>
    <w:p>
      <w:pPr>
        <w:pStyle w:val="BodyText"/>
        <w:spacing w:line="316" w:lineRule="auto" w:before="133"/>
        <w:ind w:right="1120" w:firstLine="360"/>
        <w:jc w:val="left"/>
        <w:rPr>
          <w:rFonts w:ascii="Times New Roman" w:hAnsi="Times New Roman" w:cs="Times New Roman" w:eastAsia="Times New Roman" w:hint="default"/>
        </w:rPr>
      </w:pPr>
      <w:r>
        <w:rPr>
          <w:spacing w:val="-2"/>
        </w:rPr>
        <w:t>此外，公司还积极在出生缺陷防控、肿瘤精准诊疗、感染精准检测等领域研制多项标准。截至报告期末，公司主导或参</w:t>
      </w:r>
      <w:r>
        <w:rPr/>
        <w:t> 与国家标准、地方标准、团体标准、企业标准研制合计</w:t>
      </w:r>
      <w:r>
        <w:rPr>
          <w:rFonts w:ascii="Times New Roman" w:hAnsi="Times New Roman" w:cs="Times New Roman" w:eastAsia="Times New Roman" w:hint="default"/>
        </w:rPr>
        <w:t>14</w:t>
      </w:r>
      <w:r>
        <w:rPr/>
        <w:t>项，包括《</w:t>
      </w:r>
      <w:r>
        <w:rPr>
          <w:rFonts w:ascii="Times New Roman" w:hAnsi="Times New Roman" w:cs="Times New Roman" w:eastAsia="Times New Roman" w:hint="default"/>
        </w:rPr>
        <w:t>GB/T 29859-2013  </w:t>
      </w:r>
      <w:r>
        <w:rPr/>
        <w:t>生物信息学术语》、《</w:t>
      </w:r>
      <w:r>
        <w:rPr>
          <w:rFonts w:ascii="Times New Roman" w:hAnsi="Times New Roman" w:cs="Times New Roman" w:eastAsia="Times New Roman" w:hint="default"/>
        </w:rPr>
        <w:t>SZDB/Z</w:t>
      </w:r>
      <w:r>
        <w:rPr>
          <w:rFonts w:ascii="Times New Roman" w:hAnsi="Times New Roman" w:cs="Times New Roman" w:eastAsia="Times New Roman" w:hint="default"/>
          <w:spacing w:val="24"/>
        </w:rPr>
        <w:t> </w:t>
      </w:r>
      <w:r>
        <w:rPr>
          <w:rFonts w:ascii="Times New Roman" w:hAnsi="Times New Roman" w:cs="Times New Roman" w:eastAsia="Times New Roman" w:hint="default"/>
        </w:rPr>
        <w:t>122-</w:t>
      </w:r>
    </w:p>
    <w:p>
      <w:pPr>
        <w:pStyle w:val="BodyText"/>
        <w:spacing w:line="300" w:lineRule="auto"/>
        <w:ind w:right="1132"/>
        <w:jc w:val="both"/>
      </w:pPr>
      <w:r>
        <w:rPr>
          <w:rFonts w:ascii="Times New Roman" w:hAnsi="Times New Roman" w:cs="Times New Roman" w:eastAsia="Times New Roman" w:hint="default"/>
        </w:rPr>
        <w:t>2015 </w:t>
      </w:r>
      <w:r>
        <w:rPr/>
        <w:t>新生儿听力与耳聋基因联合筛查模式标准》、《</w:t>
      </w:r>
      <w:r>
        <w:rPr>
          <w:rFonts w:ascii="Times New Roman" w:hAnsi="Times New Roman" w:cs="Times New Roman" w:eastAsia="Times New Roman" w:hint="default"/>
        </w:rPr>
        <w:t>T/SZGIA 4-2018</w:t>
      </w:r>
      <w:r>
        <w:rPr>
          <w:rFonts w:ascii="Times New Roman" w:hAnsi="Times New Roman" w:cs="Times New Roman" w:eastAsia="Times New Roman" w:hint="default"/>
          <w:spacing w:val="17"/>
        </w:rPr>
        <w:t> </w:t>
      </w:r>
      <w:r>
        <w:rPr/>
        <w:t>临床基因检测报告规范》等，并与中国食品药品检定 </w:t>
      </w:r>
      <w:r>
        <w:rPr>
          <w:spacing w:val="-2"/>
        </w:rPr>
        <w:t>研究院等机构共同研制多项标准物质，包括</w:t>
      </w:r>
      <w:r>
        <w:rPr>
          <w:rFonts w:ascii="Times New Roman" w:hAnsi="Times New Roman" w:cs="Times New Roman" w:eastAsia="Times New Roman" w:hint="default"/>
          <w:spacing w:val="-2"/>
        </w:rPr>
        <w:t>34</w:t>
      </w:r>
      <w:r>
        <w:rPr>
          <w:spacing w:val="-2"/>
        </w:rPr>
        <w:t>种细菌和真菌感染多重核酸检测试剂国家参考品等，奠定了公司的行业领先地</w:t>
      </w:r>
      <w:r>
        <w:rPr>
          <w:spacing w:val="-62"/>
        </w:rPr>
        <w:t> </w:t>
      </w:r>
      <w:r>
        <w:rPr>
          <w:spacing w:val="-62"/>
        </w:rPr>
      </w:r>
      <w:r>
        <w:rPr/>
        <w:t>位。</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CEO</w:t>
      </w:r>
      <w:r>
        <w:rPr/>
        <w:t>尹烨先生当选为深圳市标准化协会第七届理事会会长。</w:t>
      </w:r>
    </w:p>
    <w:p>
      <w:pPr>
        <w:spacing w:line="415" w:lineRule="auto" w:before="133"/>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、基因检测实验室规模和布局优势</w:t>
      </w:r>
      <w:r>
        <w:rPr>
          <w:rFonts w:ascii="宋体" w:hAnsi="宋体" w:cs="宋体" w:eastAsia="宋体" w:hint="default"/>
          <w:b/>
          <w:bCs/>
          <w:w w:val="99"/>
          <w:sz w:val="18"/>
          <w:szCs w:val="18"/>
        </w:rPr>
        <w:t> </w:t>
      </w:r>
      <w:r>
        <w:rPr>
          <w:rFonts w:ascii="宋体" w:hAnsi="宋体" w:cs="宋体" w:eastAsia="宋体" w:hint="default"/>
          <w:spacing w:val="-2"/>
          <w:sz w:val="18"/>
          <w:szCs w:val="18"/>
        </w:rPr>
        <w:t>公司具有实验室规模和布局优势。公司在高通量测序实验室、分子实验室等生物学实验室建设方面有着较为深厚实力和</w:t>
      </w:r>
    </w:p>
    <w:p>
      <w:pPr>
        <w:pStyle w:val="BodyText"/>
        <w:spacing w:line="194" w:lineRule="exact"/>
        <w:ind w:right="986"/>
        <w:jc w:val="left"/>
      </w:pPr>
      <w:r>
        <w:rPr/>
        <w:t>丰富的经验。目前公司下属基因检测实验室总面积约</w:t>
      </w:r>
      <w:r>
        <w:rPr>
          <w:rFonts w:ascii="Times New Roman" w:hAnsi="Times New Roman" w:cs="Times New Roman" w:eastAsia="Times New Roman" w:hint="default"/>
        </w:rPr>
        <w:t>3.1</w:t>
      </w:r>
      <w:r>
        <w:rPr/>
        <w:t>万平方米，实验室已安全运行累计超过</w:t>
      </w:r>
      <w:r>
        <w:rPr>
          <w:rFonts w:ascii="Times New Roman" w:hAnsi="Times New Roman" w:cs="Times New Roman" w:eastAsia="Times New Roman" w:hint="default"/>
        </w:rPr>
        <w:t>100</w:t>
      </w:r>
      <w:r>
        <w:rPr/>
        <w:t>万小时。公司将基因测序</w:t>
      </w:r>
    </w:p>
    <w:p>
      <w:pPr>
        <w:pStyle w:val="BodyText"/>
        <w:spacing w:line="300" w:lineRule="auto" w:before="63"/>
        <w:ind w:right="986"/>
        <w:jc w:val="left"/>
      </w:pPr>
      <w:r>
        <w:rPr>
          <w:spacing w:val="-2"/>
        </w:rPr>
        <w:t>技术应用于临床，其中基于高通量测序技术检测，以无创产前基因检测、</w:t>
      </w:r>
      <w:r>
        <w:rPr>
          <w:rFonts w:ascii="Times New Roman" w:hAnsi="Times New Roman" w:cs="Times New Roman" w:eastAsia="Times New Roman" w:hint="default"/>
          <w:spacing w:val="-2"/>
        </w:rPr>
        <w:t>HPV</w:t>
      </w:r>
      <w:r>
        <w:rPr>
          <w:spacing w:val="-2"/>
        </w:rPr>
        <w:t>基因检测、肿瘤基因检测及遗传病基因检测为</w:t>
      </w:r>
      <w:r>
        <w:rPr>
          <w:spacing w:val="-61"/>
        </w:rPr>
        <w:t> </w:t>
      </w:r>
      <w:r>
        <w:rPr>
          <w:spacing w:val="-61"/>
        </w:rPr>
      </w:r>
      <w:r>
        <w:rPr/>
        <w:t>典型实例，已成为目前世界上最大的医学基因检测中心之一，并获得广泛认可。</w:t>
      </w:r>
    </w:p>
    <w:p>
      <w:pPr>
        <w:pStyle w:val="BodyText"/>
        <w:spacing w:line="312" w:lineRule="auto" w:before="151"/>
        <w:ind w:right="1034" w:firstLine="360"/>
        <w:jc w:val="left"/>
      </w:pPr>
      <w:r>
        <w:rPr/>
        <w:t>目前，公司已经与全国上千家医疗机构开展合作，与各医疗机构开展合作的联合实验室超过</w:t>
      </w:r>
      <w:r>
        <w:rPr>
          <w:rFonts w:ascii="Times New Roman" w:hAnsi="Times New Roman" w:cs="Times New Roman" w:eastAsia="Times New Roman" w:hint="default"/>
        </w:rPr>
        <w:t>200</w:t>
      </w:r>
      <w:r>
        <w:rPr/>
        <w:t>家，在开展联合实验室 </w:t>
      </w:r>
      <w:r>
        <w:rPr>
          <w:spacing w:val="-2"/>
        </w:rPr>
        <w:t>合作过程中，为实现院内产学研快速转化，与复旦大学附属中山医院等多家标杆医院形成战略合作关系。公司拥有全球先进</w:t>
      </w:r>
      <w:r>
        <w:rPr>
          <w:spacing w:val="-63"/>
        </w:rPr>
        <w:t> </w:t>
      </w:r>
      <w:r>
        <w:rPr>
          <w:spacing w:val="-63"/>
        </w:rPr>
      </w:r>
      <w:r>
        <w:rPr/>
        <w:t>的基因组研究平台和生物信息分析能力，完全具备筹备大型基因组学实验平台能力，有能力建设基因组临床应用转化平台，</w:t>
      </w:r>
      <w:r>
        <w:rPr>
          <w:spacing w:val="-83"/>
        </w:rPr>
        <w:t> </w:t>
      </w:r>
      <w:r>
        <w:rPr>
          <w:spacing w:val="-83"/>
        </w:rPr>
      </w:r>
      <w:r>
        <w:rPr/>
        <w:t>可提供基因组学高通量测序、临床医学大数据分析及报告解读能力的系统解决方案。</w:t>
      </w:r>
    </w:p>
    <w:p>
      <w:pPr>
        <w:pStyle w:val="BodyText"/>
        <w:spacing w:line="432" w:lineRule="exact" w:before="7"/>
        <w:ind w:left="513" w:right="986"/>
        <w:jc w:val="left"/>
      </w:pPr>
      <w:r>
        <w:rPr>
          <w:rFonts w:ascii="Times New Roman" w:hAnsi="Times New Roman" w:cs="Times New Roman" w:eastAsia="Times New Roman" w:hint="default"/>
          <w:b/>
          <w:bCs/>
        </w:rPr>
        <w:t>4</w:t>
      </w:r>
      <w:r>
        <w:rPr>
          <w:rFonts w:ascii="宋体" w:hAnsi="宋体" w:cs="宋体" w:eastAsia="宋体" w:hint="default"/>
          <w:b/>
          <w:bCs/>
        </w:rPr>
        <w:t>、临床研究优势</w:t>
      </w:r>
      <w:r>
        <w:rPr>
          <w:rFonts w:ascii="宋体" w:hAnsi="宋体" w:cs="宋体" w:eastAsia="宋体" w:hint="default"/>
          <w:b/>
          <w:bCs/>
          <w:w w:val="99"/>
        </w:rPr>
        <w:t> </w:t>
      </w:r>
      <w:r>
        <w:rPr>
          <w:spacing w:val="-2"/>
        </w:rPr>
        <w:t>公司积累了丰富的临床研究案例。临床检测、疾病防治及生物制药的针对性和准确性需要大样本量数据的支撑，以便验</w:t>
      </w:r>
    </w:p>
    <w:p>
      <w:pPr>
        <w:pStyle w:val="BodyText"/>
        <w:spacing w:line="304" w:lineRule="auto" w:before="15"/>
        <w:ind w:right="1034"/>
        <w:jc w:val="left"/>
      </w:pPr>
      <w:r>
        <w:rPr>
          <w:spacing w:val="-5"/>
        </w:rPr>
        <w:t>证技术的可靠性，确定最佳策略，同时充分考虑种群的差异。华大基因依托自身强大的科研和技术实力，开展涉及生育健康、</w:t>
      </w:r>
      <w:r>
        <w:rPr>
          <w:spacing w:val="-77"/>
        </w:rPr>
        <w:t> </w:t>
      </w:r>
      <w:r>
        <w:rPr>
          <w:spacing w:val="-77"/>
        </w:rPr>
      </w:r>
      <w:r>
        <w:rPr/>
        <w:t>遗传病、血液病、病原微生物、肿瘤等领域的检测服务，为人类提供贯穿整个生命周期的健康服务。截至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84"/>
        </w:rPr>
        <w:t> </w:t>
      </w:r>
      <w:r>
        <w:rPr/>
        <w:t>公司已完成超过</w:t>
      </w:r>
      <w:r>
        <w:rPr>
          <w:rFonts w:ascii="Times New Roman" w:hAnsi="Times New Roman" w:cs="Times New Roman" w:eastAsia="Times New Roman" w:hint="default"/>
        </w:rPr>
        <w:t>430</w:t>
      </w:r>
      <w:r>
        <w:rPr/>
        <w:t>万例无创产前基因检测，检出率和特异性均大于</w:t>
      </w:r>
      <w:r>
        <w:rPr>
          <w:rFonts w:ascii="Times New Roman" w:hAnsi="Times New Roman" w:cs="Times New Roman" w:eastAsia="Times New Roman" w:hint="default"/>
        </w:rPr>
        <w:t>99%</w:t>
      </w:r>
      <w:r>
        <w:rPr/>
        <w:t>；公司在肿瘤基因检测业务与国内累计超过</w:t>
      </w:r>
      <w:r>
        <w:rPr>
          <w:rFonts w:ascii="Times New Roman" w:hAnsi="Times New Roman" w:cs="Times New Roman" w:eastAsia="Times New Roman" w:hint="default"/>
        </w:rPr>
        <w:t>400</w:t>
      </w:r>
      <w:r>
        <w:rPr/>
        <w:t>家医</w:t>
      </w:r>
      <w:r>
        <w:rPr>
          <w:spacing w:val="-3"/>
        </w:rPr>
        <w:t> </w:t>
      </w:r>
      <w:r>
        <w:rPr/>
        <w:t>院保持了稳定的业务合作，成功测试运行了多家肿瘤高通量测序实验室，累计完成超过</w:t>
      </w:r>
      <w:r>
        <w:rPr>
          <w:rFonts w:ascii="Times New Roman" w:hAnsi="Times New Roman" w:cs="Times New Roman" w:eastAsia="Times New Roman" w:hint="default"/>
        </w:rPr>
        <w:t>5</w:t>
      </w:r>
      <w:r>
        <w:rPr/>
        <w:t>万例肿瘤相关基因检测，检测结果</w:t>
      </w:r>
      <w:r>
        <w:rPr>
          <w:spacing w:val="-83"/>
        </w:rPr>
        <w:t> </w:t>
      </w:r>
      <w:r>
        <w:rPr>
          <w:spacing w:val="-83"/>
        </w:rPr>
      </w:r>
      <w:r>
        <w:rPr>
          <w:spacing w:val="-2"/>
        </w:rPr>
        <w:t>为临床诊疗提供了科学依据；</w:t>
      </w:r>
      <w:r>
        <w:rPr>
          <w:rFonts w:ascii="Times New Roman" w:hAnsi="Times New Roman" w:cs="Times New Roman" w:eastAsia="Times New Roman" w:hint="default"/>
          <w:spacing w:val="-2"/>
        </w:rPr>
        <w:t>PMseq</w:t>
      </w:r>
      <w:r>
        <w:rPr>
          <w:spacing w:val="-2"/>
        </w:rPr>
        <w:t>感染病原高通量基因检测累计完成约</w:t>
      </w:r>
      <w:r>
        <w:rPr>
          <w:rFonts w:ascii="Times New Roman" w:hAnsi="Times New Roman" w:cs="Times New Roman" w:eastAsia="Times New Roman" w:hint="default"/>
          <w:spacing w:val="-2"/>
        </w:rPr>
        <w:t>3.2</w:t>
      </w:r>
      <w:r>
        <w:rPr>
          <w:spacing w:val="-2"/>
        </w:rPr>
        <w:t>万例样本检测，样本类型主要集中在血浆、脑脊</w:t>
      </w:r>
      <w:r>
        <w:rPr>
          <w:spacing w:val="-63"/>
        </w:rPr>
        <w:t> </w:t>
      </w:r>
      <w:r>
        <w:rPr>
          <w:spacing w:val="-63"/>
        </w:rPr>
      </w:r>
      <w:r>
        <w:rPr/>
        <w:t>液、呼吸道样本三大类。</w:t>
      </w:r>
    </w:p>
    <w:p>
      <w:pPr>
        <w:pStyle w:val="BodyText"/>
        <w:spacing w:line="240" w:lineRule="auto" w:before="148"/>
        <w:ind w:left="513" w:right="986"/>
        <w:jc w:val="left"/>
      </w:pPr>
      <w:r>
        <w:rPr/>
        <w:t>大型科研项目及临床样本的积累，遗传病、肿瘤与病原数据库的支撑，多样化的临床研究案例，丰富的临床检测经验是</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保障华大基因能够提供优质服务的基础。</w:t>
      </w:r>
    </w:p>
    <w:p>
      <w:pPr>
        <w:pStyle w:val="BodyText"/>
        <w:spacing w:line="420" w:lineRule="atLeast" w:before="25"/>
        <w:ind w:left="510" w:right="986" w:firstLine="2"/>
        <w:jc w:val="left"/>
      </w:pPr>
      <w:r>
        <w:rPr>
          <w:rFonts w:ascii="Times New Roman" w:hAnsi="Times New Roman" w:cs="Times New Roman" w:eastAsia="Times New Roman" w:hint="default"/>
          <w:b/>
          <w:bCs/>
        </w:rPr>
        <w:t>5</w:t>
      </w:r>
      <w:r>
        <w:rPr>
          <w:rFonts w:ascii="宋体" w:hAnsi="宋体" w:cs="宋体" w:eastAsia="宋体" w:hint="default"/>
          <w:b/>
          <w:bCs/>
        </w:rPr>
        <w:t>、基因组大数据优势</w:t>
      </w:r>
      <w:r>
        <w:rPr>
          <w:rFonts w:ascii="宋体" w:hAnsi="宋体" w:cs="宋体" w:eastAsia="宋体" w:hint="default"/>
          <w:b/>
          <w:bCs/>
          <w:w w:val="99"/>
        </w:rPr>
        <w:t> </w:t>
      </w:r>
      <w:r>
        <w:rPr>
          <w:spacing w:val="-2"/>
        </w:rPr>
        <w:t>以基因数据为代表的生命大数据是精准医疗的基础，也是健康医疗大数据的核心。公司着力于建设生命大数据相关的数</w:t>
      </w:r>
    </w:p>
    <w:p>
      <w:pPr>
        <w:pStyle w:val="BodyText"/>
        <w:spacing w:line="312" w:lineRule="auto" w:before="76"/>
        <w:ind w:right="1133"/>
        <w:jc w:val="both"/>
      </w:pPr>
      <w:r>
        <w:rPr>
          <w:spacing w:val="-2"/>
        </w:rPr>
        <w:t>据产出能力、分析能力和应用能力，建立了高性能计算、云计算、一体机等多种形式的数据分析平台。其中，自建大型计算</w:t>
      </w:r>
      <w:r>
        <w:rPr>
          <w:spacing w:val="-68"/>
        </w:rPr>
        <w:t> </w:t>
      </w:r>
      <w:r>
        <w:rPr>
          <w:spacing w:val="-68"/>
        </w:rPr>
      </w:r>
      <w:r>
        <w:rPr>
          <w:spacing w:val="-2"/>
        </w:rPr>
        <w:t>集群并开发出相应的基因数据分析软件，基因测序平台、蛋白质谱平台数字化能力处于行业领先水平，自主测序仪占比超过</w:t>
      </w:r>
      <w:r>
        <w:rPr>
          <w:spacing w:val="-66"/>
        </w:rPr>
        <w:t> </w:t>
      </w:r>
      <w:r>
        <w:rPr>
          <w:spacing w:val="-66"/>
        </w:rPr>
      </w:r>
      <w:r>
        <w:rPr>
          <w:rFonts w:ascii="Times New Roman" w:hAnsi="Times New Roman" w:cs="Times New Roman" w:eastAsia="Times New Roman" w:hint="default"/>
          <w:spacing w:val="-1"/>
        </w:rPr>
        <w:t>93%</w:t>
      </w:r>
      <w:r>
        <w:rPr>
          <w:spacing w:val="-1"/>
        </w:rPr>
        <w:t>，已建成基于本地化基因检测分析解决方案的一体机</w:t>
      </w:r>
      <w:r>
        <w:rPr>
          <w:rFonts w:ascii="Times New Roman" w:hAnsi="Times New Roman" w:cs="Times New Roman" w:eastAsia="Times New Roman" w:hint="default"/>
          <w:spacing w:val="-1"/>
        </w:rPr>
        <w:t>HALOS</w:t>
      </w:r>
      <w:r>
        <w:rPr>
          <w:spacing w:val="-1"/>
        </w:rPr>
        <w:t>和基因云计算平台</w:t>
      </w:r>
      <w:r>
        <w:rPr>
          <w:rFonts w:ascii="Times New Roman" w:hAnsi="Times New Roman" w:cs="Times New Roman" w:eastAsia="Times New Roman" w:hint="default"/>
          <w:spacing w:val="-1"/>
        </w:rPr>
        <w:t>BGI</w:t>
      </w:r>
      <w:r>
        <w:rPr>
          <w:rFonts w:ascii="Times New Roman" w:hAnsi="Times New Roman" w:cs="Times New Roman" w:eastAsia="Times New Roman" w:hint="default"/>
        </w:rPr>
        <w:t> </w:t>
      </w:r>
      <w:r>
        <w:rPr>
          <w:rFonts w:ascii="Times New Roman" w:hAnsi="Times New Roman" w:cs="Times New Roman" w:eastAsia="Times New Roman" w:hint="default"/>
          <w:spacing w:val="-2"/>
        </w:rPr>
        <w:t>Online</w:t>
      </w:r>
      <w:r>
        <w:rPr>
          <w:spacing w:val="-2"/>
        </w:rPr>
        <w:t>，通过交互式报告系统，满足</w:t>
      </w:r>
      <w:r>
        <w:rPr>
          <w:spacing w:val="-77"/>
        </w:rPr>
        <w:t> </w:t>
      </w:r>
      <w:r>
        <w:rPr>
          <w:spacing w:val="-77"/>
        </w:rPr>
      </w:r>
      <w:r>
        <w:rPr/>
        <w:t>个性化分析需求，打造数据、平台、传输、管理为一体的闭环管理体系。</w:t>
      </w:r>
    </w:p>
    <w:p>
      <w:pPr>
        <w:pStyle w:val="BodyText"/>
        <w:spacing w:line="434" w:lineRule="exact" w:before="5"/>
        <w:ind w:left="513" w:right="986"/>
        <w:jc w:val="left"/>
      </w:pPr>
      <w:r>
        <w:rPr/>
        <w:t>（</w:t>
      </w:r>
      <w:r>
        <w:rPr>
          <w:rFonts w:ascii="Times New Roman" w:hAnsi="Times New Roman" w:cs="Times New Roman" w:eastAsia="Times New Roman" w:hint="default"/>
        </w:rPr>
        <w:t>1</w:t>
      </w:r>
      <w:r>
        <w:rPr/>
        <w:t>）基因计算一体机</w:t>
      </w:r>
      <w:r>
        <w:rPr>
          <w:rFonts w:ascii="Times New Roman" w:hAnsi="Times New Roman" w:cs="Times New Roman" w:eastAsia="Times New Roman" w:hint="default"/>
        </w:rPr>
        <w:t>HALOS</w:t>
      </w:r>
      <w:r>
        <w:rPr>
          <w:rFonts w:ascii="Times New Roman" w:hAnsi="Times New Roman" w:cs="Times New Roman" w:eastAsia="Times New Roman" w:hint="default"/>
          <w:w w:val="99"/>
        </w:rPr>
        <w:t> </w:t>
      </w:r>
      <w:r>
        <w:rPr>
          <w:spacing w:val="-2"/>
        </w:rPr>
        <w:t>公司医学业务的服务模式逐渐从样品寄送的委外服务转向医院本地服务，这样既可以加快医院获得检测结果的速度，样</w:t>
      </w:r>
    </w:p>
    <w:p>
      <w:pPr>
        <w:pStyle w:val="BodyText"/>
        <w:spacing w:line="304" w:lineRule="auto" w:before="13"/>
        <w:ind w:right="1130"/>
        <w:jc w:val="both"/>
      </w:pPr>
      <w:r>
        <w:rPr>
          <w:spacing w:val="-1"/>
        </w:rPr>
        <w:t>品不出医院也更安全。一体机</w:t>
      </w:r>
      <w:r>
        <w:rPr>
          <w:rFonts w:ascii="Times New Roman" w:hAnsi="Times New Roman" w:cs="Times New Roman" w:eastAsia="Times New Roman" w:hint="default"/>
          <w:spacing w:val="-1"/>
        </w:rPr>
        <w:t>HALOS</w:t>
      </w:r>
      <w:r>
        <w:rPr>
          <w:spacing w:val="-1"/>
        </w:rPr>
        <w:t>作为公司对于本地化基因检测分析的解决方案，依托于应用分布式计算技术，</w:t>
      </w:r>
      <w:r>
        <w:rPr>
          <w:rFonts w:ascii="Times New Roman" w:hAnsi="Times New Roman" w:cs="Times New Roman" w:eastAsia="Times New Roman" w:hint="default"/>
          <w:spacing w:val="-1"/>
        </w:rPr>
        <w:t>HALOS</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spacing w:val="-1"/>
        </w:rPr>
        <w:t>可处理</w:t>
      </w:r>
      <w:r>
        <w:rPr>
          <w:rFonts w:ascii="Times New Roman" w:hAnsi="Times New Roman" w:cs="Times New Roman" w:eastAsia="Times New Roman" w:hint="default"/>
          <w:spacing w:val="-1"/>
        </w:rPr>
        <w:t>WES</w:t>
      </w:r>
      <w:r>
        <w:rPr>
          <w:spacing w:val="-1"/>
        </w:rPr>
        <w:t>级别的本地数据分析，同时通过加入</w:t>
      </w:r>
      <w:r>
        <w:rPr>
          <w:rFonts w:ascii="Times New Roman" w:hAnsi="Times New Roman" w:cs="Times New Roman" w:eastAsia="Times New Roman" w:hint="default"/>
          <w:spacing w:val="-1"/>
        </w:rPr>
        <w:t>GPU</w:t>
      </w:r>
      <w:r>
        <w:rPr>
          <w:spacing w:val="-1"/>
        </w:rPr>
        <w:t>加速计算能力，对于整体分析的效率大大提升。其终端形式采用</w:t>
      </w:r>
      <w:r>
        <w:rPr>
          <w:rFonts w:ascii="Times New Roman" w:hAnsi="Times New Roman" w:cs="Times New Roman" w:eastAsia="Times New Roman" w:hint="default"/>
          <w:spacing w:val="-1"/>
        </w:rPr>
        <w:t>B/S</w:t>
      </w:r>
      <w:r>
        <w:rPr>
          <w:spacing w:val="-1"/>
        </w:rPr>
        <w:t>架</w:t>
      </w:r>
      <w:r>
        <w:rPr>
          <w:spacing w:val="-50"/>
        </w:rPr>
        <w:t> </w:t>
      </w:r>
      <w:r>
        <w:rPr>
          <w:spacing w:val="-2"/>
        </w:rPr>
        <w:t>构，针对不断扩大的业务需求，支持灵活升级算力，通过接收测序仪产出的数字化基因序列，基于公司各业务积累的大数据</w:t>
      </w:r>
      <w:r>
        <w:rPr>
          <w:spacing w:val="-64"/>
        </w:rPr>
        <w:t> </w:t>
      </w:r>
      <w:r>
        <w:rPr>
          <w:spacing w:val="-64"/>
        </w:rPr>
      </w:r>
      <w:r>
        <w:rPr>
          <w:spacing w:val="-2"/>
        </w:rPr>
        <w:t>开发相应的计算技术，用以提高解读效率、提升解读准确性，从而实现在仅基于单机服务器的基础上完成医院本地化分析检</w:t>
      </w:r>
      <w:r>
        <w:rPr>
          <w:spacing w:val="-63"/>
        </w:rPr>
        <w:t> </w:t>
      </w:r>
      <w:r>
        <w:rPr>
          <w:spacing w:val="-63"/>
        </w:rPr>
      </w:r>
      <w:r>
        <w:rPr>
          <w:spacing w:val="-5"/>
        </w:rPr>
        <w:t>测任务。目前一体机</w:t>
      </w:r>
      <w:r>
        <w:rPr>
          <w:rFonts w:ascii="Times New Roman" w:hAnsi="Times New Roman" w:cs="Times New Roman" w:eastAsia="Times New Roman" w:hint="default"/>
          <w:spacing w:val="-5"/>
        </w:rPr>
        <w:t>HALOS</w:t>
      </w:r>
      <w:r>
        <w:rPr>
          <w:spacing w:val="-5"/>
        </w:rPr>
        <w:t>已经推出的服务有：</w:t>
      </w:r>
      <w:r>
        <w:rPr>
          <w:rFonts w:ascii="Times New Roman" w:hAnsi="Times New Roman" w:cs="Times New Roman" w:eastAsia="Times New Roman" w:hint="default"/>
          <w:spacing w:val="-5"/>
        </w:rPr>
        <w:t>NIFTY</w:t>
      </w:r>
      <w:r>
        <w:rPr>
          <w:spacing w:val="-5"/>
        </w:rPr>
        <w:t>及其升级产品、康孕、胚胎植入前检测（</w:t>
      </w:r>
      <w:r>
        <w:rPr>
          <w:rFonts w:ascii="Times New Roman" w:hAnsi="Times New Roman" w:cs="Times New Roman" w:eastAsia="Times New Roman" w:hint="default"/>
          <w:spacing w:val="-5"/>
        </w:rPr>
        <w:t>PGS</w:t>
      </w:r>
      <w:r>
        <w:rPr>
          <w:spacing w:val="-5"/>
        </w:rPr>
        <w:t>）、遗传性肿瘤、肺癌、</w:t>
      </w:r>
      <w:r>
        <w:rPr>
          <w:spacing w:val="-78"/>
        </w:rPr>
        <w:t> </w:t>
      </w:r>
      <w:r>
        <w:rPr>
          <w:spacing w:val="-78"/>
        </w:rPr>
      </w:r>
      <w:r>
        <w:rPr>
          <w:spacing w:val="-2"/>
        </w:rPr>
        <w:t>病原检测等，并逐步在拓展单基因病、血流病原检测、脑脊液病原检测、</w:t>
      </w:r>
      <w:r>
        <w:rPr>
          <w:rFonts w:ascii="Times New Roman" w:hAnsi="Times New Roman" w:cs="Times New Roman" w:eastAsia="Times New Roman" w:hint="default"/>
          <w:spacing w:val="-2"/>
        </w:rPr>
        <w:t>508</w:t>
      </w:r>
      <w:r>
        <w:rPr>
          <w:spacing w:val="-2"/>
        </w:rPr>
        <w:t>大</w:t>
      </w:r>
      <w:r>
        <w:rPr>
          <w:rFonts w:ascii="Times New Roman" w:hAnsi="Times New Roman" w:cs="Times New Roman" w:eastAsia="Times New Roman" w:hint="default"/>
          <w:spacing w:val="-2"/>
        </w:rPr>
        <w:t>Panel</w:t>
      </w:r>
      <w:r>
        <w:rPr>
          <w:spacing w:val="-2"/>
        </w:rPr>
        <w:t>等业务线。截至</w:t>
      </w:r>
      <w:r>
        <w:rPr>
          <w:rFonts w:ascii="Times New Roman" w:hAnsi="Times New Roman" w:cs="Times New Roman" w:eastAsia="Times New Roman" w:hint="default"/>
          <w:spacing w:val="-2"/>
        </w:rPr>
        <w:t>2018</w:t>
      </w:r>
      <w:r>
        <w:rPr>
          <w:spacing w:val="-2"/>
        </w:rPr>
        <w:t>年末，</w:t>
      </w:r>
      <w:r>
        <w:rPr>
          <w:rFonts w:ascii="Times New Roman" w:hAnsi="Times New Roman" w:cs="Times New Roman" w:eastAsia="Times New Roman" w:hint="default"/>
          <w:spacing w:val="-2"/>
        </w:rPr>
        <w:t>HALOS</w:t>
      </w:r>
      <w:r>
        <w:rPr>
          <w:spacing w:val="-2"/>
        </w:rPr>
        <w:t>已经</w:t>
      </w:r>
      <w:r>
        <w:rPr>
          <w:spacing w:val="-70"/>
        </w:rPr>
        <w:t> </w:t>
      </w:r>
      <w:r>
        <w:rPr>
          <w:spacing w:val="-1"/>
        </w:rPr>
        <w:t>与国内外近</w:t>
      </w:r>
      <w:r>
        <w:rPr>
          <w:rFonts w:ascii="Times New Roman" w:hAnsi="Times New Roman" w:cs="Times New Roman" w:eastAsia="Times New Roman" w:hint="default"/>
          <w:spacing w:val="-1"/>
        </w:rPr>
        <w:t>200</w:t>
      </w:r>
      <w:r>
        <w:rPr>
          <w:spacing w:val="-1"/>
        </w:rPr>
        <w:t>家医院达成合作，业务范围包含国内、国际；同时依托</w:t>
      </w:r>
      <w:r>
        <w:rPr>
          <w:rFonts w:ascii="Times New Roman" w:hAnsi="Times New Roman" w:cs="Times New Roman" w:eastAsia="Times New Roman" w:hint="default"/>
          <w:spacing w:val="-1"/>
        </w:rPr>
        <w:t>HALOS</w:t>
      </w:r>
      <w:r>
        <w:rPr>
          <w:spacing w:val="-1"/>
        </w:rPr>
        <w:t>的分析功能定位逐渐衍生出为医院提供基因检</w:t>
      </w:r>
      <w:r>
        <w:rPr/>
        <w:t> 测相关的本地数据管理服务，解决数据的存储、管理、备份、容灾等问题，目前已经逐步在部分医院开展。</w:t>
      </w:r>
    </w:p>
    <w:p>
      <w:pPr>
        <w:pStyle w:val="BodyText"/>
        <w:spacing w:line="240" w:lineRule="auto" w:before="150"/>
        <w:ind w:left="424" w:right="1133"/>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）基因云计算平台</w:t>
      </w:r>
      <w:r>
        <w:rPr>
          <w:rFonts w:ascii="Times New Roman" w:hAnsi="Times New Roman" w:cs="Times New Roman" w:eastAsia="Times New Roman" w:hint="default"/>
        </w:rPr>
        <w:t>BGI</w:t>
      </w:r>
      <w:r>
        <w:rPr>
          <w:rFonts w:ascii="Times New Roman" w:hAnsi="Times New Roman" w:cs="Times New Roman" w:eastAsia="Times New Roman" w:hint="default"/>
          <w:spacing w:val="-3"/>
        </w:rPr>
        <w:t> </w:t>
      </w:r>
      <w:r>
        <w:rPr>
          <w:rFonts w:ascii="Times New Roman" w:hAnsi="Times New Roman" w:cs="Times New Roman" w:eastAsia="Times New Roman" w:hint="default"/>
        </w:rPr>
        <w:t>Online</w:t>
      </w:r>
    </w:p>
    <w:p>
      <w:pPr>
        <w:spacing w:line="240" w:lineRule="auto" w:before="8"/>
        <w:rPr>
          <w:rFonts w:ascii="Times New Roman" w:hAnsi="Times New Roman" w:cs="Times New Roman" w:eastAsia="Times New Roman" w:hint="default"/>
          <w:sz w:val="15"/>
          <w:szCs w:val="15"/>
        </w:rPr>
      </w:pPr>
    </w:p>
    <w:p>
      <w:pPr>
        <w:pStyle w:val="BodyText"/>
        <w:spacing w:line="300" w:lineRule="auto"/>
        <w:ind w:right="986" w:firstLine="360"/>
        <w:jc w:val="left"/>
      </w:pPr>
      <w:r>
        <w:rPr>
          <w:rFonts w:ascii="Times New Roman" w:hAnsi="Times New Roman" w:cs="Times New Roman" w:eastAsia="Times New Roman" w:hint="default"/>
        </w:rPr>
        <w:t>BGI</w:t>
      </w:r>
      <w:r>
        <w:rPr>
          <w:rFonts w:ascii="Times New Roman" w:hAnsi="Times New Roman" w:cs="Times New Roman" w:eastAsia="Times New Roman" w:hint="default"/>
          <w:spacing w:val="-17"/>
        </w:rPr>
        <w:t> </w:t>
      </w:r>
      <w:r>
        <w:rPr>
          <w:rFonts w:ascii="Times New Roman" w:hAnsi="Times New Roman" w:cs="Times New Roman" w:eastAsia="Times New Roman" w:hint="default"/>
        </w:rPr>
        <w:t>Online</w:t>
      </w:r>
      <w:r>
        <w:rPr/>
        <w:t>是一款基于云计算与云存储能力，主要为各大测序服务商、研究机构等提供多组学大数据方面的综合解决方 </w:t>
      </w:r>
      <w:r>
        <w:rPr>
          <w:spacing w:val="-4"/>
        </w:rPr>
        <w:t>案的基因云平台。面对数据量庞大、分析工具和流程繁杂带来的各种挑战，基因云符合基因数据分析的发展趋势。</w:t>
      </w:r>
      <w:r>
        <w:rPr>
          <w:rFonts w:ascii="Times New Roman" w:hAnsi="Times New Roman" w:cs="Times New Roman" w:eastAsia="Times New Roman" w:hint="default"/>
          <w:spacing w:val="-4"/>
        </w:rPr>
        <w:t>BGI </w:t>
      </w:r>
      <w:r>
        <w:rPr>
          <w:rFonts w:ascii="Times New Roman" w:hAnsi="Times New Roman" w:cs="Times New Roman" w:eastAsia="Times New Roman" w:hint="default"/>
        </w:rPr>
        <w:t>Online</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3"/>
          <w:w w:val="100"/>
        </w:rPr>
        <w:t>作为基因云平台改变了从前单一的基因数据分析和交付手段与模式，具备</w:t>
      </w:r>
      <w:r>
        <w:rPr>
          <w:rFonts w:ascii="Times New Roman" w:hAnsi="Times New Roman" w:cs="Times New Roman" w:eastAsia="Times New Roman" w:hint="default"/>
          <w:spacing w:val="-3"/>
          <w:w w:val="100"/>
        </w:rPr>
        <w:t>“</w:t>
      </w:r>
      <w:r>
        <w:rPr>
          <w:spacing w:val="-3"/>
          <w:w w:val="100"/>
        </w:rPr>
        <w:t>一根网线获得基因数据分析能力</w:t>
      </w:r>
      <w:r>
        <w:rPr>
          <w:rFonts w:ascii="Times New Roman" w:hAnsi="Times New Roman" w:cs="Times New Roman" w:eastAsia="Times New Roman" w:hint="default"/>
          <w:spacing w:val="-3"/>
          <w:w w:val="100"/>
        </w:rPr>
        <w:t>”</w:t>
      </w:r>
      <w:r>
        <w:rPr>
          <w:spacing w:val="-3"/>
          <w:w w:val="100"/>
        </w:rPr>
        <w:t>，云端交付数据，</w:t>
      </w:r>
      <w:r>
        <w:rPr>
          <w:spacing w:val="-74"/>
          <w:w w:val="100"/>
        </w:rPr>
        <w:t> </w:t>
      </w:r>
      <w:r>
        <w:rPr>
          <w:spacing w:val="-74"/>
          <w:w w:val="100"/>
        </w:rPr>
      </w:r>
      <w:r>
        <w:rPr/>
        <w:t>数据传输更加便捷，从而大大节省了时间和成本，推动基因测序行业向更精准的分析、更普惠的价格方向发展。</w:t>
      </w:r>
    </w:p>
    <w:p>
      <w:pPr>
        <w:pStyle w:val="BodyText"/>
        <w:spacing w:line="316" w:lineRule="auto" w:before="154"/>
        <w:ind w:right="1034" w:firstLine="360"/>
        <w:jc w:val="left"/>
      </w:pPr>
      <w:r>
        <w:rPr>
          <w:spacing w:val="-2"/>
        </w:rPr>
        <w:t>公司在科研和产业化过程中形成了庞大的数据积累，在符合《人类遗传资源管理办法》和临床伦理原则的规范下，充分</w:t>
      </w:r>
      <w:r>
        <w:rPr/>
        <w:t> 重视知情同意和隐私保护，在保证数据安全的前提下，构建了遗传病数据库、肿瘤数据库、病原数据库等多种组学数据库，</w:t>
      </w:r>
      <w:r>
        <w:rPr>
          <w:spacing w:val="-83"/>
        </w:rPr>
        <w:t> </w:t>
      </w:r>
      <w:r>
        <w:rPr>
          <w:spacing w:val="-83"/>
        </w:rPr>
      </w:r>
      <w:r>
        <w:rPr/>
        <w:t>使得公司具有更精准的分析能力、更强的检出能力和更便捷的数据传输能力，形成了公司的核心竞争力。</w:t>
      </w:r>
    </w:p>
    <w:p>
      <w:pPr>
        <w:pStyle w:val="BodyText"/>
        <w:spacing w:line="432" w:lineRule="exact" w:before="6"/>
        <w:ind w:left="513" w:right="1133" w:firstLine="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遗传病数据库（凤凰数据库） </w:t>
      </w:r>
      <w:r>
        <w:rPr>
          <w:spacing w:val="-2"/>
        </w:rPr>
        <w:t>遗传病数据库名为</w:t>
      </w:r>
      <w:r>
        <w:rPr>
          <w:rFonts w:ascii="Times New Roman" w:hAnsi="Times New Roman" w:cs="Times New Roman" w:eastAsia="Times New Roman" w:hint="default"/>
          <w:spacing w:val="-2"/>
        </w:rPr>
        <w:t>“</w:t>
      </w:r>
      <w:r>
        <w:rPr>
          <w:spacing w:val="-2"/>
        </w:rPr>
        <w:t>凤凰数据库</w:t>
      </w:r>
      <w:r>
        <w:rPr>
          <w:rFonts w:ascii="Times New Roman" w:hAnsi="Times New Roman" w:cs="Times New Roman" w:eastAsia="Times New Roman" w:hint="default"/>
          <w:spacing w:val="-2"/>
        </w:rPr>
        <w:t>”</w:t>
      </w:r>
      <w:r>
        <w:rPr>
          <w:spacing w:val="-2"/>
        </w:rPr>
        <w:t>，通过分析个人基因组数据，在充分整合现有数据资源的条件下，结合中国人遗传病群</w:t>
      </w:r>
    </w:p>
    <w:p>
      <w:pPr>
        <w:pStyle w:val="BodyText"/>
        <w:spacing w:line="300" w:lineRule="auto" w:before="13"/>
        <w:ind w:right="1131"/>
        <w:jc w:val="both"/>
      </w:pPr>
      <w:r>
        <w:rPr>
          <w:spacing w:val="-3"/>
        </w:rPr>
        <w:t>体的组成和特点，从单基因病信息、致病基因、致病变异、临床患者表型</w:t>
      </w:r>
      <w:r>
        <w:rPr>
          <w:rFonts w:ascii="Times New Roman" w:hAnsi="Times New Roman" w:cs="Times New Roman" w:eastAsia="Times New Roman" w:hint="default"/>
          <w:spacing w:val="-3"/>
        </w:rPr>
        <w:t>-</w:t>
      </w:r>
      <w:r>
        <w:rPr>
          <w:spacing w:val="-3"/>
        </w:rPr>
        <w:t>基因型数据等维度探索疾病深层的分子致病原因，</w:t>
      </w:r>
      <w:r>
        <w:rPr>
          <w:spacing w:val="-66"/>
        </w:rPr>
        <w:t> </w:t>
      </w:r>
      <w:r>
        <w:rPr/>
        <w:t>该数据库覆盖目前已知的</w:t>
      </w:r>
      <w:r>
        <w:rPr>
          <w:rFonts w:ascii="Times New Roman" w:hAnsi="Times New Roman" w:cs="Times New Roman" w:eastAsia="Times New Roman" w:hint="default"/>
        </w:rPr>
        <w:t>5,000</w:t>
      </w:r>
      <w:r>
        <w:rPr/>
        <w:t>多个单基因遗传病，并涵盖了人类疾病变异库、拷贝数变异库和药物基因组数据库等，助力</w:t>
      </w:r>
      <w:r>
        <w:rPr>
          <w:spacing w:val="-44"/>
        </w:rPr>
        <w:t> </w:t>
      </w:r>
      <w:r>
        <w:rPr>
          <w:spacing w:val="-44"/>
        </w:rPr>
      </w:r>
      <w:r>
        <w:rPr>
          <w:spacing w:val="-5"/>
        </w:rPr>
        <w:t>临床实现遗传病在婚前、孕前、孕期、新生儿和儿童各阶段的基因筛查和疾病诊断工作，进一步扩大我国出生缺陷防控优势。</w:t>
      </w:r>
    </w:p>
    <w:p>
      <w:pPr>
        <w:pStyle w:val="BodyText"/>
        <w:spacing w:line="430" w:lineRule="exact" w:before="20"/>
        <w:ind w:left="513" w:right="986" w:hanging="2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肿瘤数据库（华大时珍数据库） 秉承古代医学家李时珍治病救人的精神，综合了各大公共数据库的相关位点信息，结合数万例公司自研数据，</w:t>
      </w:r>
      <w:r>
        <w:rPr>
          <w:rFonts w:ascii="Times New Roman" w:hAnsi="Times New Roman" w:cs="Times New Roman" w:eastAsia="Times New Roman" w:hint="default"/>
        </w:rPr>
        <w:t>“</w:t>
      </w:r>
      <w:r>
        <w:rPr/>
        <w:t>华大时</w:t>
      </w:r>
    </w:p>
    <w:p>
      <w:pPr>
        <w:pStyle w:val="BodyText"/>
        <w:spacing w:line="300" w:lineRule="auto" w:before="15"/>
        <w:ind w:right="1131"/>
        <w:jc w:val="both"/>
      </w:pPr>
      <w:r>
        <w:rPr>
          <w:spacing w:val="-2"/>
        </w:rPr>
        <w:t>珍</w:t>
      </w:r>
      <w:r>
        <w:rPr>
          <w:rFonts w:ascii="Times New Roman" w:hAnsi="Times New Roman" w:cs="Times New Roman" w:eastAsia="Times New Roman" w:hint="default"/>
          <w:spacing w:val="-2"/>
        </w:rPr>
        <w:t>”</w:t>
      </w:r>
      <w:r>
        <w:rPr>
          <w:spacing w:val="-2"/>
        </w:rPr>
        <w:t>肿瘤数据库更新发布</w:t>
      </w:r>
      <w:r>
        <w:rPr>
          <w:rFonts w:ascii="Times New Roman" w:hAnsi="Times New Roman" w:cs="Times New Roman" w:eastAsia="Times New Roman" w:hint="default"/>
          <w:spacing w:val="-2"/>
        </w:rPr>
        <w:t>BGISZ.V3.0.2018</w:t>
      </w:r>
      <w:r>
        <w:rPr>
          <w:spacing w:val="-2"/>
        </w:rPr>
        <w:t>版，覆盖靶向用药常见药物靶点超过</w:t>
      </w:r>
      <w:r>
        <w:rPr>
          <w:rFonts w:ascii="Times New Roman" w:hAnsi="Times New Roman" w:cs="Times New Roman" w:eastAsia="Times New Roman" w:hint="default"/>
          <w:spacing w:val="-2"/>
        </w:rPr>
        <w:t>1,000</w:t>
      </w:r>
      <w:r>
        <w:rPr>
          <w:spacing w:val="-2"/>
        </w:rPr>
        <w:t>个，包含非小细胞肺癌、结直肠癌、肝胆</w:t>
      </w:r>
      <w:r>
        <w:rPr>
          <w:spacing w:val="-61"/>
        </w:rPr>
        <w:t> </w:t>
      </w:r>
      <w:r>
        <w:rPr>
          <w:spacing w:val="-61"/>
        </w:rPr>
      </w:r>
      <w:r>
        <w:rPr>
          <w:spacing w:val="-5"/>
        </w:rPr>
        <w:t>癌、胃癌、软组织肉瘤、乳腺癌、卵巢癌、胰腺癌等</w:t>
      </w:r>
      <w:r>
        <w:rPr>
          <w:rFonts w:ascii="Times New Roman" w:hAnsi="Times New Roman" w:cs="Times New Roman" w:eastAsia="Times New Roman" w:hint="default"/>
          <w:spacing w:val="-5"/>
        </w:rPr>
        <w:t>11</w:t>
      </w:r>
      <w:r>
        <w:rPr>
          <w:spacing w:val="-5"/>
        </w:rPr>
        <w:t>个癌种大类。遗传性肿瘤覆盖七大高发癌种：遗传性乳腺癌、卵巢癌、</w:t>
      </w:r>
      <w:r>
        <w:rPr>
          <w:spacing w:val="-77"/>
        </w:rPr>
        <w:t> </w:t>
      </w:r>
      <w:r>
        <w:rPr>
          <w:spacing w:val="-77"/>
        </w:rPr>
      </w:r>
      <w:r>
        <w:rPr/>
        <w:t>胰腺癌、前列腺癌、子宫内膜癌、胃癌、结直肠癌。</w:t>
      </w:r>
    </w:p>
    <w:p>
      <w:pPr>
        <w:pStyle w:val="BodyText"/>
        <w:spacing w:line="430" w:lineRule="exact" w:before="20"/>
        <w:ind w:left="513" w:right="1133" w:hanging="7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病原数据库 病原数据库汇聚了大量病原微生物的基因组序列数据及相关注释信息，覆盖细菌、真菌、病毒及寄生虫等</w:t>
      </w:r>
      <w:r>
        <w:rPr>
          <w:rFonts w:ascii="Times New Roman" w:hAnsi="Times New Roman" w:cs="Times New Roman" w:eastAsia="Times New Roman" w:hint="default"/>
        </w:rPr>
        <w:t>8,000</w:t>
      </w:r>
      <w:r>
        <w:rPr/>
        <w:t>余个物</w:t>
      </w:r>
    </w:p>
    <w:p>
      <w:pPr>
        <w:pStyle w:val="BodyText"/>
        <w:spacing w:line="316" w:lineRule="auto" w:before="16"/>
        <w:ind w:right="1130"/>
        <w:jc w:val="both"/>
      </w:pPr>
      <w:r>
        <w:rPr>
          <w:spacing w:val="-2"/>
        </w:rPr>
        <w:t>种，除重点关注人及人畜共患病病原体之外，亦收录了哺乳动物、禽类等其他物种相关病原，为基于基因测序数据进行病原</w:t>
      </w:r>
      <w:r>
        <w:rPr>
          <w:spacing w:val="-65"/>
        </w:rPr>
        <w:t> </w:t>
      </w:r>
      <w:r>
        <w:rPr>
          <w:spacing w:val="-65"/>
        </w:rPr>
      </w:r>
      <w:r>
        <w:rPr>
          <w:spacing w:val="-2"/>
        </w:rPr>
        <w:t>鉴定提供重要依托。针对特殊关注病原，可提供耐药基因及相关毒力因子信息，为医生及研究者提供快速全面的病原检测服</w:t>
      </w:r>
    </w:p>
    <w:p>
      <w:pPr>
        <w:spacing w:after="0" w:line="316"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034"/>
        <w:jc w:val="left"/>
      </w:pPr>
      <w:r>
        <w:rPr/>
        <w:t>务。公司病原数据库已建立三个子库，包括高频位点数据库、背景微生物数据库和特征序列数据库，分别在降低假阳性率、</w:t>
      </w:r>
      <w:r>
        <w:rPr>
          <w:spacing w:val="-83"/>
        </w:rPr>
        <w:t> </w:t>
      </w:r>
      <w:r>
        <w:rPr>
          <w:spacing w:val="-83"/>
        </w:rPr>
      </w:r>
      <w:r>
        <w:rPr/>
        <w:t>辅助背景微生物干扰和种</w:t>
      </w:r>
      <w:r>
        <w:rPr>
          <w:rFonts w:ascii="Times New Roman" w:hAnsi="Times New Roman" w:cs="Times New Roman" w:eastAsia="Times New Roman" w:hint="default"/>
        </w:rPr>
        <w:t>/</w:t>
      </w:r>
      <w:r>
        <w:rPr/>
        <w:t>属间相似序列的解读判断中起到重要作用。</w:t>
      </w:r>
    </w:p>
    <w:p>
      <w:pPr>
        <w:pStyle w:val="Heading5"/>
        <w:spacing w:line="240" w:lineRule="auto" w:before="121"/>
        <w:ind w:right="1133"/>
        <w:jc w:val="left"/>
        <w:rPr>
          <w:b w:val="0"/>
          <w:bCs w:val="0"/>
        </w:rPr>
      </w:pPr>
      <w:r>
        <w:rPr>
          <w:rFonts w:ascii="Times New Roman" w:hAnsi="Times New Roman" w:cs="Times New Roman" w:eastAsia="Times New Roman" w:hint="default"/>
        </w:rPr>
        <w:t>6</w:t>
      </w:r>
      <w:r>
        <w:rPr/>
        <w:t>、专业人才优势</w:t>
      </w:r>
      <w:r>
        <w:rPr>
          <w:b w:val="0"/>
          <w:bCs w:val="0"/>
        </w:rPr>
      </w:r>
    </w:p>
    <w:p>
      <w:pPr>
        <w:spacing w:line="240" w:lineRule="auto" w:before="7"/>
        <w:rPr>
          <w:rFonts w:ascii="宋体" w:hAnsi="宋体" w:cs="宋体" w:eastAsia="宋体" w:hint="default"/>
          <w:b/>
          <w:bCs/>
          <w:sz w:val="16"/>
          <w:szCs w:val="16"/>
        </w:rPr>
      </w:pPr>
    </w:p>
    <w:p>
      <w:pPr>
        <w:pStyle w:val="BodyText"/>
        <w:spacing w:line="307" w:lineRule="auto"/>
        <w:ind w:right="1130" w:firstLine="360"/>
        <w:jc w:val="both"/>
      </w:pPr>
      <w:r>
        <w:rPr>
          <w:spacing w:val="-2"/>
        </w:rPr>
        <w:t>公司核心管理团队年轻化，具有务实创新、积极开拓、锐意进取、与时俱进的能力与素养，在基因组学相关行业平均从</w:t>
      </w:r>
      <w:r>
        <w:rPr/>
        <w:t> </w:t>
      </w:r>
      <w:r>
        <w:rPr>
          <w:spacing w:val="-2"/>
        </w:rPr>
        <w:t>业年限超过</w:t>
      </w:r>
      <w:r>
        <w:rPr>
          <w:rFonts w:ascii="Times New Roman" w:hAnsi="Times New Roman" w:cs="Times New Roman" w:eastAsia="Times New Roman" w:hint="default"/>
          <w:spacing w:val="-2"/>
        </w:rPr>
        <w:t>13</w:t>
      </w:r>
      <w:r>
        <w:rPr>
          <w:spacing w:val="-2"/>
        </w:rPr>
        <w:t>年，而基因检测行业内企业的平均成立时间约为五年（多数成立于</w:t>
      </w:r>
      <w:r>
        <w:rPr>
          <w:rFonts w:ascii="Times New Roman" w:hAnsi="Times New Roman" w:cs="Times New Roman" w:eastAsia="Times New Roman" w:hint="default"/>
          <w:spacing w:val="-2"/>
        </w:rPr>
        <w:t>2013</w:t>
      </w:r>
      <w:r>
        <w:rPr>
          <w:spacing w:val="-2"/>
        </w:rPr>
        <w:t>年左右），良好的专业素质、丰富经验</w:t>
      </w:r>
      <w:r>
        <w:rPr>
          <w:spacing w:val="-62"/>
        </w:rPr>
        <w:t> </w:t>
      </w:r>
      <w:r>
        <w:rPr>
          <w:spacing w:val="-62"/>
        </w:rPr>
      </w:r>
      <w:r>
        <w:rPr>
          <w:spacing w:val="-2"/>
        </w:rPr>
        <w:t>和高度的职业忠诚度能够更好地帮助公司顺应复杂多变的行业环境、把握市场脉动，并在此基础上把握公司未来发展战略与</w:t>
      </w:r>
      <w:r>
        <w:rPr>
          <w:spacing w:val="-64"/>
        </w:rPr>
        <w:t> </w:t>
      </w:r>
      <w:r>
        <w:rPr>
          <w:spacing w:val="-64"/>
        </w:rPr>
      </w:r>
      <w:r>
        <w:rPr>
          <w:spacing w:val="-2"/>
        </w:rPr>
        <w:t>方向。公司员工年轻化特点突出，</w:t>
      </w:r>
      <w:r>
        <w:rPr>
          <w:rFonts w:ascii="Times New Roman" w:hAnsi="Times New Roman" w:cs="Times New Roman" w:eastAsia="Times New Roman" w:hint="default"/>
          <w:spacing w:val="-2"/>
        </w:rPr>
        <w:t>30</w:t>
      </w:r>
      <w:r>
        <w:rPr>
          <w:spacing w:val="-2"/>
        </w:rPr>
        <w:t>岁以下员工数量占比近六成，越来越多的年轻人才成为公司中坚力量。此外，公司员工</w:t>
      </w:r>
      <w:r>
        <w:rPr>
          <w:spacing w:val="-66"/>
        </w:rPr>
        <w:t> </w:t>
      </w:r>
      <w:r>
        <w:rPr>
          <w:spacing w:val="-66"/>
        </w:rPr>
      </w:r>
      <w:r>
        <w:rPr>
          <w:spacing w:val="-1"/>
        </w:rPr>
        <w:t>整体知识素养水平较高，在学历层次方面，截至报告期末，公司本科学历及以上人员占比为</w:t>
      </w:r>
      <w:r>
        <w:rPr>
          <w:rFonts w:ascii="Times New Roman" w:hAnsi="Times New Roman" w:cs="Times New Roman" w:eastAsia="Times New Roman" w:hint="default"/>
          <w:spacing w:val="-1"/>
        </w:rPr>
        <w:t>77%</w:t>
      </w:r>
      <w:r>
        <w:rPr>
          <w:spacing w:val="-1"/>
        </w:rPr>
        <w:t>，硕士学历及以上人员占比</w:t>
      </w:r>
      <w:r>
        <w:rPr/>
        <w:t> 为</w:t>
      </w:r>
      <w:r>
        <w:rPr>
          <w:rFonts w:ascii="Times New Roman" w:hAnsi="Times New Roman" w:cs="Times New Roman" w:eastAsia="Times New Roman" w:hint="default"/>
        </w:rPr>
        <w:t>30%</w:t>
      </w:r>
      <w:r>
        <w:rPr/>
        <w:t>，技术人员占比为</w:t>
      </w:r>
      <w:r>
        <w:rPr>
          <w:rFonts w:ascii="Times New Roman" w:hAnsi="Times New Roman" w:cs="Times New Roman" w:eastAsia="Times New Roman" w:hint="default"/>
        </w:rPr>
        <w:t>28%</w:t>
      </w:r>
      <w:r>
        <w:rPr/>
        <w:t>，远高于行业平均水平；公司销售人员中，本科学历及以上占比为</w:t>
      </w:r>
      <w:r>
        <w:rPr>
          <w:rFonts w:ascii="Times New Roman" w:hAnsi="Times New Roman" w:cs="Times New Roman" w:eastAsia="Times New Roman" w:hint="default"/>
        </w:rPr>
        <w:t>83%</w:t>
      </w:r>
      <w:r>
        <w:rPr/>
        <w:t>，硕士学历及以上占比</w:t>
      </w:r>
      <w:r>
        <w:rPr>
          <w:spacing w:val="-85"/>
        </w:rPr>
        <w:t> </w:t>
      </w:r>
      <w:r>
        <w:rPr>
          <w:spacing w:val="-2"/>
        </w:rPr>
        <w:t>为</w:t>
      </w:r>
      <w:r>
        <w:rPr>
          <w:rFonts w:ascii="Times New Roman" w:hAnsi="Times New Roman" w:cs="Times New Roman" w:eastAsia="Times New Roman" w:hint="default"/>
          <w:spacing w:val="-2"/>
        </w:rPr>
        <w:t>36%</w:t>
      </w:r>
      <w:r>
        <w:rPr>
          <w:spacing w:val="-2"/>
        </w:rPr>
        <w:t>，高学历的专业人才是公司未来发展的重要储备力量。因此，公司始终坚持积极的人才培养及引进战略，建立了良好</w:t>
      </w:r>
      <w:r>
        <w:rPr>
          <w:spacing w:val="-38"/>
        </w:rPr>
        <w:t> </w:t>
      </w:r>
      <w:r>
        <w:rPr>
          <w:spacing w:val="-38"/>
        </w:rPr>
      </w:r>
      <w:r>
        <w:rPr>
          <w:spacing w:val="-2"/>
        </w:rPr>
        <w:t>的长效激励机制，以吸引人才、留住人才；同时，制定了员工职业培训和发展规划，扩充和优化人才储备。鼓励和引导员工</w:t>
      </w:r>
      <w:r>
        <w:rPr>
          <w:spacing w:val="-70"/>
        </w:rPr>
        <w:t> </w:t>
      </w:r>
      <w:r>
        <w:rPr>
          <w:spacing w:val="-70"/>
        </w:rPr>
      </w:r>
      <w:r>
        <w:rPr>
          <w:spacing w:val="-2"/>
        </w:rPr>
        <w:t>不断自我学习和发展，提升和培养员工的任职能力，进而同步提高员工及组织核心竞争力，这构成公司突出的人才优势与核</w:t>
      </w:r>
      <w:r>
        <w:rPr>
          <w:spacing w:val="-63"/>
        </w:rPr>
        <w:t> </w:t>
      </w:r>
      <w:r>
        <w:rPr>
          <w:spacing w:val="-63"/>
        </w:rPr>
      </w:r>
      <w:r>
        <w:rPr/>
        <w:t>心竞争力。</w:t>
      </w:r>
    </w:p>
    <w:p>
      <w:pPr>
        <w:spacing w:after="0" w:line="307" w:lineRule="auto"/>
        <w:jc w:val="both"/>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313" w:firstLine="360"/>
        <w:jc w:val="both"/>
      </w:pPr>
      <w:r>
        <w:rPr>
          <w:rFonts w:ascii="Times New Roman" w:hAnsi="Times New Roman" w:cs="Times New Roman" w:eastAsia="Times New Roman" w:hint="default"/>
        </w:rPr>
        <w:t>2018</w:t>
      </w:r>
      <w:r>
        <w:rPr/>
        <w:t>年度，公司牢记</w:t>
      </w:r>
      <w:r>
        <w:rPr>
          <w:rFonts w:ascii="Times New Roman" w:hAnsi="Times New Roman" w:cs="Times New Roman" w:eastAsia="Times New Roman" w:hint="default"/>
        </w:rPr>
        <w:t>“</w:t>
      </w:r>
      <w:r>
        <w:rPr/>
        <w:t>基因科技造福人类</w:t>
      </w:r>
      <w:r>
        <w:rPr>
          <w:rFonts w:ascii="Times New Roman" w:hAnsi="Times New Roman" w:cs="Times New Roman" w:eastAsia="Times New Roman" w:hint="default"/>
        </w:rPr>
        <w:t>”</w:t>
      </w:r>
      <w:r>
        <w:rPr/>
        <w:t>大目标，坚持</w:t>
      </w:r>
      <w:r>
        <w:rPr>
          <w:rFonts w:ascii="Times New Roman" w:hAnsi="Times New Roman" w:cs="Times New Roman" w:eastAsia="Times New Roman" w:hint="default"/>
        </w:rPr>
        <w:t>“</w:t>
      </w:r>
      <w:r>
        <w:rPr/>
        <w:t>减少出生缺陷，加强肿瘤防控，精确治愈感染，助力精准医 学</w:t>
      </w:r>
      <w:r>
        <w:rPr>
          <w:rFonts w:ascii="Times New Roman" w:hAnsi="Times New Roman" w:cs="Times New Roman" w:eastAsia="Times New Roman" w:hint="default"/>
        </w:rPr>
        <w:t>”</w:t>
      </w:r>
      <w:r>
        <w:rPr/>
        <w:t>的工作方针不动摇，领衔全球生命大数据高地，全面优化自主平台，持续推进技术革新，经营业绩稳步提升，进一步</w:t>
      </w:r>
      <w:r>
        <w:rPr>
          <w:spacing w:val="-83"/>
        </w:rPr>
        <w:t> </w:t>
      </w:r>
      <w:r>
        <w:rPr>
          <w:spacing w:val="-83"/>
        </w:rPr>
      </w:r>
      <w:r>
        <w:rPr>
          <w:spacing w:val="-1"/>
        </w:rPr>
        <w:t>夯实公司在行业中的龙头地位。报告期内，公司实现营业收入</w:t>
      </w:r>
      <w:r>
        <w:rPr>
          <w:rFonts w:ascii="Times New Roman" w:hAnsi="Times New Roman" w:cs="Times New Roman" w:eastAsia="Times New Roman" w:hint="default"/>
          <w:spacing w:val="-1"/>
        </w:rPr>
        <w:t>253,640.61</w:t>
      </w:r>
      <w:r>
        <w:rPr>
          <w:spacing w:val="-1"/>
        </w:rPr>
        <w:t>万元，同比增长</w:t>
      </w:r>
      <w:r>
        <w:rPr>
          <w:rFonts w:ascii="Times New Roman" w:hAnsi="Times New Roman" w:cs="Times New Roman" w:eastAsia="Times New Roman" w:hint="default"/>
          <w:spacing w:val="-1"/>
        </w:rPr>
        <w:t>21.04%</w:t>
      </w:r>
      <w:r>
        <w:rPr>
          <w:spacing w:val="-1"/>
        </w:rPr>
        <w:t>；实现归属于上市公司股</w:t>
      </w:r>
      <w:r>
        <w:rPr>
          <w:spacing w:val="-50"/>
        </w:rPr>
        <w:t> </w:t>
      </w:r>
      <w:r>
        <w:rPr>
          <w:spacing w:val="-50"/>
        </w:rPr>
      </w:r>
      <w:r>
        <w:rPr>
          <w:spacing w:val="-1"/>
        </w:rPr>
        <w:t>东的净利润</w:t>
      </w:r>
      <w:r>
        <w:rPr>
          <w:rFonts w:ascii="Times New Roman" w:hAnsi="Times New Roman" w:cs="Times New Roman" w:eastAsia="Times New Roman" w:hint="default"/>
          <w:spacing w:val="-1"/>
        </w:rPr>
        <w:t>38,664.55</w:t>
      </w:r>
      <w:r>
        <w:rPr>
          <w:spacing w:val="-1"/>
        </w:rPr>
        <w:t>万元，同比下降</w:t>
      </w:r>
      <w:r>
        <w:rPr>
          <w:rFonts w:ascii="Times New Roman" w:hAnsi="Times New Roman" w:cs="Times New Roman" w:eastAsia="Times New Roman" w:hint="default"/>
          <w:spacing w:val="-1"/>
        </w:rPr>
        <w:t>2.88%</w:t>
      </w:r>
      <w:r>
        <w:rPr>
          <w:spacing w:val="-1"/>
        </w:rPr>
        <w:t>。报告期内，公司继续加大研发投入力度，合并口径的研发费用为</w:t>
      </w:r>
      <w:r>
        <w:rPr>
          <w:rFonts w:ascii="Times New Roman" w:hAnsi="Times New Roman" w:cs="Times New Roman" w:eastAsia="Times New Roman" w:hint="default"/>
          <w:spacing w:val="-1"/>
        </w:rPr>
        <w:t>26,092.04</w:t>
      </w:r>
      <w:r>
        <w:rPr>
          <w:spacing w:val="-1"/>
        </w:rPr>
        <w:t>万</w:t>
      </w:r>
      <w:r>
        <w:rPr>
          <w:spacing w:val="-45"/>
        </w:rPr>
        <w:t> </w:t>
      </w:r>
      <w:r>
        <w:rPr/>
        <w:t>元，同比增长</w:t>
      </w:r>
      <w:r>
        <w:rPr>
          <w:rFonts w:ascii="Times New Roman" w:hAnsi="Times New Roman" w:cs="Times New Roman" w:eastAsia="Times New Roman" w:hint="default"/>
        </w:rPr>
        <w:t>49.68%</w:t>
      </w:r>
      <w:r>
        <w:rPr/>
        <w:t>。报告期内主要经营成果如下：</w:t>
      </w:r>
    </w:p>
    <w:p>
      <w:pPr>
        <w:pStyle w:val="Heading5"/>
        <w:spacing w:line="240" w:lineRule="auto" w:before="133"/>
        <w:ind w:right="1133"/>
        <w:jc w:val="left"/>
        <w:rPr>
          <w:b w:val="0"/>
          <w:bCs w:val="0"/>
        </w:rPr>
      </w:pPr>
      <w:r>
        <w:rPr/>
        <w:t>（一）顺应出生缺陷防治政策，扩大出生缺陷防控优势</w:t>
      </w:r>
      <w:r>
        <w:rPr>
          <w:b w:val="0"/>
          <w:bCs w:val="0"/>
        </w:rPr>
      </w:r>
    </w:p>
    <w:p>
      <w:pPr>
        <w:spacing w:line="240" w:lineRule="auto" w:before="10"/>
        <w:rPr>
          <w:rFonts w:ascii="宋体" w:hAnsi="宋体" w:cs="宋体" w:eastAsia="宋体" w:hint="default"/>
          <w:b/>
          <w:bCs/>
          <w:sz w:val="17"/>
          <w:szCs w:val="17"/>
        </w:rPr>
      </w:pPr>
    </w:p>
    <w:p>
      <w:pPr>
        <w:pStyle w:val="BodyText"/>
        <w:spacing w:line="302" w:lineRule="auto"/>
        <w:ind w:right="1045" w:firstLine="360"/>
        <w:jc w:val="left"/>
      </w:pPr>
      <w:r>
        <w:rPr/>
        <w:t>截至报告期末，公司生育产品临床检测累计服务近</w:t>
      </w:r>
      <w:r>
        <w:rPr>
          <w:rFonts w:ascii="Times New Roman" w:hAnsi="Times New Roman" w:cs="Times New Roman" w:eastAsia="Times New Roman" w:hint="default"/>
        </w:rPr>
        <w:t>745</w:t>
      </w:r>
      <w:r>
        <w:rPr/>
        <w:t>万人次，已完成超过</w:t>
      </w:r>
      <w:r>
        <w:rPr>
          <w:rFonts w:ascii="Times New Roman" w:hAnsi="Times New Roman" w:cs="Times New Roman" w:eastAsia="Times New Roman" w:hint="default"/>
        </w:rPr>
        <w:t>430</w:t>
      </w:r>
      <w:r>
        <w:rPr/>
        <w:t>万例无创产前基因检测；超过</w:t>
      </w:r>
      <w:r>
        <w:rPr>
          <w:rFonts w:ascii="Times New Roman" w:hAnsi="Times New Roman" w:cs="Times New Roman" w:eastAsia="Times New Roman" w:hint="default"/>
        </w:rPr>
        <w:t>217</w:t>
      </w:r>
      <w:r>
        <w:rPr/>
        <w:t>万名新 </w:t>
      </w:r>
      <w:r>
        <w:rPr>
          <w:spacing w:val="-2"/>
        </w:rPr>
        <w:t>生儿和成人接受了遗传性耳聋基因筛查的检测服务，发现数千名先天性耳聋及迟发性耳聋受累者，为这些聋儿和迟发性耳聋</w:t>
      </w:r>
      <w:r>
        <w:rPr>
          <w:spacing w:val="-64"/>
        </w:rPr>
        <w:t> </w:t>
      </w:r>
      <w:r>
        <w:rPr>
          <w:spacing w:val="-64"/>
        </w:rPr>
      </w:r>
      <w:r>
        <w:rPr>
          <w:spacing w:val="-2"/>
        </w:rPr>
        <w:t>受累者提供了早发现早治疗的机会；发现约</w:t>
      </w:r>
      <w:r>
        <w:rPr>
          <w:rFonts w:ascii="Times New Roman" w:hAnsi="Times New Roman" w:cs="Times New Roman" w:eastAsia="Times New Roman" w:hint="default"/>
          <w:spacing w:val="-2"/>
        </w:rPr>
        <w:t>10</w:t>
      </w:r>
      <w:r>
        <w:rPr>
          <w:spacing w:val="-2"/>
        </w:rPr>
        <w:t>万人携带常见耳聋基因突变，为精准防聋控聋提供解决方案，有效控制耳聋的</w:t>
      </w:r>
      <w:r>
        <w:rPr>
          <w:spacing w:val="-61"/>
        </w:rPr>
        <w:t> </w:t>
      </w:r>
      <w:r>
        <w:rPr>
          <w:spacing w:val="-61"/>
        </w:rPr>
      </w:r>
      <w:r>
        <w:rPr/>
        <w:t>发生发展。</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月，国家卫健委公布了全国经批准开展产前诊断技术的医疗机构名单，截至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日，经批准开</w:t>
      </w:r>
      <w:r>
        <w:rPr>
          <w:spacing w:val="-86"/>
        </w:rPr>
        <w:t> </w:t>
      </w:r>
      <w:r>
        <w:rPr/>
        <w:t>展产前诊断技术的医疗机构（产前诊断中心）共有</w:t>
      </w:r>
      <w:r>
        <w:rPr>
          <w:rFonts w:ascii="Times New Roman" w:hAnsi="Times New Roman" w:cs="Times New Roman" w:eastAsia="Times New Roman" w:hint="default"/>
        </w:rPr>
        <w:t>340</w:t>
      </w:r>
      <w:r>
        <w:rPr/>
        <w:t>家。截至报告期末，公司已与其中</w:t>
      </w:r>
      <w:r>
        <w:rPr>
          <w:rFonts w:ascii="Times New Roman" w:hAnsi="Times New Roman" w:cs="Times New Roman" w:eastAsia="Times New Roman" w:hint="default"/>
        </w:rPr>
        <w:t>156</w:t>
      </w:r>
      <w:r>
        <w:rPr/>
        <w:t>家产前诊断中心建立合作关系，</w:t>
      </w:r>
      <w:r>
        <w:rPr>
          <w:spacing w:val="-87"/>
        </w:rPr>
        <w:t> </w:t>
      </w:r>
      <w:r>
        <w:rPr/>
        <w:t>覆盖率为</w:t>
      </w:r>
      <w:r>
        <w:rPr>
          <w:rFonts w:ascii="Times New Roman" w:hAnsi="Times New Roman" w:cs="Times New Roman" w:eastAsia="Times New Roman" w:hint="default"/>
        </w:rPr>
        <w:t>45.9%</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月具有自主知识产权的桌面型测序仪</w:t>
      </w:r>
      <w:r>
        <w:rPr>
          <w:rFonts w:ascii="Times New Roman" w:hAnsi="Times New Roman" w:cs="Times New Roman" w:eastAsia="Times New Roman" w:hint="default"/>
        </w:rPr>
        <w:t>BGISEQ-500</w:t>
      </w:r>
      <w:r>
        <w:rPr/>
        <w:t>及其应用获得</w:t>
      </w:r>
      <w:r>
        <w:rPr>
          <w:rFonts w:ascii="Times New Roman" w:hAnsi="Times New Roman" w:cs="Times New Roman" w:eastAsia="Times New Roman" w:hint="default"/>
        </w:rPr>
        <w:t>CFDA</w:t>
      </w:r>
      <w:r>
        <w:rPr/>
        <w:t>注册证两年以来，自主平</w:t>
      </w:r>
      <w:r>
        <w:rPr>
          <w:spacing w:val="-38"/>
        </w:rPr>
        <w:t> </w:t>
      </w:r>
      <w:r>
        <w:rPr>
          <w:spacing w:val="-38"/>
        </w:rPr>
      </w:r>
      <w:r>
        <w:rPr/>
        <w:t>台测序仪已进入全国超过</w:t>
      </w:r>
      <w:r>
        <w:rPr>
          <w:rFonts w:ascii="Times New Roman" w:hAnsi="Times New Roman" w:cs="Times New Roman" w:eastAsia="Times New Roman" w:hint="default"/>
        </w:rPr>
        <w:t>90</w:t>
      </w:r>
      <w:r>
        <w:rPr/>
        <w:t>家产前诊断中心。</w:t>
      </w:r>
    </w:p>
    <w:p>
      <w:pPr>
        <w:spacing w:line="240" w:lineRule="auto" w:before="10"/>
        <w:rPr>
          <w:rFonts w:ascii="宋体" w:hAnsi="宋体" w:cs="宋体" w:eastAsia="宋体" w:hint="default"/>
          <w:sz w:val="12"/>
          <w:szCs w:val="12"/>
        </w:rPr>
      </w:pPr>
    </w:p>
    <w:p>
      <w:pPr>
        <w:pStyle w:val="BodyText"/>
        <w:spacing w:line="309" w:lineRule="auto"/>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月，公司与包括北京协和医院在内的国内十家权威产前诊断中心合作启动了中国多中心孕期人群常见单基因病 携带者筛查项目，该项目预期目标为通过对不少于</w:t>
      </w:r>
      <w:r>
        <w:rPr>
          <w:rFonts w:ascii="Times New Roman" w:hAnsi="Times New Roman" w:cs="Times New Roman" w:eastAsia="Times New Roman" w:hint="default"/>
        </w:rPr>
        <w:t>4,000</w:t>
      </w:r>
      <w:r>
        <w:rPr/>
        <w:t>名的孕期女性及其配偶进行百种单基因隐性遗传病携带者筛查，进</w:t>
      </w:r>
      <w:r>
        <w:rPr>
          <w:spacing w:val="-42"/>
        </w:rPr>
        <w:t> </w:t>
      </w:r>
      <w:r>
        <w:rPr>
          <w:spacing w:val="-42"/>
        </w:rPr>
      </w:r>
      <w:r>
        <w:rPr>
          <w:spacing w:val="-2"/>
        </w:rPr>
        <w:t>而得出中国孕期人群的遗传病携带数据，通过产前诊断的方法评估经携带者筛查控制的出生缺陷比例。该项目将对中国育龄</w:t>
      </w:r>
      <w:r>
        <w:rPr>
          <w:spacing w:val="-64"/>
        </w:rPr>
        <w:t> </w:t>
      </w:r>
      <w:r>
        <w:rPr>
          <w:spacing w:val="-64"/>
        </w:rPr>
      </w:r>
      <w:r>
        <w:rPr>
          <w:spacing w:val="-2"/>
        </w:rPr>
        <w:t>人群在扩展性携带者筛查领域进行深入研究，有望推动国内单基因遗传病携带者筛查行业标准的形成，助力中国出生缺陷防</w:t>
      </w:r>
      <w:r>
        <w:rPr>
          <w:spacing w:val="-63"/>
        </w:rPr>
        <w:t> </w:t>
      </w:r>
      <w:r>
        <w:rPr>
          <w:spacing w:val="-63"/>
        </w:rPr>
      </w:r>
      <w:r>
        <w:rPr/>
        <w:t>控。</w:t>
      </w:r>
    </w:p>
    <w:p>
      <w:pPr>
        <w:spacing w:line="240" w:lineRule="auto" w:before="10"/>
        <w:rPr>
          <w:rFonts w:ascii="宋体" w:hAnsi="宋体" w:cs="宋体" w:eastAsia="宋体" w:hint="default"/>
          <w:sz w:val="13"/>
          <w:szCs w:val="13"/>
        </w:rPr>
      </w:pPr>
    </w:p>
    <w:p>
      <w:pPr>
        <w:pStyle w:val="BodyText"/>
        <w:spacing w:line="316" w:lineRule="auto"/>
        <w:ind w:right="1129" w:firstLine="420"/>
        <w:jc w:val="both"/>
      </w:pPr>
      <w:r>
        <w:rPr/>
        <w:t>报告期内，公司与南京市妇幼保健院、浙江大学医学院附属第一医院、青海省人民医院等多家医院签署了全面合作协 </w:t>
      </w:r>
      <w:r>
        <w:rPr>
          <w:spacing w:val="-2"/>
        </w:rPr>
        <w:t>议，并与湖南省长沙市、湖北省武汉市、山东省临沂市、江西省吉安市、广东省珠海市、河北省石家庄市等多地政府开展民</w:t>
      </w:r>
      <w:r>
        <w:rPr>
          <w:spacing w:val="-66"/>
        </w:rPr>
        <w:t> </w:t>
      </w:r>
      <w:r>
        <w:rPr>
          <w:spacing w:val="-66"/>
        </w:rPr>
      </w:r>
      <w:r>
        <w:rPr>
          <w:spacing w:val="-2"/>
        </w:rPr>
        <w:t>生合作，在当地政府的支持下开展民生工程，公司将基因技术落地为服务于民生，助力当地出生缺陷的防控，并积极将合作</w:t>
      </w:r>
      <w:r>
        <w:rPr>
          <w:spacing w:val="-64"/>
        </w:rPr>
        <w:t> </w:t>
      </w:r>
      <w:r>
        <w:rPr>
          <w:spacing w:val="-64"/>
        </w:rPr>
      </w:r>
      <w:r>
        <w:rPr/>
        <w:t>经验在多个省市推广。</w:t>
      </w:r>
    </w:p>
    <w:p>
      <w:pPr>
        <w:spacing w:line="432" w:lineRule="exact" w:before="3"/>
        <w:ind w:left="510" w:right="986" w:firstLine="0"/>
        <w:jc w:val="left"/>
        <w:rPr>
          <w:rFonts w:ascii="宋体" w:hAnsi="宋体" w:cs="宋体" w:eastAsia="宋体" w:hint="default"/>
          <w:sz w:val="18"/>
          <w:szCs w:val="18"/>
        </w:rPr>
      </w:pPr>
      <w:r>
        <w:rPr>
          <w:rFonts w:ascii="宋体" w:hAnsi="宋体" w:cs="宋体" w:eastAsia="宋体" w:hint="default"/>
          <w:b/>
          <w:bCs/>
          <w:sz w:val="18"/>
          <w:szCs w:val="18"/>
        </w:rPr>
        <w:t>（二）加强肿瘤精准防控体系建设</w:t>
      </w:r>
      <w:r>
        <w:rPr>
          <w:rFonts w:ascii="宋体" w:hAnsi="宋体" w:cs="宋体" w:eastAsia="宋体" w:hint="default"/>
          <w:b/>
          <w:bCs/>
          <w:w w:val="99"/>
          <w:sz w:val="18"/>
          <w:szCs w:val="18"/>
        </w:rPr>
        <w:t> </w:t>
      </w:r>
      <w:r>
        <w:rPr>
          <w:rFonts w:ascii="宋体" w:hAnsi="宋体" w:cs="宋体" w:eastAsia="宋体" w:hint="default"/>
          <w:spacing w:val="-2"/>
          <w:sz w:val="18"/>
          <w:szCs w:val="18"/>
        </w:rPr>
        <w:t>公司充分利用平台优势和生物信息大数据优势，围绕多类肿瘤进行精准防控。截至报告期末，公司肿瘤基因检测业务与</w:t>
      </w:r>
    </w:p>
    <w:p>
      <w:pPr>
        <w:pStyle w:val="BodyText"/>
        <w:spacing w:line="307" w:lineRule="auto" w:before="15"/>
        <w:ind w:right="1131"/>
        <w:jc w:val="both"/>
      </w:pPr>
      <w:r>
        <w:rPr>
          <w:spacing w:val="-2"/>
        </w:rPr>
        <w:t>国内累计超过</w:t>
      </w:r>
      <w:r>
        <w:rPr>
          <w:rFonts w:ascii="Times New Roman" w:hAnsi="Times New Roman" w:cs="Times New Roman" w:eastAsia="Times New Roman" w:hint="default"/>
          <w:spacing w:val="-2"/>
        </w:rPr>
        <w:t>400</w:t>
      </w:r>
      <w:r>
        <w:rPr>
          <w:spacing w:val="-2"/>
        </w:rPr>
        <w:t>家医院保持了稳定的业务合作，成功测试运行了多家肿瘤高通量测序实验室，累计为超过</w:t>
      </w:r>
      <w:r>
        <w:rPr>
          <w:rFonts w:ascii="Times New Roman" w:hAnsi="Times New Roman" w:cs="Times New Roman" w:eastAsia="Times New Roman" w:hint="default"/>
          <w:spacing w:val="-2"/>
        </w:rPr>
        <w:t>5</w:t>
      </w:r>
      <w:r>
        <w:rPr>
          <w:spacing w:val="-2"/>
        </w:rPr>
        <w:t>万例受检者提供</w:t>
      </w:r>
      <w:r>
        <w:rPr>
          <w:spacing w:val="-61"/>
        </w:rPr>
        <w:t> </w:t>
      </w:r>
      <w:r>
        <w:rPr>
          <w:spacing w:val="-61"/>
        </w:rPr>
      </w:r>
      <w:r>
        <w:rPr/>
        <w:t>肿瘤相关基因检测服务；报告期内，免疫检测和核酸检测业务共接受样本超过</w:t>
      </w:r>
      <w:r>
        <w:rPr>
          <w:rFonts w:ascii="Times New Roman" w:hAnsi="Times New Roman" w:cs="Times New Roman" w:eastAsia="Times New Roman" w:hint="default"/>
        </w:rPr>
        <w:t>500</w:t>
      </w:r>
      <w:r>
        <w:rPr/>
        <w:t>万例，检测结果为临床诊疗提供了科学依</w:t>
      </w:r>
      <w:r>
        <w:rPr>
          <w:spacing w:val="-84"/>
        </w:rPr>
        <w:t> </w:t>
      </w:r>
      <w:r>
        <w:rPr>
          <w:spacing w:val="-84"/>
        </w:rPr>
      </w:r>
      <w:r>
        <w:rPr>
          <w:spacing w:val="-2"/>
        </w:rPr>
        <w:t>据。报告期内，公司与美国约翰霍普金斯大学签署了胰腺癌精准医学研究合作协议，与北京协和医院、复旦大学附属肿瘤医</w:t>
      </w:r>
      <w:r>
        <w:rPr>
          <w:spacing w:val="-64"/>
        </w:rPr>
        <w:t> </w:t>
      </w:r>
      <w:r>
        <w:rPr>
          <w:spacing w:val="-64"/>
        </w:rPr>
      </w:r>
      <w:r>
        <w:rPr/>
        <w:t>院、中山大学附属肿瘤医院等北京、上海、广州等一线城市及各省超过</w:t>
      </w:r>
      <w:r>
        <w:rPr>
          <w:rFonts w:ascii="Times New Roman" w:hAnsi="Times New Roman" w:cs="Times New Roman" w:eastAsia="Times New Roman" w:hint="default"/>
        </w:rPr>
        <w:t>200</w:t>
      </w:r>
      <w:r>
        <w:rPr/>
        <w:t>家三甲医院建立了业务合作关系。</w:t>
      </w:r>
    </w:p>
    <w:p>
      <w:pPr>
        <w:pStyle w:val="BodyText"/>
        <w:spacing w:line="309" w:lineRule="auto" w:before="127"/>
        <w:ind w:right="1128" w:firstLine="360"/>
        <w:jc w:val="right"/>
      </w:pPr>
      <w:r>
        <w:rPr>
          <w:rFonts w:ascii="Times New Roman" w:hAnsi="Times New Roman" w:cs="Times New Roman" w:eastAsia="Times New Roman" w:hint="default"/>
          <w:spacing w:val="-2"/>
        </w:rPr>
        <w:t>HPV</w:t>
      </w:r>
      <w:r>
        <w:rPr>
          <w:spacing w:val="-2"/>
        </w:rPr>
        <w:t>分型基因检测已成为服务于百姓的惠民项目。截至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日，华大基因宫颈癌筛查业务已覆盖全国</w:t>
      </w:r>
      <w:r>
        <w:rPr>
          <w:rFonts w:ascii="Times New Roman" w:hAnsi="Times New Roman" w:cs="Times New Roman" w:eastAsia="Times New Roman" w:hint="default"/>
          <w:spacing w:val="-2"/>
        </w:rPr>
        <w:t>21</w:t>
      </w:r>
      <w:r>
        <w:rPr>
          <w:spacing w:val="-2"/>
        </w:rPr>
        <w:t>省</w:t>
      </w:r>
      <w:r>
        <w:rPr>
          <w:rFonts w:ascii="Times New Roman" w:hAnsi="Times New Roman" w:cs="Times New Roman" w:eastAsia="Times New Roman" w:hint="default"/>
          <w:spacing w:val="-2"/>
        </w:rPr>
        <w:t>50</w:t>
      </w:r>
      <w:r>
        <w:rPr>
          <w:spacing w:val="-2"/>
        </w:rPr>
        <w:t>个</w:t>
      </w:r>
      <w:r>
        <w:rPr/>
        <w:t> </w:t>
      </w:r>
      <w:r>
        <w:rPr>
          <w:spacing w:val="-2"/>
        </w:rPr>
        <w:t>市或地区，并开拓微信金丝带平台、阿里健康、京东自营、社交电商分销等依托线上电商的多种面向终端消费者的渠道，累</w:t>
      </w:r>
      <w:r>
        <w:rPr>
          <w:spacing w:val="-78"/>
        </w:rPr>
        <w:t> </w:t>
      </w:r>
      <w:r>
        <w:rPr>
          <w:spacing w:val="-78"/>
        </w:rPr>
      </w:r>
      <w:r>
        <w:rPr>
          <w:spacing w:val="-1"/>
        </w:rPr>
        <w:t>计完成超过</w:t>
      </w:r>
      <w:r>
        <w:rPr>
          <w:rFonts w:ascii="Times New Roman" w:hAnsi="Times New Roman" w:cs="Times New Roman" w:eastAsia="Times New Roman" w:hint="default"/>
          <w:spacing w:val="-1"/>
        </w:rPr>
        <w:t>360</w:t>
      </w:r>
      <w:r>
        <w:rPr>
          <w:spacing w:val="-1"/>
        </w:rPr>
        <w:t>万例</w:t>
      </w:r>
      <w:r>
        <w:rPr>
          <w:rFonts w:ascii="Times New Roman" w:hAnsi="Times New Roman" w:cs="Times New Roman" w:eastAsia="Times New Roman" w:hint="default"/>
          <w:spacing w:val="-1"/>
        </w:rPr>
        <w:t>HPV</w:t>
      </w:r>
      <w:r>
        <w:rPr>
          <w:spacing w:val="-1"/>
        </w:rPr>
        <w:t>检测，发现</w:t>
      </w:r>
      <w:r>
        <w:rPr>
          <w:rFonts w:ascii="Times New Roman" w:hAnsi="Times New Roman" w:cs="Times New Roman" w:eastAsia="Times New Roman" w:hint="default"/>
          <w:spacing w:val="-1"/>
        </w:rPr>
        <w:t>33</w:t>
      </w:r>
      <w:r>
        <w:rPr>
          <w:spacing w:val="-1"/>
        </w:rPr>
        <w:t>万例阳性受检者，通过及时进行临床确诊或干预治疗，有效的预防了宫颈癌的发生。</w:t>
      </w:r>
    </w:p>
    <w:p>
      <w:pPr>
        <w:pStyle w:val="BodyText"/>
        <w:spacing w:line="300" w:lineRule="auto" w:before="125"/>
        <w:ind w:right="1127" w:firstLine="358"/>
        <w:jc w:val="both"/>
      </w:pPr>
      <w:r>
        <w:rPr/>
        <w:t>公司与生物制药公司阿斯利康开展多年合作，最终推动抗癌靶向药物奥拉帕尼获得美国</w:t>
      </w:r>
      <w:r>
        <w:rPr>
          <w:rFonts w:ascii="Times New Roman" w:hAnsi="Times New Roman" w:cs="Times New Roman" w:eastAsia="Times New Roman" w:hint="default"/>
        </w:rPr>
        <w:t>FDA</w:t>
      </w:r>
      <w:r>
        <w:rPr/>
        <w:t>批准用于治疗转移性乳腺</w:t>
      </w:r>
      <w:r>
        <w:rPr>
          <w:spacing w:val="2"/>
        </w:rPr>
        <w:t> </w:t>
      </w:r>
      <w:r>
        <w:rPr>
          <w:spacing w:val="-2"/>
        </w:rPr>
        <w:t>癌患者。公司基于项目合作中提供的药物检测数据，启动</w:t>
      </w:r>
      <w:r>
        <w:rPr>
          <w:rFonts w:ascii="Times New Roman" w:hAnsi="Times New Roman" w:cs="Times New Roman" w:eastAsia="Times New Roman" w:hint="default"/>
          <w:spacing w:val="-2"/>
        </w:rPr>
        <w:t>BRCA1/2</w:t>
      </w:r>
      <w:r>
        <w:rPr>
          <w:spacing w:val="-2"/>
        </w:rPr>
        <w:t>基因突变检测试剂盒的医疗器械注册申报工作，并于</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年</w:t>
      </w:r>
      <w:r>
        <w:rPr>
          <w:rFonts w:ascii="Times New Roman" w:hAnsi="Times New Roman" w:cs="Times New Roman" w:eastAsia="Times New Roman" w:hint="default"/>
        </w:rPr>
        <w:t>7</w:t>
      </w:r>
      <w:r>
        <w:rPr/>
        <w:t>月通过</w:t>
      </w:r>
      <w:r>
        <w:rPr>
          <w:rFonts w:ascii="Times New Roman" w:hAnsi="Times New Roman" w:cs="Times New Roman" w:eastAsia="Times New Roman" w:hint="default"/>
        </w:rPr>
        <w:t>NMPA</w:t>
      </w:r>
      <w:r>
        <w:rPr/>
        <w:t>的创新医疗器械特别审批申请。该试剂盒成为中国首个获得</w:t>
      </w:r>
      <w:r>
        <w:rPr>
          <w:rFonts w:ascii="Times New Roman" w:hAnsi="Times New Roman" w:cs="Times New Roman" w:eastAsia="Times New Roman" w:hint="default"/>
        </w:rPr>
        <w:t>NMPA</w:t>
      </w:r>
      <w:r>
        <w:rPr/>
        <w:t>创新特别审批的</w:t>
      </w:r>
      <w:r>
        <w:rPr>
          <w:rFonts w:ascii="Times New Roman" w:hAnsi="Times New Roman" w:cs="Times New Roman" w:eastAsia="Times New Roman" w:hint="default"/>
        </w:rPr>
        <w:t>BRCA1/2</w:t>
      </w:r>
      <w:r>
        <w:rPr/>
        <w:t>基因检测试剂</w:t>
      </w:r>
    </w:p>
    <w:p>
      <w:pPr>
        <w:spacing w:after="0" w:line="300"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415" w:lineRule="auto" w:before="44"/>
        <w:ind w:left="510" w:right="986" w:hanging="359"/>
        <w:jc w:val="left"/>
      </w:pPr>
      <w:r>
        <w:rPr/>
        <w:t>盒，将为</w:t>
      </w:r>
      <w:r>
        <w:rPr>
          <w:rFonts w:ascii="Times New Roman" w:hAnsi="Times New Roman" w:cs="Times New Roman" w:eastAsia="Times New Roman" w:hint="default"/>
        </w:rPr>
        <w:t>PARP</w:t>
      </w:r>
      <w:r>
        <w:rPr/>
        <w:t>抑制剂药物开发以及其上市后的伴随诊断做好铺垫。 </w:t>
      </w:r>
      <w:r>
        <w:rPr>
          <w:spacing w:val="-2"/>
        </w:rPr>
        <w:t>在数据库建设方面，公司汇集了主要公共基因数据库中关于肿瘤突变基因位点的信息，并整合公司近年来数万例肿瘤患</w:t>
      </w:r>
    </w:p>
    <w:p>
      <w:pPr>
        <w:pStyle w:val="BodyText"/>
        <w:spacing w:line="194" w:lineRule="exact"/>
        <w:ind w:right="0"/>
        <w:jc w:val="both"/>
        <w:rPr>
          <w:rFonts w:ascii="Times New Roman" w:hAnsi="Times New Roman" w:cs="Times New Roman" w:eastAsia="Times New Roman" w:hint="default"/>
        </w:rPr>
      </w:pPr>
      <w:r>
        <w:rPr/>
        <w:t>者的基因检测数据，已发布中国首个黄种人</w:t>
      </w:r>
      <w:r>
        <w:rPr>
          <w:rFonts w:ascii="Times New Roman" w:hAnsi="Times New Roman" w:cs="Times New Roman" w:eastAsia="Times New Roman" w:hint="default"/>
        </w:rPr>
        <w:t>BRCA</w:t>
      </w:r>
      <w:r>
        <w:rPr/>
        <w:t>（联合探针锚定聚合测序法）基因突变数据库和肿瘤靶向用药数据库</w:t>
      </w:r>
      <w:r>
        <w:rPr>
          <w:rFonts w:ascii="Times New Roman" w:hAnsi="Times New Roman" w:cs="Times New Roman" w:eastAsia="Times New Roman" w:hint="default"/>
        </w:rPr>
        <w:t>——</w:t>
      </w:r>
    </w:p>
    <w:p>
      <w:pPr>
        <w:pStyle w:val="BodyText"/>
        <w:spacing w:line="240" w:lineRule="auto" w:before="63"/>
        <w:ind w:right="0"/>
        <w:jc w:val="both"/>
      </w:pPr>
      <w:r>
        <w:rPr>
          <w:rFonts w:ascii="Times New Roman" w:hAnsi="Times New Roman" w:cs="Times New Roman" w:eastAsia="Times New Roman" w:hint="default"/>
        </w:rPr>
        <w:t>“</w:t>
      </w:r>
      <w:r>
        <w:rPr/>
        <w:t>华大时珍</w:t>
      </w:r>
      <w:r>
        <w:rPr>
          <w:rFonts w:ascii="Times New Roman" w:hAnsi="Times New Roman" w:cs="Times New Roman" w:eastAsia="Times New Roman" w:hint="default"/>
        </w:rPr>
        <w:t>”</w:t>
      </w:r>
      <w:r>
        <w:rPr/>
        <w:t>数据库。</w:t>
      </w:r>
    </w:p>
    <w:p>
      <w:pPr>
        <w:spacing w:line="432" w:lineRule="exact" w:before="47"/>
        <w:ind w:left="513" w:right="986" w:firstLine="0"/>
        <w:jc w:val="left"/>
        <w:rPr>
          <w:rFonts w:ascii="宋体" w:hAnsi="宋体" w:cs="宋体" w:eastAsia="宋体" w:hint="default"/>
          <w:sz w:val="18"/>
          <w:szCs w:val="18"/>
        </w:rPr>
      </w:pPr>
      <w:r>
        <w:rPr>
          <w:rFonts w:ascii="宋体" w:hAnsi="宋体" w:cs="宋体" w:eastAsia="宋体" w:hint="default"/>
          <w:b/>
          <w:bCs/>
          <w:sz w:val="18"/>
          <w:szCs w:val="18"/>
        </w:rPr>
        <w:t>（三）立足临床推动感染精准防控，助力科研提高病原检测水平</w:t>
      </w:r>
      <w:r>
        <w:rPr>
          <w:rFonts w:ascii="宋体" w:hAnsi="宋体" w:cs="宋体" w:eastAsia="宋体" w:hint="default"/>
          <w:b/>
          <w:bCs/>
          <w:w w:val="99"/>
          <w:sz w:val="18"/>
          <w:szCs w:val="18"/>
        </w:rPr>
        <w:t> </w:t>
      </w:r>
      <w:r>
        <w:rPr>
          <w:rFonts w:ascii="宋体" w:hAnsi="宋体" w:cs="宋体" w:eastAsia="宋体" w:hint="default"/>
          <w:spacing w:val="-3"/>
          <w:w w:val="99"/>
          <w:sz w:val="18"/>
          <w:szCs w:val="18"/>
        </w:rPr>
        <w:t>感染防控业务方面，</w:t>
      </w:r>
      <w:r>
        <w:rPr>
          <w:rFonts w:ascii="Times New Roman" w:hAnsi="Times New Roman" w:cs="Times New Roman" w:eastAsia="Times New Roman" w:hint="default"/>
          <w:spacing w:val="-3"/>
          <w:w w:val="99"/>
          <w:sz w:val="18"/>
          <w:szCs w:val="18"/>
        </w:rPr>
        <w:t>PMseq</w:t>
      </w:r>
      <w:r>
        <w:rPr>
          <w:rFonts w:ascii="Times New Roman" w:hAnsi="Times New Roman" w:cs="Times New Roman" w:eastAsia="Times New Roman" w:hint="default"/>
          <w:spacing w:val="-3"/>
          <w:w w:val="99"/>
          <w:position w:val="6"/>
          <w:sz w:val="12"/>
          <w:szCs w:val="12"/>
        </w:rPr>
        <w:t>TM</w:t>
      </w:r>
      <w:r>
        <w:rPr>
          <w:rFonts w:ascii="宋体" w:hAnsi="宋体" w:cs="宋体" w:eastAsia="宋体" w:hint="default"/>
          <w:spacing w:val="-3"/>
          <w:w w:val="99"/>
          <w:sz w:val="18"/>
          <w:szCs w:val="18"/>
        </w:rPr>
        <w:t>感染病原高通量基因检测作为核心产品，旨在解决临床疑难危重感染性疾病病原检测困难、</w:t>
      </w:r>
    </w:p>
    <w:p>
      <w:pPr>
        <w:pStyle w:val="BodyText"/>
        <w:spacing w:line="304" w:lineRule="auto" w:before="15"/>
        <w:ind w:right="1130"/>
        <w:jc w:val="both"/>
      </w:pPr>
      <w:r>
        <w:rPr>
          <w:spacing w:val="-4"/>
        </w:rPr>
        <w:t>阳性率低、检测周期长的难题，以实现感染病原的快速精准诊断。国内覆盖省市自治区及直辖市近</w:t>
      </w:r>
      <w:r>
        <w:rPr>
          <w:rFonts w:ascii="Times New Roman" w:hAnsi="Times New Roman" w:cs="Times New Roman" w:eastAsia="Times New Roman" w:hint="default"/>
          <w:spacing w:val="-4"/>
        </w:rPr>
        <w:t>30</w:t>
      </w:r>
      <w:r>
        <w:rPr>
          <w:spacing w:val="-4"/>
        </w:rPr>
        <w:t>个，合作科研机构</w:t>
      </w:r>
      <w:r>
        <w:rPr>
          <w:rFonts w:ascii="Times New Roman" w:hAnsi="Times New Roman" w:cs="Times New Roman" w:eastAsia="Times New Roman" w:hint="default"/>
          <w:spacing w:val="-4"/>
        </w:rPr>
        <w:t>7</w:t>
      </w:r>
      <w:r>
        <w:rPr>
          <w:spacing w:val="-4"/>
        </w:rPr>
        <w:t>家，</w:t>
      </w:r>
      <w:r>
        <w:rPr>
          <w:spacing w:val="-44"/>
        </w:rPr>
        <w:t> </w:t>
      </w:r>
      <w:r>
        <w:rPr>
          <w:spacing w:val="-2"/>
        </w:rPr>
        <w:t>医疗机构超过</w:t>
      </w:r>
      <w:r>
        <w:rPr>
          <w:rFonts w:ascii="Times New Roman" w:hAnsi="Times New Roman" w:cs="Times New Roman" w:eastAsia="Times New Roman" w:hint="default"/>
          <w:spacing w:val="-2"/>
        </w:rPr>
        <w:t>600</w:t>
      </w:r>
      <w:r>
        <w:rPr>
          <w:spacing w:val="-2"/>
        </w:rPr>
        <w:t>家，其中三甲医院</w:t>
      </w:r>
      <w:r>
        <w:rPr>
          <w:rFonts w:ascii="Times New Roman" w:hAnsi="Times New Roman" w:cs="Times New Roman" w:eastAsia="Times New Roman" w:hint="default"/>
          <w:spacing w:val="-2"/>
        </w:rPr>
        <w:t>410</w:t>
      </w:r>
      <w:r>
        <w:rPr>
          <w:spacing w:val="-2"/>
        </w:rPr>
        <w:t>家。主要客户群体包括研究所、医院重症医学科、呼吸科、感染科等科室的疑似感染</w:t>
      </w:r>
      <w:r>
        <w:rPr>
          <w:spacing w:val="-61"/>
        </w:rPr>
        <w:t> </w:t>
      </w:r>
      <w:r>
        <w:rPr>
          <w:spacing w:val="-61"/>
        </w:rPr>
      </w:r>
      <w:r>
        <w:rPr>
          <w:spacing w:val="-5"/>
        </w:rPr>
        <w:t>患者，尤其是疑难、危重感染患者，涉及不明原因发热、血流感染、脑炎脑膜炎症候群、呼吸道感染等各种感染性相关疾病。</w:t>
      </w:r>
      <w:r>
        <w:rPr>
          <w:spacing w:val="-79"/>
        </w:rPr>
        <w:t> </w:t>
      </w:r>
      <w:r>
        <w:rPr>
          <w:spacing w:val="-79"/>
        </w:rPr>
      </w:r>
      <w:r>
        <w:rPr>
          <w:spacing w:val="-2"/>
        </w:rPr>
        <w:t>依托医检所中心实验室，截至报告期末，</w:t>
      </w:r>
      <w:r>
        <w:rPr>
          <w:rFonts w:ascii="Times New Roman" w:hAnsi="Times New Roman" w:cs="Times New Roman" w:eastAsia="Times New Roman" w:hint="default"/>
          <w:spacing w:val="-2"/>
        </w:rPr>
        <w:t>PMseq</w:t>
      </w:r>
      <w:r>
        <w:rPr>
          <w:spacing w:val="-2"/>
        </w:rPr>
        <w:t>累计完成约</w:t>
      </w:r>
      <w:r>
        <w:rPr>
          <w:rFonts w:ascii="Times New Roman" w:hAnsi="Times New Roman" w:cs="Times New Roman" w:eastAsia="Times New Roman" w:hint="default"/>
          <w:spacing w:val="-2"/>
        </w:rPr>
        <w:t>3.2</w:t>
      </w:r>
      <w:r>
        <w:rPr>
          <w:spacing w:val="-2"/>
        </w:rPr>
        <w:t>万份样本检测，样本类型主要集中在血浆、脑脊液、呼吸道样</w:t>
      </w:r>
      <w:r>
        <w:rPr>
          <w:spacing w:val="-66"/>
        </w:rPr>
        <w:t> </w:t>
      </w:r>
      <w:r>
        <w:rPr>
          <w:spacing w:val="-66"/>
        </w:rPr>
      </w:r>
      <w:r>
        <w:rPr/>
        <w:t>本三大类。病原检测近年来在微生物全基因组分析方面取得较大进展。</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月，协助华山医院感染团队确诊人感染猪疱</w:t>
      </w:r>
      <w:r>
        <w:rPr>
          <w:spacing w:val="-85"/>
        </w:rPr>
        <w:t> </w:t>
      </w:r>
      <w:r>
        <w:rPr>
          <w:spacing w:val="-85"/>
        </w:rPr>
      </w:r>
      <w:r>
        <w:rPr/>
        <w:t>疹病毒，首次证实该病毒跨物种传播，并将研究结果发表在</w:t>
      </w:r>
      <w:r>
        <w:rPr>
          <w:rFonts w:ascii="Times New Roman" w:hAnsi="Times New Roman" w:cs="Times New Roman" w:eastAsia="Times New Roman" w:hint="default"/>
        </w:rPr>
        <w:t>Emerging Infectious</w:t>
      </w:r>
      <w:r>
        <w:rPr>
          <w:rFonts w:ascii="Times New Roman" w:hAnsi="Times New Roman" w:cs="Times New Roman" w:eastAsia="Times New Roman" w:hint="default"/>
          <w:spacing w:val="-6"/>
        </w:rPr>
        <w:t> </w:t>
      </w:r>
      <w:r>
        <w:rPr>
          <w:rFonts w:ascii="Times New Roman" w:hAnsi="Times New Roman" w:cs="Times New Roman" w:eastAsia="Times New Roman" w:hint="default"/>
        </w:rPr>
        <w:t>Diseases</w:t>
      </w:r>
      <w:r>
        <w:rPr/>
        <w:t>杂志。</w:t>
      </w:r>
    </w:p>
    <w:p>
      <w:pPr>
        <w:pStyle w:val="Heading5"/>
        <w:spacing w:line="240" w:lineRule="auto" w:before="129"/>
        <w:ind w:left="633" w:right="1133"/>
        <w:jc w:val="left"/>
        <w:rPr>
          <w:b w:val="0"/>
          <w:bCs w:val="0"/>
        </w:rPr>
      </w:pPr>
      <w:r>
        <w:rPr/>
        <w:t>（四）推广自主测序平台，发展多组学大数据业务</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right="1130" w:firstLine="360"/>
        <w:jc w:val="both"/>
      </w:pPr>
      <w:r>
        <w:rPr/>
        <w:t>多组学大数据服务业务依托</w:t>
      </w:r>
      <w:r>
        <w:rPr>
          <w:rFonts w:ascii="Times New Roman" w:hAnsi="Times New Roman" w:cs="Times New Roman" w:eastAsia="Times New Roman" w:hint="default"/>
        </w:rPr>
        <w:t>DNBSEQ</w:t>
      </w:r>
      <w:r>
        <w:rPr>
          <w:rFonts w:ascii="Times New Roman" w:hAnsi="Times New Roman" w:cs="Times New Roman" w:eastAsia="Times New Roman" w:hint="default"/>
          <w:position w:val="6"/>
          <w:sz w:val="12"/>
          <w:szCs w:val="12"/>
        </w:rPr>
        <w:t>TM</w:t>
      </w:r>
      <w:r>
        <w:rPr/>
        <w:t>自主平台测序仪、</w:t>
      </w:r>
      <w:r>
        <w:rPr>
          <w:rFonts w:ascii="Times New Roman" w:hAnsi="Times New Roman" w:cs="Times New Roman" w:eastAsia="Times New Roman" w:hint="default"/>
        </w:rPr>
        <w:t>BGI Online</w:t>
      </w:r>
      <w:r>
        <w:rPr/>
        <w:t>分析交付平台及交互式结题报告系统</w:t>
      </w:r>
      <w:r>
        <w:rPr>
          <w:spacing w:val="-14"/>
        </w:rPr>
        <w:t> </w:t>
      </w:r>
      <w:r>
        <w:rPr>
          <w:rFonts w:ascii="Times New Roman" w:hAnsi="Times New Roman" w:cs="Times New Roman" w:eastAsia="Times New Roman" w:hint="default"/>
        </w:rPr>
        <w:t>“Dr.Tom”</w:t>
      </w:r>
      <w:r>
        <w:rPr/>
        <w:t>， </w:t>
      </w:r>
      <w:r>
        <w:rPr>
          <w:spacing w:val="-1"/>
        </w:rPr>
        <w:t>在实验和数据分析环节上实现了全面替代。截至报告期末，自主平台数据产出量占比为</w:t>
      </w:r>
      <w:r>
        <w:rPr>
          <w:rFonts w:ascii="Times New Roman" w:hAnsi="Times New Roman" w:cs="Times New Roman" w:eastAsia="Times New Roman" w:hint="default"/>
          <w:spacing w:val="-1"/>
        </w:rPr>
        <w:t>76%</w:t>
      </w:r>
      <w:r>
        <w:rPr>
          <w:spacing w:val="-1"/>
        </w:rPr>
        <w:t>。凭借自主平台的精准、快速及</w:t>
      </w:r>
      <w:r>
        <w:rPr/>
        <w:t> </w:t>
      </w:r>
      <w:r>
        <w:rPr>
          <w:spacing w:val="-2"/>
        </w:rPr>
        <w:t>价格优势，基于</w:t>
      </w:r>
      <w:r>
        <w:rPr>
          <w:rFonts w:ascii="Times New Roman" w:hAnsi="Times New Roman" w:cs="Times New Roman" w:eastAsia="Times New Roman" w:hint="default"/>
          <w:spacing w:val="-2"/>
        </w:rPr>
        <w:t>DNBSEQ</w:t>
      </w:r>
      <w:r>
        <w:rPr>
          <w:rFonts w:ascii="Times New Roman" w:hAnsi="Times New Roman" w:cs="Times New Roman" w:eastAsia="Times New Roman" w:hint="default"/>
          <w:spacing w:val="-2"/>
          <w:position w:val="6"/>
          <w:sz w:val="12"/>
          <w:szCs w:val="12"/>
        </w:rPr>
        <w:t>TM</w:t>
      </w:r>
      <w:r>
        <w:rPr>
          <w:spacing w:val="-2"/>
        </w:rPr>
        <w:t>平台的产品推广取得突破，受到全球客户和学术界的认可。公司目前拥有全球领先的基因组学多</w:t>
      </w:r>
      <w:r>
        <w:rPr>
          <w:spacing w:val="-61"/>
        </w:rPr>
        <w:t> </w:t>
      </w:r>
      <w:r>
        <w:rPr>
          <w:spacing w:val="-61"/>
        </w:rPr>
      </w:r>
      <w:r>
        <w:rPr>
          <w:spacing w:val="-1"/>
        </w:rPr>
        <w:t>组学大数据服务体系，也布局了</w:t>
      </w:r>
      <w:r>
        <w:rPr>
          <w:rFonts w:ascii="Times New Roman" w:hAnsi="Times New Roman" w:cs="Times New Roman" w:eastAsia="Times New Roman" w:hint="default"/>
          <w:spacing w:val="-1"/>
        </w:rPr>
        <w:t>Pacbio</w:t>
      </w:r>
      <w:r>
        <w:rPr>
          <w:spacing w:val="-1"/>
        </w:rPr>
        <w:t>和</w:t>
      </w:r>
      <w:r>
        <w:rPr>
          <w:rFonts w:ascii="Times New Roman" w:hAnsi="Times New Roman" w:cs="Times New Roman" w:eastAsia="Times New Roman" w:hint="default"/>
          <w:spacing w:val="-1"/>
        </w:rPr>
        <w:t>Oxford</w:t>
      </w:r>
      <w:r>
        <w:rPr>
          <w:rFonts w:ascii="Times New Roman" w:hAnsi="Times New Roman" w:cs="Times New Roman" w:eastAsia="Times New Roman" w:hint="default"/>
        </w:rPr>
        <w:t> </w:t>
      </w:r>
      <w:r>
        <w:rPr>
          <w:rFonts w:ascii="Times New Roman" w:hAnsi="Times New Roman" w:cs="Times New Roman" w:eastAsia="Times New Roman" w:hint="default"/>
          <w:spacing w:val="-1"/>
        </w:rPr>
        <w:t>Nanopore</w:t>
      </w:r>
      <w:r>
        <w:rPr>
          <w:spacing w:val="-1"/>
        </w:rPr>
        <w:t>等长读长测序平台，未来将继续致力为客户提供高效、优质的一站</w:t>
      </w:r>
      <w:r>
        <w:rPr>
          <w:spacing w:val="-81"/>
        </w:rPr>
        <w:t> </w:t>
      </w:r>
      <w:r>
        <w:rPr>
          <w:spacing w:val="-81"/>
        </w:rPr>
      </w:r>
      <w:r>
        <w:rPr/>
        <w:t>式整体解决方案。为了加速全基因组测序在人类疾病健康方面的普及，华大基因在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月推出了</w:t>
      </w:r>
      <w:r>
        <w:rPr>
          <w:spacing w:val="-30"/>
        </w:rPr>
        <w:t> </w:t>
      </w:r>
      <w:r>
        <w:rPr>
          <w:rFonts w:ascii="Times New Roman" w:hAnsi="Times New Roman" w:cs="Times New Roman" w:eastAsia="Times New Roman" w:hint="default"/>
          <w:spacing w:val="-4"/>
        </w:rPr>
        <w:t>“</w:t>
      </w:r>
      <w:r>
        <w:rPr>
          <w:spacing w:val="-4"/>
        </w:rPr>
        <w:t>基因组解码计划</w:t>
      </w:r>
      <w:r>
        <w:rPr>
          <w:rFonts w:ascii="Times New Roman" w:hAnsi="Times New Roman" w:cs="Times New Roman" w:eastAsia="Times New Roman" w:hint="default"/>
          <w:spacing w:val="-4"/>
        </w:rPr>
        <w:t>”</w:t>
      </w:r>
      <w:r>
        <w:rPr>
          <w:spacing w:val="-4"/>
        </w:rPr>
        <w:t>，引</w:t>
      </w:r>
      <w:r>
        <w:rPr>
          <w:spacing w:val="-20"/>
        </w:rPr>
        <w:t> </w:t>
      </w:r>
      <w:r>
        <w:rPr>
          <w:spacing w:val="-2"/>
        </w:rPr>
        <w:t>入海外众多知名科研机构的人全基因组重测序项目。目前该项目已覆盖</w:t>
      </w:r>
      <w:r>
        <w:rPr>
          <w:rFonts w:ascii="Times New Roman" w:hAnsi="Times New Roman" w:cs="Times New Roman" w:eastAsia="Times New Roman" w:hint="default"/>
          <w:spacing w:val="-2"/>
        </w:rPr>
        <w:t>50</w:t>
      </w:r>
      <w:r>
        <w:rPr>
          <w:spacing w:val="-2"/>
        </w:rPr>
        <w:t>多个国家和地区，涉及疾病研究超过</w:t>
      </w:r>
      <w:r>
        <w:rPr>
          <w:rFonts w:ascii="Times New Roman" w:hAnsi="Times New Roman" w:cs="Times New Roman" w:eastAsia="Times New Roman" w:hint="default"/>
          <w:spacing w:val="-2"/>
        </w:rPr>
        <w:t>40</w:t>
      </w:r>
      <w:r>
        <w:rPr>
          <w:spacing w:val="-2"/>
        </w:rPr>
        <w:t>种，依托华</w:t>
      </w:r>
      <w:r>
        <w:rPr>
          <w:spacing w:val="-63"/>
        </w:rPr>
        <w:t> </w:t>
      </w:r>
      <w:r>
        <w:rPr>
          <w:spacing w:val="-63"/>
        </w:rPr>
      </w:r>
      <w:r>
        <w:rPr/>
        <w:t>大基因综合的平台能力及整体分析解决方案，促进全球基因组学在人类疾病健康中的研究。</w:t>
      </w:r>
    </w:p>
    <w:p>
      <w:pPr>
        <w:spacing w:line="430" w:lineRule="atLeast" w:before="90"/>
        <w:ind w:left="513" w:right="1127" w:firstLine="122"/>
        <w:jc w:val="left"/>
        <w:rPr>
          <w:rFonts w:ascii="宋体" w:hAnsi="宋体" w:cs="宋体" w:eastAsia="宋体" w:hint="default"/>
          <w:sz w:val="18"/>
          <w:szCs w:val="18"/>
        </w:rPr>
      </w:pPr>
      <w:r>
        <w:rPr>
          <w:rFonts w:ascii="宋体" w:hAnsi="宋体" w:cs="宋体" w:eastAsia="宋体" w:hint="default"/>
          <w:b/>
          <w:bCs/>
          <w:sz w:val="18"/>
          <w:szCs w:val="18"/>
        </w:rPr>
        <w:t>（五）持续拓展科技惠民路线，助力</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健康中国</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国家战略</w:t>
      </w:r>
      <w:r>
        <w:rPr>
          <w:rFonts w:ascii="宋体" w:hAnsi="宋体" w:cs="宋体" w:eastAsia="宋体" w:hint="default"/>
          <w:b/>
          <w:bCs/>
          <w:w w:val="99"/>
          <w:sz w:val="18"/>
          <w:szCs w:val="18"/>
        </w:rPr>
        <w:t> </w:t>
      </w:r>
      <w:r>
        <w:rPr>
          <w:rFonts w:ascii="宋体" w:hAnsi="宋体" w:cs="宋体" w:eastAsia="宋体" w:hint="default"/>
          <w:spacing w:val="-1"/>
          <w:sz w:val="18"/>
          <w:szCs w:val="18"/>
        </w:rPr>
        <w:t>公司继续秉持</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基因科技造福人类</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的理念，坚持</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持续低价惠民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的原则，在全国各地继续开拓新的基因健康筛查民生项</w:t>
      </w:r>
    </w:p>
    <w:p>
      <w:pPr>
        <w:pStyle w:val="BodyText"/>
        <w:spacing w:line="307" w:lineRule="auto" w:before="63"/>
        <w:ind w:right="1131"/>
        <w:jc w:val="both"/>
      </w:pPr>
      <w:r>
        <w:rPr>
          <w:spacing w:val="-2"/>
        </w:rPr>
        <w:t>目。民生项目检测主要为无创产前基因检测，新生儿遗传性耳聋基因检测、新生儿遗传代谢病基因检测、地中海贫血基因筛</w:t>
      </w:r>
      <w:r>
        <w:rPr>
          <w:spacing w:val="-65"/>
        </w:rPr>
        <w:t> </w:t>
      </w:r>
      <w:r>
        <w:rPr>
          <w:spacing w:val="-65"/>
        </w:rPr>
      </w:r>
      <w:r>
        <w:rPr>
          <w:spacing w:val="-2"/>
        </w:rPr>
        <w:t>查、子宫颈癌基因筛查等项目。截至报告期末，公司已开展的民生项目覆盖了全国</w:t>
      </w:r>
      <w:r>
        <w:rPr>
          <w:rFonts w:ascii="Times New Roman" w:hAnsi="Times New Roman" w:cs="Times New Roman" w:eastAsia="Times New Roman" w:hint="default"/>
          <w:spacing w:val="-2"/>
        </w:rPr>
        <w:t>20</w:t>
      </w:r>
      <w:r>
        <w:rPr>
          <w:spacing w:val="-2"/>
        </w:rPr>
        <w:t>余个省、自治区、直辖市总共</w:t>
      </w:r>
      <w:r>
        <w:rPr>
          <w:rFonts w:ascii="Times New Roman" w:hAnsi="Times New Roman" w:cs="Times New Roman" w:eastAsia="Times New Roman" w:hint="default"/>
          <w:spacing w:val="-2"/>
        </w:rPr>
        <w:t>60</w:t>
      </w:r>
      <w:r>
        <w:rPr>
          <w:spacing w:val="-2"/>
        </w:rPr>
        <w:t>余个区</w:t>
      </w:r>
      <w:r>
        <w:rPr>
          <w:spacing w:val="-64"/>
        </w:rPr>
        <w:t> </w:t>
      </w:r>
      <w:r>
        <w:rPr>
          <w:spacing w:val="-64"/>
        </w:rPr>
      </w:r>
      <w:r>
        <w:rPr/>
        <w:t>域，民生项目筛查人次已累计达到</w:t>
      </w:r>
      <w:r>
        <w:rPr>
          <w:rFonts w:ascii="Times New Roman" w:hAnsi="Times New Roman" w:cs="Times New Roman" w:eastAsia="Times New Roman" w:hint="default"/>
        </w:rPr>
        <w:t>600</w:t>
      </w:r>
      <w:r>
        <w:rPr/>
        <w:t>余万次。</w:t>
      </w:r>
      <w:r>
        <w:rPr>
          <w:rFonts w:ascii="Times New Roman" w:hAnsi="Times New Roman" w:cs="Times New Roman" w:eastAsia="Times New Roman" w:hint="default"/>
        </w:rPr>
        <w:t>2018</w:t>
      </w:r>
      <w:r>
        <w:rPr/>
        <w:t>年公司新增江西省吉安市、山东省临沂市、湖南省长沙市、广东省珠海</w:t>
      </w:r>
      <w:r>
        <w:rPr>
          <w:spacing w:val="-85"/>
        </w:rPr>
        <w:t> </w:t>
      </w:r>
      <w:r>
        <w:rPr>
          <w:spacing w:val="-85"/>
        </w:rPr>
      </w:r>
      <w:r>
        <w:rPr/>
        <w:t>市、浙江省乐清市等</w:t>
      </w:r>
      <w:r>
        <w:rPr>
          <w:rFonts w:ascii="Times New Roman" w:hAnsi="Times New Roman" w:cs="Times New Roman" w:eastAsia="Times New Roman" w:hint="default"/>
        </w:rPr>
        <w:t>20</w:t>
      </w:r>
      <w:r>
        <w:rPr/>
        <w:t>余个区域的民生项目，</w:t>
      </w:r>
      <w:r>
        <w:rPr>
          <w:rFonts w:ascii="Times New Roman" w:hAnsi="Times New Roman" w:cs="Times New Roman" w:eastAsia="Times New Roman" w:hint="default"/>
        </w:rPr>
        <w:t>2018</w:t>
      </w:r>
      <w:r>
        <w:rPr/>
        <w:t>年全年新增筛查样本量</w:t>
      </w:r>
      <w:r>
        <w:rPr>
          <w:rFonts w:ascii="Times New Roman" w:hAnsi="Times New Roman" w:cs="Times New Roman" w:eastAsia="Times New Roman" w:hint="default"/>
        </w:rPr>
        <w:t>200</w:t>
      </w:r>
      <w:r>
        <w:rPr/>
        <w:t>余万人次。</w:t>
      </w:r>
    </w:p>
    <w:p>
      <w:pPr>
        <w:pStyle w:val="BodyText"/>
        <w:spacing w:line="309" w:lineRule="auto" w:before="127"/>
        <w:ind w:right="1130" w:firstLine="360"/>
        <w:jc w:val="both"/>
      </w:pPr>
      <w:r>
        <w:rPr>
          <w:spacing w:val="-2"/>
        </w:rPr>
        <w:t>在民生项目开展实施过程中，公司持续推动精准医学技术及检测平台的本地化，助力各地医疗系统逐步形成精准医学网</w:t>
      </w:r>
      <w:r>
        <w:rPr/>
        <w:t> </w:t>
      </w:r>
      <w:r>
        <w:rPr>
          <w:spacing w:val="-2"/>
        </w:rPr>
        <w:t>络。</w:t>
      </w:r>
      <w:r>
        <w:rPr>
          <w:rFonts w:ascii="Times New Roman" w:hAnsi="Times New Roman" w:cs="Times New Roman" w:eastAsia="Times New Roman" w:hint="default"/>
          <w:spacing w:val="-2"/>
        </w:rPr>
        <w:t>2018</w:t>
      </w:r>
      <w:r>
        <w:rPr>
          <w:spacing w:val="-2"/>
        </w:rPr>
        <w:t>年在湖南省长沙市等民生项目首次采用民生信息化系统，打造民生项目与互联网运营相结合的实施方案，支撑民生</w:t>
      </w:r>
      <w:r>
        <w:rPr>
          <w:spacing w:val="-60"/>
        </w:rPr>
        <w:t> </w:t>
      </w:r>
      <w:r>
        <w:rPr>
          <w:spacing w:val="-60"/>
        </w:rPr>
      </w:r>
      <w:r>
        <w:rPr/>
        <w:t>项目高效实施、管理，并为民生项目带动上游科研、下游产业做好了大数据基础。</w:t>
      </w:r>
    </w:p>
    <w:p>
      <w:pPr>
        <w:pStyle w:val="BodyText"/>
        <w:spacing w:line="316" w:lineRule="auto" w:before="144"/>
        <w:ind w:right="1130" w:firstLine="360"/>
        <w:jc w:val="both"/>
      </w:pPr>
      <w:r>
        <w:rPr>
          <w:spacing w:val="-2"/>
        </w:rPr>
        <w:t>在基因科技惠民的道路上，公司会结合近年来的项目经验，协助各地政府制订适合当地实际情况、有效且可持续的健康</w:t>
      </w:r>
      <w:r>
        <w:rPr/>
        <w:t> 城市规划，通过基因科技助力</w:t>
      </w:r>
      <w:r>
        <w:rPr>
          <w:rFonts w:ascii="Times New Roman" w:hAnsi="Times New Roman" w:cs="Times New Roman" w:eastAsia="Times New Roman" w:hint="default"/>
        </w:rPr>
        <w:t>“</w:t>
      </w:r>
      <w:r>
        <w:rPr/>
        <w:t>健康中国</w:t>
      </w:r>
      <w:r>
        <w:rPr>
          <w:rFonts w:ascii="Times New Roman" w:hAnsi="Times New Roman" w:cs="Times New Roman" w:eastAsia="Times New Roman" w:hint="default"/>
        </w:rPr>
        <w:t>”</w:t>
      </w:r>
      <w:r>
        <w:rPr/>
        <w:t>国家战略。</w:t>
      </w:r>
    </w:p>
    <w:p>
      <w:pPr>
        <w:pStyle w:val="Heading5"/>
        <w:spacing w:line="240" w:lineRule="auto" w:before="119"/>
        <w:ind w:left="633" w:right="1133"/>
        <w:jc w:val="left"/>
        <w:rPr>
          <w:b w:val="0"/>
          <w:bCs w:val="0"/>
        </w:rPr>
      </w:pPr>
      <w:r>
        <w:rPr/>
        <w:t>（六）完善</w:t>
      </w:r>
      <w:r>
        <w:rPr>
          <w:rFonts w:ascii="Times New Roman" w:hAnsi="Times New Roman" w:cs="Times New Roman" w:eastAsia="Times New Roman" w:hint="default"/>
        </w:rPr>
        <w:t>“</w:t>
      </w:r>
      <w:r>
        <w:rPr/>
        <w:t>生育肿瘤感染</w:t>
      </w:r>
      <w:r>
        <w:rPr>
          <w:rFonts w:ascii="Times New Roman" w:hAnsi="Times New Roman" w:cs="Times New Roman" w:eastAsia="Times New Roman" w:hint="default"/>
        </w:rPr>
        <w:t>”</w:t>
      </w:r>
      <w:r>
        <w:rPr/>
        <w:t>系列产品梯队、强化产品资质与数据库布局</w:t>
      </w:r>
      <w:r>
        <w:rPr>
          <w:b w:val="0"/>
          <w:bCs w:val="0"/>
        </w:rPr>
      </w:r>
    </w:p>
    <w:p>
      <w:pPr>
        <w:spacing w:line="240" w:lineRule="auto" w:before="13"/>
        <w:rPr>
          <w:rFonts w:ascii="宋体" w:hAnsi="宋体" w:cs="宋体" w:eastAsia="宋体" w:hint="default"/>
          <w:b/>
          <w:bCs/>
          <w:sz w:val="13"/>
          <w:szCs w:val="13"/>
        </w:rPr>
      </w:pPr>
    </w:p>
    <w:p>
      <w:pPr>
        <w:pStyle w:val="BodyText"/>
        <w:spacing w:line="307" w:lineRule="auto"/>
        <w:ind w:right="1034" w:firstLine="360"/>
        <w:jc w:val="left"/>
      </w:pPr>
      <w:r>
        <w:rPr/>
        <w:t>华大基因秉承</w:t>
      </w:r>
      <w:r>
        <w:rPr>
          <w:rFonts w:ascii="Times New Roman" w:hAnsi="Times New Roman" w:cs="Times New Roman" w:eastAsia="Times New Roman" w:hint="default"/>
        </w:rPr>
        <w:t>“</w:t>
      </w:r>
      <w:r>
        <w:rPr/>
        <w:t>基因科技造福人类</w:t>
      </w:r>
      <w:r>
        <w:rPr>
          <w:rFonts w:ascii="Times New Roman" w:hAnsi="Times New Roman" w:cs="Times New Roman" w:eastAsia="Times New Roman" w:hint="default"/>
        </w:rPr>
        <w:t>”</w:t>
      </w:r>
      <w:r>
        <w:rPr/>
        <w:t>的愿景，以推动生命科学研究进展和提高全球医疗健康水平为出发点，基于基因领域 研究成果及生物技术在民生健康方面的应用，进行科研和产业布局，致力于加速科学创新，减少出生缺陷，加强肿瘤防控，</w:t>
      </w:r>
      <w:r>
        <w:rPr>
          <w:spacing w:val="-83"/>
        </w:rPr>
        <w:t> </w:t>
      </w:r>
      <w:r>
        <w:rPr>
          <w:spacing w:val="-83"/>
        </w:rPr>
      </w:r>
      <w:r>
        <w:rPr/>
        <w:t>抑制重大疾病对人类的危害，实现精准治愈感染，助力精准医学。</w:t>
      </w:r>
      <w:r>
        <w:rPr>
          <w:rFonts w:ascii="Times New Roman" w:hAnsi="Times New Roman" w:cs="Times New Roman" w:eastAsia="Times New Roman" w:hint="default"/>
        </w:rPr>
        <w:t>2018</w:t>
      </w:r>
      <w:r>
        <w:rPr/>
        <w:t>年陆续推出</w:t>
      </w:r>
      <w:r>
        <w:rPr>
          <w:rFonts w:ascii="Times New Roman" w:hAnsi="Times New Roman" w:cs="Times New Roman" w:eastAsia="Times New Roman" w:hint="default"/>
        </w:rPr>
        <w:t>“</w:t>
      </w:r>
      <w:r>
        <w:rPr/>
        <w:t>生育肿瘤感染</w:t>
      </w:r>
      <w:r>
        <w:rPr>
          <w:rFonts w:ascii="Times New Roman" w:hAnsi="Times New Roman" w:cs="Times New Roman" w:eastAsia="Times New Roman" w:hint="default"/>
        </w:rPr>
        <w:t>”</w:t>
      </w:r>
      <w:r>
        <w:rPr/>
        <w:t>系列重点产品，持续加大 在重点产品资质申报投入力度，加强系统与数据库建设，并积极探索建立行业标准与规范。</w:t>
      </w:r>
    </w:p>
    <w:p>
      <w:pPr>
        <w:pStyle w:val="BodyText"/>
        <w:spacing w:line="316" w:lineRule="auto" w:before="148"/>
        <w:ind w:right="1130" w:firstLine="360"/>
        <w:jc w:val="both"/>
      </w:pPr>
      <w:r>
        <w:rPr>
          <w:spacing w:val="-2"/>
        </w:rPr>
        <w:t>预防出生缺陷方面，以保障生育健康为共同目标，在无创产前基因检测的主力产品检测基础上拓展延伸，完成不依赖先</w:t>
      </w:r>
      <w:r>
        <w:rPr/>
        <w:t> 证者的无创单病技术储备；探索进一步将无创产前检测由染色体提升到单基因病水平，以期尽快实现部分无创单病临床转</w:t>
      </w:r>
      <w:r>
        <w:rPr>
          <w:spacing w:val="-1"/>
        </w:rPr>
        <w:t> </w:t>
      </w:r>
      <w:r>
        <w:rPr>
          <w:spacing w:val="-1"/>
        </w:rPr>
      </w:r>
      <w:r>
        <w:rPr>
          <w:spacing w:val="-2"/>
        </w:rPr>
        <w:t>化；孕前筛查产品优化升级，覆盖疾病种类增加，解读通量大幅提升，产品综合成本得到有效控制；同时全外显子诊断产品</w:t>
      </w:r>
    </w:p>
    <w:p>
      <w:pPr>
        <w:spacing w:after="0" w:line="316"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1"/>
        <w:jc w:val="both"/>
      </w:pPr>
      <w:r>
        <w:rPr>
          <w:spacing w:val="-2"/>
        </w:rPr>
        <w:t>升级完成，药物基因组检测产品开发等取得重要进展；携带者筛查试剂盒开发资质申报项目启动，并完成小试，在国产试剂</w:t>
      </w:r>
      <w:r>
        <w:rPr>
          <w:spacing w:val="-64"/>
        </w:rPr>
        <w:t> </w:t>
      </w:r>
      <w:r>
        <w:rPr>
          <w:spacing w:val="-64"/>
        </w:rPr>
      </w:r>
      <w:r>
        <w:rPr>
          <w:spacing w:val="-2"/>
        </w:rPr>
        <w:t>替换、工艺体系优化、企业参考品的构建等方面取得阶段性重要成果；在数据库建设方面，继续加大已知遗传病表型和和预</w:t>
      </w:r>
      <w:r>
        <w:rPr>
          <w:spacing w:val="-64"/>
        </w:rPr>
        <w:t> </w:t>
      </w:r>
      <w:r>
        <w:rPr>
          <w:spacing w:val="-64"/>
        </w:rPr>
      </w:r>
      <w:r>
        <w:rPr>
          <w:spacing w:val="-2"/>
        </w:rPr>
        <w:t>后相关数据库建设工作，增强了基因突变位点致病性及相关表型的解读能力；同时形成以产品带动大人群生育健康保障的大</w:t>
      </w:r>
      <w:r>
        <w:rPr>
          <w:spacing w:val="-64"/>
        </w:rPr>
        <w:t> </w:t>
      </w:r>
      <w:r>
        <w:rPr>
          <w:spacing w:val="-64"/>
        </w:rPr>
      </w:r>
      <w:r>
        <w:rPr>
          <w:spacing w:val="-2"/>
        </w:rPr>
        <w:t>数据积累与疾病数据库建设的阶段性成果，此外还建立了生育遗传咨询与罕见病等咨询解读标准专家共识，进一步助力华大</w:t>
      </w:r>
      <w:r>
        <w:rPr>
          <w:spacing w:val="-64"/>
        </w:rPr>
        <w:t> </w:t>
      </w:r>
      <w:r>
        <w:rPr>
          <w:spacing w:val="-64"/>
        </w:rPr>
      </w:r>
      <w:r>
        <w:rPr/>
        <w:t>基因在该领域的标杆影响。</w:t>
      </w:r>
    </w:p>
    <w:p>
      <w:pPr>
        <w:pStyle w:val="BodyText"/>
        <w:spacing w:line="304" w:lineRule="auto" w:before="141"/>
        <w:ind w:right="1034" w:firstLine="360"/>
        <w:jc w:val="left"/>
      </w:pPr>
      <w:r>
        <w:rPr/>
        <w:t>在肿瘤的防诊治方面，以</w:t>
      </w:r>
      <w:r>
        <w:rPr>
          <w:rFonts w:ascii="Times New Roman" w:hAnsi="Times New Roman" w:cs="Times New Roman" w:eastAsia="Times New Roman" w:hint="default"/>
        </w:rPr>
        <w:t>“</w:t>
      </w:r>
      <w:r>
        <w:rPr/>
        <w:t>技术领先，低价惠民，造福患者</w:t>
      </w:r>
      <w:r>
        <w:rPr>
          <w:rFonts w:ascii="Times New Roman" w:hAnsi="Times New Roman" w:cs="Times New Roman" w:eastAsia="Times New Roman" w:hint="default"/>
        </w:rPr>
        <w:t>”</w:t>
      </w:r>
      <w:r>
        <w:rPr/>
        <w:t>为己任，主攻肿瘤的早期筛查、诊治检测新技术开发与产品 </w:t>
      </w:r>
      <w:r>
        <w:rPr>
          <w:spacing w:val="-2"/>
        </w:rPr>
        <w:t>转化，同时配合国家有关部门探索肿瘤多基因检测伴随诊断的资质条件建立以规范行业标准。基于自主高通量测序平台开发</w:t>
      </w:r>
      <w:r>
        <w:rPr>
          <w:spacing w:val="-64"/>
        </w:rPr>
        <w:t> </w:t>
      </w:r>
      <w:r>
        <w:rPr>
          <w:spacing w:val="-64"/>
        </w:rPr>
      </w:r>
      <w:r>
        <w:rPr>
          <w:spacing w:val="-2"/>
        </w:rPr>
        <w:t>完成的</w:t>
      </w:r>
      <w:r>
        <w:rPr>
          <w:rFonts w:ascii="Times New Roman" w:hAnsi="Times New Roman" w:cs="Times New Roman" w:eastAsia="Times New Roman" w:hint="default"/>
          <w:spacing w:val="-2"/>
        </w:rPr>
        <w:t>Oseq</w:t>
      </w:r>
      <w:r>
        <w:rPr>
          <w:spacing w:val="-2"/>
        </w:rPr>
        <w:t>系列个体化用药基因检测产品升级并完成投入应用，有效降低了综合成本，产生重要的临床应用效应；基于外周</w:t>
      </w:r>
      <w:r>
        <w:rPr>
          <w:spacing w:val="-74"/>
        </w:rPr>
        <w:t> </w:t>
      </w:r>
      <w:r>
        <w:rPr>
          <w:spacing w:val="-74"/>
        </w:rPr>
      </w:r>
      <w:r>
        <w:rPr>
          <w:spacing w:val="-2"/>
        </w:rPr>
        <w:t>血</w:t>
      </w:r>
      <w:r>
        <w:rPr>
          <w:rFonts w:ascii="Times New Roman" w:hAnsi="Times New Roman" w:cs="Times New Roman" w:eastAsia="Times New Roman" w:hint="default"/>
          <w:spacing w:val="-2"/>
        </w:rPr>
        <w:t>ctDNA</w:t>
      </w:r>
      <w:r>
        <w:rPr>
          <w:spacing w:val="-2"/>
        </w:rPr>
        <w:t>的新一代液体活检产品转化，产品性能达到了目前国际液体活检领先水平；基于</w:t>
      </w:r>
      <w:r>
        <w:rPr>
          <w:rFonts w:ascii="Times New Roman" w:hAnsi="Times New Roman" w:cs="Times New Roman" w:eastAsia="Times New Roman" w:hint="default"/>
          <w:spacing w:val="-2"/>
        </w:rPr>
        <w:t>WES</w:t>
      </w:r>
      <w:r>
        <w:rPr>
          <w:spacing w:val="-2"/>
        </w:rPr>
        <w:t>的肿瘤免疫药物伴随诊断检测</w:t>
      </w:r>
      <w:r>
        <w:rPr>
          <w:spacing w:val="-61"/>
        </w:rPr>
        <w:t> </w:t>
      </w:r>
      <w:r>
        <w:rPr>
          <w:spacing w:val="-2"/>
        </w:rPr>
        <w:t>产品，检测数据与行业成熟平台的数据相比具有高度一致性，借助国产自主平台将拥有更多成本和价格上的优势；肠癌一站</w:t>
      </w:r>
      <w:r>
        <w:rPr>
          <w:spacing w:val="-63"/>
        </w:rPr>
        <w:t> </w:t>
      </w:r>
      <w:r>
        <w:rPr>
          <w:spacing w:val="-63"/>
        </w:rPr>
      </w:r>
      <w:r>
        <w:rPr/>
        <w:t>式检测等新产品转产发布；同时在早筛方面也完成战略部署与前沿高新技术开发，致力为肿瘤早筛早诊提供全面解决方案，</w:t>
      </w:r>
      <w:r>
        <w:rPr>
          <w:spacing w:val="-83"/>
        </w:rPr>
        <w:t> </w:t>
      </w:r>
      <w:r>
        <w:rPr>
          <w:spacing w:val="-83"/>
        </w:rPr>
      </w:r>
      <w:r>
        <w:rPr>
          <w:spacing w:val="-2"/>
        </w:rPr>
        <w:t>民生产品完成转产，高通量早筛产品已进入中试阶段；在资质申报方面，华大基因自主研发的</w:t>
      </w:r>
      <w:r>
        <w:rPr>
          <w:rFonts w:ascii="Times New Roman" w:hAnsi="Times New Roman" w:cs="Times New Roman" w:eastAsia="Times New Roman" w:hint="default"/>
          <w:spacing w:val="-2"/>
        </w:rPr>
        <w:t>BRCA1/2</w:t>
      </w:r>
      <w:r>
        <w:rPr>
          <w:spacing w:val="-2"/>
        </w:rPr>
        <w:t>基因突变检测试剂盒</w:t>
      </w:r>
      <w:r>
        <w:rPr>
          <w:spacing w:val="-56"/>
        </w:rPr>
        <w:t> </w:t>
      </w:r>
      <w:r>
        <w:rPr/>
        <w:t>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月获</w:t>
      </w:r>
      <w:r>
        <w:rPr>
          <w:rFonts w:ascii="Times New Roman" w:hAnsi="Times New Roman" w:cs="Times New Roman" w:eastAsia="Times New Roman" w:hint="default"/>
        </w:rPr>
        <w:t>NMPA</w:t>
      </w:r>
      <w:r>
        <w:rPr/>
        <w:t>创新审批资格，肺癌组织试剂盒也处于临床试验和研发补充阶段，两个产品配套一体机完成开发；</w:t>
      </w:r>
      <w:r>
        <w:rPr>
          <w:spacing w:val="-70"/>
        </w:rPr>
        <w:t> </w:t>
      </w:r>
      <w:r>
        <w:rPr>
          <w:spacing w:val="-70"/>
        </w:rPr>
      </w:r>
      <w:r>
        <w:rPr/>
        <w:t>目前在肿瘤领域，华大基因在</w:t>
      </w:r>
      <w:r>
        <w:rPr>
          <w:rFonts w:ascii="Times New Roman" w:hAnsi="Times New Roman" w:cs="Times New Roman" w:eastAsia="Times New Roman" w:hint="default"/>
        </w:rPr>
        <w:t>“</w:t>
      </w:r>
      <w:r>
        <w:rPr/>
        <w:t>防</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筛</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治</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监</w:t>
      </w:r>
      <w:r>
        <w:rPr>
          <w:rFonts w:ascii="Times New Roman" w:hAnsi="Times New Roman" w:cs="Times New Roman" w:eastAsia="Times New Roman" w:hint="default"/>
        </w:rPr>
        <w:t>”</w:t>
      </w:r>
      <w:r>
        <w:rPr/>
        <w:t>的不同疾病阶段与应用场景下形成完整的产品链布局，并持续</w:t>
      </w:r>
      <w:r>
        <w:rPr>
          <w:spacing w:val="-78"/>
        </w:rPr>
        <w:t> </w:t>
      </w:r>
      <w:r>
        <w:rPr>
          <w:spacing w:val="-78"/>
        </w:rPr>
      </w:r>
      <w:r>
        <w:rPr/>
        <w:t>引领高标准高效能的产品和构筑中国人的肿瘤数据库</w:t>
      </w:r>
      <w:r>
        <w:rPr>
          <w:rFonts w:ascii="Times New Roman" w:hAnsi="Times New Roman" w:cs="Times New Roman" w:eastAsia="Times New Roman" w:hint="default"/>
        </w:rPr>
        <w:t>“</w:t>
      </w:r>
      <w:r>
        <w:rPr/>
        <w:t>华大时珍</w:t>
      </w:r>
      <w:r>
        <w:rPr>
          <w:rFonts w:ascii="Times New Roman" w:hAnsi="Times New Roman" w:cs="Times New Roman" w:eastAsia="Times New Roman" w:hint="default"/>
        </w:rPr>
        <w:t>”</w:t>
      </w:r>
      <w:r>
        <w:rPr/>
        <w:t>反哺疾病的防治；同时，华大基因将在之前工作的基础上，</w:t>
      </w:r>
      <w:r>
        <w:rPr>
          <w:spacing w:val="-69"/>
        </w:rPr>
        <w:t> </w:t>
      </w:r>
      <w:r>
        <w:rPr>
          <w:spacing w:val="-69"/>
        </w:rPr>
      </w:r>
      <w:r>
        <w:rPr>
          <w:spacing w:val="-3"/>
        </w:rPr>
        <w:t>继续配合国家相关机构制定液体活检的行业标准系统与数据库。报告期内，</w:t>
      </w:r>
      <w:r>
        <w:rPr>
          <w:rFonts w:ascii="Times New Roman" w:hAnsi="Times New Roman" w:cs="Times New Roman" w:eastAsia="Times New Roman" w:hint="default"/>
          <w:spacing w:val="-3"/>
        </w:rPr>
        <w:t>“</w:t>
      </w:r>
      <w:r>
        <w:rPr>
          <w:spacing w:val="-3"/>
        </w:rPr>
        <w:t>华大时珍</w:t>
      </w:r>
      <w:r>
        <w:rPr>
          <w:rFonts w:ascii="Times New Roman" w:hAnsi="Times New Roman" w:cs="Times New Roman" w:eastAsia="Times New Roman" w:hint="default"/>
          <w:spacing w:val="-3"/>
        </w:rPr>
        <w:t>”</w:t>
      </w:r>
      <w:r>
        <w:rPr>
          <w:spacing w:val="-3"/>
        </w:rPr>
        <w:t>肿瘤数据库更新发布</w:t>
      </w:r>
      <w:r>
        <w:rPr>
          <w:rFonts w:ascii="Times New Roman" w:hAnsi="Times New Roman" w:cs="Times New Roman" w:eastAsia="Times New Roman" w:hint="default"/>
          <w:spacing w:val="-3"/>
        </w:rPr>
        <w:t>BGISZ.V3.0.2018</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版，包含</w:t>
      </w:r>
      <w:r>
        <w:rPr>
          <w:rFonts w:ascii="Times New Roman" w:hAnsi="Times New Roman" w:cs="Times New Roman" w:eastAsia="Times New Roman" w:hint="default"/>
        </w:rPr>
        <w:t>11</w:t>
      </w:r>
      <w:r>
        <w:rPr/>
        <w:t>个癌种大类，覆盖靶向用药常见药物靶点超过</w:t>
      </w:r>
      <w:r>
        <w:rPr>
          <w:rFonts w:ascii="Times New Roman" w:hAnsi="Times New Roman" w:cs="Times New Roman" w:eastAsia="Times New Roman" w:hint="default"/>
        </w:rPr>
        <w:t>1,000</w:t>
      </w:r>
      <w:r>
        <w:rPr/>
        <w:t>个。</w:t>
      </w:r>
    </w:p>
    <w:p>
      <w:pPr>
        <w:pStyle w:val="BodyText"/>
        <w:spacing w:line="312" w:lineRule="auto" w:before="131"/>
        <w:ind w:right="1128" w:firstLine="360"/>
        <w:jc w:val="both"/>
      </w:pPr>
      <w:r>
        <w:rPr>
          <w:spacing w:val="-2"/>
        </w:rPr>
        <w:t>感染性疾病防控方面，主要致力于细菌、病毒、真菌等病原体一体化精准诊断与预防的产品开发，开发的系列产品可有</w:t>
      </w:r>
      <w:r>
        <w:rPr/>
        <w:t> </w:t>
      </w:r>
      <w:r>
        <w:rPr>
          <w:spacing w:val="-2"/>
        </w:rPr>
        <w:t>效满足临床对感染性疾病快速和精准检测的迫切需求，推动病原微生物检测技术的突破，引领病原微生物检测进入精准医疗</w:t>
      </w:r>
      <w:r>
        <w:rPr>
          <w:spacing w:val="-64"/>
        </w:rPr>
        <w:t> </w:t>
      </w:r>
      <w:r>
        <w:rPr>
          <w:spacing w:val="-64"/>
        </w:rPr>
      </w:r>
      <w:r>
        <w:rPr>
          <w:spacing w:val="-1"/>
        </w:rPr>
        <w:t>新时代。公司在全球范围内率先将宏基因组学检测</w:t>
      </w:r>
      <w:r>
        <w:rPr>
          <w:rFonts w:ascii="Times New Roman" w:hAnsi="Times New Roman" w:cs="Times New Roman" w:eastAsia="Times New Roman" w:hint="default"/>
          <w:spacing w:val="-1"/>
        </w:rPr>
        <w:t>“PMseq</w:t>
      </w:r>
      <w:r>
        <w:rPr>
          <w:spacing w:val="-1"/>
        </w:rPr>
        <w:t>病原微生物快速检测</w:t>
      </w:r>
      <w:r>
        <w:rPr>
          <w:rFonts w:ascii="Times New Roman" w:hAnsi="Times New Roman" w:cs="Times New Roman" w:eastAsia="Times New Roman" w:hint="default"/>
          <w:spacing w:val="-1"/>
        </w:rPr>
        <w:t>”</w:t>
      </w:r>
      <w:r>
        <w:rPr>
          <w:spacing w:val="-1"/>
        </w:rPr>
        <w:t>应用于临床微生物检验，</w:t>
      </w:r>
      <w:r>
        <w:rPr>
          <w:rFonts w:ascii="Times New Roman" w:hAnsi="Times New Roman" w:cs="Times New Roman" w:eastAsia="Times New Roman" w:hint="default"/>
          <w:spacing w:val="-1"/>
        </w:rPr>
        <w:t>2018</w:t>
      </w:r>
      <w:r>
        <w:rPr>
          <w:spacing w:val="-1"/>
        </w:rPr>
        <w:t>年产品研发取</w:t>
      </w:r>
      <w:r>
        <w:rPr>
          <w:spacing w:val="-56"/>
        </w:rPr>
        <w:t> </w:t>
      </w:r>
      <w:r>
        <w:rPr>
          <w:spacing w:val="-2"/>
        </w:rPr>
        <w:t>得重大突破，率先将胸腹水、眼房水、肺组织等微量、疑难检测样本纳入可检测范围，填补国内同类型检测产品空白；同时</w:t>
      </w:r>
      <w:r>
        <w:rPr>
          <w:spacing w:val="-68"/>
        </w:rPr>
        <w:t> </w:t>
      </w:r>
      <w:r>
        <w:rPr>
          <w:spacing w:val="-68"/>
        </w:rPr>
      </w:r>
      <w:r>
        <w:rPr>
          <w:spacing w:val="-1"/>
        </w:rPr>
        <w:t>将布尼亚病毒等</w:t>
      </w:r>
      <w:r>
        <w:rPr>
          <w:rFonts w:ascii="Times New Roman" w:hAnsi="Times New Roman" w:cs="Times New Roman" w:eastAsia="Times New Roman" w:hint="default"/>
          <w:spacing w:val="-1"/>
        </w:rPr>
        <w:t>RNA</w:t>
      </w:r>
      <w:r>
        <w:rPr>
          <w:spacing w:val="-1"/>
        </w:rPr>
        <w:t>病毒纳入可检测范围，使可检测出的病原物种数目从</w:t>
      </w:r>
      <w:r>
        <w:rPr>
          <w:rFonts w:ascii="Times New Roman" w:hAnsi="Times New Roman" w:cs="Times New Roman" w:eastAsia="Times New Roman" w:hint="default"/>
          <w:spacing w:val="-1"/>
        </w:rPr>
        <w:t>6,000</w:t>
      </w:r>
      <w:r>
        <w:rPr>
          <w:spacing w:val="-1"/>
        </w:rPr>
        <w:t>余种扩展至</w:t>
      </w:r>
      <w:r>
        <w:rPr>
          <w:rFonts w:ascii="Times New Roman" w:hAnsi="Times New Roman" w:cs="Times New Roman" w:eastAsia="Times New Roman" w:hint="default"/>
          <w:spacing w:val="-1"/>
        </w:rPr>
        <w:t>8,000</w:t>
      </w:r>
      <w:r>
        <w:rPr>
          <w:spacing w:val="-1"/>
        </w:rPr>
        <w:t>余种，全面提高了该产品在</w:t>
      </w:r>
      <w:r>
        <w:rPr>
          <w:spacing w:val="-50"/>
        </w:rPr>
        <w:t> </w:t>
      </w:r>
      <w:r>
        <w:rPr>
          <w:spacing w:val="-50"/>
        </w:rPr>
      </w:r>
      <w:r>
        <w:rPr>
          <w:spacing w:val="-2"/>
        </w:rPr>
        <w:t>临床应用的适应广度和检测精度。该产品的技术升级可对不明原因感染等疾病的疑似病原进行快速识别和诊断，为临床不明</w:t>
      </w:r>
      <w:r>
        <w:rPr>
          <w:spacing w:val="-64"/>
        </w:rPr>
        <w:t> </w:t>
      </w:r>
      <w:r>
        <w:rPr>
          <w:spacing w:val="-64"/>
        </w:rPr>
      </w:r>
      <w:r>
        <w:rPr>
          <w:spacing w:val="-2"/>
        </w:rPr>
        <w:t>原因发热、外来未知病原感染的精准防控提供进一步解决方案。同时中枢神经系统感染与血流感染病原体核酸检测试剂盒也</w:t>
      </w:r>
      <w:r>
        <w:rPr>
          <w:spacing w:val="-64"/>
        </w:rPr>
        <w:t> </w:t>
      </w:r>
      <w:r>
        <w:rPr>
          <w:spacing w:val="-64"/>
        </w:rPr>
      </w:r>
      <w:r>
        <w:rPr/>
        <w:t>启动相应资质申报并取得相应重要进展。</w:t>
      </w:r>
    </w:p>
    <w:p>
      <w:pPr>
        <w:pStyle w:val="BodyText"/>
        <w:spacing w:line="316" w:lineRule="auto" w:before="145"/>
        <w:ind w:right="1034" w:firstLine="360"/>
        <w:jc w:val="left"/>
      </w:pPr>
      <w:r>
        <w:rPr>
          <w:spacing w:val="-5"/>
        </w:rPr>
        <w:t>研发中心强化创新引领，增强科研实力，开发国际领先水平技术，进行产业应用转化，推动实现产业与科技进一步发展，</w:t>
      </w:r>
      <w:r>
        <w:rPr/>
        <w:t> 打造具有国际前沿水平的高素质研发队伍，为公司的业务发展提供核心技术力量和科研人才保障。报告期内，已形成产品、</w:t>
      </w:r>
      <w:r>
        <w:rPr>
          <w:spacing w:val="-83"/>
        </w:rPr>
        <w:t> </w:t>
      </w:r>
      <w:r>
        <w:rPr>
          <w:spacing w:val="-83"/>
        </w:rPr>
      </w:r>
      <w:r>
        <w:rPr/>
        <w:t>技术、数据库等较为完善的产品布局，产生多项重大研发成果。</w:t>
      </w:r>
    </w:p>
    <w:p>
      <w:pPr>
        <w:pStyle w:val="Heading5"/>
        <w:spacing w:line="240" w:lineRule="auto" w:before="141"/>
        <w:ind w:right="1133"/>
        <w:jc w:val="left"/>
        <w:rPr>
          <w:b w:val="0"/>
          <w:bCs w:val="0"/>
        </w:rPr>
      </w:pPr>
      <w:r>
        <w:rPr/>
        <w:t>（七）交付专项成果突出，生产能力稳步提升</w:t>
      </w:r>
      <w:r>
        <w:rPr>
          <w:b w:val="0"/>
          <w:bCs w:val="0"/>
        </w:rPr>
      </w:r>
    </w:p>
    <w:p>
      <w:pPr>
        <w:spacing w:line="240" w:lineRule="auto" w:before="11"/>
        <w:rPr>
          <w:rFonts w:ascii="宋体" w:hAnsi="宋体" w:cs="宋体" w:eastAsia="宋体" w:hint="default"/>
          <w:b/>
          <w:bCs/>
          <w:sz w:val="14"/>
          <w:szCs w:val="14"/>
        </w:rPr>
      </w:pPr>
    </w:p>
    <w:p>
      <w:pPr>
        <w:pStyle w:val="BodyText"/>
        <w:spacing w:line="304" w:lineRule="auto"/>
        <w:ind w:right="1316" w:firstLine="360"/>
        <w:jc w:val="both"/>
      </w:pPr>
      <w:r>
        <w:rPr>
          <w:spacing w:val="-3"/>
        </w:rPr>
        <w:t>公司提炼和优化实验室管理模式，探索</w:t>
      </w:r>
      <w:r>
        <w:rPr>
          <w:rFonts w:ascii="Times New Roman" w:hAnsi="Times New Roman" w:cs="Times New Roman" w:eastAsia="Times New Roman" w:hint="default"/>
          <w:spacing w:val="-3"/>
        </w:rPr>
        <w:t>GLMS</w:t>
      </w:r>
      <w:r>
        <w:rPr>
          <w:spacing w:val="-3"/>
        </w:rPr>
        <w:t>（</w:t>
      </w:r>
      <w:r>
        <w:rPr>
          <w:rFonts w:ascii="Times New Roman" w:hAnsi="Times New Roman" w:cs="Times New Roman" w:eastAsia="Times New Roman" w:hint="default"/>
          <w:spacing w:val="-3"/>
        </w:rPr>
        <w:t>Genomics</w:t>
      </w:r>
      <w:r>
        <w:rPr>
          <w:rFonts w:ascii="Times New Roman" w:hAnsi="Times New Roman" w:cs="Times New Roman" w:eastAsia="Times New Roman" w:hint="default"/>
          <w:spacing w:val="-12"/>
        </w:rPr>
        <w:t> </w:t>
      </w:r>
      <w:r>
        <w:rPr>
          <w:rFonts w:ascii="Times New Roman" w:hAnsi="Times New Roman" w:cs="Times New Roman" w:eastAsia="Times New Roman" w:hint="default"/>
        </w:rPr>
        <w:t>Laboratory</w:t>
      </w:r>
      <w:r>
        <w:rPr>
          <w:rFonts w:ascii="Times New Roman" w:hAnsi="Times New Roman" w:cs="Times New Roman" w:eastAsia="Times New Roman" w:hint="default"/>
          <w:spacing w:val="-17"/>
        </w:rPr>
        <w:t> </w:t>
      </w:r>
      <w:r>
        <w:rPr>
          <w:rFonts w:ascii="Times New Roman" w:hAnsi="Times New Roman" w:cs="Times New Roman" w:eastAsia="Times New Roman" w:hint="default"/>
        </w:rPr>
        <w:t>Management</w:t>
      </w:r>
      <w:r>
        <w:rPr>
          <w:rFonts w:ascii="Times New Roman" w:hAnsi="Times New Roman" w:cs="Times New Roman" w:eastAsia="Times New Roman" w:hint="default"/>
          <w:spacing w:val="-13"/>
        </w:rPr>
        <w:t> </w:t>
      </w:r>
      <w:r>
        <w:rPr>
          <w:rFonts w:ascii="Times New Roman" w:hAnsi="Times New Roman" w:cs="Times New Roman" w:eastAsia="Times New Roman" w:hint="default"/>
        </w:rPr>
        <w:t>System</w:t>
      </w:r>
      <w:r>
        <w:rPr/>
        <w:t>）基因检测实验室管理体系， </w:t>
      </w:r>
      <w:r>
        <w:rPr>
          <w:spacing w:val="-2"/>
        </w:rPr>
        <w:t>强化精益管理并持续进行技术优化和改善，推行以客户为中心的交付文化，在质量、周期、成本和效率等方面都取得一定</w:t>
      </w:r>
      <w:r>
        <w:rPr>
          <w:spacing w:val="-72"/>
        </w:rPr>
        <w:t> </w:t>
      </w:r>
      <w:r>
        <w:rPr>
          <w:spacing w:val="-72"/>
        </w:rPr>
      </w:r>
      <w:r>
        <w:rPr>
          <w:spacing w:val="-3"/>
        </w:rPr>
        <w:t>成绩。专项方面，提取中心优化服务流程并成功建立全流程自动化</w:t>
      </w:r>
      <w:r>
        <w:rPr>
          <w:rFonts w:ascii="Times New Roman" w:hAnsi="Times New Roman" w:cs="Times New Roman" w:eastAsia="Times New Roman" w:hint="default"/>
          <w:spacing w:val="-3"/>
        </w:rPr>
        <w:t>DNA</w:t>
      </w:r>
      <w:r>
        <w:rPr>
          <w:spacing w:val="-3"/>
        </w:rPr>
        <w:t>提取产线，人均通量提升</w:t>
      </w:r>
      <w:r>
        <w:rPr>
          <w:rFonts w:ascii="Times New Roman" w:hAnsi="Times New Roman" w:cs="Times New Roman" w:eastAsia="Times New Roman" w:hint="default"/>
          <w:spacing w:val="-3"/>
        </w:rPr>
        <w:t>10</w:t>
      </w:r>
      <w:r>
        <w:rPr>
          <w:spacing w:val="-3"/>
        </w:rPr>
        <w:t>倍以上；实验室智能化</w:t>
      </w:r>
      <w:r>
        <w:rPr>
          <w:spacing w:val="-47"/>
        </w:rPr>
        <w:t> </w:t>
      </w:r>
      <w:r>
        <w:rPr>
          <w:spacing w:val="-47"/>
        </w:rPr>
      </w:r>
      <w:r>
        <w:rPr>
          <w:spacing w:val="-4"/>
        </w:rPr>
        <w:t>建设，交付中心库存管理、设备管理、现场管理等系统完成需求升级并相继进入开发阶段；遗传密码解读数据库建设，</w:t>
      </w:r>
      <w:r>
        <w:rPr>
          <w:rFonts w:ascii="Times New Roman" w:hAnsi="Times New Roman" w:cs="Times New Roman" w:eastAsia="Times New Roman" w:hint="default"/>
          <w:spacing w:val="-4"/>
        </w:rPr>
        <w:t>“</w:t>
      </w:r>
      <w:r>
        <w:rPr>
          <w:spacing w:val="-4"/>
        </w:rPr>
        <w:t>华</w:t>
      </w:r>
      <w:r>
        <w:rPr>
          <w:spacing w:val="-43"/>
        </w:rPr>
        <w:t> </w:t>
      </w:r>
      <w:r>
        <w:rPr/>
        <w:t>大时珍</w:t>
      </w:r>
      <w:r>
        <w:rPr>
          <w:rFonts w:ascii="Times New Roman" w:hAnsi="Times New Roman" w:cs="Times New Roman" w:eastAsia="Times New Roman" w:hint="default"/>
        </w:rPr>
        <w:t>”</w:t>
      </w:r>
      <w:r>
        <w:rPr/>
        <w:t>肿瘤数据库完成升级并发布，一体机</w:t>
      </w:r>
      <w:r>
        <w:rPr>
          <w:rFonts w:ascii="Times New Roman" w:hAnsi="Times New Roman" w:cs="Times New Roman" w:eastAsia="Times New Roman" w:hint="default"/>
        </w:rPr>
        <w:t>HALOS</w:t>
      </w:r>
      <w:r>
        <w:rPr/>
        <w:t>开发升级版本数较</w:t>
      </w:r>
      <w:r>
        <w:rPr>
          <w:rFonts w:ascii="Times New Roman" w:hAnsi="Times New Roman" w:cs="Times New Roman" w:eastAsia="Times New Roman" w:hint="default"/>
        </w:rPr>
        <w:t>2017</w:t>
      </w:r>
      <w:r>
        <w:rPr/>
        <w:t>年增加超过</w:t>
      </w:r>
      <w:r>
        <w:rPr>
          <w:rFonts w:ascii="Times New Roman" w:hAnsi="Times New Roman" w:cs="Times New Roman" w:eastAsia="Times New Roman" w:hint="default"/>
        </w:rPr>
        <w:t>3</w:t>
      </w:r>
      <w:r>
        <w:rPr/>
        <w:t>倍；自主平台数据产出占比超过</w:t>
      </w:r>
      <w:r>
        <w:rPr>
          <w:spacing w:val="-59"/>
        </w:rPr>
        <w:t> </w:t>
      </w:r>
      <w:r>
        <w:rPr>
          <w:spacing w:val="-59"/>
        </w:rPr>
      </w:r>
      <w:r>
        <w:rPr>
          <w:rFonts w:ascii="Times New Roman" w:hAnsi="Times New Roman" w:cs="Times New Roman" w:eastAsia="Times New Roman" w:hint="default"/>
        </w:rPr>
        <w:t>76%</w:t>
      </w:r>
      <w:r>
        <w:rPr/>
        <w:t>，为打造成大数据公司提供了有力的工具保障。</w:t>
      </w:r>
    </w:p>
    <w:p>
      <w:pPr>
        <w:pStyle w:val="Heading5"/>
        <w:spacing w:line="240" w:lineRule="auto" w:before="129"/>
        <w:ind w:right="1133"/>
        <w:jc w:val="left"/>
        <w:rPr>
          <w:b w:val="0"/>
          <w:bCs w:val="0"/>
        </w:rPr>
      </w:pPr>
      <w:r>
        <w:rPr/>
        <w:t>（八）完善质量管理体系，强化资质认证布局</w:t>
      </w:r>
      <w:r>
        <w:rPr>
          <w:b w:val="0"/>
          <w:bCs w:val="0"/>
        </w:rPr>
      </w:r>
    </w:p>
    <w:p>
      <w:pPr>
        <w:spacing w:line="240" w:lineRule="auto" w:before="0"/>
        <w:rPr>
          <w:rFonts w:ascii="宋体" w:hAnsi="宋体" w:cs="宋体" w:eastAsia="宋体" w:hint="default"/>
          <w:b/>
          <w:bCs/>
          <w:sz w:val="15"/>
          <w:szCs w:val="15"/>
        </w:rPr>
      </w:pPr>
    </w:p>
    <w:p>
      <w:pPr>
        <w:pStyle w:val="BodyText"/>
        <w:spacing w:line="304" w:lineRule="auto"/>
        <w:ind w:right="948" w:firstLine="360"/>
        <w:jc w:val="left"/>
      </w:pPr>
      <w:r>
        <w:rPr/>
        <w:t>在资质方面，公司继续稳健布局，进一步加强质量管理体系建设，升级和拓展了现有资质，持续保持业内的资质领先水 </w:t>
      </w:r>
      <w:r>
        <w:rPr>
          <w:spacing w:val="-3"/>
        </w:rPr>
        <w:t>平。</w:t>
      </w:r>
      <w:r>
        <w:rPr>
          <w:rFonts w:ascii="Times New Roman" w:hAnsi="Times New Roman" w:cs="Times New Roman" w:eastAsia="Times New Roman" w:hint="default"/>
          <w:spacing w:val="-3"/>
        </w:rPr>
        <w:t>BGISEQ-500</w:t>
      </w:r>
      <w:r>
        <w:rPr>
          <w:spacing w:val="-3"/>
        </w:rPr>
        <w:t>测序仪、配套的提取、建库、测序试剂盒和软件等</w:t>
      </w:r>
      <w:r>
        <w:rPr>
          <w:rFonts w:ascii="Times New Roman" w:hAnsi="Times New Roman" w:cs="Times New Roman" w:eastAsia="Times New Roman" w:hint="default"/>
          <w:spacing w:val="-3"/>
        </w:rPr>
        <w:t>6</w:t>
      </w:r>
      <w:r>
        <w:rPr>
          <w:spacing w:val="-3"/>
        </w:rPr>
        <w:t>个产品均获得欧盟医疗器械</w:t>
      </w:r>
      <w:r>
        <w:rPr>
          <w:rFonts w:ascii="Times New Roman" w:hAnsi="Times New Roman" w:cs="Times New Roman" w:eastAsia="Times New Roman" w:hint="default"/>
          <w:spacing w:val="-3"/>
        </w:rPr>
        <w:t>CE</w:t>
      </w:r>
      <w:r>
        <w:rPr>
          <w:spacing w:val="-3"/>
        </w:rPr>
        <w:t>证书，核酸提取试剂盒获</w:t>
      </w:r>
      <w:r>
        <w:rPr>
          <w:spacing w:val="-34"/>
        </w:rPr>
        <w:t> </w:t>
      </w:r>
      <w:r>
        <w:rPr>
          <w:spacing w:val="-34"/>
        </w:rPr>
      </w:r>
      <w:r>
        <w:rPr/>
        <w:t>得马来西亚</w:t>
      </w:r>
      <w:r>
        <w:rPr>
          <w:rFonts w:ascii="Times New Roman" w:hAnsi="Times New Roman" w:cs="Times New Roman" w:eastAsia="Times New Roman" w:hint="default"/>
        </w:rPr>
        <w:t>MDA</w:t>
      </w:r>
      <w:r>
        <w:rPr/>
        <w:t>注册证，为进军海外市场奠定基础。报告期内，公司通过美国病理学家协会</w:t>
      </w:r>
      <w:r>
        <w:rPr>
          <w:rFonts w:ascii="Times New Roman" w:hAnsi="Times New Roman" w:cs="Times New Roman" w:eastAsia="Times New Roman" w:hint="default"/>
        </w:rPr>
        <w:t>CAP</w:t>
      </w:r>
      <w:r>
        <w:rPr/>
        <w:t>复评审，</w:t>
      </w:r>
      <w:r>
        <w:rPr>
          <w:rFonts w:ascii="Times New Roman" w:hAnsi="Times New Roman" w:cs="Times New Roman" w:eastAsia="Times New Roman" w:hint="default"/>
        </w:rPr>
        <w:t>ISO</w:t>
      </w:r>
      <w:r>
        <w:rPr>
          <w:rFonts w:ascii="Times New Roman" w:hAnsi="Times New Roman" w:cs="Times New Roman" w:eastAsia="Times New Roman" w:hint="default"/>
          <w:spacing w:val="-22"/>
        </w:rPr>
        <w:t> </w:t>
      </w:r>
      <w:r>
        <w:rPr>
          <w:rFonts w:ascii="Times New Roman" w:hAnsi="Times New Roman" w:cs="Times New Roman" w:eastAsia="Times New Roman" w:hint="default"/>
        </w:rPr>
        <w:t>15189:2012</w:t>
      </w:r>
      <w:r>
        <w:rPr/>
        <w:t>复 </w:t>
      </w:r>
      <w:r>
        <w:rPr>
          <w:spacing w:val="-8"/>
          <w:w w:val="99"/>
        </w:rPr>
        <w:t>评审，</w:t>
      </w:r>
      <w:r>
        <w:rPr>
          <w:rFonts w:ascii="Times New Roman" w:hAnsi="Times New Roman" w:cs="Times New Roman" w:eastAsia="Times New Roman" w:hint="default"/>
          <w:spacing w:val="-8"/>
          <w:w w:val="99"/>
        </w:rPr>
        <w:t>ISO/IEC</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5"/>
          <w:w w:val="99"/>
        </w:rPr>
        <w:t>17025:2005</w:t>
      </w:r>
      <w:r>
        <w:rPr>
          <w:spacing w:val="-5"/>
          <w:w w:val="99"/>
        </w:rPr>
        <w:t>复评审，</w:t>
      </w:r>
      <w:r>
        <w:rPr>
          <w:rFonts w:ascii="Times New Roman" w:hAnsi="Times New Roman" w:cs="Times New Roman" w:eastAsia="Times New Roman" w:hint="default"/>
          <w:spacing w:val="-5"/>
          <w:w w:val="99"/>
        </w:rPr>
        <w:t>ISO</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4"/>
          <w:w w:val="99"/>
        </w:rPr>
        <w:t>13485:2016</w:t>
      </w:r>
      <w:r>
        <w:rPr>
          <w:spacing w:val="-4"/>
          <w:w w:val="99"/>
        </w:rPr>
        <w:t>升标复评审、</w:t>
      </w:r>
      <w:r>
        <w:rPr>
          <w:rFonts w:ascii="Times New Roman" w:hAnsi="Times New Roman" w:cs="Times New Roman" w:eastAsia="Times New Roman" w:hint="default"/>
          <w:spacing w:val="-4"/>
          <w:w w:val="99"/>
        </w:rPr>
        <w:t>ISO/IEC</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27001:2013</w:t>
      </w:r>
      <w:r>
        <w:rPr>
          <w:spacing w:val="-1"/>
          <w:w w:val="99"/>
        </w:rPr>
        <w:t>复评审以及</w:t>
      </w:r>
      <w:r>
        <w:rPr>
          <w:rFonts w:ascii="Times New Roman" w:hAnsi="Times New Roman" w:cs="Times New Roman" w:eastAsia="Times New Roman" w:hint="default"/>
          <w:spacing w:val="-1"/>
          <w:w w:val="99"/>
        </w:rPr>
        <w:t>ISO</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6"/>
          <w:w w:val="99"/>
        </w:rPr>
        <w:t>9001:2015</w:t>
      </w:r>
      <w:r>
        <w:rPr>
          <w:spacing w:val="-6"/>
          <w:w w:val="99"/>
        </w:rPr>
        <w:t>、</w:t>
      </w:r>
      <w:r>
        <w:rPr>
          <w:rFonts w:ascii="Times New Roman" w:hAnsi="Times New Roman" w:cs="Times New Roman" w:eastAsia="Times New Roman" w:hint="default"/>
          <w:spacing w:val="-6"/>
          <w:w w:val="99"/>
        </w:rPr>
        <w:t>ISO</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1"/>
        </w:rPr>
        <w:t>14001:2015</w:t>
      </w:r>
      <w:r>
        <w:rPr>
          <w:spacing w:val="-1"/>
        </w:rPr>
        <w:t>、</w:t>
      </w:r>
      <w:r>
        <w:rPr>
          <w:spacing w:val="-82"/>
        </w:rPr>
        <w:t> </w:t>
      </w:r>
      <w:r>
        <w:rPr>
          <w:rFonts w:ascii="Times New Roman" w:hAnsi="Times New Roman" w:cs="Times New Roman" w:eastAsia="Times New Roman" w:hint="default"/>
        </w:rPr>
        <w:t>OHSAS </w:t>
      </w:r>
      <w:r>
        <w:rPr>
          <w:rFonts w:ascii="Times New Roman" w:hAnsi="Times New Roman" w:cs="Times New Roman" w:eastAsia="Times New Roman" w:hint="default"/>
          <w:spacing w:val="-5"/>
        </w:rPr>
        <w:t>18001:2007</w:t>
      </w:r>
      <w:r>
        <w:rPr>
          <w:spacing w:val="-5"/>
        </w:rPr>
        <w:t>年度监督评审。公司海内外机构具备</w:t>
      </w:r>
      <w:r>
        <w:rPr>
          <w:rFonts w:ascii="Times New Roman" w:hAnsi="Times New Roman" w:cs="Times New Roman" w:eastAsia="Times New Roman" w:hint="default"/>
          <w:spacing w:val="-5"/>
        </w:rPr>
        <w:t>CAP</w:t>
      </w:r>
      <w:r>
        <w:rPr>
          <w:spacing w:val="-5"/>
        </w:rPr>
        <w:t>、</w:t>
      </w:r>
      <w:r>
        <w:rPr>
          <w:rFonts w:ascii="Times New Roman" w:hAnsi="Times New Roman" w:cs="Times New Roman" w:eastAsia="Times New Roman" w:hint="default"/>
          <w:spacing w:val="-5"/>
        </w:rPr>
        <w:t>CLIA</w:t>
      </w:r>
      <w:r>
        <w:rPr>
          <w:spacing w:val="-5"/>
        </w:rPr>
        <w:t>、</w:t>
      </w:r>
      <w:r>
        <w:rPr>
          <w:rFonts w:ascii="Times New Roman" w:hAnsi="Times New Roman" w:cs="Times New Roman" w:eastAsia="Times New Roman" w:hint="default"/>
          <w:spacing w:val="-5"/>
        </w:rPr>
        <w:t>ISO 15189</w:t>
      </w:r>
      <w:r>
        <w:rPr>
          <w:spacing w:val="-5"/>
        </w:rPr>
        <w:t>、</w:t>
      </w:r>
      <w:r>
        <w:rPr>
          <w:rFonts w:ascii="Times New Roman" w:hAnsi="Times New Roman" w:cs="Times New Roman" w:eastAsia="Times New Roman" w:hint="default"/>
          <w:spacing w:val="-5"/>
        </w:rPr>
        <w:t>ISO/IEC </w:t>
      </w:r>
      <w:r>
        <w:rPr>
          <w:rFonts w:ascii="Times New Roman" w:hAnsi="Times New Roman" w:cs="Times New Roman" w:eastAsia="Times New Roman" w:hint="default"/>
          <w:spacing w:val="-7"/>
        </w:rPr>
        <w:t>17025</w:t>
      </w:r>
      <w:r>
        <w:rPr>
          <w:spacing w:val="-7"/>
        </w:rPr>
        <w:t>、</w:t>
      </w:r>
      <w:r>
        <w:rPr>
          <w:rFonts w:ascii="Times New Roman" w:hAnsi="Times New Roman" w:cs="Times New Roman" w:eastAsia="Times New Roman" w:hint="default"/>
          <w:spacing w:val="-7"/>
        </w:rPr>
        <w:t>ISO </w:t>
      </w:r>
      <w:r>
        <w:rPr>
          <w:rFonts w:ascii="Times New Roman" w:hAnsi="Times New Roman" w:cs="Times New Roman" w:eastAsia="Times New Roman" w:hint="default"/>
          <w:spacing w:val="-5"/>
        </w:rPr>
        <w:t>13485</w:t>
      </w:r>
      <w:r>
        <w:rPr>
          <w:spacing w:val="-5"/>
        </w:rPr>
        <w:t>、</w:t>
      </w:r>
      <w:r>
        <w:rPr>
          <w:rFonts w:ascii="Times New Roman" w:hAnsi="Times New Roman" w:cs="Times New Roman" w:eastAsia="Times New Roman" w:hint="default"/>
          <w:spacing w:val="-5"/>
        </w:rPr>
        <w:t>ISO/IEC</w:t>
      </w:r>
      <w:r>
        <w:rPr>
          <w:rFonts w:ascii="Times New Roman" w:hAnsi="Times New Roman" w:cs="Times New Roman" w:eastAsia="Times New Roman" w:hint="default"/>
          <w:spacing w:val="-27"/>
        </w:rPr>
        <w:t> </w:t>
      </w:r>
      <w:r>
        <w:rPr>
          <w:rFonts w:ascii="Times New Roman" w:hAnsi="Times New Roman" w:cs="Times New Roman" w:eastAsia="Times New Roman" w:hint="default"/>
        </w:rPr>
        <w:t>27001</w:t>
      </w:r>
      <w:r>
        <w:rPr/>
        <w:t>、</w:t>
      </w:r>
    </w:p>
    <w:p>
      <w:pPr>
        <w:pStyle w:val="BodyText"/>
        <w:spacing w:line="240" w:lineRule="auto" w:before="9"/>
        <w:ind w:right="0"/>
        <w:jc w:val="both"/>
      </w:pPr>
      <w:r>
        <w:rPr>
          <w:rFonts w:ascii="Times New Roman" w:hAnsi="Times New Roman" w:cs="Times New Roman" w:eastAsia="Times New Roman" w:hint="default"/>
        </w:rPr>
        <w:t>ISO</w:t>
      </w:r>
      <w:r>
        <w:rPr>
          <w:rFonts w:ascii="Times New Roman" w:hAnsi="Times New Roman" w:cs="Times New Roman" w:eastAsia="Times New Roman" w:hint="default"/>
          <w:spacing w:val="-6"/>
        </w:rPr>
        <w:t> </w:t>
      </w:r>
      <w:r>
        <w:rPr>
          <w:rFonts w:ascii="Times New Roman" w:hAnsi="Times New Roman" w:cs="Times New Roman" w:eastAsia="Times New Roman" w:hint="default"/>
        </w:rPr>
        <w:t>9001</w:t>
      </w:r>
      <w:r>
        <w:rPr/>
        <w:t>、</w:t>
      </w:r>
      <w:r>
        <w:rPr>
          <w:rFonts w:ascii="Times New Roman" w:hAnsi="Times New Roman" w:cs="Times New Roman" w:eastAsia="Times New Roman" w:hint="default"/>
        </w:rPr>
        <w:t>ISO</w:t>
      </w:r>
      <w:r>
        <w:rPr>
          <w:rFonts w:ascii="Times New Roman" w:hAnsi="Times New Roman" w:cs="Times New Roman" w:eastAsia="Times New Roman" w:hint="default"/>
          <w:spacing w:val="-8"/>
        </w:rPr>
        <w:t> </w:t>
      </w:r>
      <w:r>
        <w:rPr>
          <w:rFonts w:ascii="Times New Roman" w:hAnsi="Times New Roman" w:cs="Times New Roman" w:eastAsia="Times New Roman" w:hint="default"/>
        </w:rPr>
        <w:t>14001</w:t>
      </w:r>
      <w:r>
        <w:rPr/>
        <w:t>、</w:t>
      </w:r>
      <w:r>
        <w:rPr>
          <w:rFonts w:ascii="Times New Roman" w:hAnsi="Times New Roman" w:cs="Times New Roman" w:eastAsia="Times New Roman" w:hint="default"/>
        </w:rPr>
        <w:t>OHSAS</w:t>
      </w:r>
      <w:r>
        <w:rPr>
          <w:rFonts w:ascii="Times New Roman" w:hAnsi="Times New Roman" w:cs="Times New Roman" w:eastAsia="Times New Roman" w:hint="default"/>
          <w:spacing w:val="-5"/>
        </w:rPr>
        <w:t> </w:t>
      </w:r>
      <w:r>
        <w:rPr>
          <w:rFonts w:ascii="Times New Roman" w:hAnsi="Times New Roman" w:cs="Times New Roman" w:eastAsia="Times New Roman" w:hint="default"/>
        </w:rPr>
        <w:t>18001</w:t>
      </w:r>
      <w:r>
        <w:rPr/>
        <w:t>、</w:t>
      </w:r>
      <w:r>
        <w:rPr>
          <w:rFonts w:ascii="Times New Roman" w:hAnsi="Times New Roman" w:cs="Times New Roman" w:eastAsia="Times New Roman" w:hint="default"/>
        </w:rPr>
        <w:t>FDA</w:t>
      </w:r>
      <w:r>
        <w:rPr>
          <w:rFonts w:ascii="Times New Roman" w:hAnsi="Times New Roman" w:cs="Times New Roman" w:eastAsia="Times New Roman" w:hint="default"/>
          <w:spacing w:val="-9"/>
        </w:rPr>
        <w:t> </w:t>
      </w:r>
      <w:r>
        <w:rPr>
          <w:rFonts w:ascii="Times New Roman" w:hAnsi="Times New Roman" w:cs="Times New Roman" w:eastAsia="Times New Roman" w:hint="default"/>
        </w:rPr>
        <w:t>21</w:t>
      </w:r>
      <w:r>
        <w:rPr>
          <w:rFonts w:ascii="Times New Roman" w:hAnsi="Times New Roman" w:cs="Times New Roman" w:eastAsia="Times New Roman" w:hint="default"/>
          <w:spacing w:val="-7"/>
        </w:rPr>
        <w:t> </w:t>
      </w:r>
      <w:r>
        <w:rPr>
          <w:rFonts w:ascii="Times New Roman" w:hAnsi="Times New Roman" w:cs="Times New Roman" w:eastAsia="Times New Roman" w:hint="default"/>
        </w:rPr>
        <w:t>CFR</w:t>
      </w:r>
      <w:r>
        <w:rPr>
          <w:rFonts w:ascii="Times New Roman" w:hAnsi="Times New Roman" w:cs="Times New Roman" w:eastAsia="Times New Roman" w:hint="default"/>
          <w:spacing w:val="-11"/>
        </w:rPr>
        <w:t> </w:t>
      </w:r>
      <w:r>
        <w:rPr>
          <w:rFonts w:ascii="Times New Roman" w:hAnsi="Times New Roman" w:cs="Times New Roman" w:eastAsia="Times New Roman" w:hint="default"/>
        </w:rPr>
        <w:t>Part</w:t>
      </w:r>
      <w:r>
        <w:rPr>
          <w:rFonts w:ascii="Times New Roman" w:hAnsi="Times New Roman" w:cs="Times New Roman" w:eastAsia="Times New Roman" w:hint="default"/>
          <w:spacing w:val="-8"/>
        </w:rPr>
        <w:t> </w:t>
      </w:r>
      <w:r>
        <w:rPr>
          <w:rFonts w:ascii="Times New Roman" w:hAnsi="Times New Roman" w:cs="Times New Roman" w:eastAsia="Times New Roman" w:hint="default"/>
        </w:rPr>
        <w:t>11</w:t>
      </w:r>
      <w:r>
        <w:rPr/>
        <w:t>以及安全生产标准化体系资质，公司在行业内的质量资质持续领</w:t>
      </w:r>
    </w:p>
    <w:p>
      <w:pPr>
        <w:spacing w:after="0" w:line="240"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先。</w:t>
      </w:r>
    </w:p>
    <w:p>
      <w:pPr>
        <w:spacing w:line="240" w:lineRule="auto" w:before="0"/>
        <w:rPr>
          <w:rFonts w:ascii="宋体" w:hAnsi="宋体" w:cs="宋体" w:eastAsia="宋体" w:hint="default"/>
          <w:sz w:val="15"/>
          <w:szCs w:val="15"/>
        </w:rPr>
      </w:pPr>
    </w:p>
    <w:p>
      <w:pPr>
        <w:pStyle w:val="BodyText"/>
        <w:spacing w:line="300" w:lineRule="auto"/>
        <w:ind w:right="1132" w:firstLine="360"/>
        <w:jc w:val="both"/>
      </w:pPr>
      <w:r>
        <w:rPr>
          <w:spacing w:val="-1"/>
          <w:w w:val="99"/>
        </w:rPr>
        <w:t>公司为临床高通量测序联合实验室量身打造了专业的质量管理体系</w:t>
      </w:r>
      <w:r>
        <w:rPr>
          <w:rFonts w:ascii="Times New Roman" w:hAnsi="Times New Roman" w:cs="Times New Roman" w:eastAsia="Times New Roman" w:hint="default"/>
          <w:spacing w:val="-1"/>
          <w:w w:val="99"/>
        </w:rPr>
        <w:t>BGI</w:t>
      </w:r>
      <w:r>
        <w:rPr>
          <w:rFonts w:ascii="Times New Roman" w:hAnsi="Times New Roman" w:cs="Times New Roman" w:eastAsia="Times New Roman" w:hint="default"/>
          <w:spacing w:val="18"/>
          <w:w w:val="99"/>
        </w:rPr>
        <w:t> </w:t>
      </w:r>
      <w:r>
        <w:rPr>
          <w:rFonts w:ascii="Times New Roman" w:hAnsi="Times New Roman" w:cs="Times New Roman" w:eastAsia="Times New Roman" w:hint="default"/>
          <w:spacing w:val="-8"/>
          <w:w w:val="99"/>
        </w:rPr>
        <w:t>CSPro</w:t>
      </w:r>
      <w:r>
        <w:rPr>
          <w:spacing w:val="-8"/>
          <w:w w:val="99"/>
        </w:rPr>
        <w:t>（华大基因认证服务提供方）并进行认证，</w:t>
      </w:r>
      <w:r>
        <w:rPr>
          <w:w w:val="99"/>
        </w:rPr>
        <w:t> </w:t>
      </w:r>
      <w:r>
        <w:rPr/>
        <w:t>截至报告期末，已在超过</w:t>
      </w:r>
      <w:r>
        <w:rPr>
          <w:rFonts w:ascii="Times New Roman" w:hAnsi="Times New Roman" w:cs="Times New Roman" w:eastAsia="Times New Roman" w:hint="default"/>
        </w:rPr>
        <w:t>170</w:t>
      </w:r>
      <w:r>
        <w:rPr/>
        <w:t>家联合实验室导入并在近</w:t>
      </w:r>
      <w:r>
        <w:rPr>
          <w:rFonts w:ascii="Times New Roman" w:hAnsi="Times New Roman" w:cs="Times New Roman" w:eastAsia="Times New Roman" w:hint="default"/>
        </w:rPr>
        <w:t>80</w:t>
      </w:r>
      <w:r>
        <w:rPr/>
        <w:t>家实验室成功运行该体系，保证联合实验室的检测质量，实现与合</w:t>
      </w:r>
      <w:r>
        <w:rPr>
          <w:spacing w:val="-85"/>
        </w:rPr>
        <w:t> </w:t>
      </w:r>
      <w:r>
        <w:rPr>
          <w:spacing w:val="-85"/>
        </w:rPr>
      </w:r>
      <w:r>
        <w:rPr/>
        <w:t>作伙伴的</w:t>
      </w:r>
      <w:r>
        <w:rPr>
          <w:rFonts w:ascii="Times New Roman" w:hAnsi="Times New Roman" w:cs="Times New Roman" w:eastAsia="Times New Roman" w:hint="default"/>
        </w:rPr>
        <w:t>“</w:t>
      </w:r>
      <w:r>
        <w:rPr/>
        <w:t>共建、共享、共盈</w:t>
      </w:r>
      <w:r>
        <w:rPr>
          <w:rFonts w:ascii="Times New Roman" w:hAnsi="Times New Roman" w:cs="Times New Roman" w:eastAsia="Times New Roman" w:hint="default"/>
        </w:rPr>
        <w:t>”</w:t>
      </w:r>
      <w:r>
        <w:rPr/>
        <w:t>，有利于保障公司业务有序开展，引领行业良性发展。</w:t>
      </w:r>
    </w:p>
    <w:p>
      <w:pPr>
        <w:pStyle w:val="Heading5"/>
        <w:spacing w:line="240" w:lineRule="auto" w:before="133"/>
        <w:ind w:right="1133"/>
        <w:jc w:val="left"/>
        <w:rPr>
          <w:b w:val="0"/>
          <w:bCs w:val="0"/>
        </w:rPr>
      </w:pPr>
      <w:r>
        <w:rPr/>
        <w:t>（九）构建全产业链生态圈，实施前瞻性战略布局</w:t>
      </w:r>
      <w:r>
        <w:rPr>
          <w:b w:val="0"/>
          <w:bCs w:val="0"/>
        </w:rPr>
      </w:r>
    </w:p>
    <w:p>
      <w:pPr>
        <w:spacing w:line="240" w:lineRule="auto" w:before="0"/>
        <w:rPr>
          <w:rFonts w:ascii="宋体" w:hAnsi="宋体" w:cs="宋体" w:eastAsia="宋体" w:hint="default"/>
          <w:b/>
          <w:bCs/>
          <w:sz w:val="15"/>
          <w:szCs w:val="15"/>
        </w:rPr>
      </w:pPr>
    </w:p>
    <w:p>
      <w:pPr>
        <w:pStyle w:val="BodyText"/>
        <w:spacing w:line="312" w:lineRule="auto"/>
        <w:ind w:right="1316" w:firstLine="360"/>
        <w:jc w:val="both"/>
      </w:pPr>
      <w:r>
        <w:rPr/>
        <w:t>公司在大战略目标指引下，秉承</w:t>
      </w:r>
      <w:r>
        <w:rPr>
          <w:rFonts w:ascii="Times New Roman" w:hAnsi="Times New Roman" w:cs="Times New Roman" w:eastAsia="Times New Roman" w:hint="default"/>
        </w:rPr>
        <w:t>“</w:t>
      </w:r>
      <w:r>
        <w:rPr/>
        <w:t>全球化</w:t>
      </w:r>
      <w:r>
        <w:rPr>
          <w:rFonts w:ascii="Times New Roman" w:hAnsi="Times New Roman" w:cs="Times New Roman" w:eastAsia="Times New Roman" w:hint="default"/>
        </w:rPr>
        <w:t>” </w:t>
      </w:r>
      <w:r>
        <w:rPr/>
        <w:t>、</w:t>
      </w:r>
      <w:r>
        <w:rPr>
          <w:rFonts w:ascii="Times New Roman" w:hAnsi="Times New Roman" w:cs="Times New Roman" w:eastAsia="Times New Roman" w:hint="default"/>
        </w:rPr>
        <w:t>“</w:t>
      </w:r>
      <w:r>
        <w:rPr/>
        <w:t>全产业链</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w:t>
      </w:r>
      <w:r>
        <w:rPr>
          <w:rFonts w:ascii="Times New Roman" w:hAnsi="Times New Roman" w:cs="Times New Roman" w:eastAsia="Times New Roman" w:hint="default"/>
        </w:rPr>
        <w:t>“</w:t>
      </w:r>
      <w:r>
        <w:rPr/>
        <w:t>前瞻性</w:t>
      </w:r>
      <w:r>
        <w:rPr>
          <w:rFonts w:ascii="Times New Roman" w:hAnsi="Times New Roman" w:cs="Times New Roman" w:eastAsia="Times New Roman" w:hint="default"/>
        </w:rPr>
        <w:t>”</w:t>
      </w:r>
      <w:r>
        <w:rPr/>
        <w:t>的投资指导方针，一方面加大对欧洲、美洲、亚 </w:t>
      </w:r>
      <w:r>
        <w:rPr>
          <w:spacing w:val="-2"/>
        </w:rPr>
        <w:t>洲等不同地区的投入包括设立子公司及交付中心等，使得公司的全球市场营销及交付中心能力得到进一步的提升，实现能</w:t>
      </w:r>
      <w:r>
        <w:rPr>
          <w:spacing w:val="-72"/>
        </w:rPr>
        <w:t> </w:t>
      </w:r>
      <w:r>
        <w:rPr>
          <w:spacing w:val="-72"/>
        </w:rPr>
      </w:r>
      <w:r>
        <w:rPr>
          <w:spacing w:val="-2"/>
        </w:rPr>
        <w:t>快速响应全球各地客户需求，增强了公司在海外的竞争力，有利于提高公司的海外收入占比。另一方面为了进一步完善公</w:t>
      </w:r>
      <w:r>
        <w:rPr>
          <w:spacing w:val="-71"/>
        </w:rPr>
        <w:t> </w:t>
      </w:r>
      <w:r>
        <w:rPr>
          <w:spacing w:val="-71"/>
        </w:rPr>
      </w:r>
      <w:r>
        <w:rPr>
          <w:spacing w:val="-2"/>
        </w:rPr>
        <w:t>司全产业链生态圈及前瞻性战略布局，公司分别在生育健康、肿瘤基因检测、合成生物学、消费级基因检测、生物信息分</w:t>
      </w:r>
      <w:r>
        <w:rPr>
          <w:spacing w:val="-75"/>
        </w:rPr>
        <w:t> </w:t>
      </w:r>
      <w:r>
        <w:rPr>
          <w:spacing w:val="-75"/>
        </w:rPr>
      </w:r>
      <w:r>
        <w:rPr>
          <w:spacing w:val="-3"/>
        </w:rPr>
        <w:t>析、眼科诊疗、宏基因组等细分领域均有不同的投资。截至报告期末，公司已完成投资的代表性公司有英国</w:t>
      </w:r>
      <w:r>
        <w:rPr>
          <w:rFonts w:ascii="Times New Roman" w:hAnsi="Times New Roman" w:cs="Times New Roman" w:eastAsia="Times New Roman" w:hint="default"/>
          <w:spacing w:val="-3"/>
        </w:rPr>
        <w:t>Congenica</w:t>
      </w:r>
      <w:r>
        <w:rPr>
          <w:spacing w:val="-3"/>
        </w:rPr>
        <w:t>（生</w:t>
      </w:r>
      <w:r>
        <w:rPr>
          <w:spacing w:val="-59"/>
        </w:rPr>
        <w:t> </w:t>
      </w:r>
      <w:r>
        <w:rPr>
          <w:spacing w:val="-2"/>
        </w:rPr>
        <w:t>物信息分析）、吉因加科技（肿瘤基因检测）、青兰生物（合成生物学）、泓迅生物（合成生物学）、早知道科技（即微</w:t>
      </w:r>
      <w:r>
        <w:rPr>
          <w:spacing w:val="-79"/>
        </w:rPr>
        <w:t> </w:t>
      </w:r>
      <w:r>
        <w:rPr>
          <w:spacing w:val="-79"/>
        </w:rPr>
      </w:r>
      <w:r>
        <w:rPr>
          <w:spacing w:val="-2"/>
        </w:rPr>
        <w:t>基因，消费级基因检测）、聚道科技（精准医疗数据平台）、何氏眼科（眼科精准诊疗）等。通过对外投资行业内其他优</w:t>
      </w:r>
      <w:r>
        <w:rPr>
          <w:spacing w:val="-74"/>
        </w:rPr>
        <w:t> </w:t>
      </w:r>
      <w:r>
        <w:rPr>
          <w:spacing w:val="-74"/>
        </w:rPr>
      </w:r>
      <w:r>
        <w:rPr/>
        <w:t>质新创企业，有利于公司掌握最新行业动态，对公司的技术创新及未来业务发展有着重要的意义。</w:t>
      </w:r>
    </w:p>
    <w:p>
      <w:pPr>
        <w:pStyle w:val="BodyText"/>
        <w:spacing w:line="312" w:lineRule="auto" w:before="142"/>
        <w:ind w:right="1316" w:firstLine="360"/>
        <w:jc w:val="both"/>
      </w:pPr>
      <w:r>
        <w:rPr>
          <w:spacing w:val="-2"/>
        </w:rPr>
        <w:t>为了保证公司技术创新的持续性及领先性，公司一方面是通过加大对内部研发的投入，另一方面是通过投资并购的方</w:t>
      </w:r>
      <w:r>
        <w:rPr/>
        <w:t> </w:t>
      </w:r>
      <w:r>
        <w:rPr>
          <w:spacing w:val="-2"/>
        </w:rPr>
        <w:t>式向公司输入优质人才及创新技术。报告期内公司对合成生物学领域的投资是范例之一。合成生物学是未来引领生物技术</w:t>
      </w:r>
      <w:r>
        <w:rPr>
          <w:spacing w:val="-72"/>
        </w:rPr>
        <w:t> </w:t>
      </w:r>
      <w:r>
        <w:rPr>
          <w:spacing w:val="-72"/>
        </w:rPr>
      </w:r>
      <w:r>
        <w:rPr>
          <w:spacing w:val="-2"/>
        </w:rPr>
        <w:t>产业化发展的核心技术之一，公司对合成生物学领域的标杆企业青兰生物的收购，是公司完善基因合成平台，落实</w:t>
      </w:r>
      <w:r>
        <w:rPr>
          <w:rFonts w:ascii="Times New Roman" w:hAnsi="Times New Roman" w:cs="Times New Roman" w:eastAsia="Times New Roman" w:hint="default"/>
          <w:spacing w:val="-2"/>
        </w:rPr>
        <w:t>“</w:t>
      </w:r>
      <w:r>
        <w:rPr>
          <w:spacing w:val="-2"/>
        </w:rPr>
        <w:t>写</w:t>
      </w:r>
      <w:r>
        <w:rPr>
          <w:rFonts w:ascii="Times New Roman" w:hAnsi="Times New Roman" w:cs="Times New Roman" w:eastAsia="Times New Roman" w:hint="default"/>
          <w:spacing w:val="-2"/>
        </w:rPr>
        <w:t>”</w:t>
      </w:r>
      <w:r>
        <w:rPr>
          <w:spacing w:val="-2"/>
        </w:rPr>
        <w:t>平</w:t>
      </w:r>
      <w:r>
        <w:rPr>
          <w:spacing w:val="-49"/>
        </w:rPr>
        <w:t> </w:t>
      </w:r>
      <w:r>
        <w:rPr>
          <w:spacing w:val="-2"/>
        </w:rPr>
        <w:t>台战略部署的重要举措。青兰生物是参与曾入选</w:t>
      </w:r>
      <w:r>
        <w:rPr>
          <w:rFonts w:ascii="Times New Roman" w:hAnsi="Times New Roman" w:cs="Times New Roman" w:eastAsia="Times New Roman" w:hint="default"/>
          <w:spacing w:val="-2"/>
        </w:rPr>
        <w:t>2017</w:t>
      </w:r>
      <w:r>
        <w:rPr>
          <w:spacing w:val="-2"/>
        </w:rPr>
        <w:t>年中国科学十大进展之一</w:t>
      </w:r>
      <w:r>
        <w:rPr>
          <w:rFonts w:ascii="Times New Roman" w:hAnsi="Times New Roman" w:cs="Times New Roman" w:eastAsia="Times New Roman" w:hint="default"/>
          <w:spacing w:val="-2"/>
        </w:rPr>
        <w:t>“</w:t>
      </w:r>
      <w:r>
        <w:rPr>
          <w:spacing w:val="-2"/>
        </w:rPr>
        <w:t>合成酵母基因组计划</w:t>
      </w:r>
      <w:r>
        <w:rPr>
          <w:rFonts w:ascii="Times New Roman" w:hAnsi="Times New Roman" w:cs="Times New Roman" w:eastAsia="Times New Roman" w:hint="default"/>
          <w:spacing w:val="-2"/>
        </w:rPr>
        <w:t>”</w:t>
      </w:r>
      <w:r>
        <w:rPr>
          <w:spacing w:val="-2"/>
        </w:rPr>
        <w:t>的中国企业，公司通</w:t>
      </w:r>
      <w:r>
        <w:rPr>
          <w:spacing w:val="-49"/>
        </w:rPr>
        <w:t> </w:t>
      </w:r>
      <w:r>
        <w:rPr>
          <w:spacing w:val="-49"/>
        </w:rPr>
      </w:r>
      <w:r>
        <w:rPr>
          <w:spacing w:val="-2"/>
        </w:rPr>
        <w:t>过本次收购青兰生物，进一步巩固了公司的技术创新能力和行业领先优势，拓展了对合成生物学产业链的重要布局，有利</w:t>
      </w:r>
      <w:r>
        <w:rPr>
          <w:spacing w:val="-71"/>
        </w:rPr>
        <w:t> </w:t>
      </w:r>
      <w:r>
        <w:rPr>
          <w:spacing w:val="-71"/>
        </w:rPr>
      </w:r>
      <w:r>
        <w:rPr/>
        <w:t>于打造合成生物学产业领域的战略制高点。</w:t>
      </w:r>
    </w:p>
    <w:p>
      <w:pPr>
        <w:pStyle w:val="BodyText"/>
        <w:spacing w:line="316" w:lineRule="auto" w:before="143"/>
        <w:ind w:right="1318" w:firstLine="360"/>
        <w:jc w:val="both"/>
      </w:pPr>
      <w:r>
        <w:rPr/>
        <w:t>公司已是业内具有全产业链优势的基因测序龙头企业，也是全球少数具备全产业链资源的多组学科学技术服务提供 商和医疗服务运营商。公司现通过构建全产业链生态圈，实施前瞻性战略布局，将有利于公司持续引领产业的发展。</w:t>
      </w:r>
    </w:p>
    <w:p>
      <w:pPr>
        <w:spacing w:line="432" w:lineRule="exact" w:before="3"/>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（十）荣获行业及资本市场多项荣誉</w:t>
      </w:r>
      <w:r>
        <w:rPr>
          <w:rFonts w:ascii="宋体" w:hAnsi="宋体" w:cs="宋体" w:eastAsia="宋体" w:hint="default"/>
          <w:b/>
          <w:bCs/>
          <w:w w:val="99"/>
          <w:sz w:val="18"/>
          <w:szCs w:val="18"/>
        </w:rPr>
        <w:t> </w:t>
      </w:r>
      <w:r>
        <w:rPr>
          <w:rFonts w:ascii="宋体" w:hAnsi="宋体" w:cs="宋体" w:eastAsia="宋体" w:hint="default"/>
          <w:sz w:val="18"/>
          <w:szCs w:val="18"/>
        </w:rPr>
        <w:t>公司坚持规范治理与运作，注重质量管理，在专业、资本市场及社会公益领域荣获多个奖项。报告期内，公司获得</w:t>
      </w:r>
    </w:p>
    <w:p>
      <w:pPr>
        <w:pStyle w:val="BodyText"/>
        <w:spacing w:line="300" w:lineRule="auto" w:before="15"/>
        <w:ind w:right="1224"/>
        <w:jc w:val="left"/>
      </w:pPr>
      <w:r>
        <w:rPr>
          <w:rFonts w:ascii="Times New Roman" w:hAnsi="Times New Roman" w:cs="Times New Roman" w:eastAsia="Times New Roman" w:hint="default"/>
          <w:spacing w:val="-3"/>
          <w:w w:val="100"/>
        </w:rPr>
        <w:t>“2017</w:t>
      </w:r>
      <w:r>
        <w:rPr>
          <w:spacing w:val="-3"/>
          <w:w w:val="100"/>
        </w:rPr>
        <w:t>年深圳</w:t>
      </w:r>
      <w:r>
        <w:rPr>
          <w:rFonts w:ascii="Times New Roman" w:hAnsi="Times New Roman" w:cs="Times New Roman" w:eastAsia="Times New Roman" w:hint="default"/>
          <w:spacing w:val="-3"/>
          <w:w w:val="100"/>
        </w:rPr>
        <w:t>‘</w:t>
      </w:r>
      <w:r>
        <w:rPr>
          <w:spacing w:val="-3"/>
          <w:w w:val="100"/>
        </w:rPr>
        <w:t>质量标杆</w:t>
      </w:r>
      <w:r>
        <w:rPr>
          <w:rFonts w:ascii="Times New Roman" w:hAnsi="Times New Roman" w:cs="Times New Roman" w:eastAsia="Times New Roman" w:hint="default"/>
          <w:spacing w:val="-3"/>
          <w:w w:val="100"/>
        </w:rPr>
        <w:t>’”</w:t>
      </w:r>
      <w:r>
        <w:rPr>
          <w:spacing w:val="-3"/>
          <w:w w:val="100"/>
        </w:rPr>
        <w:t>、</w:t>
      </w:r>
      <w:r>
        <w:rPr>
          <w:rFonts w:ascii="Times New Roman" w:hAnsi="Times New Roman" w:cs="Times New Roman" w:eastAsia="Times New Roman" w:hint="default"/>
          <w:spacing w:val="-3"/>
          <w:w w:val="100"/>
        </w:rPr>
        <w:t>2018</w:t>
      </w:r>
      <w:r>
        <w:rPr>
          <w:spacing w:val="-3"/>
          <w:w w:val="100"/>
        </w:rPr>
        <w:t>年度医疗健康投资卓悦榜</w:t>
      </w:r>
      <w:r>
        <w:rPr>
          <w:rFonts w:ascii="Times New Roman" w:hAnsi="Times New Roman" w:cs="Times New Roman" w:eastAsia="Times New Roman" w:hint="default"/>
          <w:spacing w:val="-3"/>
          <w:w w:val="100"/>
        </w:rPr>
        <w:t>“</w:t>
      </w:r>
      <w:r>
        <w:rPr>
          <w:spacing w:val="-3"/>
          <w:w w:val="100"/>
        </w:rPr>
        <w:t>年度战略投资者</w:t>
      </w:r>
      <w:r>
        <w:rPr>
          <w:rFonts w:ascii="Times New Roman" w:hAnsi="Times New Roman" w:cs="Times New Roman" w:eastAsia="Times New Roman" w:hint="default"/>
          <w:spacing w:val="-3"/>
          <w:w w:val="100"/>
        </w:rPr>
        <w:t>”</w:t>
      </w:r>
      <w:r>
        <w:rPr>
          <w:spacing w:val="-3"/>
          <w:w w:val="100"/>
        </w:rPr>
        <w:t>、</w:t>
      </w:r>
      <w:r>
        <w:rPr>
          <w:rFonts w:ascii="Times New Roman" w:hAnsi="Times New Roman" w:cs="Times New Roman" w:eastAsia="Times New Roman" w:hint="default"/>
          <w:spacing w:val="-3"/>
          <w:w w:val="100"/>
        </w:rPr>
        <w:t>“2017</w:t>
      </w:r>
      <w:r>
        <w:rPr>
          <w:spacing w:val="-3"/>
          <w:w w:val="100"/>
        </w:rPr>
        <w:t>年度最具投资价值</w:t>
      </w:r>
      <w:r>
        <w:rPr>
          <w:rFonts w:ascii="Times New Roman" w:hAnsi="Times New Roman" w:cs="Times New Roman" w:eastAsia="Times New Roman" w:hint="default"/>
          <w:spacing w:val="-3"/>
          <w:w w:val="100"/>
        </w:rPr>
        <w:t>A</w:t>
      </w:r>
      <w:r>
        <w:rPr>
          <w:spacing w:val="-3"/>
          <w:w w:val="100"/>
        </w:rPr>
        <w:t>股上市公司</w:t>
      </w:r>
      <w:r>
        <w:rPr>
          <w:rFonts w:ascii="Times New Roman" w:hAnsi="Times New Roman" w:cs="Times New Roman" w:eastAsia="Times New Roman" w:hint="default"/>
          <w:spacing w:val="-3"/>
          <w:w w:val="100"/>
        </w:rPr>
        <w:t>TOP10”</w:t>
      </w:r>
      <w:r>
        <w:rPr>
          <w:spacing w:val="-3"/>
          <w:w w:val="100"/>
        </w:rPr>
        <w:t>、</w:t>
      </w:r>
      <w:r>
        <w:rPr>
          <w:spacing w:val="-64"/>
          <w:w w:val="100"/>
        </w:rPr>
        <w:t> </w:t>
      </w:r>
      <w:r>
        <w:rPr/>
        <w:t>第二届中国卓越</w:t>
      </w:r>
      <w:r>
        <w:rPr>
          <w:rFonts w:ascii="Times New Roman" w:hAnsi="Times New Roman" w:cs="Times New Roman" w:eastAsia="Times New Roman" w:hint="default"/>
        </w:rPr>
        <w:t>IR“</w:t>
      </w:r>
      <w:r>
        <w:rPr/>
        <w:t>最佳信披奖</w:t>
      </w:r>
      <w:r>
        <w:rPr>
          <w:rFonts w:ascii="Times New Roman" w:hAnsi="Times New Roman" w:cs="Times New Roman" w:eastAsia="Times New Roman" w:hint="default"/>
        </w:rPr>
        <w:t>2018-</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12</w:t>
      </w:r>
      <w:r>
        <w:rPr/>
        <w:t>届中国上市公司价值评选</w:t>
      </w:r>
      <w:r>
        <w:rPr>
          <w:rFonts w:ascii="Times New Roman" w:hAnsi="Times New Roman" w:cs="Times New Roman" w:eastAsia="Times New Roman" w:hint="default"/>
        </w:rPr>
        <w:t>“</w:t>
      </w:r>
      <w:r>
        <w:rPr/>
        <w:t>中国上市公司</w:t>
      </w:r>
      <w:r>
        <w:rPr>
          <w:rFonts w:ascii="Times New Roman" w:hAnsi="Times New Roman" w:cs="Times New Roman" w:eastAsia="Times New Roman" w:hint="default"/>
        </w:rPr>
        <w:t>IPO</w:t>
      </w:r>
      <w:r>
        <w:rPr/>
        <w:t>新星奖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w:t>
      </w:r>
      <w:r>
        <w:rPr>
          <w:rFonts w:ascii="Times New Roman" w:hAnsi="Times New Roman" w:cs="Times New Roman" w:eastAsia="Times New Roman" w:hint="default"/>
        </w:rPr>
        <w:t>18</w:t>
      </w:r>
      <w:r>
        <w:rPr/>
        <w:t>年深圳十大</w:t>
      </w:r>
      <w:r>
        <w:rPr>
          <w:spacing w:val="-38"/>
        </w:rPr>
        <w:t> </w:t>
      </w:r>
      <w:r>
        <w:rPr>
          <w:spacing w:val="-38"/>
        </w:rPr>
      </w:r>
      <w:r>
        <w:rPr/>
        <w:t>未来枢纽企业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最佳创业板上市公司</w:t>
      </w:r>
      <w:r>
        <w:rPr>
          <w:rFonts w:ascii="Times New Roman" w:hAnsi="Times New Roman" w:cs="Times New Roman" w:eastAsia="Times New Roman" w:hint="default"/>
        </w:rPr>
        <w:t>”</w:t>
      </w:r>
      <w:r>
        <w:rPr/>
        <w:t>、</w:t>
      </w:r>
      <w:r>
        <w:rPr>
          <w:spacing w:val="-20"/>
        </w:rPr>
        <w:t> </w:t>
      </w:r>
      <w:r>
        <w:rPr>
          <w:rFonts w:ascii="Times New Roman" w:hAnsi="Times New Roman" w:cs="Times New Roman" w:eastAsia="Times New Roman" w:hint="default"/>
        </w:rPr>
        <w:t>“2018</w:t>
      </w:r>
      <w:r>
        <w:rPr/>
        <w:t>最佳社会责任企业</w:t>
      </w:r>
      <w:r>
        <w:rPr>
          <w:rFonts w:ascii="Times New Roman" w:hAnsi="Times New Roman" w:cs="Times New Roman" w:eastAsia="Times New Roman" w:hint="default"/>
        </w:rPr>
        <w:t>”</w:t>
      </w:r>
      <w:r>
        <w:rPr/>
        <w:t>等多项荣誉。</w:t>
      </w:r>
    </w:p>
    <w:p>
      <w:pPr>
        <w:pStyle w:val="Heading5"/>
        <w:spacing w:line="240" w:lineRule="auto" w:before="133"/>
        <w:ind w:right="1133"/>
        <w:jc w:val="left"/>
        <w:rPr>
          <w:b w:val="0"/>
          <w:bCs w:val="0"/>
        </w:rPr>
      </w:pPr>
      <w:r>
        <w:rPr/>
        <w:t>（十一）积极履行社会责任，通过基因科技普惠大众</w:t>
      </w:r>
      <w:r>
        <w:rPr>
          <w:b w:val="0"/>
          <w:bCs w:val="0"/>
        </w:rPr>
      </w:r>
    </w:p>
    <w:p>
      <w:pPr>
        <w:spacing w:line="240" w:lineRule="auto" w:before="0"/>
        <w:rPr>
          <w:rFonts w:ascii="宋体" w:hAnsi="宋体" w:cs="宋体" w:eastAsia="宋体" w:hint="default"/>
          <w:b/>
          <w:bCs/>
          <w:sz w:val="15"/>
          <w:szCs w:val="15"/>
        </w:rPr>
      </w:pPr>
    </w:p>
    <w:p>
      <w:pPr>
        <w:pStyle w:val="BodyText"/>
        <w:spacing w:line="307" w:lineRule="auto"/>
        <w:ind w:right="1313" w:firstLine="360"/>
        <w:jc w:val="both"/>
      </w:pPr>
      <w:r>
        <w:rPr>
          <w:spacing w:val="-2"/>
        </w:rPr>
        <w:t>报告期内，公司积极履行社会责任，通过出生缺陷防控、地贫防治、女性子宫颈癌防控等民生工程，让精准医学普惠</w:t>
      </w:r>
      <w:r>
        <w:rPr/>
        <w:t> </w:t>
      </w:r>
      <w:r>
        <w:rPr>
          <w:spacing w:val="-2"/>
        </w:rPr>
        <w:t>更多民众。华大基因联合华基金与国内科研机构合作，启动开发重症地贫的基因治疗科研项目，目标是完成从预防地贫降</w:t>
      </w:r>
      <w:r>
        <w:rPr>
          <w:spacing w:val="-71"/>
        </w:rPr>
        <w:t> </w:t>
      </w:r>
      <w:r>
        <w:rPr>
          <w:spacing w:val="-71"/>
        </w:rPr>
      </w:r>
      <w:r>
        <w:rPr>
          <w:spacing w:val="-2"/>
        </w:rPr>
        <w:t>生、救助重症配型到治疗的闭环。在地中海贫血防控方面，截至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日，公司采用先进的高通量测序技术，已在</w:t>
      </w:r>
      <w:r>
        <w:rPr>
          <w:spacing w:val="-68"/>
        </w:rPr>
        <w:t> </w:t>
      </w:r>
      <w:r>
        <w:rPr>
          <w:spacing w:val="-68"/>
        </w:rPr>
      </w:r>
      <w:r>
        <w:rPr>
          <w:spacing w:val="-2"/>
        </w:rPr>
        <w:t>广东、广西、云南、贵州、湖南、江西等多个省份启动</w:t>
      </w:r>
      <w:r>
        <w:rPr>
          <w:rFonts w:ascii="Times New Roman" w:hAnsi="Times New Roman" w:cs="Times New Roman" w:eastAsia="Times New Roman" w:hint="default"/>
          <w:spacing w:val="-2"/>
        </w:rPr>
        <w:t>“</w:t>
      </w:r>
      <w:r>
        <w:rPr>
          <w:spacing w:val="-2"/>
        </w:rPr>
        <w:t>地中海贫血防控民生项目</w:t>
      </w:r>
      <w:r>
        <w:rPr>
          <w:rFonts w:ascii="Times New Roman" w:hAnsi="Times New Roman" w:cs="Times New Roman" w:eastAsia="Times New Roman" w:hint="default"/>
          <w:spacing w:val="-2"/>
        </w:rPr>
        <w:t>”</w:t>
      </w:r>
      <w:r>
        <w:rPr>
          <w:spacing w:val="-2"/>
        </w:rPr>
        <w:t>，累计检测样本超过</w:t>
      </w:r>
      <w:r>
        <w:rPr>
          <w:rFonts w:ascii="Times New Roman" w:hAnsi="Times New Roman" w:cs="Times New Roman" w:eastAsia="Times New Roman" w:hint="default"/>
          <w:spacing w:val="-2"/>
        </w:rPr>
        <w:t>18</w:t>
      </w:r>
      <w:r>
        <w:rPr>
          <w:spacing w:val="-2"/>
        </w:rPr>
        <w:t>万例。项目共检</w:t>
      </w:r>
      <w:r>
        <w:rPr>
          <w:spacing w:val="-50"/>
        </w:rPr>
        <w:t> </w:t>
      </w:r>
      <w:r>
        <w:rPr>
          <w:spacing w:val="-50"/>
        </w:rPr>
      </w:r>
      <w:r>
        <w:rPr>
          <w:spacing w:val="-5"/>
        </w:rPr>
        <w:t>出地贫基因变异类型超过</w:t>
      </w:r>
      <w:r>
        <w:rPr>
          <w:rFonts w:ascii="Times New Roman" w:hAnsi="Times New Roman" w:cs="Times New Roman" w:eastAsia="Times New Roman" w:hint="default"/>
          <w:spacing w:val="-5"/>
        </w:rPr>
        <w:t>130</w:t>
      </w:r>
      <w:r>
        <w:rPr>
          <w:spacing w:val="-5"/>
        </w:rPr>
        <w:t>种，异常血红蛋白变异超过</w:t>
      </w:r>
      <w:r>
        <w:rPr>
          <w:rFonts w:ascii="Times New Roman" w:hAnsi="Times New Roman" w:cs="Times New Roman" w:eastAsia="Times New Roman" w:hint="default"/>
          <w:spacing w:val="-5"/>
        </w:rPr>
        <w:t>140</w:t>
      </w:r>
      <w:r>
        <w:rPr>
          <w:spacing w:val="-5"/>
        </w:rPr>
        <w:t>种，有效提升了地贫的防控效果。在地中海贫血患者救助方面，</w:t>
      </w:r>
      <w:r>
        <w:rPr>
          <w:spacing w:val="-75"/>
        </w:rPr>
        <w:t> </w:t>
      </w:r>
      <w:r>
        <w:rPr>
          <w:spacing w:val="-75"/>
        </w:rPr>
      </w:r>
      <w:r>
        <w:rPr>
          <w:spacing w:val="-2"/>
        </w:rPr>
        <w:t>华大基因积极响应国家卫健委关于</w:t>
      </w:r>
      <w:r>
        <w:rPr>
          <w:rFonts w:ascii="Times New Roman" w:hAnsi="Times New Roman" w:cs="Times New Roman" w:eastAsia="Times New Roman" w:hint="default"/>
          <w:spacing w:val="-2"/>
        </w:rPr>
        <w:t>2018</w:t>
      </w:r>
      <w:r>
        <w:rPr>
          <w:spacing w:val="-2"/>
        </w:rPr>
        <w:t>年世界地贫日</w:t>
      </w:r>
      <w:r>
        <w:rPr>
          <w:rFonts w:ascii="Times New Roman" w:hAnsi="Times New Roman" w:cs="Times New Roman" w:eastAsia="Times New Roman" w:hint="default"/>
          <w:spacing w:val="-2"/>
        </w:rPr>
        <w:t>“</w:t>
      </w:r>
      <w:r>
        <w:rPr>
          <w:spacing w:val="-2"/>
        </w:rPr>
        <w:t>防治地贫，健康脱贫</w:t>
      </w:r>
      <w:r>
        <w:rPr>
          <w:rFonts w:ascii="Times New Roman" w:hAnsi="Times New Roman" w:cs="Times New Roman" w:eastAsia="Times New Roman" w:hint="default"/>
          <w:spacing w:val="-2"/>
        </w:rPr>
        <w:t>”</w:t>
      </w:r>
      <w:r>
        <w:rPr>
          <w:spacing w:val="-2"/>
        </w:rPr>
        <w:t>的主题活动，华大基因联合华基金、北京天使</w:t>
      </w:r>
      <w:r>
        <w:rPr>
          <w:spacing w:val="-47"/>
        </w:rPr>
        <w:t> </w:t>
      </w:r>
      <w:r>
        <w:rPr>
          <w:spacing w:val="-47"/>
        </w:rPr>
      </w:r>
      <w:r>
        <w:rPr>
          <w:spacing w:val="-5"/>
        </w:rPr>
        <w:t>妈妈慈善基金会等公益基金，先后与广西医科大学第一附属医院、南方医科大学南方医院、中山大学附属孙逸仙纪念医院、</w:t>
      </w:r>
      <w:r>
        <w:rPr>
          <w:spacing w:val="-87"/>
        </w:rPr>
        <w:t> </w:t>
      </w:r>
      <w:r>
        <w:rPr>
          <w:spacing w:val="-87"/>
        </w:rPr>
      </w:r>
      <w:r>
        <w:rPr>
          <w:spacing w:val="-2"/>
        </w:rPr>
        <w:t>梅州市妇女儿童医院、郴州市第一人民医院、贵州医科大学附属医院等医疗机构，在广东、广西、海南、湖南、贵州、云</w:t>
      </w:r>
      <w:r>
        <w:rPr>
          <w:spacing w:val="-83"/>
        </w:rPr>
        <w:t> </w:t>
      </w:r>
      <w:r>
        <w:rPr>
          <w:spacing w:val="-83"/>
        </w:rPr>
      </w:r>
      <w:r>
        <w:rPr>
          <w:spacing w:val="-2"/>
        </w:rPr>
        <w:t>南</w:t>
      </w:r>
      <w:r>
        <w:rPr>
          <w:rFonts w:ascii="Times New Roman" w:hAnsi="Times New Roman" w:cs="Times New Roman" w:eastAsia="Times New Roman" w:hint="default"/>
          <w:spacing w:val="-2"/>
        </w:rPr>
        <w:t>6</w:t>
      </w:r>
      <w:r>
        <w:rPr>
          <w:spacing w:val="-2"/>
        </w:rPr>
        <w:t>省</w:t>
      </w:r>
      <w:r>
        <w:rPr>
          <w:rFonts w:ascii="Times New Roman" w:hAnsi="Times New Roman" w:cs="Times New Roman" w:eastAsia="Times New Roman" w:hint="default"/>
          <w:spacing w:val="-2"/>
        </w:rPr>
        <w:t>15</w:t>
      </w:r>
      <w:r>
        <w:rPr>
          <w:spacing w:val="-2"/>
        </w:rPr>
        <w:t>个城市开展</w:t>
      </w:r>
      <w:r>
        <w:rPr>
          <w:rFonts w:ascii="Times New Roman" w:hAnsi="Times New Roman" w:cs="Times New Roman" w:eastAsia="Times New Roman" w:hint="default"/>
          <w:spacing w:val="-2"/>
        </w:rPr>
        <w:t>“</w:t>
      </w:r>
      <w:r>
        <w:rPr>
          <w:spacing w:val="-2"/>
        </w:rPr>
        <w:t>免费</w:t>
      </w:r>
      <w:r>
        <w:rPr>
          <w:rFonts w:ascii="Times New Roman" w:hAnsi="Times New Roman" w:cs="Times New Roman" w:eastAsia="Times New Roman" w:hint="default"/>
          <w:spacing w:val="-2"/>
        </w:rPr>
        <w:t>HLA</w:t>
      </w:r>
      <w:r>
        <w:rPr>
          <w:spacing w:val="-2"/>
        </w:rPr>
        <w:t>配型救助公益活动</w:t>
      </w:r>
      <w:r>
        <w:rPr>
          <w:rFonts w:ascii="Times New Roman" w:hAnsi="Times New Roman" w:cs="Times New Roman" w:eastAsia="Times New Roman" w:hint="default"/>
          <w:spacing w:val="-2"/>
        </w:rPr>
        <w:t>”</w:t>
      </w: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日，该项目已累计为约</w:t>
      </w:r>
      <w:r>
        <w:rPr>
          <w:rFonts w:ascii="Times New Roman" w:hAnsi="Times New Roman" w:cs="Times New Roman" w:eastAsia="Times New Roman" w:hint="default"/>
          <w:spacing w:val="-2"/>
        </w:rPr>
        <w:t>2,700</w:t>
      </w:r>
      <w:r>
        <w:rPr>
          <w:spacing w:val="-2"/>
        </w:rPr>
        <w:t>个地贫家庭近</w:t>
      </w:r>
      <w:r>
        <w:rPr>
          <w:rFonts w:ascii="Times New Roman" w:hAnsi="Times New Roman" w:cs="Times New Roman" w:eastAsia="Times New Roman" w:hint="default"/>
          <w:spacing w:val="-2"/>
        </w:rPr>
        <w:t>7,500</w:t>
      </w:r>
      <w:r>
        <w:rPr>
          <w:spacing w:val="-2"/>
        </w:rPr>
        <w:t>人提</w:t>
      </w:r>
      <w:r>
        <w:rPr>
          <w:spacing w:val="-45"/>
        </w:rPr>
        <w:t> </w:t>
      </w:r>
      <w:r>
        <w:rPr/>
        <w:t>供了免费配型检测服务，共计近</w:t>
      </w:r>
      <w:r>
        <w:rPr>
          <w:rFonts w:ascii="Times New Roman" w:hAnsi="Times New Roman" w:cs="Times New Roman" w:eastAsia="Times New Roman" w:hint="default"/>
        </w:rPr>
        <w:t>280</w:t>
      </w:r>
      <w:r>
        <w:rPr/>
        <w:t>名患者配型成功。</w:t>
      </w:r>
    </w:p>
    <w:p>
      <w:pPr>
        <w:pStyle w:val="Heading5"/>
        <w:spacing w:line="240" w:lineRule="auto" w:before="127"/>
        <w:ind w:right="1133"/>
        <w:jc w:val="left"/>
        <w:rPr>
          <w:b w:val="0"/>
          <w:bCs w:val="0"/>
        </w:rPr>
      </w:pPr>
      <w:r>
        <w:rPr/>
        <w:t>（十二）推进科普宣传，助力基因科学认知</w:t>
      </w:r>
      <w:r>
        <w:rPr>
          <w:b w:val="0"/>
          <w:bCs w:val="0"/>
        </w:rPr>
      </w:r>
    </w:p>
    <w:p>
      <w:pPr>
        <w:spacing w:line="240" w:lineRule="auto" w:before="1"/>
        <w:rPr>
          <w:rFonts w:ascii="宋体" w:hAnsi="宋体" w:cs="宋体" w:eastAsia="宋体" w:hint="default"/>
          <w:b/>
          <w:bCs/>
          <w:sz w:val="15"/>
          <w:szCs w:val="15"/>
        </w:rPr>
      </w:pPr>
    </w:p>
    <w:p>
      <w:pPr>
        <w:pStyle w:val="BodyText"/>
        <w:spacing w:line="316" w:lineRule="auto"/>
        <w:ind w:right="1316" w:firstLine="360"/>
        <w:jc w:val="both"/>
      </w:pPr>
      <w:r>
        <w:rPr>
          <w:spacing w:val="-2"/>
        </w:rPr>
        <w:t>报告期内，公司继续推进基因科学的科普宣传工作。公司通过广播电视节目、行业峰会、讲座、科普进校园等多种形</w:t>
      </w:r>
      <w:r>
        <w:rPr/>
        <w:t> 式，共开展百余次科普活动，发表科普文章百余篇，科普类音频节目《天方烨谈》累计播出超过</w:t>
      </w:r>
      <w:r>
        <w:rPr>
          <w:rFonts w:ascii="Times New Roman" w:hAnsi="Times New Roman" w:cs="Times New Roman" w:eastAsia="Times New Roman" w:hint="default"/>
        </w:rPr>
        <w:t>700</w:t>
      </w:r>
      <w:r>
        <w:rPr/>
        <w:t>期，在喜马拉雅平台</w:t>
      </w:r>
    </w:p>
    <w:p>
      <w:pPr>
        <w:spacing w:after="0" w:line="316"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点击量突破</w:t>
      </w:r>
      <w:r>
        <w:rPr>
          <w:rFonts w:ascii="Times New Roman" w:hAnsi="Times New Roman" w:cs="Times New Roman" w:eastAsia="Times New Roman" w:hint="default"/>
        </w:rPr>
        <w:t>4,000</w:t>
      </w:r>
      <w:r>
        <w:rPr/>
        <w:t>万，公司将借助多元化的媒介渠道，不断提升自身科普影响力。</w:t>
      </w:r>
    </w:p>
    <w:p>
      <w:pPr>
        <w:spacing w:line="240" w:lineRule="auto" w:before="13"/>
        <w:rPr>
          <w:rFonts w:ascii="宋体" w:hAnsi="宋体" w:cs="宋体" w:eastAsia="宋体" w:hint="default"/>
          <w:sz w:val="13"/>
          <w:szCs w:val="13"/>
        </w:rPr>
      </w:pPr>
    </w:p>
    <w:p>
      <w:pPr>
        <w:pStyle w:val="BodyText"/>
        <w:spacing w:line="302" w:lineRule="auto"/>
        <w:ind w:right="1128" w:firstLine="360"/>
        <w:jc w:val="both"/>
      </w:pPr>
      <w:r>
        <w:rPr>
          <w:spacing w:val="-2"/>
        </w:rPr>
        <w:t>在科研生态系统的建设方面，开展了</w:t>
      </w:r>
      <w:r>
        <w:rPr>
          <w:rFonts w:ascii="Times New Roman" w:hAnsi="Times New Roman" w:cs="Times New Roman" w:eastAsia="Times New Roman" w:hint="default"/>
          <w:spacing w:val="-2"/>
        </w:rPr>
        <w:t>“</w:t>
      </w:r>
      <w:r>
        <w:rPr>
          <w:spacing w:val="-2"/>
        </w:rPr>
        <w:t>生命周期表</w:t>
      </w:r>
      <w:r>
        <w:rPr>
          <w:rFonts w:ascii="Times New Roman" w:hAnsi="Times New Roman" w:cs="Times New Roman" w:eastAsia="Times New Roman" w:hint="default"/>
          <w:spacing w:val="-2"/>
        </w:rPr>
        <w:t>”</w:t>
      </w:r>
      <w:r>
        <w:rPr>
          <w:spacing w:val="-2"/>
        </w:rPr>
        <w:t>计划，该计划旨在通过基因测序对物种进行数据挖掘，发现隐藏在数</w:t>
      </w:r>
      <w:r>
        <w:rPr/>
        <w:t> </w:t>
      </w:r>
      <w:r>
        <w:rPr>
          <w:spacing w:val="-2"/>
        </w:rPr>
        <w:t>据背后的生命规律，最终实现</w:t>
      </w:r>
      <w:r>
        <w:rPr>
          <w:rFonts w:ascii="Times New Roman" w:hAnsi="Times New Roman" w:cs="Times New Roman" w:eastAsia="Times New Roman" w:hint="default"/>
          <w:spacing w:val="-2"/>
        </w:rPr>
        <w:t>“</w:t>
      </w:r>
      <w:r>
        <w:rPr>
          <w:spacing w:val="-2"/>
        </w:rPr>
        <w:t>数字化动植物，数字化地球</w:t>
      </w:r>
      <w:r>
        <w:rPr>
          <w:rFonts w:ascii="Times New Roman" w:hAnsi="Times New Roman" w:cs="Times New Roman" w:eastAsia="Times New Roman" w:hint="default"/>
          <w:spacing w:val="-2"/>
        </w:rPr>
        <w:t>”</w:t>
      </w:r>
      <w:r>
        <w:rPr>
          <w:spacing w:val="-2"/>
        </w:rPr>
        <w:t>的宏伟目标。在生命周期表里，其中的一项指的是一个物种测序</w:t>
      </w:r>
      <w:r>
        <w:rPr>
          <w:spacing w:val="-44"/>
        </w:rPr>
        <w:t> </w:t>
      </w:r>
      <w:r>
        <w:rPr>
          <w:spacing w:val="-44"/>
        </w:rPr>
      </w:r>
      <w:r>
        <w:rPr/>
        <w:t>完成的基因组。目前华大基因与合作伙伴一起发表基因组文章共计</w:t>
      </w:r>
      <w:r>
        <w:rPr>
          <w:rFonts w:ascii="Times New Roman" w:hAnsi="Times New Roman" w:cs="Times New Roman" w:eastAsia="Times New Roman" w:hint="default"/>
        </w:rPr>
        <w:t>154</w:t>
      </w:r>
      <w:r>
        <w:rPr/>
        <w:t>篇。</w:t>
      </w:r>
      <w:r>
        <w:rPr>
          <w:rFonts w:ascii="Times New Roman" w:hAnsi="Times New Roman" w:cs="Times New Roman" w:eastAsia="Times New Roman" w:hint="default"/>
        </w:rPr>
        <w:t>Cell/Nature/Science</w:t>
      </w:r>
      <w:r>
        <w:rPr/>
        <w:t>三大全球顶尖期刊主刊发文</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1"/>
        </w:rPr>
        <w:t>篇，加上子刊发文，共计</w:t>
      </w:r>
      <w:r>
        <w:rPr>
          <w:rFonts w:ascii="Times New Roman" w:hAnsi="Times New Roman" w:cs="Times New Roman" w:eastAsia="Times New Roman" w:hint="default"/>
          <w:spacing w:val="-1"/>
        </w:rPr>
        <w:t>91</w:t>
      </w:r>
      <w:r>
        <w:rPr>
          <w:spacing w:val="-1"/>
        </w:rPr>
        <w:t>篇。在这个基础上，生命周期表第一期哺乳动物补全计划，计划对</w:t>
      </w:r>
      <w:r>
        <w:rPr>
          <w:rFonts w:ascii="Times New Roman" w:hAnsi="Times New Roman" w:cs="Times New Roman" w:eastAsia="Times New Roman" w:hint="default"/>
          <w:spacing w:val="-1"/>
        </w:rPr>
        <w:t>5,000</w:t>
      </w:r>
      <w:r>
        <w:rPr>
          <w:spacing w:val="-1"/>
        </w:rPr>
        <w:t>种哺乳动物、</w:t>
      </w:r>
      <w:r>
        <w:rPr>
          <w:rFonts w:ascii="Times New Roman" w:hAnsi="Times New Roman" w:cs="Times New Roman" w:eastAsia="Times New Roman" w:hint="default"/>
          <w:spacing w:val="-1"/>
        </w:rPr>
        <w:t>157</w:t>
      </w:r>
      <w:r>
        <w:rPr>
          <w:spacing w:val="-1"/>
        </w:rPr>
        <w:t>个科的</w:t>
      </w:r>
      <w:r>
        <w:rPr>
          <w:spacing w:val="-73"/>
        </w:rPr>
        <w:t> </w:t>
      </w:r>
      <w:r>
        <w:rPr>
          <w:spacing w:val="-73"/>
        </w:rPr>
      </w:r>
      <w:r>
        <w:rPr>
          <w:spacing w:val="-2"/>
        </w:rPr>
        <w:t>物种进行基因组众筹解密，解密后的数据会存储在深圳国家基因库并对公众免费开放。目前开放的</w:t>
      </w:r>
      <w:r>
        <w:rPr>
          <w:rFonts w:ascii="Times New Roman" w:hAnsi="Times New Roman" w:cs="Times New Roman" w:eastAsia="Times New Roman" w:hint="default"/>
          <w:spacing w:val="-2"/>
        </w:rPr>
        <w:t>157</w:t>
      </w:r>
      <w:r>
        <w:rPr>
          <w:spacing w:val="-2"/>
        </w:rPr>
        <w:t>个科中，已经有</w:t>
      </w:r>
      <w:r>
        <w:rPr>
          <w:rFonts w:ascii="Times New Roman" w:hAnsi="Times New Roman" w:cs="Times New Roman" w:eastAsia="Times New Roman" w:hint="default"/>
          <w:spacing w:val="-2"/>
        </w:rPr>
        <w:t>133</w:t>
      </w:r>
      <w:r>
        <w:rPr>
          <w:spacing w:val="-2"/>
        </w:rPr>
        <w:t>个</w:t>
      </w:r>
      <w:r>
        <w:rPr>
          <w:spacing w:val="-59"/>
        </w:rPr>
        <w:t> </w:t>
      </w:r>
      <w:r>
        <w:rPr>
          <w:spacing w:val="-2"/>
        </w:rPr>
        <w:t>科里的物种被认领，已测序物种包括灵长目、翼手目等在内共计</w:t>
      </w:r>
      <w:r>
        <w:rPr>
          <w:rFonts w:ascii="Times New Roman" w:hAnsi="Times New Roman" w:cs="Times New Roman" w:eastAsia="Times New Roman" w:hint="default"/>
          <w:spacing w:val="-2"/>
        </w:rPr>
        <w:t>70</w:t>
      </w:r>
      <w:r>
        <w:rPr>
          <w:spacing w:val="-2"/>
        </w:rPr>
        <w:t>种，项目相关的经费全部来自</w:t>
      </w:r>
      <w:r>
        <w:rPr>
          <w:rFonts w:ascii="Times New Roman" w:hAnsi="Times New Roman" w:cs="Times New Roman" w:eastAsia="Times New Roman" w:hint="default"/>
          <w:spacing w:val="-2"/>
        </w:rPr>
        <w:t>“</w:t>
      </w:r>
      <w:r>
        <w:rPr>
          <w:spacing w:val="-2"/>
        </w:rPr>
        <w:t>科长</w:t>
      </w:r>
      <w:r>
        <w:rPr>
          <w:rFonts w:ascii="Times New Roman" w:hAnsi="Times New Roman" w:cs="Times New Roman" w:eastAsia="Times New Roman" w:hint="default"/>
          <w:spacing w:val="-2"/>
        </w:rPr>
        <w:t>”</w:t>
      </w:r>
      <w:r>
        <w:rPr>
          <w:spacing w:val="-2"/>
        </w:rPr>
        <w:t>和热心社会人士的众</w:t>
      </w:r>
      <w:r>
        <w:rPr>
          <w:spacing w:val="-44"/>
        </w:rPr>
        <w:t> </w:t>
      </w:r>
      <w:r>
        <w:rPr>
          <w:spacing w:val="-44"/>
        </w:rPr>
      </w:r>
      <w:r>
        <w:rPr>
          <w:spacing w:val="-2"/>
        </w:rPr>
        <w:t>筹。生命周期表以区块链为媒介，在保障数据安全的前提下，实现数据、知识、资金的追溯与分享。依托这个平台，参与者</w:t>
      </w:r>
      <w:r>
        <w:rPr>
          <w:spacing w:val="-73"/>
        </w:rPr>
        <w:t> </w:t>
      </w:r>
      <w:r>
        <w:rPr>
          <w:spacing w:val="-73"/>
        </w:rPr>
      </w:r>
      <w:r>
        <w:rPr>
          <w:spacing w:val="-2"/>
        </w:rPr>
        <w:t>可追溯和掌控其成果的产出与交易过程。解密地球上所有物种基因组，已成为生命科学未来趋势。</w:t>
      </w:r>
      <w:r>
        <w:rPr>
          <w:rFonts w:ascii="Times New Roman" w:hAnsi="Times New Roman" w:cs="Times New Roman" w:eastAsia="Times New Roman" w:hint="default"/>
          <w:spacing w:val="-2"/>
        </w:rPr>
        <w:t>“</w:t>
      </w:r>
      <w:r>
        <w:rPr>
          <w:spacing w:val="-2"/>
        </w:rPr>
        <w:t>生命周期表</w:t>
      </w:r>
      <w:r>
        <w:rPr>
          <w:rFonts w:ascii="Times New Roman" w:hAnsi="Times New Roman" w:cs="Times New Roman" w:eastAsia="Times New Roman" w:hint="default"/>
          <w:spacing w:val="-2"/>
        </w:rPr>
        <w:t>”</w:t>
      </w:r>
      <w:r>
        <w:rPr>
          <w:spacing w:val="-2"/>
        </w:rPr>
        <w:t>项目已经与</w:t>
      </w:r>
      <w:r>
        <w:rPr>
          <w:spacing w:val="-45"/>
        </w:rPr>
        <w:t> </w:t>
      </w:r>
      <w:r>
        <w:rPr>
          <w:spacing w:val="-45"/>
        </w:rPr>
      </w:r>
      <w:r>
        <w:rPr/>
        <w:t>广州动物园等多家机构建立合作，测序样本主要由合作伙伴提供，共同挖掘测序数据背后的生命规律。</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pStyle w:val="BodyText"/>
        <w:spacing w:line="240" w:lineRule="auto"/>
        <w:ind w:right="1133"/>
        <w:jc w:val="left"/>
      </w:pPr>
      <w:r>
        <w:rPr/>
        <w:t>公司需遵守《深圳证券交易所创业板行业信息披露指引第</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是</w:t>
      </w:r>
    </w:p>
    <w:p>
      <w:pPr>
        <w:pStyle w:val="BodyText"/>
        <w:spacing w:line="240" w:lineRule="auto" w:before="39"/>
        <w:ind w:right="1133"/>
        <w:jc w:val="left"/>
      </w:pPr>
      <w:r>
        <w:rPr/>
        <w:t>不同销售模式下的经营情况</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销售模式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销售收入</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毛利率</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直销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1,973,914,221.12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557,715,000.03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68.09%</w:t>
            </w:r>
          </w:p>
        </w:tc>
      </w:tr>
    </w:tbl>
    <w:p>
      <w:pPr>
        <w:spacing w:line="240" w:lineRule="auto" w:before="6"/>
        <w:rPr>
          <w:rFonts w:ascii="宋体" w:hAnsi="宋体" w:cs="宋体" w:eastAsia="宋体" w:hint="default"/>
          <w:sz w:val="27"/>
          <w:szCs w:val="27"/>
        </w:rPr>
      </w:pPr>
    </w:p>
    <w:p>
      <w:pPr>
        <w:pStyle w:val="BodyText"/>
        <w:spacing w:line="240" w:lineRule="auto" w:before="44"/>
        <w:ind w:right="1133"/>
        <w:jc w:val="left"/>
      </w:pPr>
      <w:r>
        <w:rPr/>
        <w:t>营业收入整体情况</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5"/>
        <w:gridCol w:w="1595"/>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2,536,406,105.62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2,095,544,271.44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21.04%</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基因组学应用行业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2,531,629,221.15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2,087,628,841.19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21.27%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4,776,884.47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7,915,430.25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-39.65%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0"/>
              <w:jc w:val="left"/>
              <w:rPr>
                <w:rFonts w:ascii="宋体" w:hAnsi="宋体" w:cs="宋体" w:eastAsia="宋体" w:hint="default"/>
                <w:sz w:val="18"/>
                <w:szCs w:val="18"/>
              </w:rPr>
            </w:pPr>
            <w:r>
              <w:rPr>
                <w:rFonts w:ascii="宋体" w:hAnsi="宋体" w:cs="宋体" w:eastAsia="宋体" w:hint="default"/>
                <w:sz w:val="18"/>
                <w:szCs w:val="18"/>
              </w:rPr>
              <w:t>生育健康基础研究 和临床应用服务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1,376,430,326.41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1,138,840,573.02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20.86%</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肿瘤防控及转化医 学类服务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357,068,856.14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229,572,378.62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55.54%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0"/>
              <w:jc w:val="left"/>
              <w:rPr>
                <w:rFonts w:ascii="宋体" w:hAnsi="宋体" w:cs="宋体" w:eastAsia="宋体" w:hint="default"/>
                <w:sz w:val="18"/>
                <w:szCs w:val="18"/>
              </w:rPr>
            </w:pPr>
            <w:r>
              <w:rPr>
                <w:rFonts w:ascii="宋体" w:hAnsi="宋体" w:cs="宋体" w:eastAsia="宋体" w:hint="default"/>
                <w:sz w:val="18"/>
                <w:szCs w:val="18"/>
              </w:rPr>
              <w:t>感染防控基础研究 和临床应用服务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95,172,398.43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63,687,443.32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49.44%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多组学大数据服务 与合成业务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702,957,640.17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655,528,446.23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7.24%</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4,776,884.47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7,915,430.25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-39.65%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2,051,364,869.26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80.88%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1,596,075,469.56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76.17%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28.53%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欧洲及非洲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191,261,735.94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198,281,337.79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美洲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137,581,231.53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139,998,611.52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-1.73%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亚洲（不含中国大 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156,198,268.89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161,188,852.57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4" w:top="1060" w:bottom="1160" w:left="980" w:right="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是</w:t>
      </w:r>
    </w:p>
    <w:p>
      <w:pPr>
        <w:pStyle w:val="BodyText"/>
        <w:spacing w:line="240" w:lineRule="auto" w:before="32"/>
        <w:ind w:right="-20"/>
        <w:jc w:val="left"/>
      </w:pPr>
      <w:r>
        <w:rPr/>
        <w:t>医疗器械业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3213" w:space="5707"/>
            <w:col w:w="2010"/>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6"/>
        <w:gridCol w:w="1369"/>
        <w:gridCol w:w="1366"/>
        <w:gridCol w:w="1366"/>
        <w:gridCol w:w="1368"/>
        <w:gridCol w:w="1366"/>
        <w:gridCol w:w="1373"/>
      </w:tblGrid>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12"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0"/>
              <w:jc w:val="left"/>
              <w:rPr>
                <w:rFonts w:ascii="宋体" w:hAnsi="宋体" w:cs="宋体" w:eastAsia="宋体" w:hint="default"/>
                <w:sz w:val="18"/>
                <w:szCs w:val="18"/>
              </w:rPr>
            </w:pPr>
            <w:r>
              <w:rPr>
                <w:rFonts w:ascii="宋体" w:hAnsi="宋体" w:cs="宋体" w:eastAsia="宋体" w:hint="default"/>
                <w:sz w:val="18"/>
                <w:szCs w:val="18"/>
              </w:rPr>
              <w:t>基因组学应用行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2,531,629,221.15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1,131,411,791.65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25.66%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102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0"/>
              <w:jc w:val="both"/>
              <w:rPr>
                <w:rFonts w:ascii="宋体" w:hAnsi="宋体" w:cs="宋体" w:eastAsia="宋体" w:hint="default"/>
                <w:sz w:val="18"/>
                <w:szCs w:val="18"/>
              </w:rPr>
            </w:pPr>
            <w:r>
              <w:rPr>
                <w:rFonts w:ascii="宋体" w:hAnsi="宋体" w:cs="宋体" w:eastAsia="宋体" w:hint="default"/>
                <w:sz w:val="18"/>
                <w:szCs w:val="18"/>
              </w:rPr>
              <w:t>生育健康基础研 究和临床应用服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1,376,430,326.41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424,111,290.44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14.54%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肿瘤防控及转化 医学类服务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357,068,856.14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150,600,740.63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36.42%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多组学大数据服 务与合成业务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702,957,640.17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514,330,369.22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31.64%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-13.57%</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基因组学应用行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602,769,615.30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497,314,660.64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21.20%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基因组学应用行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200,159,113.63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183,083,805.83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基因组学应用行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328,483,062.72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219,999,748.42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49.31%</w:t>
            </w:r>
          </w:p>
        </w:tc>
      </w:tr>
    </w:tbl>
    <w:p>
      <w:pPr>
        <w:pStyle w:val="BodyText"/>
        <w:spacing w:line="338" w:lineRule="auto" w:before="51"/>
        <w:ind w:right="2444"/>
        <w:jc w:val="left"/>
      </w:pPr>
      <w:r>
        <w:rPr/>
        <w:t>公司需遵守《深圳证券交易所创业板行业信息披露指引第</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生产和采购模式分类</w:t>
      </w:r>
    </w:p>
    <w:p>
      <w:pPr>
        <w:pStyle w:val="BodyText"/>
        <w:spacing w:line="240" w:lineRule="auto" w:before="43"/>
        <w:ind w:left="513" w:right="1133"/>
        <w:jc w:val="left"/>
        <w:rPr>
          <w:rFonts w:ascii="Times New Roman" w:hAnsi="Times New Roman" w:cs="Times New Roman" w:eastAsia="Times New Roman" w:hint="default"/>
        </w:rPr>
      </w:pPr>
      <w:r>
        <w:rPr/>
        <w:t>详见第三节</w:t>
      </w:r>
      <w:r>
        <w:rPr>
          <w:rFonts w:ascii="Times New Roman" w:hAnsi="Times New Roman" w:cs="Times New Roman" w:eastAsia="Times New Roman" w:hint="default"/>
        </w:rPr>
        <w:t>“</w:t>
      </w:r>
      <w:r>
        <w:rPr/>
        <w:t>公司业务概要</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一、报告期内公司从事的主要业务</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240" w:lineRule="auto" w:before="103"/>
        <w:ind w:left="441" w:right="1133"/>
        <w:jc w:val="left"/>
      </w:pPr>
      <w:r>
        <w:rPr/>
        <w:t>本年度合并财务报表范围变化参见第十一节</w:t>
      </w:r>
      <w:r>
        <w:rPr>
          <w:rFonts w:ascii="Times New Roman" w:hAnsi="Times New Roman" w:cs="Times New Roman" w:eastAsia="Times New Roman" w:hint="default"/>
        </w:rPr>
        <w:t>“</w:t>
      </w:r>
      <w:r>
        <w:rPr/>
        <w:t>财务报告</w:t>
      </w:r>
      <w:r>
        <w:rPr>
          <w:rFonts w:ascii="Times New Roman" w:hAnsi="Times New Roman" w:cs="Times New Roman" w:eastAsia="Times New Roman" w:hint="default"/>
        </w:rPr>
        <w:t>”</w:t>
      </w:r>
      <w:r>
        <w:rPr/>
        <w:t>中</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259"/>
        <w:gridCol w:w="5310"/>
      </w:tblGrid>
      <w:tr>
        <w:trPr>
          <w:trHeight w:val="401"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261,576,816.26</w:t>
            </w:r>
          </w:p>
        </w:tc>
      </w:tr>
      <w:tr>
        <w:trPr>
          <w:trHeight w:val="404"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10.32%</w:t>
            </w:r>
          </w:p>
        </w:tc>
      </w:tr>
      <w:tr>
        <w:trPr>
          <w:trHeight w:val="401"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12"/>
        <w:rPr>
          <w:rFonts w:ascii="宋体" w:hAnsi="宋体" w:cs="宋体" w:eastAsia="宋体" w:hint="default"/>
          <w:sz w:val="27"/>
          <w:szCs w:val="27"/>
        </w:rPr>
      </w:pPr>
    </w:p>
    <w:p>
      <w:pPr>
        <w:spacing w:line="382" w:lineRule="exact"/>
        <w:ind w:left="18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pt;height:19.1pt;mso-position-horizontal-relative:char;mso-position-vertical-relative:line" coordorigin="0,0" coordsize="9578,382">
            <v:group style="position:absolute;left:4235;top:14;width:24;height:354" coordorigin="4235,14" coordsize="24,354">
              <v:shape style="position:absolute;left:4235;top:14;width:24;height:354" coordorigin="4235,14" coordsize="24,354" path="m4235,368l4259,368,4259,14,4235,14,4235,368xe" filled="true" fillcolor="#d2d2d2" stroked="false">
                <v:path arrowok="t"/>
                <v:fill type="solid"/>
              </v:shape>
            </v:group>
            <v:group style="position:absolute;left:10;top:14;width:24;height:354" coordorigin="10,14" coordsize="24,354">
              <v:shape style="position:absolute;left:10;top:14;width:24;height:354" coordorigin="10,14" coordsize="24,354" path="m10,368l34,368,34,14,10,14,10,368xe" filled="true" fillcolor="#d2d2d2" stroked="false">
                <v:path arrowok="t"/>
                <v:fill type="solid"/>
              </v:shape>
            </v:group>
            <v:group style="position:absolute;left:34;top:14;width:4201;height:354" coordorigin="34,14" coordsize="4201,354">
              <v:shape style="position:absolute;left:34;top:14;width:4201;height:354" coordorigin="34,14" coordsize="4201,354" path="m34,368l4235,368,4235,14,34,14,34,368xe" filled="true" fillcolor="#d2d2d2" stroked="false">
                <v:path arrowok="t"/>
                <v:fill type="solid"/>
              </v:shape>
            </v:group>
            <v:group style="position:absolute;left:10;top:10;width:4249;height:2" coordorigin="10,10" coordsize="4249,2">
              <v:shape style="position:absolute;left:10;top:10;width:4249;height:2" coordorigin="10,10" coordsize="4249,0" path="m10,10l4259,10e" filled="false" stroked="true" strokeweight=".48pt" strokecolor="#000000">
                <v:path arrowok="t"/>
              </v:shape>
            </v:group>
            <v:group style="position:absolute;left:4268;top:10;width:5301;height:2" coordorigin="4268,10" coordsize="5301,2">
              <v:shape style="position:absolute;left:4268;top:10;width:5301;height:2" coordorigin="4268,10" coordsize="5301,0" path="m4268,10l9568,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4249;height:2" coordorigin="10,372" coordsize="4249,2">
              <v:shape style="position:absolute;left:10;top:372;width:4249;height:2" coordorigin="10,372" coordsize="4249,0" path="m10,372l4259,372e" filled="false" stroked="true" strokeweight=".48pt" strokecolor="#000000">
                <v:path arrowok="t"/>
              </v:shape>
            </v:group>
            <v:group style="position:absolute;left:4263;top:5;width:2;height:373" coordorigin="4263,5" coordsize="2,373">
              <v:shape style="position:absolute;left:4263;top:5;width:2;height:373" coordorigin="4263,5" coordsize="0,373" path="m4263,5l4263,377e" filled="false" stroked="true" strokeweight=".48001pt" strokecolor="#000000">
                <v:path arrowok="t"/>
              </v:shape>
            </v:group>
            <v:group style="position:absolute;left:4268;top:372;width:5301;height:2" coordorigin="4268,372" coordsize="5301,2">
              <v:shape style="position:absolute;left:4268;top:372;width:5301;height:2" coordorigin="4268,372" coordsize="5301,0" path="m4268,372l9568,372e" filled="false" stroked="true" strokeweight=".48pt" strokecolor="#000000">
                <v:path arrowok="t"/>
              </v:shape>
            </v:group>
            <v:group style="position:absolute;left:9573;top:5;width:2;height:373" coordorigin="9573,5" coordsize="2,373">
              <v:shape style="position:absolute;left:9573;top:5;width:2;height:373" coordorigin="9573,5" coordsize="0,373" path="m9573,5l9573,377e" filled="false" stroked="true" strokeweight=".47998pt" strokecolor="#000000">
                <v:path arrowok="t"/>
              </v:shape>
              <v:shape style="position:absolute;left:34;top:8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例</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802"/>
        <w:gridCol w:w="3301"/>
        <w:gridCol w:w="2324"/>
        <w:gridCol w:w="3142"/>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76,820,655.09</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51,790,660.00</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51,019,000.38</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44,522,011.14</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1.76%</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37,424,489.65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1.48%</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261,576,816.26</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10.32%</w:t>
            </w:r>
          </w:p>
        </w:tc>
      </w:tr>
    </w:tbl>
    <w:p>
      <w:pPr>
        <w:pStyle w:val="BodyText"/>
        <w:spacing w:line="240" w:lineRule="auto" w:before="51"/>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4259"/>
        <w:gridCol w:w="5310"/>
      </w:tblGrid>
      <w:tr>
        <w:trPr>
          <w:trHeight w:val="401"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883,784,781.79</w:t>
            </w:r>
          </w:p>
        </w:tc>
      </w:tr>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62.62%</w:t>
            </w:r>
          </w:p>
        </w:tc>
      </w:tr>
      <w:tr>
        <w:trPr>
          <w:trHeight w:val="71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45.83%</w:t>
            </w:r>
          </w:p>
        </w:tc>
      </w:tr>
    </w:tbl>
    <w:p>
      <w:pPr>
        <w:pStyle w:val="BodyText"/>
        <w:spacing w:line="240" w:lineRule="auto" w:before="51"/>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934"/>
        <w:gridCol w:w="3169"/>
        <w:gridCol w:w="2324"/>
        <w:gridCol w:w="3142"/>
      </w:tblGrid>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646,858,472.72</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45.83%</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101,352,404.57</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7.18%</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63,762,201.86</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4.52%</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50,882,863.17</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3.61%</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20,928,839.47</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1.48%</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883,784,781.79</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62.62%</w:t>
            </w:r>
          </w:p>
        </w:tc>
      </w:tr>
    </w:tbl>
    <w:p>
      <w:pPr>
        <w:pStyle w:val="BodyText"/>
        <w:spacing w:line="240" w:lineRule="auto" w:before="51"/>
        <w:ind w:right="1133"/>
        <w:jc w:val="left"/>
      </w:pPr>
      <w:r>
        <w:rPr/>
        <w:t>主要供应商其他情况说明</w:t>
      </w:r>
    </w:p>
    <w:p>
      <w:pPr>
        <w:pStyle w:val="BodyText"/>
        <w:spacing w:line="338" w:lineRule="auto" w:before="118"/>
        <w:ind w:right="2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上述供应商一是属于同一控制下的关联方，详见第十一节财务报告中的附注</w:t>
      </w:r>
      <w:r>
        <w:rPr>
          <w:rFonts w:ascii="Times New Roman" w:hAnsi="Times New Roman" w:cs="Times New Roman" w:eastAsia="Times New Roman" w:hint="default"/>
        </w:rPr>
        <w:t>“</w:t>
      </w:r>
      <w:r>
        <w:rPr/>
        <w:t>十二、关联方及关联交易</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6"/>
        <w:gridCol w:w="1637"/>
        <w:gridCol w:w="1637"/>
        <w:gridCol w:w="1462"/>
        <w:gridCol w:w="2917"/>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514,275,566.01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401,861,236.69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27.97%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主要系销售规模扩大，市场推广费 和销售人员职工薪酬增长所致</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9" w:right="0"/>
              <w:jc w:val="left"/>
              <w:rPr>
                <w:rFonts w:ascii="Times New Roman" w:hAnsi="Times New Roman" w:cs="Times New Roman" w:eastAsia="Times New Roman" w:hint="default"/>
                <w:sz w:val="18"/>
                <w:szCs w:val="18"/>
              </w:rPr>
            </w:pPr>
            <w:r>
              <w:rPr>
                <w:rFonts w:ascii="Times New Roman"/>
                <w:sz w:val="18"/>
              </w:rPr>
              <w:t>166,262,534.54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153,493,215.43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8.32%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1" w:right="0"/>
              <w:jc w:val="left"/>
              <w:rPr>
                <w:rFonts w:ascii="Times New Roman" w:hAnsi="Times New Roman" w:cs="Times New Roman" w:eastAsia="Times New Roman" w:hint="default"/>
                <w:sz w:val="18"/>
                <w:szCs w:val="18"/>
              </w:rPr>
            </w:pPr>
            <w:r>
              <w:rPr>
                <w:rFonts w:ascii="Times New Roman"/>
                <w:sz w:val="18"/>
              </w:rPr>
              <w:t>-22,774,334.05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3,018,972.04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-854.37%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主要系外币资产汇率变动所致</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916"/>
        <w:gridCol w:w="1637"/>
        <w:gridCol w:w="1637"/>
        <w:gridCol w:w="1462"/>
        <w:gridCol w:w="2917"/>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260,920,378.40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174,314,115.65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49.68%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主要系研发人员职工薪酬、材料费 和租赁费增长所致</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报告期内，公司重点研发项目情况如下：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095"/>
        <w:jc w:val="right"/>
      </w:pPr>
      <w:r>
        <w:rPr/>
        <w:pict>
          <v:shape style="position:absolute;margin-left:58.32pt;margin-top:-291.418274pt;width:478.8pt;height:580.550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7"/>
                    <w:gridCol w:w="2129"/>
                    <w:gridCol w:w="2268"/>
                    <w:gridCol w:w="2408"/>
                    <w:gridCol w:w="2182"/>
                  </w:tblGrid>
                  <w:tr>
                    <w:trPr>
                      <w:trHeight w:val="425"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15" w:right="0"/>
                          <w:jc w:val="left"/>
                          <w:rPr>
                            <w:rFonts w:ascii="宋体" w:hAnsi="宋体" w:cs="宋体" w:eastAsia="宋体" w:hint="default"/>
                            <w:sz w:val="18"/>
                            <w:szCs w:val="18"/>
                          </w:rPr>
                        </w:pPr>
                        <w:r>
                          <w:rPr>
                            <w:rFonts w:ascii="宋体" w:hAnsi="宋体" w:cs="宋体" w:eastAsia="宋体" w:hint="default"/>
                            <w:b/>
                            <w:bCs/>
                            <w:sz w:val="18"/>
                            <w:szCs w:val="18"/>
                          </w:rPr>
                          <w:t>重点研发项目</w:t>
                        </w:r>
                        <w:r>
                          <w:rPr>
                            <w:rFonts w:ascii="宋体" w:hAnsi="宋体" w:cs="宋体" w:eastAsia="宋体" w:hint="default"/>
                            <w:sz w:val="18"/>
                            <w:szCs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83" w:right="0"/>
                          <w:jc w:val="left"/>
                          <w:rPr>
                            <w:rFonts w:ascii="宋体" w:hAnsi="宋体" w:cs="宋体" w:eastAsia="宋体" w:hint="default"/>
                            <w:sz w:val="18"/>
                            <w:szCs w:val="18"/>
                          </w:rPr>
                        </w:pPr>
                        <w:r>
                          <w:rPr>
                            <w:rFonts w:ascii="宋体" w:hAnsi="宋体" w:cs="宋体" w:eastAsia="宋体" w:hint="default"/>
                            <w:b/>
                            <w:bCs/>
                            <w:sz w:val="18"/>
                            <w:szCs w:val="18"/>
                          </w:rPr>
                          <w:t>拟达到的目标</w:t>
                        </w:r>
                        <w:r>
                          <w:rPr>
                            <w:rFonts w:ascii="宋体" w:hAnsi="宋体" w:cs="宋体" w:eastAsia="宋体" w:hint="default"/>
                            <w:sz w:val="18"/>
                            <w:szCs w:val="18"/>
                          </w:rPr>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项目进度</w:t>
                        </w:r>
                        <w:r>
                          <w:rPr>
                            <w:rFonts w:ascii="宋体" w:hAnsi="宋体" w:cs="宋体" w:eastAsia="宋体" w:hint="default"/>
                            <w:sz w:val="18"/>
                            <w:szCs w:val="18"/>
                          </w:rPr>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0" w:right="0"/>
                          <w:jc w:val="left"/>
                          <w:rPr>
                            <w:rFonts w:ascii="宋体" w:hAnsi="宋体" w:cs="宋体" w:eastAsia="宋体" w:hint="default"/>
                            <w:sz w:val="18"/>
                            <w:szCs w:val="18"/>
                          </w:rPr>
                        </w:pPr>
                        <w:r>
                          <w:rPr>
                            <w:rFonts w:ascii="宋体" w:hAnsi="宋体" w:cs="宋体" w:eastAsia="宋体" w:hint="default"/>
                            <w:b/>
                            <w:bCs/>
                            <w:sz w:val="18"/>
                            <w:szCs w:val="18"/>
                          </w:rPr>
                          <w:t>对公司未来发展的影响</w:t>
                        </w:r>
                        <w:r>
                          <w:rPr>
                            <w:rFonts w:ascii="宋体" w:hAnsi="宋体" w:cs="宋体" w:eastAsia="宋体" w:hint="default"/>
                            <w:sz w:val="18"/>
                            <w:szCs w:val="18"/>
                          </w:rPr>
                        </w:r>
                      </w:p>
                    </w:tc>
                  </w:tr>
                  <w:tr>
                    <w:trPr>
                      <w:trHeight w:val="740"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4"/>
                          <w:jc w:val="left"/>
                          <w:rPr>
                            <w:rFonts w:ascii="宋体" w:hAnsi="宋体" w:cs="宋体" w:eastAsia="宋体" w:hint="default"/>
                            <w:sz w:val="18"/>
                            <w:szCs w:val="18"/>
                          </w:rPr>
                        </w:pPr>
                        <w:r>
                          <w:rPr>
                            <w:rFonts w:ascii="宋体" w:hAnsi="宋体" w:cs="宋体" w:eastAsia="宋体" w:hint="default"/>
                            <w:spacing w:val="10"/>
                            <w:sz w:val="18"/>
                            <w:szCs w:val="18"/>
                          </w:rPr>
                          <w:t>软骨发育不全无创筛查产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品</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2" w:right="4"/>
                          <w:jc w:val="left"/>
                          <w:rPr>
                            <w:rFonts w:ascii="宋体" w:hAnsi="宋体" w:cs="宋体" w:eastAsia="宋体" w:hint="default"/>
                            <w:sz w:val="18"/>
                            <w:szCs w:val="18"/>
                          </w:rPr>
                        </w:pPr>
                        <w:r>
                          <w:rPr>
                            <w:rFonts w:ascii="宋体" w:hAnsi="宋体" w:cs="宋体" w:eastAsia="宋体" w:hint="default"/>
                            <w:spacing w:val="6"/>
                            <w:sz w:val="18"/>
                            <w:szCs w:val="18"/>
                          </w:rPr>
                          <w:t>软骨发育不全无创筛查技术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并完成产品孵化</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完成产品开发，推出新产品</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丰富产品，拓展盈利空间</w:t>
                        </w:r>
                      </w:p>
                    </w:tc>
                  </w:tr>
                  <w:tr>
                    <w:trPr>
                      <w:trHeight w:val="739"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4"/>
                          <w:jc w:val="left"/>
                          <w:rPr>
                            <w:rFonts w:ascii="宋体" w:hAnsi="宋体" w:cs="宋体" w:eastAsia="宋体" w:hint="default"/>
                            <w:sz w:val="18"/>
                            <w:szCs w:val="18"/>
                          </w:rPr>
                        </w:pPr>
                        <w:r>
                          <w:rPr>
                            <w:rFonts w:ascii="宋体" w:hAnsi="宋体" w:cs="宋体" w:eastAsia="宋体" w:hint="default"/>
                            <w:spacing w:val="10"/>
                            <w:sz w:val="18"/>
                            <w:szCs w:val="18"/>
                          </w:rPr>
                          <w:t>常见单基因遗传病检测试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剂盒资质申报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2" w:right="4"/>
                          <w:jc w:val="left"/>
                          <w:rPr>
                            <w:rFonts w:ascii="宋体" w:hAnsi="宋体" w:cs="宋体" w:eastAsia="宋体" w:hint="default"/>
                            <w:sz w:val="18"/>
                            <w:szCs w:val="18"/>
                          </w:rPr>
                        </w:pPr>
                        <w:r>
                          <w:rPr>
                            <w:rFonts w:ascii="宋体" w:hAnsi="宋体" w:cs="宋体" w:eastAsia="宋体" w:hint="default"/>
                            <w:spacing w:val="6"/>
                            <w:sz w:val="18"/>
                            <w:szCs w:val="18"/>
                          </w:rPr>
                          <w:t>完成常见单基因遗传病检测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试剂盒资质申报</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产品研发中试开展中</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获取产品资质保障</w:t>
                        </w:r>
                      </w:p>
                    </w:tc>
                  </w:tr>
                  <w:tr>
                    <w:trPr>
                      <w:trHeight w:val="1051"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生育遗传数据库</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开发生育遗传数据库系统</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2" w:right="0"/>
                          <w:jc w:val="both"/>
                          <w:rPr>
                            <w:rFonts w:ascii="宋体" w:hAnsi="宋体" w:cs="宋体" w:eastAsia="宋体" w:hint="default"/>
                            <w:sz w:val="18"/>
                            <w:szCs w:val="18"/>
                          </w:rPr>
                        </w:pPr>
                        <w:r>
                          <w:rPr>
                            <w:rFonts w:ascii="宋体" w:hAnsi="宋体" w:cs="宋体" w:eastAsia="宋体" w:hint="default"/>
                            <w:spacing w:val="18"/>
                            <w:sz w:val="18"/>
                            <w:szCs w:val="18"/>
                          </w:rPr>
                          <w:t>完成数据库解读线上系统开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发，完成部分疾病数据库搭建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并投入使用</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丰富产品，拓展盈利空间</w:t>
                        </w:r>
                      </w:p>
                    </w:tc>
                  </w:tr>
                  <w:tr>
                    <w:trPr>
                      <w:trHeight w:val="739"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地贫试剂盒资质申报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2" w:right="4"/>
                          <w:jc w:val="left"/>
                          <w:rPr>
                            <w:rFonts w:ascii="宋体" w:hAnsi="宋体" w:cs="宋体" w:eastAsia="宋体" w:hint="default"/>
                            <w:sz w:val="18"/>
                            <w:szCs w:val="18"/>
                          </w:rPr>
                        </w:pPr>
                        <w:r>
                          <w:rPr>
                            <w:rFonts w:ascii="宋体" w:hAnsi="宋体" w:cs="宋体" w:eastAsia="宋体" w:hint="default"/>
                            <w:spacing w:val="6"/>
                            <w:sz w:val="18"/>
                            <w:szCs w:val="18"/>
                          </w:rPr>
                          <w:t>完成地贫检测试剂盒资质申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报</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产品研发中试开展中</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获取产品资质保障</w:t>
                        </w:r>
                      </w:p>
                    </w:tc>
                  </w:tr>
                  <w:tr>
                    <w:trPr>
                      <w:trHeight w:val="1052"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药物基因组检测产品开发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2" w:right="4"/>
                          <w:jc w:val="both"/>
                          <w:rPr>
                            <w:rFonts w:ascii="宋体" w:hAnsi="宋体" w:cs="宋体" w:eastAsia="宋体" w:hint="default"/>
                            <w:sz w:val="18"/>
                            <w:szCs w:val="18"/>
                          </w:rPr>
                        </w:pPr>
                        <w:r>
                          <w:rPr>
                            <w:rFonts w:ascii="宋体" w:hAnsi="宋体" w:cs="宋体" w:eastAsia="宋体" w:hint="default"/>
                            <w:spacing w:val="6"/>
                            <w:sz w:val="18"/>
                            <w:szCs w:val="18"/>
                          </w:rPr>
                          <w:t>开发基于高通量测序平台的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药物基因组检测技术并完成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产品孵化</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技术体系开发和数据库建立中</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2"/>
                          <w:jc w:val="left"/>
                          <w:rPr>
                            <w:rFonts w:ascii="宋体" w:hAnsi="宋体" w:cs="宋体" w:eastAsia="宋体" w:hint="default"/>
                            <w:sz w:val="18"/>
                            <w:szCs w:val="18"/>
                          </w:rPr>
                        </w:pPr>
                        <w:r>
                          <w:rPr>
                            <w:rFonts w:ascii="宋体" w:hAnsi="宋体" w:cs="宋体" w:eastAsia="宋体" w:hint="default"/>
                            <w:sz w:val="18"/>
                            <w:szCs w:val="18"/>
                          </w:rPr>
                          <w:t>丰富产品，拓展盈利空间， 属于个人基因组产品方向</w:t>
                        </w:r>
                      </w:p>
                    </w:tc>
                  </w:tr>
                  <w:tr>
                    <w:trPr>
                      <w:trHeight w:val="1051"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Xgenetics</w:t>
                        </w:r>
                        <w:r>
                          <w:rPr>
                            <w:rFonts w:ascii="宋体" w:hAnsi="宋体" w:cs="宋体" w:eastAsia="宋体" w:hint="default"/>
                            <w:sz w:val="18"/>
                            <w:szCs w:val="18"/>
                          </w:rPr>
                          <w:t>系统开发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47"/>
                          <w:jc w:val="left"/>
                          <w:rPr>
                            <w:rFonts w:ascii="宋体" w:hAnsi="宋体" w:cs="宋体" w:eastAsia="宋体" w:hint="default"/>
                            <w:sz w:val="18"/>
                            <w:szCs w:val="18"/>
                          </w:rPr>
                        </w:pPr>
                        <w:r>
                          <w:rPr>
                            <w:rFonts w:ascii="宋体" w:hAnsi="宋体" w:cs="宋体" w:eastAsia="宋体" w:hint="default"/>
                            <w:spacing w:val="-8"/>
                            <w:sz w:val="18"/>
                            <w:szCs w:val="18"/>
                          </w:rPr>
                          <w:t>完成解读系统（</w:t>
                        </w:r>
                        <w:r>
                          <w:rPr>
                            <w:rFonts w:ascii="Times New Roman" w:hAnsi="Times New Roman" w:cs="Times New Roman" w:eastAsia="Times New Roman" w:hint="default"/>
                            <w:spacing w:val="-8"/>
                            <w:sz w:val="18"/>
                            <w:szCs w:val="18"/>
                          </w:rPr>
                          <w:t>Xgenetics</w:t>
                        </w:r>
                        <w:r>
                          <w:rPr>
                            <w:rFonts w:ascii="宋体" w:hAnsi="宋体" w:cs="宋体" w:eastAsia="宋体" w:hint="default"/>
                            <w:spacing w:val="-8"/>
                            <w:sz w:val="18"/>
                            <w:szCs w:val="18"/>
                          </w:rPr>
                          <w:t>）开</w:t>
                        </w:r>
                        <w:r>
                          <w:rPr>
                            <w:rFonts w:ascii="宋体" w:hAnsi="宋体" w:cs="宋体" w:eastAsia="宋体" w:hint="default"/>
                            <w:spacing w:val="-46"/>
                            <w:sz w:val="18"/>
                            <w:szCs w:val="18"/>
                          </w:rPr>
                          <w:t> </w:t>
                        </w:r>
                        <w:r>
                          <w:rPr>
                            <w:rFonts w:ascii="宋体" w:hAnsi="宋体" w:cs="宋体" w:eastAsia="宋体" w:hint="default"/>
                            <w:sz w:val="18"/>
                            <w:szCs w:val="18"/>
                          </w:rPr>
                          <w:t>发并完成产品孵化</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0"/>
                          <w:jc w:val="left"/>
                          <w:rPr>
                            <w:rFonts w:ascii="宋体" w:hAnsi="宋体" w:cs="宋体" w:eastAsia="宋体" w:hint="default"/>
                            <w:sz w:val="18"/>
                            <w:szCs w:val="18"/>
                          </w:rPr>
                        </w:pPr>
                        <w:r>
                          <w:rPr>
                            <w:rFonts w:ascii="宋体" w:hAnsi="宋体" w:cs="宋体" w:eastAsia="宋体" w:hint="default"/>
                            <w:spacing w:val="3"/>
                            <w:sz w:val="18"/>
                            <w:szCs w:val="18"/>
                          </w:rPr>
                          <w:t>完成解读软件开发及内部版本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包装，进行试用测试</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both"/>
                          <w:rPr>
                            <w:rFonts w:ascii="宋体" w:hAnsi="宋体" w:cs="宋体" w:eastAsia="宋体" w:hint="default"/>
                            <w:sz w:val="18"/>
                            <w:szCs w:val="18"/>
                          </w:rPr>
                        </w:pPr>
                        <w:r>
                          <w:rPr>
                            <w:rFonts w:ascii="宋体" w:hAnsi="宋体" w:cs="宋体" w:eastAsia="宋体" w:hint="default"/>
                            <w:sz w:val="18"/>
                            <w:szCs w:val="18"/>
                          </w:rPr>
                          <w:t>提高交付效率，提升产品质 量，降低产品成本，增强产 品竞争力</w:t>
                        </w:r>
                      </w:p>
                    </w:tc>
                  </w:tr>
                  <w:tr>
                    <w:trPr>
                      <w:trHeight w:val="739"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云猫数据管理系统开发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pacing w:val="6"/>
                            <w:sz w:val="18"/>
                            <w:szCs w:val="18"/>
                          </w:rPr>
                          <w:t>开发遗传病临床表型与基因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型的信息存储和管理系统</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0"/>
                          <w:jc w:val="left"/>
                          <w:rPr>
                            <w:rFonts w:ascii="宋体" w:hAnsi="宋体" w:cs="宋体" w:eastAsia="宋体" w:hint="default"/>
                            <w:sz w:val="18"/>
                            <w:szCs w:val="18"/>
                          </w:rPr>
                        </w:pPr>
                        <w:r>
                          <w:rPr>
                            <w:rFonts w:ascii="宋体" w:hAnsi="宋体" w:cs="宋体" w:eastAsia="宋体" w:hint="default"/>
                            <w:spacing w:val="-10"/>
                            <w:sz w:val="18"/>
                            <w:szCs w:val="18"/>
                          </w:rPr>
                          <w:t>系统功能建立、优化、更新、完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善中</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89"/>
                          <w:jc w:val="left"/>
                          <w:rPr>
                            <w:rFonts w:ascii="宋体" w:hAnsi="宋体" w:cs="宋体" w:eastAsia="宋体" w:hint="default"/>
                            <w:sz w:val="18"/>
                            <w:szCs w:val="18"/>
                          </w:rPr>
                        </w:pPr>
                        <w:r>
                          <w:rPr>
                            <w:rFonts w:ascii="宋体" w:hAnsi="宋体" w:cs="宋体" w:eastAsia="宋体" w:hint="default"/>
                            <w:spacing w:val="-8"/>
                            <w:sz w:val="18"/>
                            <w:szCs w:val="18"/>
                          </w:rPr>
                          <w:t>提供新解读服务，丰富产品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拓展盈利空间</w:t>
                        </w:r>
                      </w:p>
                    </w:tc>
                  </w:tr>
                  <w:tr>
                    <w:trPr>
                      <w:trHeight w:val="1051"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4"/>
                          <w:jc w:val="left"/>
                          <w:rPr>
                            <w:rFonts w:ascii="宋体" w:hAnsi="宋体" w:cs="宋体" w:eastAsia="宋体" w:hint="default"/>
                            <w:sz w:val="18"/>
                            <w:szCs w:val="18"/>
                          </w:rPr>
                        </w:pPr>
                        <w:r>
                          <w:rPr>
                            <w:rFonts w:ascii="宋体" w:hAnsi="宋体" w:cs="宋体" w:eastAsia="宋体" w:hint="default"/>
                            <w:spacing w:val="10"/>
                            <w:sz w:val="18"/>
                            <w:szCs w:val="18"/>
                          </w:rPr>
                          <w:t>不依赖先证者的无创单病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检测技术开发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pacing w:val="6"/>
                            <w:sz w:val="18"/>
                            <w:szCs w:val="18"/>
                          </w:rPr>
                          <w:t>开发不依赖先证者的无创单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病检测技术并完成产品孵化</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0"/>
                          <w:jc w:val="both"/>
                          <w:rPr>
                            <w:rFonts w:ascii="宋体" w:hAnsi="宋体" w:cs="宋体" w:eastAsia="宋体" w:hint="default"/>
                            <w:sz w:val="18"/>
                            <w:szCs w:val="18"/>
                          </w:rPr>
                        </w:pPr>
                        <w:r>
                          <w:rPr>
                            <w:rFonts w:ascii="宋体" w:hAnsi="宋体" w:cs="宋体" w:eastAsia="宋体" w:hint="default"/>
                            <w:spacing w:val="18"/>
                            <w:sz w:val="18"/>
                            <w:szCs w:val="18"/>
                          </w:rPr>
                          <w:t>完成产品技术开发及性能评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估，申请专利技术，发布新产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both"/>
                          <w:rPr>
                            <w:rFonts w:ascii="宋体" w:hAnsi="宋体" w:cs="宋体" w:eastAsia="宋体" w:hint="default"/>
                            <w:sz w:val="18"/>
                            <w:szCs w:val="18"/>
                          </w:rPr>
                        </w:pPr>
                        <w:r>
                          <w:rPr>
                            <w:rFonts w:ascii="宋体" w:hAnsi="宋体" w:cs="宋体" w:eastAsia="宋体" w:hint="default"/>
                            <w:spacing w:val="16"/>
                            <w:sz w:val="18"/>
                            <w:szCs w:val="18"/>
                          </w:rPr>
                          <w:t>占领无创单病检测技术高</w:t>
                        </w:r>
                        <w:r>
                          <w:rPr>
                            <w:rFonts w:ascii="宋体" w:hAnsi="宋体" w:cs="宋体" w:eastAsia="宋体" w:hint="default"/>
                            <w:sz w:val="18"/>
                            <w:szCs w:val="18"/>
                          </w:rPr>
                          <w:t> 地，丰富产品，拓展盈利空 间</w:t>
                        </w:r>
                      </w:p>
                    </w:tc>
                  </w:tr>
                  <w:tr>
                    <w:trPr>
                      <w:trHeight w:val="1052"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9</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无创地贫检测技术开发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开发无创地贫检测技术</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0"/>
                          <w:jc w:val="both"/>
                          <w:rPr>
                            <w:rFonts w:ascii="宋体" w:hAnsi="宋体" w:cs="宋体" w:eastAsia="宋体" w:hint="default"/>
                            <w:sz w:val="18"/>
                            <w:szCs w:val="18"/>
                          </w:rPr>
                        </w:pPr>
                        <w:r>
                          <w:rPr>
                            <w:rFonts w:ascii="宋体" w:hAnsi="宋体" w:cs="宋体" w:eastAsia="宋体" w:hint="default"/>
                            <w:spacing w:val="18"/>
                            <w:sz w:val="18"/>
                            <w:szCs w:val="18"/>
                          </w:rPr>
                          <w:t>完成产品技术开发及性能评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估，申请专利技术，发布新产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占领无创单病检测技术高地</w:t>
                        </w:r>
                      </w:p>
                    </w:tc>
                  </w:tr>
                  <w:tr>
                    <w:trPr>
                      <w:trHeight w:val="739"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10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安馨可产品升级</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pacing w:val="6"/>
                            <w:sz w:val="18"/>
                            <w:szCs w:val="18"/>
                          </w:rPr>
                          <w:t>完成安馨可新生儿及儿童基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因检测产品升级</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0"/>
                          <w:jc w:val="left"/>
                          <w:rPr>
                            <w:rFonts w:ascii="宋体" w:hAnsi="宋体" w:cs="宋体" w:eastAsia="宋体" w:hint="default"/>
                            <w:sz w:val="18"/>
                            <w:szCs w:val="18"/>
                          </w:rPr>
                        </w:pPr>
                        <w:r>
                          <w:rPr>
                            <w:rFonts w:ascii="宋体" w:hAnsi="宋体" w:cs="宋体" w:eastAsia="宋体" w:hint="default"/>
                            <w:spacing w:val="3"/>
                            <w:sz w:val="18"/>
                            <w:szCs w:val="18"/>
                          </w:rPr>
                          <w:t>达成一期升级目标，二期升级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技术开发测试进行中</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z w:val="18"/>
                            <w:szCs w:val="18"/>
                          </w:rPr>
                          <w:t>拓展检测范围，提升产品质 量，增强产品竞争力</w:t>
                        </w:r>
                      </w:p>
                    </w:tc>
                  </w:tr>
                  <w:tr>
                    <w:trPr>
                      <w:trHeight w:val="739"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11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MLPA</w:t>
                        </w:r>
                        <w:r>
                          <w:rPr>
                            <w:rFonts w:ascii="宋体" w:hAnsi="宋体" w:cs="宋体" w:eastAsia="宋体" w:hint="default"/>
                            <w:sz w:val="18"/>
                            <w:szCs w:val="18"/>
                          </w:rPr>
                          <w:t>技术平台开发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13"/>
                          <w:jc w:val="left"/>
                          <w:rPr>
                            <w:rFonts w:ascii="宋体" w:hAnsi="宋体" w:cs="宋体" w:eastAsia="宋体" w:hint="default"/>
                            <w:sz w:val="18"/>
                            <w:szCs w:val="18"/>
                          </w:rPr>
                        </w:pPr>
                        <w:r>
                          <w:rPr>
                            <w:rFonts w:ascii="宋体" w:hAnsi="宋体" w:cs="宋体" w:eastAsia="宋体" w:hint="default"/>
                            <w:spacing w:val="10"/>
                            <w:sz w:val="18"/>
                            <w:szCs w:val="18"/>
                          </w:rPr>
                          <w:t>开发</w:t>
                        </w:r>
                        <w:r>
                          <w:rPr>
                            <w:rFonts w:ascii="Times New Roman" w:hAnsi="Times New Roman" w:cs="Times New Roman" w:eastAsia="Times New Roman" w:hint="default"/>
                            <w:spacing w:val="10"/>
                            <w:sz w:val="18"/>
                            <w:szCs w:val="18"/>
                          </w:rPr>
                          <w:t>MLPA</w:t>
                        </w:r>
                        <w:r>
                          <w:rPr>
                            <w:rFonts w:ascii="宋体" w:hAnsi="宋体" w:cs="宋体" w:eastAsia="宋体" w:hint="default"/>
                            <w:spacing w:val="10"/>
                            <w:sz w:val="18"/>
                            <w:szCs w:val="18"/>
                          </w:rPr>
                          <w:t>技术平台并完成</w:t>
                        </w:r>
                        <w:r>
                          <w:rPr>
                            <w:rFonts w:ascii="宋体" w:hAnsi="宋体" w:cs="宋体" w:eastAsia="宋体" w:hint="default"/>
                            <w:spacing w:val="-83"/>
                            <w:sz w:val="18"/>
                            <w:szCs w:val="18"/>
                          </w:rPr>
                          <w:t> </w:t>
                        </w:r>
                        <w:r>
                          <w:rPr>
                            <w:rFonts w:ascii="宋体" w:hAnsi="宋体" w:cs="宋体" w:eastAsia="宋体" w:hint="default"/>
                            <w:sz w:val="18"/>
                            <w:szCs w:val="18"/>
                          </w:rPr>
                          <w:t>产品孵化</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完成产品开发，产品升级版本</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丰富产品，拓展盈利空间</w:t>
                        </w:r>
                      </w:p>
                    </w:tc>
                  </w:tr>
                  <w:tr>
                    <w:trPr>
                      <w:trHeight w:val="1049"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12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0"/>
                          <w:jc w:val="both"/>
                          <w:rPr>
                            <w:rFonts w:ascii="宋体" w:hAnsi="宋体" w:cs="宋体" w:eastAsia="宋体" w:hint="default"/>
                            <w:sz w:val="18"/>
                            <w:szCs w:val="18"/>
                          </w:rPr>
                        </w:pPr>
                        <w:r>
                          <w:rPr>
                            <w:rFonts w:ascii="宋体" w:hAnsi="宋体" w:cs="宋体" w:eastAsia="宋体" w:hint="default"/>
                            <w:spacing w:val="-5"/>
                            <w:sz w:val="18"/>
                            <w:szCs w:val="18"/>
                          </w:rPr>
                          <w:t>肺癌组织基因检测产品（联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合探针锚定聚合测序法）注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册申报项目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15"/>
                          <w:jc w:val="left"/>
                          <w:rPr>
                            <w:rFonts w:ascii="宋体" w:hAnsi="宋体" w:cs="宋体" w:eastAsia="宋体" w:hint="default"/>
                            <w:sz w:val="18"/>
                            <w:szCs w:val="18"/>
                          </w:rPr>
                        </w:pPr>
                        <w:r>
                          <w:rPr>
                            <w:rFonts w:ascii="宋体" w:hAnsi="宋体" w:cs="宋体" w:eastAsia="宋体" w:hint="default"/>
                            <w:spacing w:val="10"/>
                            <w:sz w:val="18"/>
                            <w:szCs w:val="18"/>
                          </w:rPr>
                          <w:t>完成</w:t>
                        </w:r>
                        <w:r>
                          <w:rPr>
                            <w:rFonts w:ascii="Times New Roman" w:hAnsi="Times New Roman" w:cs="Times New Roman" w:eastAsia="Times New Roman" w:hint="default"/>
                            <w:spacing w:val="10"/>
                            <w:sz w:val="18"/>
                            <w:szCs w:val="18"/>
                          </w:rPr>
                          <w:t>CFDA</w:t>
                        </w:r>
                        <w:r>
                          <w:rPr>
                            <w:rFonts w:ascii="宋体" w:hAnsi="宋体" w:cs="宋体" w:eastAsia="宋体" w:hint="default"/>
                            <w:spacing w:val="10"/>
                            <w:sz w:val="18"/>
                            <w:szCs w:val="18"/>
                          </w:rPr>
                          <w:t>医疗器械注册申</w:t>
                        </w:r>
                        <w:r>
                          <w:rPr>
                            <w:rFonts w:ascii="宋体" w:hAnsi="宋体" w:cs="宋体" w:eastAsia="宋体" w:hint="default"/>
                            <w:spacing w:val="-80"/>
                            <w:sz w:val="18"/>
                            <w:szCs w:val="18"/>
                          </w:rPr>
                          <w:t> </w:t>
                        </w:r>
                        <w:r>
                          <w:rPr>
                            <w:rFonts w:ascii="宋体" w:hAnsi="宋体" w:cs="宋体" w:eastAsia="宋体" w:hint="default"/>
                            <w:sz w:val="18"/>
                            <w:szCs w:val="18"/>
                          </w:rPr>
                          <w:t>报</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临床试验阶段</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2"/>
                          <w:jc w:val="both"/>
                          <w:rPr>
                            <w:rFonts w:ascii="宋体" w:hAnsi="宋体" w:cs="宋体" w:eastAsia="宋体" w:hint="default"/>
                            <w:sz w:val="18"/>
                            <w:szCs w:val="18"/>
                          </w:rPr>
                        </w:pPr>
                        <w:r>
                          <w:rPr>
                            <w:rFonts w:ascii="宋体" w:hAnsi="宋体" w:cs="宋体" w:eastAsia="宋体" w:hint="default"/>
                            <w:sz w:val="18"/>
                            <w:szCs w:val="18"/>
                          </w:rPr>
                          <w:t>遵守医疗器械管理规定，规 范化肿瘤临床产品应用，提 升临床产品资质结构</w:t>
                        </w:r>
                      </w:p>
                    </w:tc>
                  </w:tr>
                  <w:tr>
                    <w:trPr>
                      <w:trHeight w:val="430"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13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BRCA</w:t>
                        </w:r>
                        <w:r>
                          <w:rPr>
                            <w:rFonts w:ascii="Times New Roman" w:hAnsi="Times New Roman" w:cs="Times New Roman" w:eastAsia="Times New Roman" w:hint="default"/>
                            <w:spacing w:val="-24"/>
                            <w:sz w:val="18"/>
                            <w:szCs w:val="18"/>
                          </w:rPr>
                          <w:t> </w:t>
                        </w:r>
                        <w:r>
                          <w:rPr>
                            <w:rFonts w:ascii="宋体" w:hAnsi="宋体" w:cs="宋体" w:eastAsia="宋体" w:hint="default"/>
                            <w:spacing w:val="16"/>
                            <w:sz w:val="18"/>
                            <w:szCs w:val="18"/>
                          </w:rPr>
                          <w:t>基因突变检</w:t>
                        </w:r>
                        <w:r>
                          <w:rPr>
                            <w:rFonts w:ascii="宋体" w:hAnsi="宋体" w:cs="宋体" w:eastAsia="宋体" w:hint="default"/>
                            <w:spacing w:val="-67"/>
                            <w:sz w:val="18"/>
                            <w:szCs w:val="18"/>
                          </w:rPr>
                          <w:t> </w:t>
                        </w:r>
                        <w:r>
                          <w:rPr>
                            <w:rFonts w:ascii="宋体" w:hAnsi="宋体" w:cs="宋体" w:eastAsia="宋体" w:hint="default"/>
                            <w:spacing w:val="14"/>
                            <w:sz w:val="18"/>
                            <w:szCs w:val="18"/>
                          </w:rPr>
                          <w:t>测产品</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15"/>
                          <w:jc w:val="left"/>
                          <w:rPr>
                            <w:rFonts w:ascii="宋体" w:hAnsi="宋体" w:cs="宋体" w:eastAsia="宋体" w:hint="default"/>
                            <w:sz w:val="18"/>
                            <w:szCs w:val="18"/>
                          </w:rPr>
                        </w:pPr>
                        <w:r>
                          <w:rPr>
                            <w:rFonts w:ascii="宋体" w:hAnsi="宋体" w:cs="宋体" w:eastAsia="宋体" w:hint="default"/>
                            <w:spacing w:val="10"/>
                            <w:sz w:val="18"/>
                            <w:szCs w:val="18"/>
                          </w:rPr>
                          <w:t>完成</w:t>
                        </w:r>
                        <w:r>
                          <w:rPr>
                            <w:rFonts w:ascii="Times New Roman" w:hAnsi="Times New Roman" w:cs="Times New Roman" w:eastAsia="Times New Roman" w:hint="default"/>
                            <w:spacing w:val="10"/>
                            <w:sz w:val="18"/>
                            <w:szCs w:val="18"/>
                          </w:rPr>
                          <w:t>CFDA</w:t>
                        </w:r>
                        <w:r>
                          <w:rPr>
                            <w:rFonts w:ascii="宋体" w:hAnsi="宋体" w:cs="宋体" w:eastAsia="宋体" w:hint="default"/>
                            <w:spacing w:val="10"/>
                            <w:sz w:val="18"/>
                            <w:szCs w:val="18"/>
                          </w:rPr>
                          <w:t>医疗器械注册申</w:t>
                        </w:r>
                        <w:r>
                          <w:rPr>
                            <w:rFonts w:ascii="宋体" w:hAnsi="宋体" w:cs="宋体" w:eastAsia="宋体" w:hint="default"/>
                            <w:spacing w:val="-74"/>
                            <w:sz w:val="18"/>
                            <w:szCs w:val="18"/>
                          </w:rPr>
                          <w:t> </w:t>
                        </w:r>
                        <w:r>
                          <w:rPr>
                            <w:rFonts w:ascii="宋体" w:hAnsi="宋体" w:cs="宋体" w:eastAsia="宋体" w:hint="default"/>
                            <w:sz w:val="18"/>
                            <w:szCs w:val="18"/>
                          </w:rPr>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临床试验阶段</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遵守医疗器械管理规定，规</w:t>
                        </w:r>
                      </w:p>
                    </w:tc>
                  </w:tr>
                </w:tbl>
                <w:p>
                  <w:pPr/>
                </w:p>
              </w:txbxContent>
            </v:textbox>
            <w10:wrap type="none"/>
          </v:shape>
        </w:pict>
      </w:r>
      <w:r>
        <w:rPr/>
        <w:t>，</w:t>
      </w:r>
    </w:p>
    <w:p>
      <w:pPr>
        <w:spacing w:after="0" w:line="240" w:lineRule="auto"/>
        <w:jc w:val="right"/>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567"/>
        <w:gridCol w:w="2129"/>
        <w:gridCol w:w="2268"/>
        <w:gridCol w:w="2408"/>
        <w:gridCol w:w="2182"/>
      </w:tblGrid>
      <w:tr>
        <w:trPr>
          <w:trHeight w:val="699" w:hRule="exact"/>
        </w:trPr>
        <w:tc>
          <w:tcPr>
            <w:tcW w:w="567" w:type="dxa"/>
            <w:tcBorders>
              <w:top w:val="single" w:sz="6" w:space="0" w:color="000000"/>
              <w:left w:val="single" w:sz="6" w:space="0" w:color="000000"/>
              <w:bottom w:val="single" w:sz="6" w:space="0" w:color="000000"/>
              <w:right w:val="single" w:sz="6" w:space="0" w:color="000000"/>
            </w:tcBorders>
          </w:tcPr>
          <w:p>
            <w:pP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10"/>
                <w:sz w:val="18"/>
                <w:szCs w:val="18"/>
              </w:rPr>
              <w:t>（联合探针锚定聚合测序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法）注册申报项目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报</w:t>
            </w:r>
          </w:p>
        </w:tc>
        <w:tc>
          <w:tcPr>
            <w:tcW w:w="2408"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z w:val="18"/>
                <w:szCs w:val="18"/>
              </w:rPr>
              <w:t>范化肿瘤临床产品应用，提 升临床产品资质结构</w:t>
            </w:r>
          </w:p>
        </w:tc>
      </w:tr>
      <w:tr>
        <w:trPr>
          <w:trHeight w:val="1051"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肿瘤早筛产品</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2" w:right="4"/>
              <w:jc w:val="left"/>
              <w:rPr>
                <w:rFonts w:ascii="宋体" w:hAnsi="宋体" w:cs="宋体" w:eastAsia="宋体" w:hint="default"/>
                <w:sz w:val="18"/>
                <w:szCs w:val="18"/>
              </w:rPr>
            </w:pPr>
            <w:r>
              <w:rPr>
                <w:rFonts w:ascii="宋体" w:hAnsi="宋体" w:cs="宋体" w:eastAsia="宋体" w:hint="default"/>
                <w:spacing w:val="6"/>
                <w:sz w:val="18"/>
                <w:szCs w:val="18"/>
              </w:rPr>
              <w:t>开发肿瘤早筛民生产品及全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癌种早筛产品</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2" w:right="0"/>
              <w:jc w:val="left"/>
              <w:rPr>
                <w:rFonts w:ascii="宋体" w:hAnsi="宋体" w:cs="宋体" w:eastAsia="宋体" w:hint="default"/>
                <w:sz w:val="18"/>
                <w:szCs w:val="18"/>
              </w:rPr>
            </w:pPr>
            <w:r>
              <w:rPr>
                <w:rFonts w:ascii="宋体" w:hAnsi="宋体" w:cs="宋体" w:eastAsia="宋体" w:hint="default"/>
                <w:spacing w:val="3"/>
                <w:sz w:val="18"/>
                <w:szCs w:val="18"/>
              </w:rPr>
              <w:t>肿瘤早筛民生产品转产中；全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癌症产品中试中</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2"/>
              <w:jc w:val="both"/>
              <w:rPr>
                <w:rFonts w:ascii="宋体" w:hAnsi="宋体" w:cs="宋体" w:eastAsia="宋体" w:hint="default"/>
                <w:sz w:val="18"/>
                <w:szCs w:val="18"/>
              </w:rPr>
            </w:pPr>
            <w:r>
              <w:rPr>
                <w:rFonts w:ascii="宋体" w:hAnsi="宋体" w:cs="宋体" w:eastAsia="宋体" w:hint="default"/>
                <w:sz w:val="18"/>
                <w:szCs w:val="18"/>
              </w:rPr>
              <w:t>开发国际领先的肿瘤早期筛 查产品，为肿瘤早筛早诊提 供全面解决方案</w:t>
            </w:r>
          </w:p>
        </w:tc>
      </w:tr>
      <w:tr>
        <w:trPr>
          <w:trHeight w:val="1363"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0"/>
              <w:jc w:val="left"/>
              <w:rPr>
                <w:rFonts w:ascii="宋体" w:hAnsi="宋体" w:cs="宋体" w:eastAsia="宋体" w:hint="default"/>
                <w:sz w:val="18"/>
                <w:szCs w:val="18"/>
              </w:rPr>
            </w:pPr>
            <w:r>
              <w:rPr>
                <w:rFonts w:ascii="宋体" w:hAnsi="宋体" w:cs="宋体" w:eastAsia="宋体" w:hint="default"/>
                <w:spacing w:val="-5"/>
                <w:sz w:val="18"/>
                <w:szCs w:val="18"/>
              </w:rPr>
              <w:t>液体活检技术开发、优化及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转化应用</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3"/>
              <w:ind w:left="2" w:right="2"/>
              <w:jc w:val="both"/>
              <w:rPr>
                <w:rFonts w:ascii="宋体" w:hAnsi="宋体" w:cs="宋体" w:eastAsia="宋体" w:hint="default"/>
                <w:sz w:val="18"/>
                <w:szCs w:val="18"/>
              </w:rPr>
            </w:pPr>
            <w:r>
              <w:rPr>
                <w:rFonts w:ascii="宋体" w:hAnsi="宋体" w:cs="宋体" w:eastAsia="宋体" w:hint="default"/>
                <w:spacing w:val="6"/>
                <w:sz w:val="18"/>
                <w:szCs w:val="18"/>
              </w:rPr>
              <w:t>基于肺癌开发并优化高灵敏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度的低频变异检测技术，并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转化产品，进行</w:t>
            </w:r>
            <w:r>
              <w:rPr>
                <w:rFonts w:ascii="Times New Roman" w:hAnsi="Times New Roman" w:cs="Times New Roman" w:eastAsia="Times New Roman" w:hint="default"/>
                <w:spacing w:val="-3"/>
                <w:sz w:val="18"/>
                <w:szCs w:val="18"/>
              </w:rPr>
              <w:t>CFDA</w:t>
            </w:r>
            <w:r>
              <w:rPr>
                <w:rFonts w:ascii="宋体" w:hAnsi="宋体" w:cs="宋体" w:eastAsia="宋体" w:hint="default"/>
                <w:spacing w:val="-3"/>
                <w:sz w:val="18"/>
                <w:szCs w:val="18"/>
              </w:rPr>
              <w:t>注册申</w:t>
            </w:r>
            <w:r>
              <w:rPr>
                <w:rFonts w:ascii="宋体" w:hAnsi="宋体" w:cs="宋体" w:eastAsia="宋体" w:hint="default"/>
                <w:spacing w:val="-85"/>
                <w:sz w:val="18"/>
                <w:szCs w:val="18"/>
              </w:rPr>
              <w:t> </w:t>
            </w:r>
            <w:r>
              <w:rPr>
                <w:rFonts w:ascii="宋体" w:hAnsi="宋体" w:cs="宋体" w:eastAsia="宋体" w:hint="default"/>
                <w:sz w:val="18"/>
                <w:szCs w:val="18"/>
              </w:rPr>
              <w:t>报</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2" w:right="0"/>
              <w:jc w:val="left"/>
              <w:rPr>
                <w:rFonts w:ascii="宋体" w:hAnsi="宋体" w:cs="宋体" w:eastAsia="宋体" w:hint="default"/>
                <w:sz w:val="18"/>
                <w:szCs w:val="18"/>
              </w:rPr>
            </w:pPr>
            <w:r>
              <w:rPr>
                <w:rFonts w:ascii="宋体" w:hAnsi="宋体" w:cs="宋体" w:eastAsia="宋体" w:hint="default"/>
                <w:spacing w:val="3"/>
                <w:sz w:val="18"/>
                <w:szCs w:val="18"/>
              </w:rPr>
              <w:t>产品研发转产完成；资质小试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阶段</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2"/>
              <w:jc w:val="both"/>
              <w:rPr>
                <w:rFonts w:ascii="宋体" w:hAnsi="宋体" w:cs="宋体" w:eastAsia="宋体" w:hint="default"/>
                <w:sz w:val="18"/>
                <w:szCs w:val="18"/>
              </w:rPr>
            </w:pPr>
            <w:r>
              <w:rPr>
                <w:rFonts w:ascii="宋体" w:hAnsi="宋体" w:cs="宋体" w:eastAsia="宋体" w:hint="default"/>
                <w:sz w:val="18"/>
                <w:szCs w:val="18"/>
              </w:rPr>
              <w:t>完善液体活检产品性能及布 局，提供国际一流精准医学 解决方案</w:t>
            </w:r>
          </w:p>
        </w:tc>
      </w:tr>
      <w:tr>
        <w:trPr>
          <w:trHeight w:val="740"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87" w:right="0"/>
              <w:jc w:val="left"/>
              <w:rPr>
                <w:rFonts w:ascii="Times New Roman" w:hAnsi="Times New Roman" w:cs="Times New Roman" w:eastAsia="Times New Roman" w:hint="default"/>
                <w:sz w:val="18"/>
                <w:szCs w:val="18"/>
              </w:rPr>
            </w:pPr>
            <w:r>
              <w:rPr>
                <w:rFonts w:ascii="Times New Roman"/>
                <w:sz w:val="18"/>
              </w:rPr>
              <w:t>16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4"/>
              <w:jc w:val="left"/>
              <w:rPr>
                <w:rFonts w:ascii="宋体" w:hAnsi="宋体" w:cs="宋体" w:eastAsia="宋体" w:hint="default"/>
                <w:sz w:val="18"/>
                <w:szCs w:val="18"/>
              </w:rPr>
            </w:pPr>
            <w:r>
              <w:rPr>
                <w:rFonts w:ascii="宋体" w:hAnsi="宋体" w:cs="宋体" w:eastAsia="宋体" w:hint="default"/>
                <w:spacing w:val="10"/>
                <w:sz w:val="18"/>
                <w:szCs w:val="18"/>
              </w:rPr>
              <w:t>肿瘤免疫治疗基因检测产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品</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4"/>
              <w:jc w:val="left"/>
              <w:rPr>
                <w:rFonts w:ascii="宋体" w:hAnsi="宋体" w:cs="宋体" w:eastAsia="宋体" w:hint="default"/>
                <w:sz w:val="18"/>
                <w:szCs w:val="18"/>
              </w:rPr>
            </w:pPr>
            <w:r>
              <w:rPr>
                <w:rFonts w:ascii="宋体" w:hAnsi="宋体" w:cs="宋体" w:eastAsia="宋体" w:hint="default"/>
                <w:spacing w:val="6"/>
                <w:sz w:val="18"/>
                <w:szCs w:val="18"/>
              </w:rPr>
              <w:t>免疫检查点抑制剂伴随诊断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产品开发及药厂合作</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产品已转产</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0"/>
              <w:jc w:val="left"/>
              <w:rPr>
                <w:rFonts w:ascii="宋体" w:hAnsi="宋体" w:cs="宋体" w:eastAsia="宋体" w:hint="default"/>
                <w:sz w:val="18"/>
                <w:szCs w:val="18"/>
              </w:rPr>
            </w:pPr>
            <w:r>
              <w:rPr>
                <w:rFonts w:ascii="宋体" w:hAnsi="宋体" w:cs="宋体" w:eastAsia="宋体" w:hint="default"/>
                <w:spacing w:val="16"/>
                <w:sz w:val="18"/>
                <w:szCs w:val="18"/>
              </w:rPr>
              <w:t>完善肿瘤精准治疗产品布</w:t>
            </w:r>
            <w:r>
              <w:rPr>
                <w:rFonts w:ascii="宋体" w:hAnsi="宋体" w:cs="宋体" w:eastAsia="宋体" w:hint="default"/>
                <w:sz w:val="18"/>
                <w:szCs w:val="18"/>
              </w:rPr>
              <w:t> 局，提升市场竞争力</w:t>
            </w:r>
          </w:p>
        </w:tc>
      </w:tr>
      <w:tr>
        <w:trPr>
          <w:trHeight w:val="739"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87" w:right="0"/>
              <w:jc w:val="left"/>
              <w:rPr>
                <w:rFonts w:ascii="Times New Roman" w:hAnsi="Times New Roman" w:cs="Times New Roman" w:eastAsia="Times New Roman" w:hint="default"/>
                <w:sz w:val="18"/>
                <w:szCs w:val="18"/>
              </w:rPr>
            </w:pPr>
            <w:r>
              <w:rPr>
                <w:rFonts w:ascii="Times New Roman"/>
                <w:sz w:val="18"/>
              </w:rPr>
              <w:t>17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HRD</w:t>
            </w:r>
            <w:r>
              <w:rPr>
                <w:rFonts w:ascii="宋体" w:hAnsi="宋体" w:cs="宋体" w:eastAsia="宋体" w:hint="default"/>
                <w:sz w:val="18"/>
                <w:szCs w:val="18"/>
              </w:rPr>
              <w:t>检测</w:t>
            </w:r>
            <w:r>
              <w:rPr>
                <w:rFonts w:ascii="Times New Roman" w:hAnsi="Times New Roman" w:cs="Times New Roman" w:eastAsia="Times New Roman" w:hint="default"/>
                <w:sz w:val="18"/>
                <w:szCs w:val="18"/>
              </w:rPr>
              <w:t>Panel</w:t>
            </w:r>
            <w:r>
              <w:rPr>
                <w:rFonts w:ascii="宋体" w:hAnsi="宋体" w:cs="宋体" w:eastAsia="宋体" w:hint="default"/>
                <w:sz w:val="18"/>
                <w:szCs w:val="18"/>
              </w:rPr>
              <w:t>和软件研发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15"/>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PARPi</w:t>
            </w:r>
            <w:r>
              <w:rPr>
                <w:rFonts w:ascii="宋体" w:hAnsi="宋体" w:cs="宋体" w:eastAsia="宋体" w:hint="default"/>
                <w:spacing w:val="10"/>
                <w:sz w:val="18"/>
                <w:szCs w:val="18"/>
              </w:rPr>
              <w:t>抑制剂伴随诊断产品</w:t>
            </w:r>
            <w:r>
              <w:rPr>
                <w:rFonts w:ascii="宋体" w:hAnsi="宋体" w:cs="宋体" w:eastAsia="宋体" w:hint="default"/>
                <w:spacing w:val="14"/>
                <w:sz w:val="18"/>
                <w:szCs w:val="18"/>
              </w:rPr>
              <w:t> </w:t>
            </w:r>
            <w:r>
              <w:rPr>
                <w:rFonts w:ascii="宋体" w:hAnsi="宋体" w:cs="宋体" w:eastAsia="宋体" w:hint="default"/>
                <w:sz w:val="18"/>
                <w:szCs w:val="18"/>
              </w:rPr>
              <w:t>开发及药厂合作</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药厂合作临床样本检测中</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left"/>
              <w:rPr>
                <w:rFonts w:ascii="宋体" w:hAnsi="宋体" w:cs="宋体" w:eastAsia="宋体" w:hint="default"/>
                <w:sz w:val="18"/>
                <w:szCs w:val="18"/>
              </w:rPr>
            </w:pPr>
            <w:r>
              <w:rPr>
                <w:rFonts w:ascii="宋体" w:hAnsi="宋体" w:cs="宋体" w:eastAsia="宋体" w:hint="default"/>
                <w:spacing w:val="16"/>
                <w:sz w:val="18"/>
                <w:szCs w:val="18"/>
              </w:rPr>
              <w:t>完善肿瘤精准治疗产品布</w:t>
            </w:r>
            <w:r>
              <w:rPr>
                <w:rFonts w:ascii="宋体" w:hAnsi="宋体" w:cs="宋体" w:eastAsia="宋体" w:hint="default"/>
                <w:sz w:val="18"/>
                <w:szCs w:val="18"/>
              </w:rPr>
              <w:t> 局，提升市场竞争力</w:t>
            </w:r>
          </w:p>
        </w:tc>
      </w:tr>
      <w:tr>
        <w:trPr>
          <w:trHeight w:val="1051"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87" w:right="0"/>
              <w:jc w:val="left"/>
              <w:rPr>
                <w:rFonts w:ascii="Times New Roman" w:hAnsi="Times New Roman" w:cs="Times New Roman" w:eastAsia="Times New Roman" w:hint="default"/>
                <w:sz w:val="18"/>
                <w:szCs w:val="18"/>
              </w:rPr>
            </w:pPr>
            <w:r>
              <w:rPr>
                <w:rFonts w:ascii="Times New Roman"/>
                <w:sz w:val="18"/>
              </w:rPr>
              <w:t>18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19"/>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ctDNA</w:t>
            </w:r>
            <w:r>
              <w:rPr>
                <w:rFonts w:ascii="宋体" w:hAnsi="宋体" w:cs="宋体" w:eastAsia="宋体" w:hint="default"/>
                <w:spacing w:val="11"/>
                <w:sz w:val="18"/>
                <w:szCs w:val="18"/>
              </w:rPr>
              <w:t>血浆国家标准品研</w:t>
            </w:r>
            <w:r>
              <w:rPr>
                <w:rFonts w:ascii="宋体" w:hAnsi="宋体" w:cs="宋体" w:eastAsia="宋体" w:hint="default"/>
                <w:spacing w:val="-87"/>
                <w:sz w:val="18"/>
                <w:szCs w:val="18"/>
              </w:rPr>
              <w:t> </w:t>
            </w:r>
            <w:r>
              <w:rPr>
                <w:rFonts w:ascii="宋体" w:hAnsi="宋体" w:cs="宋体" w:eastAsia="宋体" w:hint="default"/>
                <w:sz w:val="18"/>
                <w:szCs w:val="18"/>
              </w:rPr>
              <w:t>制</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8"/>
              <w:jc w:val="left"/>
              <w:rPr>
                <w:rFonts w:ascii="宋体" w:hAnsi="宋体" w:cs="宋体" w:eastAsia="宋体" w:hint="default"/>
                <w:sz w:val="18"/>
                <w:szCs w:val="18"/>
              </w:rPr>
            </w:pPr>
            <w:r>
              <w:rPr>
                <w:rFonts w:ascii="宋体" w:hAnsi="宋体" w:cs="宋体" w:eastAsia="宋体" w:hint="default"/>
                <w:spacing w:val="8"/>
                <w:sz w:val="18"/>
                <w:szCs w:val="18"/>
              </w:rPr>
              <w:t>完成系列肿瘤</w:t>
            </w:r>
            <w:r>
              <w:rPr>
                <w:rFonts w:ascii="Times New Roman" w:hAnsi="Times New Roman" w:cs="Times New Roman" w:eastAsia="Times New Roman" w:hint="default"/>
                <w:spacing w:val="8"/>
                <w:sz w:val="18"/>
                <w:szCs w:val="18"/>
              </w:rPr>
              <w:t>ctDNA</w:t>
            </w:r>
            <w:r>
              <w:rPr>
                <w:rFonts w:ascii="宋体" w:hAnsi="宋体" w:cs="宋体" w:eastAsia="宋体" w:hint="default"/>
                <w:spacing w:val="8"/>
                <w:sz w:val="18"/>
                <w:szCs w:val="18"/>
              </w:rPr>
              <w:t>标准物</w:t>
            </w:r>
            <w:r>
              <w:rPr>
                <w:rFonts w:ascii="宋体" w:hAnsi="宋体" w:cs="宋体" w:eastAsia="宋体" w:hint="default"/>
                <w:spacing w:val="-86"/>
                <w:sz w:val="18"/>
                <w:szCs w:val="18"/>
              </w:rPr>
              <w:t> </w:t>
            </w:r>
            <w:r>
              <w:rPr>
                <w:rFonts w:ascii="宋体" w:hAnsi="宋体" w:cs="宋体" w:eastAsia="宋体" w:hint="default"/>
                <w:sz w:val="18"/>
                <w:szCs w:val="18"/>
              </w:rPr>
              <w:t>质研制</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研发中试中</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1"/>
              <w:ind w:left="4" w:right="0"/>
              <w:jc w:val="both"/>
              <w:rPr>
                <w:rFonts w:ascii="宋体" w:hAnsi="宋体" w:cs="宋体" w:eastAsia="宋体" w:hint="default"/>
                <w:sz w:val="18"/>
                <w:szCs w:val="18"/>
              </w:rPr>
            </w:pPr>
            <w:r>
              <w:rPr>
                <w:rFonts w:ascii="宋体" w:hAnsi="宋体" w:cs="宋体" w:eastAsia="宋体" w:hint="default"/>
                <w:sz w:val="18"/>
                <w:szCs w:val="18"/>
              </w:rPr>
              <w:t>参与国家标准物质研制，引 领</w:t>
            </w:r>
            <w:r>
              <w:rPr>
                <w:rFonts w:ascii="Times New Roman" w:hAnsi="Times New Roman" w:cs="Times New Roman" w:eastAsia="Times New Roman" w:hint="default"/>
                <w:sz w:val="18"/>
                <w:szCs w:val="18"/>
              </w:rPr>
              <w:t>ctDNA</w:t>
            </w:r>
            <w:r>
              <w:rPr>
                <w:rFonts w:ascii="宋体" w:hAnsi="宋体" w:cs="宋体" w:eastAsia="宋体" w:hint="default"/>
                <w:sz w:val="18"/>
                <w:szCs w:val="18"/>
              </w:rPr>
              <w:t>产品开发规范化发</w:t>
            </w:r>
            <w:r>
              <w:rPr>
                <w:rFonts w:ascii="宋体" w:hAnsi="宋体" w:cs="宋体" w:eastAsia="宋体" w:hint="default"/>
                <w:spacing w:val="-75"/>
                <w:sz w:val="18"/>
                <w:szCs w:val="18"/>
              </w:rPr>
              <w:t> </w:t>
            </w:r>
            <w:r>
              <w:rPr>
                <w:rFonts w:ascii="宋体" w:hAnsi="宋体" w:cs="宋体" w:eastAsia="宋体" w:hint="default"/>
                <w:sz w:val="18"/>
                <w:szCs w:val="18"/>
              </w:rPr>
              <w:t>展</w:t>
            </w:r>
          </w:p>
        </w:tc>
      </w:tr>
      <w:tr>
        <w:trPr>
          <w:trHeight w:val="739"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87" w:right="0"/>
              <w:jc w:val="left"/>
              <w:rPr>
                <w:rFonts w:ascii="Times New Roman" w:hAnsi="Times New Roman" w:cs="Times New Roman" w:eastAsia="Times New Roman" w:hint="default"/>
                <w:sz w:val="18"/>
                <w:szCs w:val="18"/>
              </w:rPr>
            </w:pPr>
            <w:r>
              <w:rPr>
                <w:rFonts w:ascii="Times New Roman"/>
                <w:sz w:val="18"/>
              </w:rPr>
              <w:t>19</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Oseq-Colon</w:t>
            </w:r>
            <w:r>
              <w:rPr>
                <w:rFonts w:ascii="Times New Roman" w:hAnsi="Times New Roman" w:cs="Times New Roman" w:eastAsia="Times New Roman" w:hint="default"/>
                <w:spacing w:val="-18"/>
                <w:sz w:val="18"/>
                <w:szCs w:val="18"/>
              </w:rPr>
              <w:t> </w:t>
            </w:r>
            <w:r>
              <w:rPr>
                <w:rFonts w:ascii="宋体" w:hAnsi="宋体" w:cs="宋体" w:eastAsia="宋体" w:hint="default"/>
                <w:spacing w:val="21"/>
                <w:sz w:val="18"/>
                <w:szCs w:val="18"/>
              </w:rPr>
              <w:t>肠癌一站式基</w:t>
            </w:r>
            <w:r>
              <w:rPr>
                <w:rFonts w:ascii="宋体" w:hAnsi="宋体" w:cs="宋体" w:eastAsia="宋体" w:hint="default"/>
                <w:spacing w:val="-64"/>
                <w:sz w:val="18"/>
                <w:szCs w:val="18"/>
              </w:rPr>
              <w:t> </w:t>
            </w:r>
            <w:r>
              <w:rPr>
                <w:rFonts w:ascii="宋体" w:hAnsi="宋体" w:cs="宋体" w:eastAsia="宋体" w:hint="default"/>
                <w:sz w:val="18"/>
                <w:szCs w:val="18"/>
              </w:rPr>
              <w:t>因检测产品开发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pacing w:val="6"/>
                <w:sz w:val="18"/>
                <w:szCs w:val="18"/>
              </w:rPr>
              <w:t>开发一站式的肠癌基因检测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服务产品</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产品已转产</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0"/>
              <w:jc w:val="left"/>
              <w:rPr>
                <w:rFonts w:ascii="宋体" w:hAnsi="宋体" w:cs="宋体" w:eastAsia="宋体" w:hint="default"/>
                <w:sz w:val="18"/>
                <w:szCs w:val="18"/>
              </w:rPr>
            </w:pPr>
            <w:r>
              <w:rPr>
                <w:rFonts w:ascii="宋体" w:hAnsi="宋体" w:cs="宋体" w:eastAsia="宋体" w:hint="default"/>
                <w:spacing w:val="16"/>
                <w:sz w:val="18"/>
                <w:szCs w:val="18"/>
              </w:rPr>
              <w:t>完善肿瘤精准治疗产品布</w:t>
            </w:r>
            <w:r>
              <w:rPr>
                <w:rFonts w:ascii="宋体" w:hAnsi="宋体" w:cs="宋体" w:eastAsia="宋体" w:hint="default"/>
                <w:sz w:val="18"/>
                <w:szCs w:val="18"/>
              </w:rPr>
              <w:t> 局，提升市场竞争力</w:t>
            </w:r>
          </w:p>
        </w:tc>
      </w:tr>
      <w:tr>
        <w:trPr>
          <w:trHeight w:val="1364"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87" w:right="0"/>
              <w:jc w:val="left"/>
              <w:rPr>
                <w:rFonts w:ascii="Times New Roman" w:hAnsi="Times New Roman" w:cs="Times New Roman" w:eastAsia="Times New Roman" w:hint="default"/>
                <w:sz w:val="18"/>
                <w:szCs w:val="18"/>
              </w:rPr>
            </w:pPr>
            <w:r>
              <w:rPr>
                <w:rFonts w:ascii="Times New Roman"/>
                <w:sz w:val="18"/>
              </w:rPr>
              <w:t>20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基  于  </w:t>
            </w:r>
            <w:r>
              <w:rPr>
                <w:rFonts w:ascii="Times New Roman" w:hAnsi="Times New Roman" w:cs="Times New Roman" w:eastAsia="Times New Roman" w:hint="default"/>
                <w:sz w:val="18"/>
                <w:szCs w:val="18"/>
              </w:rPr>
              <w:t>BGISEQ-500     </w:t>
            </w:r>
            <w:r>
              <w:rPr>
                <w:rFonts w:ascii="宋体" w:hAnsi="宋体" w:cs="宋体" w:eastAsia="宋体" w:hint="default"/>
                <w:sz w:val="18"/>
                <w:szCs w:val="18"/>
              </w:rPr>
              <w:t>和</w:t>
            </w:r>
          </w:p>
          <w:p>
            <w:pPr>
              <w:pStyle w:val="TableParagraph"/>
              <w:spacing w:line="300" w:lineRule="auto" w:before="63"/>
              <w:ind w:left="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MGISEQ-2000</w:t>
            </w:r>
            <w:r>
              <w:rPr>
                <w:rFonts w:ascii="Times New Roman" w:hAnsi="Times New Roman" w:cs="Times New Roman" w:eastAsia="Times New Roman" w:hint="default"/>
                <w:spacing w:val="-26"/>
                <w:sz w:val="18"/>
                <w:szCs w:val="18"/>
              </w:rPr>
              <w:t> </w:t>
            </w:r>
            <w:r>
              <w:rPr>
                <w:rFonts w:ascii="宋体" w:hAnsi="宋体" w:cs="宋体" w:eastAsia="宋体" w:hint="default"/>
                <w:spacing w:val="15"/>
                <w:sz w:val="18"/>
                <w:szCs w:val="18"/>
              </w:rPr>
              <w:t>平台的新技</w:t>
            </w:r>
            <w:r>
              <w:rPr>
                <w:rFonts w:ascii="宋体" w:hAnsi="宋体" w:cs="宋体" w:eastAsia="宋体" w:hint="default"/>
                <w:spacing w:val="-71"/>
                <w:w w:val="99"/>
                <w:sz w:val="18"/>
                <w:szCs w:val="18"/>
              </w:rPr>
              <w:t> </w:t>
            </w:r>
            <w:r>
              <w:rPr>
                <w:rFonts w:ascii="宋体" w:hAnsi="宋体" w:cs="宋体" w:eastAsia="宋体" w:hint="default"/>
                <w:sz w:val="18"/>
                <w:szCs w:val="18"/>
              </w:rPr>
              <w:t>术引进</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4"/>
              <w:jc w:val="both"/>
              <w:rPr>
                <w:rFonts w:ascii="宋体" w:hAnsi="宋体" w:cs="宋体" w:eastAsia="宋体" w:hint="default"/>
                <w:sz w:val="18"/>
                <w:szCs w:val="18"/>
              </w:rPr>
            </w:pPr>
            <w:r>
              <w:rPr>
                <w:rFonts w:ascii="宋体" w:hAnsi="宋体" w:cs="宋体" w:eastAsia="宋体" w:hint="default"/>
                <w:spacing w:val="6"/>
                <w:sz w:val="18"/>
                <w:szCs w:val="18"/>
              </w:rPr>
              <w:t>引进新技术，解决现有产品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成本较高，交付周期较长的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问题，使现有基因诊断产品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保持先进性。</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开发完成，已转产</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2"/>
              <w:jc w:val="left"/>
              <w:rPr>
                <w:rFonts w:ascii="宋体" w:hAnsi="宋体" w:cs="宋体" w:eastAsia="宋体" w:hint="default"/>
                <w:sz w:val="18"/>
                <w:szCs w:val="18"/>
              </w:rPr>
            </w:pPr>
            <w:r>
              <w:rPr>
                <w:rFonts w:ascii="宋体" w:hAnsi="宋体" w:cs="宋体" w:eastAsia="宋体" w:hint="default"/>
                <w:sz w:val="18"/>
                <w:szCs w:val="18"/>
              </w:rPr>
              <w:t>引进新技术，完善现有产品 性能，提升产品市场竞争力</w:t>
            </w:r>
          </w:p>
        </w:tc>
      </w:tr>
      <w:tr>
        <w:trPr>
          <w:trHeight w:val="1051"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87" w:right="0"/>
              <w:jc w:val="left"/>
              <w:rPr>
                <w:rFonts w:ascii="Times New Roman" w:hAnsi="Times New Roman" w:cs="Times New Roman" w:eastAsia="Times New Roman" w:hint="default"/>
                <w:sz w:val="18"/>
                <w:szCs w:val="18"/>
              </w:rPr>
            </w:pPr>
            <w:r>
              <w:rPr>
                <w:rFonts w:ascii="Times New Roman"/>
                <w:sz w:val="18"/>
              </w:rPr>
              <w:t>21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4"/>
              <w:jc w:val="left"/>
              <w:rPr>
                <w:rFonts w:ascii="宋体" w:hAnsi="宋体" w:cs="宋体" w:eastAsia="宋体" w:hint="default"/>
                <w:sz w:val="18"/>
                <w:szCs w:val="18"/>
              </w:rPr>
            </w:pPr>
            <w:r>
              <w:rPr>
                <w:rFonts w:ascii="宋体" w:hAnsi="宋体" w:cs="宋体" w:eastAsia="宋体" w:hint="default"/>
                <w:spacing w:val="10"/>
                <w:sz w:val="18"/>
                <w:szCs w:val="18"/>
              </w:rPr>
              <w:t>血液病和淋巴瘤免疫组库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检测</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0"/>
              <w:jc w:val="left"/>
              <w:rPr>
                <w:rFonts w:ascii="宋体" w:hAnsi="宋体" w:cs="宋体" w:eastAsia="宋体" w:hint="default"/>
                <w:sz w:val="18"/>
                <w:szCs w:val="18"/>
              </w:rPr>
            </w:pPr>
            <w:r>
              <w:rPr>
                <w:rFonts w:ascii="宋体" w:hAnsi="宋体" w:cs="宋体" w:eastAsia="宋体" w:hint="default"/>
                <w:spacing w:val="-8"/>
                <w:sz w:val="18"/>
                <w:szCs w:val="18"/>
              </w:rPr>
              <w:t>血液病，淋巴瘤分子诊断、分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型、预后等检测产品开发</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0"/>
              <w:jc w:val="left"/>
              <w:rPr>
                <w:rFonts w:ascii="宋体" w:hAnsi="宋体" w:cs="宋体" w:eastAsia="宋体" w:hint="default"/>
                <w:sz w:val="18"/>
                <w:szCs w:val="18"/>
              </w:rPr>
            </w:pPr>
            <w:r>
              <w:rPr>
                <w:rFonts w:ascii="宋体" w:hAnsi="宋体" w:cs="宋体" w:eastAsia="宋体" w:hint="default"/>
                <w:spacing w:val="3"/>
                <w:sz w:val="18"/>
                <w:szCs w:val="18"/>
              </w:rPr>
              <w:t>已结项，产出专利和科研文章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等成果</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both"/>
              <w:rPr>
                <w:rFonts w:ascii="宋体" w:hAnsi="宋体" w:cs="宋体" w:eastAsia="宋体" w:hint="default"/>
                <w:sz w:val="18"/>
                <w:szCs w:val="18"/>
              </w:rPr>
            </w:pPr>
            <w:r>
              <w:rPr>
                <w:rFonts w:ascii="宋体" w:hAnsi="宋体" w:cs="宋体" w:eastAsia="宋体" w:hint="default"/>
                <w:sz w:val="18"/>
                <w:szCs w:val="18"/>
              </w:rPr>
              <w:t>开发血液病相关产品，完善 肿瘤产品结构，提升市场竞 争力</w:t>
            </w:r>
          </w:p>
        </w:tc>
      </w:tr>
      <w:tr>
        <w:trPr>
          <w:trHeight w:val="737"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87" w:right="0"/>
              <w:jc w:val="left"/>
              <w:rPr>
                <w:rFonts w:ascii="Times New Roman" w:hAnsi="Times New Roman" w:cs="Times New Roman" w:eastAsia="Times New Roman" w:hint="default"/>
                <w:sz w:val="18"/>
                <w:szCs w:val="18"/>
              </w:rPr>
            </w:pPr>
            <w:r>
              <w:rPr>
                <w:rFonts w:ascii="Times New Roman"/>
                <w:sz w:val="18"/>
              </w:rPr>
              <w:t>22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PMseq</w:t>
            </w:r>
            <w:r>
              <w:rPr>
                <w:rFonts w:ascii="宋体" w:hAnsi="宋体" w:cs="宋体" w:eastAsia="宋体" w:hint="default"/>
                <w:spacing w:val="12"/>
                <w:sz w:val="18"/>
                <w:szCs w:val="18"/>
              </w:rPr>
              <w:t>产品数据库升级项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15"/>
              <w:jc w:val="left"/>
              <w:rPr>
                <w:rFonts w:ascii="宋体" w:hAnsi="宋体" w:cs="宋体" w:eastAsia="宋体" w:hint="default"/>
                <w:sz w:val="18"/>
                <w:szCs w:val="18"/>
              </w:rPr>
            </w:pPr>
            <w:r>
              <w:rPr>
                <w:rFonts w:ascii="宋体" w:hAnsi="宋体" w:cs="宋体" w:eastAsia="宋体" w:hint="default"/>
                <w:spacing w:val="9"/>
                <w:sz w:val="18"/>
                <w:szCs w:val="18"/>
              </w:rPr>
              <w:t>升级</w:t>
            </w:r>
            <w:r>
              <w:rPr>
                <w:rFonts w:ascii="Times New Roman" w:hAnsi="Times New Roman" w:cs="Times New Roman" w:eastAsia="Times New Roman" w:hint="default"/>
                <w:spacing w:val="9"/>
                <w:sz w:val="18"/>
                <w:szCs w:val="18"/>
              </w:rPr>
              <w:t>PMseq</w:t>
            </w:r>
            <w:r>
              <w:rPr>
                <w:rFonts w:ascii="宋体" w:hAnsi="宋体" w:cs="宋体" w:eastAsia="宋体" w:hint="default"/>
                <w:spacing w:val="9"/>
                <w:sz w:val="18"/>
                <w:szCs w:val="18"/>
              </w:rPr>
              <w:t>产品的病原比对</w:t>
            </w:r>
            <w:r>
              <w:rPr>
                <w:rFonts w:ascii="宋体" w:hAnsi="宋体" w:cs="宋体" w:eastAsia="宋体" w:hint="default"/>
                <w:spacing w:val="-78"/>
                <w:sz w:val="18"/>
                <w:szCs w:val="18"/>
              </w:rPr>
              <w:t> </w:t>
            </w:r>
            <w:r>
              <w:rPr>
                <w:rFonts w:ascii="宋体" w:hAnsi="宋体" w:cs="宋体" w:eastAsia="宋体" w:hint="default"/>
                <w:sz w:val="18"/>
                <w:szCs w:val="18"/>
              </w:rPr>
              <w:t>数据库</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已升级转产</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0"/>
              <w:jc w:val="left"/>
              <w:rPr>
                <w:rFonts w:ascii="宋体" w:hAnsi="宋体" w:cs="宋体" w:eastAsia="宋体" w:hint="default"/>
                <w:sz w:val="18"/>
                <w:szCs w:val="18"/>
              </w:rPr>
            </w:pPr>
            <w:r>
              <w:rPr>
                <w:rFonts w:ascii="宋体" w:hAnsi="宋体" w:cs="宋体" w:eastAsia="宋体" w:hint="default"/>
                <w:spacing w:val="2"/>
                <w:sz w:val="18"/>
                <w:szCs w:val="18"/>
              </w:rPr>
              <w:t>增加</w:t>
            </w:r>
            <w:r>
              <w:rPr>
                <w:rFonts w:ascii="Times New Roman" w:hAnsi="Times New Roman" w:cs="Times New Roman" w:eastAsia="Times New Roman" w:hint="default"/>
                <w:spacing w:val="2"/>
                <w:sz w:val="18"/>
                <w:szCs w:val="18"/>
              </w:rPr>
              <w:t>PMseq</w:t>
            </w:r>
            <w:r>
              <w:rPr>
                <w:rFonts w:ascii="宋体" w:hAnsi="宋体" w:cs="宋体" w:eastAsia="宋体" w:hint="default"/>
                <w:spacing w:val="2"/>
                <w:sz w:val="18"/>
                <w:szCs w:val="18"/>
              </w:rPr>
              <w:t>产品的病原检测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范围</w:t>
            </w:r>
          </w:p>
        </w:tc>
      </w:tr>
      <w:tr>
        <w:trPr>
          <w:trHeight w:val="1052"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3"/>
              <w:ind w:left="4" w:right="1"/>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PMseq</w:t>
            </w:r>
            <w:r>
              <w:rPr>
                <w:rFonts w:ascii="宋体" w:hAnsi="宋体" w:cs="宋体" w:eastAsia="宋体" w:hint="default"/>
                <w:spacing w:val="12"/>
                <w:sz w:val="18"/>
                <w:szCs w:val="18"/>
              </w:rPr>
              <w:t>病原快速检测试剂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盒配套软件系统开发（血流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感染）</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3"/>
              <w:ind w:left="2" w:right="2"/>
              <w:jc w:val="both"/>
              <w:rPr>
                <w:rFonts w:ascii="宋体" w:hAnsi="宋体" w:cs="宋体" w:eastAsia="宋体" w:hint="default"/>
                <w:sz w:val="18"/>
                <w:szCs w:val="18"/>
              </w:rPr>
            </w:pPr>
            <w:r>
              <w:rPr>
                <w:rFonts w:ascii="宋体" w:hAnsi="宋体" w:cs="宋体" w:eastAsia="宋体" w:hint="default"/>
                <w:spacing w:val="6"/>
                <w:sz w:val="18"/>
                <w:szCs w:val="18"/>
              </w:rPr>
              <w:t>开发血流感染产品试剂盒配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套软件，并完成</w:t>
            </w:r>
            <w:r>
              <w:rPr>
                <w:rFonts w:ascii="Times New Roman" w:hAnsi="Times New Roman" w:cs="Times New Roman" w:eastAsia="Times New Roman" w:hint="default"/>
                <w:spacing w:val="-3"/>
                <w:sz w:val="18"/>
                <w:szCs w:val="18"/>
              </w:rPr>
              <w:t>CFDA</w:t>
            </w:r>
            <w:r>
              <w:rPr>
                <w:rFonts w:ascii="宋体" w:hAnsi="宋体" w:cs="宋体" w:eastAsia="宋体" w:hint="default"/>
                <w:spacing w:val="-3"/>
                <w:sz w:val="18"/>
                <w:szCs w:val="18"/>
              </w:rPr>
              <w:t>注册申</w:t>
            </w:r>
            <w:r>
              <w:rPr>
                <w:rFonts w:ascii="宋体" w:hAnsi="宋体" w:cs="宋体" w:eastAsia="宋体" w:hint="default"/>
                <w:spacing w:val="-85"/>
                <w:sz w:val="18"/>
                <w:szCs w:val="18"/>
              </w:rPr>
              <w:t> </w:t>
            </w:r>
            <w:r>
              <w:rPr>
                <w:rFonts w:ascii="宋体" w:hAnsi="宋体" w:cs="宋体" w:eastAsia="宋体" w:hint="default"/>
                <w:sz w:val="18"/>
                <w:szCs w:val="18"/>
              </w:rPr>
              <w:t>报</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2" w:right="0"/>
              <w:jc w:val="left"/>
              <w:rPr>
                <w:rFonts w:ascii="宋体" w:hAnsi="宋体" w:cs="宋体" w:eastAsia="宋体" w:hint="default"/>
                <w:sz w:val="18"/>
                <w:szCs w:val="18"/>
              </w:rPr>
            </w:pPr>
            <w:r>
              <w:rPr>
                <w:rFonts w:ascii="宋体" w:hAnsi="宋体" w:cs="宋体" w:eastAsia="宋体" w:hint="default"/>
                <w:spacing w:val="3"/>
                <w:sz w:val="18"/>
                <w:szCs w:val="18"/>
              </w:rPr>
              <w:t>软件配合试剂盒开发，小试进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程中</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2"/>
              <w:jc w:val="both"/>
              <w:rPr>
                <w:rFonts w:ascii="宋体" w:hAnsi="宋体" w:cs="宋体" w:eastAsia="宋体" w:hint="default"/>
                <w:sz w:val="18"/>
                <w:szCs w:val="18"/>
              </w:rPr>
            </w:pPr>
            <w:r>
              <w:rPr>
                <w:rFonts w:ascii="宋体" w:hAnsi="宋体" w:cs="宋体" w:eastAsia="宋体" w:hint="default"/>
                <w:sz w:val="18"/>
                <w:szCs w:val="18"/>
              </w:rPr>
              <w:t>获取临床产品资质，完善病 原产品线布局，提升华大品 牌及收益</w:t>
            </w:r>
          </w:p>
        </w:tc>
      </w:tr>
      <w:tr>
        <w:trPr>
          <w:trHeight w:val="1051"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3"/>
              <w:ind w:left="4" w:right="1"/>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PMseq</w:t>
            </w:r>
            <w:r>
              <w:rPr>
                <w:rFonts w:ascii="宋体" w:hAnsi="宋体" w:cs="宋体" w:eastAsia="宋体" w:hint="default"/>
                <w:spacing w:val="12"/>
                <w:sz w:val="18"/>
                <w:szCs w:val="18"/>
              </w:rPr>
              <w:t>病原快速检测试剂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盒配套软件系统开发（中枢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神经系统感染）</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2" w:right="4"/>
              <w:jc w:val="both"/>
              <w:rPr>
                <w:rFonts w:ascii="宋体" w:hAnsi="宋体" w:cs="宋体" w:eastAsia="宋体" w:hint="default"/>
                <w:sz w:val="18"/>
                <w:szCs w:val="18"/>
              </w:rPr>
            </w:pPr>
            <w:r>
              <w:rPr>
                <w:rFonts w:ascii="宋体" w:hAnsi="宋体" w:cs="宋体" w:eastAsia="宋体" w:hint="default"/>
                <w:spacing w:val="6"/>
                <w:sz w:val="18"/>
                <w:szCs w:val="18"/>
              </w:rPr>
              <w:t>开发中枢神经系统病原体核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酸检测试剂盒配套软件，完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成</w:t>
            </w:r>
            <w:r>
              <w:rPr>
                <w:rFonts w:ascii="Times New Roman" w:hAnsi="Times New Roman" w:cs="Times New Roman" w:eastAsia="Times New Roman" w:hint="default"/>
                <w:sz w:val="18"/>
                <w:szCs w:val="18"/>
              </w:rPr>
              <w:t>CFDA</w:t>
            </w:r>
            <w:r>
              <w:rPr>
                <w:rFonts w:ascii="宋体" w:hAnsi="宋体" w:cs="宋体" w:eastAsia="宋体" w:hint="default"/>
                <w:sz w:val="18"/>
                <w:szCs w:val="18"/>
              </w:rPr>
              <w:t>注册申报</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2" w:right="0"/>
              <w:jc w:val="left"/>
              <w:rPr>
                <w:rFonts w:ascii="宋体" w:hAnsi="宋体" w:cs="宋体" w:eastAsia="宋体" w:hint="default"/>
                <w:sz w:val="18"/>
                <w:szCs w:val="18"/>
              </w:rPr>
            </w:pPr>
            <w:r>
              <w:rPr>
                <w:rFonts w:ascii="宋体" w:hAnsi="宋体" w:cs="宋体" w:eastAsia="宋体" w:hint="default"/>
                <w:spacing w:val="3"/>
                <w:sz w:val="18"/>
                <w:szCs w:val="18"/>
              </w:rPr>
              <w:t>软件配合试剂盒开发，小试进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程中</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2"/>
              <w:jc w:val="both"/>
              <w:rPr>
                <w:rFonts w:ascii="宋体" w:hAnsi="宋体" w:cs="宋体" w:eastAsia="宋体" w:hint="default"/>
                <w:sz w:val="18"/>
                <w:szCs w:val="18"/>
              </w:rPr>
            </w:pPr>
            <w:r>
              <w:rPr>
                <w:rFonts w:ascii="宋体" w:hAnsi="宋体" w:cs="宋体" w:eastAsia="宋体" w:hint="default"/>
                <w:sz w:val="18"/>
                <w:szCs w:val="18"/>
              </w:rPr>
              <w:t>获取临床产品资质，完善病 原产品线布局，提升华大品 牌及收益</w:t>
            </w:r>
          </w:p>
        </w:tc>
      </w:tr>
      <w:tr>
        <w:trPr>
          <w:trHeight w:val="1051"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3"/>
              <w:ind w:left="4" w:right="1"/>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PMseq</w:t>
            </w:r>
            <w:r>
              <w:rPr>
                <w:rFonts w:ascii="宋体" w:hAnsi="宋体" w:cs="宋体" w:eastAsia="宋体" w:hint="default"/>
                <w:spacing w:val="12"/>
                <w:sz w:val="18"/>
                <w:szCs w:val="18"/>
              </w:rPr>
              <w:t>病原快速检测试剂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盒开发（中枢神经系统感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染）</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获得医疗器械注册证</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试生产中</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2"/>
              <w:jc w:val="both"/>
              <w:rPr>
                <w:rFonts w:ascii="宋体" w:hAnsi="宋体" w:cs="宋体" w:eastAsia="宋体" w:hint="default"/>
                <w:sz w:val="18"/>
                <w:szCs w:val="18"/>
              </w:rPr>
            </w:pPr>
            <w:r>
              <w:rPr>
                <w:rFonts w:ascii="宋体" w:hAnsi="宋体" w:cs="宋体" w:eastAsia="宋体" w:hint="default"/>
                <w:sz w:val="18"/>
                <w:szCs w:val="18"/>
              </w:rPr>
              <w:t>获取临床产品资质，完善病 原产品线布局，提升华大品 牌及收益</w:t>
            </w:r>
          </w:p>
        </w:tc>
      </w:tr>
      <w:tr>
        <w:trPr>
          <w:trHeight w:val="1052"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3"/>
              <w:ind w:left="4" w:right="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PMseq</w:t>
            </w:r>
            <w:r>
              <w:rPr>
                <w:rFonts w:ascii="宋体" w:hAnsi="宋体" w:cs="宋体" w:eastAsia="宋体" w:hint="default"/>
                <w:spacing w:val="12"/>
                <w:sz w:val="18"/>
                <w:szCs w:val="18"/>
              </w:rPr>
              <w:t>病原快速检测试剂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盒开发（血流感染）</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获得医疗器械注册证</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小试完成，中试性能测试中。</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2"/>
              <w:jc w:val="both"/>
              <w:rPr>
                <w:rFonts w:ascii="宋体" w:hAnsi="宋体" w:cs="宋体" w:eastAsia="宋体" w:hint="default"/>
                <w:sz w:val="18"/>
                <w:szCs w:val="18"/>
              </w:rPr>
            </w:pPr>
            <w:r>
              <w:rPr>
                <w:rFonts w:ascii="宋体" w:hAnsi="宋体" w:cs="宋体" w:eastAsia="宋体" w:hint="default"/>
                <w:sz w:val="18"/>
                <w:szCs w:val="18"/>
              </w:rPr>
              <w:t>获取临床产品资质，完善病 原产品线布局，提升华大品 牌及收益</w:t>
            </w:r>
          </w:p>
        </w:tc>
      </w:tr>
    </w:tbl>
    <w:p>
      <w:pPr>
        <w:spacing w:after="0" w:line="316" w:lineRule="auto"/>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567"/>
        <w:gridCol w:w="2129"/>
        <w:gridCol w:w="2268"/>
        <w:gridCol w:w="2408"/>
        <w:gridCol w:w="2182"/>
      </w:tblGrid>
      <w:tr>
        <w:trPr>
          <w:trHeight w:val="1988"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87" w:right="0"/>
              <w:jc w:val="left"/>
              <w:rPr>
                <w:rFonts w:ascii="Times New Roman" w:hAnsi="Times New Roman" w:cs="Times New Roman" w:eastAsia="Times New Roman" w:hint="default"/>
                <w:sz w:val="18"/>
                <w:szCs w:val="18"/>
              </w:rPr>
            </w:pPr>
            <w:r>
              <w:rPr>
                <w:rFonts w:ascii="Times New Roman"/>
                <w:sz w:val="18"/>
              </w:rPr>
              <w:t>27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0"/>
              <w:jc w:val="both"/>
              <w:rPr>
                <w:rFonts w:ascii="宋体" w:hAnsi="宋体" w:cs="宋体" w:eastAsia="宋体" w:hint="default"/>
                <w:sz w:val="18"/>
                <w:szCs w:val="18"/>
              </w:rPr>
            </w:pPr>
            <w:r>
              <w:rPr>
                <w:rFonts w:ascii="宋体" w:hAnsi="宋体" w:cs="宋体" w:eastAsia="宋体" w:hint="default"/>
                <w:sz w:val="18"/>
                <w:szCs w:val="18"/>
              </w:rPr>
              <w:t>基 于 </w:t>
            </w:r>
            <w:r>
              <w:rPr>
                <w:rFonts w:ascii="Times New Roman" w:hAnsi="Times New Roman" w:cs="Times New Roman" w:eastAsia="Times New Roman" w:hint="default"/>
                <w:sz w:val="18"/>
                <w:szCs w:val="18"/>
              </w:rPr>
              <w:t>BGISEQ-50 </w:t>
            </w:r>
            <w:r>
              <w:rPr>
                <w:rFonts w:ascii="宋体" w:hAnsi="宋体" w:cs="宋体" w:eastAsia="宋体" w:hint="default"/>
                <w:sz w:val="18"/>
                <w:szCs w:val="18"/>
              </w:rPr>
              <w:t>平 台</w:t>
            </w:r>
            <w:r>
              <w:rPr>
                <w:rFonts w:ascii="宋体" w:hAnsi="宋体" w:cs="宋体" w:eastAsia="宋体" w:hint="default"/>
                <w:w w:val="99"/>
                <w:sz w:val="18"/>
                <w:szCs w:val="18"/>
              </w:rPr>
              <w:t> </w:t>
            </w:r>
            <w:r>
              <w:rPr>
                <w:rFonts w:ascii="Times New Roman" w:hAnsi="Times New Roman" w:cs="Times New Roman" w:eastAsia="Times New Roman" w:hint="default"/>
                <w:spacing w:val="12"/>
                <w:sz w:val="18"/>
                <w:szCs w:val="18"/>
              </w:rPr>
              <w:t>PMseq</w:t>
            </w:r>
            <w:r>
              <w:rPr>
                <w:rFonts w:ascii="宋体" w:hAnsi="宋体" w:cs="宋体" w:eastAsia="宋体" w:hint="default"/>
                <w:spacing w:val="12"/>
                <w:sz w:val="18"/>
                <w:szCs w:val="18"/>
              </w:rPr>
              <w:t>病原检测信息流程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及数据库升级项目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提高</w:t>
            </w:r>
            <w:r>
              <w:rPr>
                <w:rFonts w:ascii="Times New Roman" w:hAnsi="Times New Roman" w:cs="Times New Roman" w:eastAsia="Times New Roman" w:hint="default"/>
                <w:spacing w:val="2"/>
                <w:sz w:val="18"/>
                <w:szCs w:val="18"/>
              </w:rPr>
              <w:t>PMseq</w:t>
            </w:r>
            <w:r>
              <w:rPr>
                <w:rFonts w:ascii="宋体" w:hAnsi="宋体" w:cs="宋体" w:eastAsia="宋体" w:hint="default"/>
                <w:spacing w:val="2"/>
                <w:sz w:val="18"/>
                <w:szCs w:val="18"/>
              </w:rPr>
              <w:t>产品的检测精度</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以及解读效率</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已转产</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1"/>
              <w:ind w:left="4" w:right="-1"/>
              <w:jc w:val="both"/>
              <w:rPr>
                <w:rFonts w:ascii="宋体" w:hAnsi="宋体" w:cs="宋体" w:eastAsia="宋体" w:hint="default"/>
                <w:sz w:val="18"/>
                <w:szCs w:val="18"/>
              </w:rPr>
            </w:pPr>
            <w:r>
              <w:rPr>
                <w:rFonts w:ascii="宋体" w:hAnsi="宋体" w:cs="宋体" w:eastAsia="宋体" w:hint="default"/>
                <w:spacing w:val="2"/>
                <w:sz w:val="18"/>
                <w:szCs w:val="18"/>
              </w:rPr>
              <w:t>对</w:t>
            </w:r>
            <w:r>
              <w:rPr>
                <w:rFonts w:ascii="Times New Roman" w:hAnsi="Times New Roman" w:cs="Times New Roman" w:eastAsia="Times New Roman" w:hint="default"/>
                <w:spacing w:val="2"/>
                <w:sz w:val="18"/>
                <w:szCs w:val="18"/>
              </w:rPr>
              <w:t>PMseq™</w:t>
            </w:r>
            <w:r>
              <w:rPr>
                <w:rFonts w:ascii="宋体" w:hAnsi="宋体" w:cs="宋体" w:eastAsia="宋体" w:hint="default"/>
                <w:spacing w:val="2"/>
                <w:sz w:val="18"/>
                <w:szCs w:val="18"/>
              </w:rPr>
              <w:t>产品的信息分析</w:t>
            </w:r>
            <w:r>
              <w:rPr>
                <w:rFonts w:ascii="宋体" w:hAnsi="宋体" w:cs="宋体" w:eastAsia="宋体" w:hint="default"/>
                <w:spacing w:val="-82"/>
                <w:sz w:val="18"/>
                <w:szCs w:val="18"/>
              </w:rPr>
              <w:t> </w:t>
            </w:r>
            <w:r>
              <w:rPr>
                <w:rFonts w:ascii="宋体" w:hAnsi="宋体" w:cs="宋体" w:eastAsia="宋体" w:hint="default"/>
                <w:sz w:val="18"/>
                <w:szCs w:val="18"/>
              </w:rPr>
              <w:t>流程及数据库进行升级，实</w:t>
            </w:r>
            <w:r>
              <w:rPr>
                <w:rFonts w:ascii="宋体" w:hAnsi="宋体" w:cs="宋体" w:eastAsia="宋体" w:hint="default"/>
                <w:w w:val="99"/>
                <w:sz w:val="18"/>
                <w:szCs w:val="18"/>
              </w:rPr>
              <w:t> </w:t>
            </w:r>
            <w:r>
              <w:rPr>
                <w:rFonts w:ascii="宋体" w:hAnsi="宋体" w:cs="宋体" w:eastAsia="宋体" w:hint="default"/>
                <w:sz w:val="18"/>
                <w:szCs w:val="18"/>
              </w:rPr>
              <w:t>现自家平台的有效应用，降</w:t>
            </w:r>
            <w:r>
              <w:rPr>
                <w:rFonts w:ascii="宋体" w:hAnsi="宋体" w:cs="宋体" w:eastAsia="宋体" w:hint="default"/>
                <w:w w:val="99"/>
                <w:sz w:val="18"/>
                <w:szCs w:val="18"/>
              </w:rPr>
              <w:t> </w:t>
            </w:r>
            <w:r>
              <w:rPr>
                <w:rFonts w:ascii="宋体" w:hAnsi="宋体" w:cs="宋体" w:eastAsia="宋体" w:hint="default"/>
                <w:sz w:val="18"/>
                <w:szCs w:val="18"/>
              </w:rPr>
              <w:t>低检测成本及周期，提高检</w:t>
            </w:r>
            <w:r>
              <w:rPr>
                <w:rFonts w:ascii="宋体" w:hAnsi="宋体" w:cs="宋体" w:eastAsia="宋体" w:hint="default"/>
                <w:w w:val="99"/>
                <w:sz w:val="18"/>
                <w:szCs w:val="18"/>
              </w:rPr>
              <w:t> </w:t>
            </w:r>
            <w:r>
              <w:rPr>
                <w:rFonts w:ascii="宋体" w:hAnsi="宋体" w:cs="宋体" w:eastAsia="宋体" w:hint="default"/>
                <w:spacing w:val="2"/>
                <w:sz w:val="18"/>
                <w:szCs w:val="18"/>
              </w:rPr>
              <w:t>测精度，助力</w:t>
            </w:r>
            <w:r>
              <w:rPr>
                <w:rFonts w:ascii="Times New Roman" w:hAnsi="Times New Roman" w:cs="Times New Roman" w:eastAsia="Times New Roman" w:hint="default"/>
                <w:spacing w:val="2"/>
                <w:sz w:val="18"/>
                <w:szCs w:val="18"/>
              </w:rPr>
              <w:t>PMseq</w:t>
            </w:r>
            <w:r>
              <w:rPr>
                <w:rFonts w:ascii="宋体" w:hAnsi="宋体" w:cs="宋体" w:eastAsia="宋体" w:hint="default"/>
                <w:spacing w:val="2"/>
                <w:sz w:val="18"/>
                <w:szCs w:val="18"/>
              </w:rPr>
              <w:t>产品的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进一步推广</w:t>
            </w:r>
          </w:p>
        </w:tc>
      </w:tr>
      <w:tr>
        <w:trPr>
          <w:trHeight w:val="739"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87" w:right="0"/>
              <w:jc w:val="left"/>
              <w:rPr>
                <w:rFonts w:ascii="Times New Roman" w:hAnsi="Times New Roman" w:cs="Times New Roman" w:eastAsia="Times New Roman" w:hint="default"/>
                <w:sz w:val="18"/>
                <w:szCs w:val="18"/>
              </w:rPr>
            </w:pPr>
            <w:r>
              <w:rPr>
                <w:rFonts w:ascii="Times New Roman"/>
                <w:sz w:val="18"/>
              </w:rPr>
              <w:t>28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微量样本技术开发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15"/>
              <w:jc w:val="left"/>
              <w:rPr>
                <w:rFonts w:ascii="宋体" w:hAnsi="宋体" w:cs="宋体" w:eastAsia="宋体" w:hint="default"/>
                <w:sz w:val="18"/>
                <w:szCs w:val="18"/>
              </w:rPr>
            </w:pPr>
            <w:r>
              <w:rPr>
                <w:rFonts w:ascii="宋体" w:hAnsi="宋体" w:cs="宋体" w:eastAsia="宋体" w:hint="default"/>
                <w:spacing w:val="9"/>
                <w:sz w:val="18"/>
                <w:szCs w:val="18"/>
              </w:rPr>
              <w:t>增加</w:t>
            </w:r>
            <w:r>
              <w:rPr>
                <w:rFonts w:ascii="Times New Roman" w:hAnsi="Times New Roman" w:cs="Times New Roman" w:eastAsia="Times New Roman" w:hint="default"/>
                <w:spacing w:val="9"/>
                <w:sz w:val="18"/>
                <w:szCs w:val="18"/>
              </w:rPr>
              <w:t>PMseq</w:t>
            </w:r>
            <w:r>
              <w:rPr>
                <w:rFonts w:ascii="宋体" w:hAnsi="宋体" w:cs="宋体" w:eastAsia="宋体" w:hint="default"/>
                <w:spacing w:val="9"/>
                <w:sz w:val="18"/>
                <w:szCs w:val="18"/>
              </w:rPr>
              <w:t>产品检测灵敏度</w:t>
            </w:r>
            <w:r>
              <w:rPr>
                <w:rFonts w:ascii="宋体" w:hAnsi="宋体" w:cs="宋体" w:eastAsia="宋体" w:hint="default"/>
                <w:spacing w:val="-78"/>
                <w:sz w:val="18"/>
                <w:szCs w:val="18"/>
              </w:rPr>
              <w:t> </w:t>
            </w:r>
            <w:r>
              <w:rPr>
                <w:rFonts w:ascii="宋体" w:hAnsi="宋体" w:cs="宋体" w:eastAsia="宋体" w:hint="default"/>
                <w:sz w:val="18"/>
                <w:szCs w:val="18"/>
              </w:rPr>
              <w:t>和检测限值</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技术已开发完成</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1"/>
              <w:jc w:val="left"/>
              <w:rPr>
                <w:rFonts w:ascii="宋体" w:hAnsi="宋体" w:cs="宋体" w:eastAsia="宋体" w:hint="default"/>
                <w:sz w:val="18"/>
                <w:szCs w:val="18"/>
              </w:rPr>
            </w:pPr>
            <w:r>
              <w:rPr>
                <w:rFonts w:ascii="宋体" w:hAnsi="宋体" w:cs="宋体" w:eastAsia="宋体" w:hint="default"/>
                <w:spacing w:val="2"/>
                <w:sz w:val="18"/>
                <w:szCs w:val="18"/>
              </w:rPr>
              <w:t>丰富产品结构，属于</w:t>
            </w:r>
            <w:r>
              <w:rPr>
                <w:rFonts w:ascii="Times New Roman" w:hAnsi="Times New Roman" w:cs="Times New Roman" w:eastAsia="Times New Roman" w:hint="default"/>
                <w:spacing w:val="2"/>
                <w:sz w:val="18"/>
                <w:szCs w:val="18"/>
              </w:rPr>
              <w:t>PMseq</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系列产品</w:t>
            </w:r>
          </w:p>
        </w:tc>
      </w:tr>
      <w:tr>
        <w:trPr>
          <w:trHeight w:val="1052"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87" w:right="0"/>
              <w:jc w:val="left"/>
              <w:rPr>
                <w:rFonts w:ascii="Times New Roman" w:hAnsi="Times New Roman" w:cs="Times New Roman" w:eastAsia="Times New Roman" w:hint="default"/>
                <w:sz w:val="18"/>
                <w:szCs w:val="18"/>
              </w:rPr>
            </w:pPr>
            <w:r>
              <w:rPr>
                <w:rFonts w:ascii="Times New Roman"/>
                <w:sz w:val="18"/>
              </w:rPr>
              <w:t>29</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4"/>
              <w:jc w:val="left"/>
              <w:rPr>
                <w:rFonts w:ascii="宋体" w:hAnsi="宋体" w:cs="宋体" w:eastAsia="宋体" w:hint="default"/>
                <w:sz w:val="18"/>
                <w:szCs w:val="18"/>
              </w:rPr>
            </w:pPr>
            <w:r>
              <w:rPr>
                <w:rFonts w:ascii="宋体" w:hAnsi="宋体" w:cs="宋体" w:eastAsia="宋体" w:hint="default"/>
                <w:spacing w:val="10"/>
                <w:sz w:val="18"/>
                <w:szCs w:val="18"/>
              </w:rPr>
              <w:t>血流感染常见病原靶向扩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增产品开发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4"/>
              <w:jc w:val="both"/>
              <w:rPr>
                <w:rFonts w:ascii="宋体" w:hAnsi="宋体" w:cs="宋体" w:eastAsia="宋体" w:hint="default"/>
                <w:sz w:val="18"/>
                <w:szCs w:val="18"/>
              </w:rPr>
            </w:pPr>
            <w:r>
              <w:rPr>
                <w:rFonts w:ascii="宋体" w:hAnsi="宋体" w:cs="宋体" w:eastAsia="宋体" w:hint="default"/>
                <w:spacing w:val="6"/>
                <w:sz w:val="18"/>
                <w:szCs w:val="18"/>
              </w:rPr>
              <w:t>开发基于高通量测序平台的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血流感染常见病原的检测产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品</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产品开发完成</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中配产品，丰富产品布局。</w:t>
            </w:r>
          </w:p>
        </w:tc>
      </w:tr>
      <w:tr>
        <w:trPr>
          <w:trHeight w:val="1051"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87" w:right="0"/>
              <w:jc w:val="left"/>
              <w:rPr>
                <w:rFonts w:ascii="Times New Roman" w:hAnsi="Times New Roman" w:cs="Times New Roman" w:eastAsia="Times New Roman" w:hint="default"/>
                <w:sz w:val="18"/>
                <w:szCs w:val="18"/>
              </w:rPr>
            </w:pPr>
            <w:r>
              <w:rPr>
                <w:rFonts w:ascii="Times New Roman"/>
                <w:sz w:val="18"/>
              </w:rPr>
              <w:t>30</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4"/>
              <w:jc w:val="left"/>
              <w:rPr>
                <w:rFonts w:ascii="宋体" w:hAnsi="宋体" w:cs="宋体" w:eastAsia="宋体" w:hint="default"/>
                <w:sz w:val="18"/>
                <w:szCs w:val="18"/>
              </w:rPr>
            </w:pPr>
            <w:r>
              <w:rPr>
                <w:rFonts w:ascii="宋体" w:hAnsi="宋体" w:cs="宋体" w:eastAsia="宋体" w:hint="default"/>
                <w:spacing w:val="10"/>
                <w:sz w:val="18"/>
                <w:szCs w:val="18"/>
              </w:rPr>
              <w:t>脑炎脑膜炎常见病原检测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产品开发</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both"/>
              <w:rPr>
                <w:rFonts w:ascii="宋体" w:hAnsi="宋体" w:cs="宋体" w:eastAsia="宋体" w:hint="default"/>
                <w:sz w:val="18"/>
                <w:szCs w:val="18"/>
              </w:rPr>
            </w:pPr>
            <w:r>
              <w:rPr>
                <w:rFonts w:ascii="宋体" w:hAnsi="宋体" w:cs="宋体" w:eastAsia="宋体" w:hint="default"/>
                <w:spacing w:val="6"/>
                <w:sz w:val="18"/>
                <w:szCs w:val="18"/>
              </w:rPr>
              <w:t>开发基于高通量测序平台的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脑炎脑膜炎常见病原的检测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产品</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产品开发已完成</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中配产品，丰富产品布局。</w:t>
            </w:r>
          </w:p>
        </w:tc>
      </w:tr>
      <w:tr>
        <w:trPr>
          <w:trHeight w:val="739"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87" w:right="0"/>
              <w:jc w:val="left"/>
              <w:rPr>
                <w:rFonts w:ascii="Times New Roman" w:hAnsi="Times New Roman" w:cs="Times New Roman" w:eastAsia="Times New Roman" w:hint="default"/>
                <w:sz w:val="18"/>
                <w:szCs w:val="18"/>
              </w:rPr>
            </w:pPr>
            <w:r>
              <w:rPr>
                <w:rFonts w:ascii="Times New Roman"/>
                <w:sz w:val="18"/>
              </w:rPr>
              <w:t>31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4"/>
              <w:jc w:val="left"/>
              <w:rPr>
                <w:rFonts w:ascii="宋体" w:hAnsi="宋体" w:cs="宋体" w:eastAsia="宋体" w:hint="default"/>
                <w:sz w:val="18"/>
                <w:szCs w:val="18"/>
              </w:rPr>
            </w:pPr>
            <w:r>
              <w:rPr>
                <w:rFonts w:ascii="宋体" w:hAnsi="宋体" w:cs="宋体" w:eastAsia="宋体" w:hint="default"/>
                <w:spacing w:val="10"/>
                <w:sz w:val="18"/>
                <w:szCs w:val="18"/>
              </w:rPr>
              <w:t>纯培养细菌全基因组测序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项目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进行病原菌数据库积累</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20"/>
              <w:jc w:val="left"/>
              <w:rPr>
                <w:rFonts w:ascii="宋体" w:hAnsi="宋体" w:cs="宋体" w:eastAsia="宋体" w:hint="default"/>
                <w:sz w:val="18"/>
                <w:szCs w:val="18"/>
              </w:rPr>
            </w:pPr>
            <w:r>
              <w:rPr>
                <w:rFonts w:ascii="宋体" w:hAnsi="宋体" w:cs="宋体" w:eastAsia="宋体" w:hint="default"/>
                <w:spacing w:val="-8"/>
                <w:sz w:val="18"/>
                <w:szCs w:val="18"/>
              </w:rPr>
              <w:t>项目已完成，建立和优化流程，</w:t>
            </w:r>
            <w:r>
              <w:rPr>
                <w:rFonts w:ascii="宋体" w:hAnsi="宋体" w:cs="宋体" w:eastAsia="宋体" w:hint="default"/>
                <w:spacing w:val="-70"/>
                <w:sz w:val="18"/>
                <w:szCs w:val="18"/>
              </w:rPr>
              <w:t> </w:t>
            </w:r>
            <w:r>
              <w:rPr>
                <w:rFonts w:ascii="宋体" w:hAnsi="宋体" w:cs="宋体" w:eastAsia="宋体" w:hint="default"/>
                <w:sz w:val="18"/>
                <w:szCs w:val="18"/>
              </w:rPr>
              <w:t>更新数据库</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2"/>
              <w:jc w:val="left"/>
              <w:rPr>
                <w:rFonts w:ascii="宋体" w:hAnsi="宋体" w:cs="宋体" w:eastAsia="宋体" w:hint="default"/>
                <w:sz w:val="18"/>
                <w:szCs w:val="18"/>
              </w:rPr>
            </w:pPr>
            <w:r>
              <w:rPr>
                <w:rFonts w:ascii="宋体" w:hAnsi="宋体" w:cs="宋体" w:eastAsia="宋体" w:hint="default"/>
                <w:sz w:val="18"/>
                <w:szCs w:val="18"/>
              </w:rPr>
              <w:t>完善产品性能，提高公司产 品市场竞争力</w:t>
            </w:r>
          </w:p>
        </w:tc>
      </w:tr>
      <w:tr>
        <w:trPr>
          <w:trHeight w:val="2297"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87" w:right="0"/>
              <w:jc w:val="left"/>
              <w:rPr>
                <w:rFonts w:ascii="Times New Roman" w:hAnsi="Times New Roman" w:cs="Times New Roman" w:eastAsia="Times New Roman" w:hint="default"/>
                <w:sz w:val="18"/>
                <w:szCs w:val="18"/>
              </w:rPr>
            </w:pPr>
            <w:r>
              <w:rPr>
                <w:rFonts w:ascii="Times New Roman"/>
                <w:sz w:val="18"/>
              </w:rPr>
              <w:t>32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1"/>
              <w:jc w:val="both"/>
              <w:rPr>
                <w:rFonts w:ascii="宋体" w:hAnsi="宋体" w:cs="宋体" w:eastAsia="宋体" w:hint="default"/>
                <w:sz w:val="18"/>
                <w:szCs w:val="18"/>
              </w:rPr>
            </w:pPr>
            <w:r>
              <w:rPr>
                <w:rFonts w:ascii="宋体" w:hAnsi="宋体" w:cs="宋体" w:eastAsia="宋体" w:hint="default"/>
                <w:spacing w:val="10"/>
                <w:sz w:val="18"/>
                <w:szCs w:val="18"/>
              </w:rPr>
              <w:t>基于单分子测序的复杂基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因组（含四倍体）的组装研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究</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4"/>
              <w:jc w:val="left"/>
              <w:rPr>
                <w:rFonts w:ascii="宋体" w:hAnsi="宋体" w:cs="宋体" w:eastAsia="宋体" w:hint="default"/>
                <w:sz w:val="18"/>
                <w:szCs w:val="18"/>
              </w:rPr>
            </w:pPr>
            <w:r>
              <w:rPr>
                <w:rFonts w:ascii="宋体" w:hAnsi="宋体" w:cs="宋体" w:eastAsia="宋体" w:hint="default"/>
                <w:spacing w:val="6"/>
                <w:sz w:val="18"/>
                <w:szCs w:val="18"/>
              </w:rPr>
              <w:t>完成基于单分子测序的四倍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体基因组组装技术开发</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1"/>
              <w:ind w:left="2" w:right="-1"/>
              <w:jc w:val="both"/>
              <w:rPr>
                <w:rFonts w:ascii="宋体" w:hAnsi="宋体" w:cs="宋体" w:eastAsia="宋体" w:hint="default"/>
                <w:sz w:val="18"/>
                <w:szCs w:val="18"/>
              </w:rPr>
            </w:pPr>
            <w:r>
              <w:rPr>
                <w:rFonts w:ascii="宋体" w:hAnsi="宋体" w:cs="宋体" w:eastAsia="宋体" w:hint="default"/>
                <w:spacing w:val="-3"/>
                <w:sz w:val="18"/>
                <w:szCs w:val="18"/>
              </w:rPr>
              <w:t>项目按时结项。完成了</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个四倍</w:t>
            </w:r>
            <w:r>
              <w:rPr>
                <w:rFonts w:ascii="宋体" w:hAnsi="宋体" w:cs="宋体" w:eastAsia="宋体" w:hint="default"/>
                <w:sz w:val="18"/>
                <w:szCs w:val="18"/>
              </w:rPr>
              <w:t> </w:t>
            </w:r>
            <w:r>
              <w:rPr>
                <w:rFonts w:ascii="宋体" w:hAnsi="宋体" w:cs="宋体" w:eastAsia="宋体" w:hint="default"/>
                <w:spacing w:val="3"/>
                <w:sz w:val="18"/>
                <w:szCs w:val="18"/>
              </w:rPr>
              <w:t>体复杂基因组组装研发及多个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二倍体复杂基因组组装研发，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形成了一套复杂基因组（含四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倍体）组装流程，同时提交专利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申请</w:t>
            </w:r>
            <w:r>
              <w:rPr>
                <w:rFonts w:ascii="Times New Roman" w:hAnsi="Times New Roman" w:cs="Times New Roman" w:eastAsia="Times New Roman" w:hint="default"/>
                <w:sz w:val="18"/>
                <w:szCs w:val="18"/>
              </w:rPr>
              <w:t>3</w:t>
            </w:r>
            <w:r>
              <w:rPr>
                <w:rFonts w:ascii="宋体" w:hAnsi="宋体" w:cs="宋体" w:eastAsia="宋体" w:hint="default"/>
                <w:sz w:val="18"/>
                <w:szCs w:val="18"/>
              </w:rPr>
              <w:t>项，其中一项为</w:t>
            </w:r>
            <w:r>
              <w:rPr>
                <w:rFonts w:ascii="Times New Roman" w:hAnsi="Times New Roman" w:cs="Times New Roman" w:eastAsia="Times New Roman" w:hint="default"/>
                <w:sz w:val="18"/>
                <w:szCs w:val="18"/>
              </w:rPr>
              <w:t>PCT</w:t>
            </w:r>
            <w:r>
              <w:rPr>
                <w:rFonts w:ascii="宋体" w:hAnsi="宋体" w:cs="宋体" w:eastAsia="宋体" w:hint="default"/>
                <w:sz w:val="18"/>
                <w:szCs w:val="18"/>
              </w:rPr>
              <w:t>国际 专利</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2"/>
              <w:jc w:val="both"/>
              <w:rPr>
                <w:rFonts w:ascii="宋体" w:hAnsi="宋体" w:cs="宋体" w:eastAsia="宋体" w:hint="default"/>
                <w:sz w:val="18"/>
                <w:szCs w:val="18"/>
              </w:rPr>
            </w:pPr>
            <w:r>
              <w:rPr>
                <w:rFonts w:ascii="宋体" w:hAnsi="宋体" w:cs="宋体" w:eastAsia="宋体" w:hint="default"/>
                <w:sz w:val="18"/>
                <w:szCs w:val="18"/>
              </w:rPr>
              <w:t>提升公司在多倍体动植物基 因组组装的技术，有助于进 一步扩大动植物基因组项目 的市场占有率</w:t>
            </w:r>
          </w:p>
        </w:tc>
      </w:tr>
      <w:tr>
        <w:trPr>
          <w:trHeight w:val="2300"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
              <w:jc w:val="both"/>
              <w:rPr>
                <w:rFonts w:ascii="宋体" w:hAnsi="宋体" w:cs="宋体" w:eastAsia="宋体" w:hint="default"/>
                <w:sz w:val="18"/>
                <w:szCs w:val="18"/>
              </w:rPr>
            </w:pPr>
            <w:r>
              <w:rPr>
                <w:rFonts w:ascii="宋体" w:hAnsi="宋体" w:cs="宋体" w:eastAsia="宋体" w:hint="default"/>
                <w:spacing w:val="10"/>
                <w:sz w:val="18"/>
                <w:szCs w:val="18"/>
              </w:rPr>
              <w:t>基于单分子测序的复杂基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因组（含四倍体）的组装研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究</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2" w:right="4"/>
              <w:jc w:val="left"/>
              <w:rPr>
                <w:rFonts w:ascii="宋体" w:hAnsi="宋体" w:cs="宋体" w:eastAsia="宋体" w:hint="default"/>
                <w:sz w:val="18"/>
                <w:szCs w:val="18"/>
              </w:rPr>
            </w:pPr>
            <w:r>
              <w:rPr>
                <w:rFonts w:ascii="宋体" w:hAnsi="宋体" w:cs="宋体" w:eastAsia="宋体" w:hint="default"/>
                <w:spacing w:val="6"/>
                <w:sz w:val="18"/>
                <w:szCs w:val="18"/>
              </w:rPr>
              <w:t>完成基于单分子测序的四倍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体基因组组装技术开发</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3"/>
              <w:ind w:left="2" w:right="-1"/>
              <w:jc w:val="both"/>
              <w:rPr>
                <w:rFonts w:ascii="宋体" w:hAnsi="宋体" w:cs="宋体" w:eastAsia="宋体" w:hint="default"/>
                <w:sz w:val="18"/>
                <w:szCs w:val="18"/>
              </w:rPr>
            </w:pPr>
            <w:r>
              <w:rPr>
                <w:rFonts w:ascii="宋体" w:hAnsi="宋体" w:cs="宋体" w:eastAsia="宋体" w:hint="default"/>
                <w:spacing w:val="-3"/>
                <w:sz w:val="18"/>
                <w:szCs w:val="18"/>
              </w:rPr>
              <w:t>项目按时结项。完成了</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个四倍</w:t>
            </w:r>
            <w:r>
              <w:rPr>
                <w:rFonts w:ascii="宋体" w:hAnsi="宋体" w:cs="宋体" w:eastAsia="宋体" w:hint="default"/>
                <w:sz w:val="18"/>
                <w:szCs w:val="18"/>
              </w:rPr>
              <w:t> </w:t>
            </w:r>
            <w:r>
              <w:rPr>
                <w:rFonts w:ascii="宋体" w:hAnsi="宋体" w:cs="宋体" w:eastAsia="宋体" w:hint="default"/>
                <w:spacing w:val="3"/>
                <w:sz w:val="18"/>
                <w:szCs w:val="18"/>
              </w:rPr>
              <w:t>体复杂基因组组装研发及多个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二倍体复杂基因组组装研发，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形成了一套复杂基因组（含四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倍体）组装流程，同时提交专利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申请</w:t>
            </w:r>
            <w:r>
              <w:rPr>
                <w:rFonts w:ascii="Times New Roman" w:hAnsi="Times New Roman" w:cs="Times New Roman" w:eastAsia="Times New Roman" w:hint="default"/>
                <w:sz w:val="18"/>
                <w:szCs w:val="18"/>
              </w:rPr>
              <w:t>3</w:t>
            </w:r>
            <w:r>
              <w:rPr>
                <w:rFonts w:ascii="宋体" w:hAnsi="宋体" w:cs="宋体" w:eastAsia="宋体" w:hint="default"/>
                <w:sz w:val="18"/>
                <w:szCs w:val="18"/>
              </w:rPr>
              <w:t>项，其中一项为</w:t>
            </w:r>
            <w:r>
              <w:rPr>
                <w:rFonts w:ascii="Times New Roman" w:hAnsi="Times New Roman" w:cs="Times New Roman" w:eastAsia="Times New Roman" w:hint="default"/>
                <w:sz w:val="18"/>
                <w:szCs w:val="18"/>
              </w:rPr>
              <w:t>PCT</w:t>
            </w:r>
            <w:r>
              <w:rPr>
                <w:rFonts w:ascii="宋体" w:hAnsi="宋体" w:cs="宋体" w:eastAsia="宋体" w:hint="default"/>
                <w:sz w:val="18"/>
                <w:szCs w:val="18"/>
              </w:rPr>
              <w:t>国际 专利</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2"/>
              <w:jc w:val="both"/>
              <w:rPr>
                <w:rFonts w:ascii="宋体" w:hAnsi="宋体" w:cs="宋体" w:eastAsia="宋体" w:hint="default"/>
                <w:sz w:val="18"/>
                <w:szCs w:val="18"/>
              </w:rPr>
            </w:pPr>
            <w:r>
              <w:rPr>
                <w:rFonts w:ascii="宋体" w:hAnsi="宋体" w:cs="宋体" w:eastAsia="宋体" w:hint="default"/>
                <w:sz w:val="18"/>
                <w:szCs w:val="18"/>
              </w:rPr>
              <w:t>提升公司在多倍体动植物基 因组组装的技术，有助于进 一步扩大动植物基因组项目 的市场占有率</w:t>
            </w:r>
          </w:p>
        </w:tc>
      </w:tr>
      <w:tr>
        <w:trPr>
          <w:trHeight w:val="1675"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BGI</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Online</w:t>
            </w:r>
            <w:r>
              <w:rPr>
                <w:rFonts w:ascii="宋体" w:hAnsi="宋体" w:cs="宋体" w:eastAsia="宋体" w:hint="default"/>
                <w:sz w:val="18"/>
                <w:szCs w:val="18"/>
              </w:rPr>
              <w:t>平台功能升级</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3"/>
              <w:ind w:left="2" w:right="0"/>
              <w:jc w:val="left"/>
              <w:rPr>
                <w:rFonts w:ascii="宋体" w:hAnsi="宋体" w:cs="宋体" w:eastAsia="宋体" w:hint="default"/>
                <w:sz w:val="18"/>
                <w:szCs w:val="18"/>
              </w:rPr>
            </w:pPr>
            <w:r>
              <w:rPr>
                <w:rFonts w:ascii="宋体" w:hAnsi="宋体" w:cs="宋体" w:eastAsia="宋体" w:hint="default"/>
                <w:spacing w:val="3"/>
                <w:sz w:val="18"/>
                <w:szCs w:val="18"/>
              </w:rPr>
              <w:t>将</w:t>
            </w:r>
            <w:r>
              <w:rPr>
                <w:rFonts w:ascii="Times New Roman" w:hAnsi="Times New Roman" w:cs="Times New Roman" w:eastAsia="Times New Roman" w:hint="default"/>
                <w:spacing w:val="3"/>
                <w:sz w:val="18"/>
                <w:szCs w:val="18"/>
              </w:rPr>
              <w:t>BGI</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7"/>
                <w:sz w:val="18"/>
                <w:szCs w:val="18"/>
              </w:rPr>
              <w:t>Online</w:t>
            </w:r>
            <w:r>
              <w:rPr>
                <w:rFonts w:ascii="宋体" w:hAnsi="宋体" w:cs="宋体" w:eastAsia="宋体" w:hint="default"/>
                <w:spacing w:val="7"/>
                <w:sz w:val="18"/>
                <w:szCs w:val="18"/>
              </w:rPr>
              <w:t>打造成一个高</w:t>
            </w:r>
            <w:r>
              <w:rPr>
                <w:rFonts w:ascii="宋体" w:hAnsi="宋体" w:cs="宋体" w:eastAsia="宋体" w:hint="default"/>
                <w:sz w:val="18"/>
                <w:szCs w:val="18"/>
              </w:rPr>
              <w:t> </w:t>
            </w:r>
            <w:r>
              <w:rPr>
                <w:rFonts w:ascii="宋体" w:hAnsi="宋体" w:cs="宋体" w:eastAsia="宋体" w:hint="default"/>
                <w:spacing w:val="-8"/>
                <w:sz w:val="18"/>
                <w:szCs w:val="18"/>
              </w:rPr>
              <w:t>可用、高性能、可扩展的系统</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2" w:right="0"/>
              <w:jc w:val="both"/>
              <w:rPr>
                <w:rFonts w:ascii="宋体" w:hAnsi="宋体" w:cs="宋体" w:eastAsia="宋体" w:hint="default"/>
                <w:sz w:val="18"/>
                <w:szCs w:val="18"/>
              </w:rPr>
            </w:pPr>
            <w:r>
              <w:rPr>
                <w:rFonts w:ascii="宋体" w:hAnsi="宋体" w:cs="宋体" w:eastAsia="宋体" w:hint="default"/>
                <w:spacing w:val="3"/>
                <w:sz w:val="18"/>
                <w:szCs w:val="18"/>
              </w:rPr>
              <w:t>完成业务层微服务重构。计算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层架构重新设计，实现调度引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擎的效率优化，适配多种计算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资源的标准方案，以及计算环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境的高效利用</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3"/>
              <w:ind w:left="4" w:right="-1"/>
              <w:jc w:val="both"/>
              <w:rPr>
                <w:rFonts w:ascii="宋体" w:hAnsi="宋体" w:cs="宋体" w:eastAsia="宋体" w:hint="default"/>
                <w:sz w:val="18"/>
                <w:szCs w:val="18"/>
              </w:rPr>
            </w:pPr>
            <w:r>
              <w:rPr>
                <w:rFonts w:ascii="宋体" w:hAnsi="宋体" w:cs="宋体" w:eastAsia="宋体" w:hint="default"/>
                <w:spacing w:val="7"/>
                <w:sz w:val="18"/>
                <w:szCs w:val="18"/>
              </w:rPr>
              <w:t>增强</w:t>
            </w:r>
            <w:r>
              <w:rPr>
                <w:rFonts w:ascii="Times New Roman" w:hAnsi="Times New Roman" w:cs="Times New Roman" w:eastAsia="Times New Roman" w:hint="default"/>
                <w:spacing w:val="7"/>
                <w:sz w:val="18"/>
                <w:szCs w:val="18"/>
              </w:rPr>
              <w:t>BGI</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6"/>
                <w:sz w:val="18"/>
                <w:szCs w:val="18"/>
              </w:rPr>
              <w:t>Onloine</w:t>
            </w:r>
            <w:r>
              <w:rPr>
                <w:rFonts w:ascii="宋体" w:hAnsi="宋体" w:cs="宋体" w:eastAsia="宋体" w:hint="default"/>
                <w:spacing w:val="6"/>
                <w:sz w:val="18"/>
                <w:szCs w:val="18"/>
              </w:rPr>
              <w:t>产品竞争</w:t>
            </w:r>
            <w:r>
              <w:rPr>
                <w:rFonts w:ascii="宋体" w:hAnsi="宋体" w:cs="宋体" w:eastAsia="宋体" w:hint="default"/>
                <w:sz w:val="18"/>
                <w:szCs w:val="18"/>
              </w:rPr>
              <w:t> </w:t>
            </w:r>
            <w:r>
              <w:rPr>
                <w:rFonts w:ascii="宋体" w:hAnsi="宋体" w:cs="宋体" w:eastAsia="宋体" w:hint="default"/>
                <w:spacing w:val="-4"/>
                <w:sz w:val="18"/>
                <w:szCs w:val="18"/>
              </w:rPr>
              <w:t>力，确保</w:t>
            </w:r>
            <w:r>
              <w:rPr>
                <w:rFonts w:ascii="Times New Roman" w:hAnsi="Times New Roman" w:cs="Times New Roman" w:eastAsia="Times New Roman" w:hint="default"/>
                <w:spacing w:val="-4"/>
                <w:sz w:val="18"/>
                <w:szCs w:val="18"/>
              </w:rPr>
              <w:t>BGI</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Onloine</w:t>
            </w:r>
            <w:r>
              <w:rPr>
                <w:rFonts w:ascii="宋体" w:hAnsi="宋体" w:cs="宋体" w:eastAsia="宋体" w:hint="default"/>
                <w:sz w:val="18"/>
                <w:szCs w:val="18"/>
              </w:rPr>
              <w:t>在国内 生物信息云平台的行业地位 和价值输出。</w:t>
            </w:r>
          </w:p>
        </w:tc>
      </w:tr>
      <w:tr>
        <w:trPr>
          <w:trHeight w:val="1363"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3"/>
              <w:ind w:left="4"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BGI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Online</w:t>
            </w:r>
            <w:r>
              <w:rPr>
                <w:rFonts w:ascii="宋体" w:hAnsi="宋体" w:cs="宋体" w:eastAsia="宋体" w:hint="default"/>
                <w:sz w:val="18"/>
                <w:szCs w:val="18"/>
              </w:rPr>
              <w:t>生产设施建设项 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3"/>
              <w:ind w:left="2" w:right="3"/>
              <w:jc w:val="both"/>
              <w:rPr>
                <w:rFonts w:ascii="宋体" w:hAnsi="宋体" w:cs="宋体" w:eastAsia="宋体" w:hint="default"/>
                <w:sz w:val="18"/>
                <w:szCs w:val="18"/>
              </w:rPr>
            </w:pPr>
            <w:r>
              <w:rPr>
                <w:rFonts w:ascii="宋体" w:hAnsi="宋体" w:cs="宋体" w:eastAsia="宋体" w:hint="default"/>
                <w:spacing w:val="5"/>
                <w:sz w:val="18"/>
                <w:szCs w:val="18"/>
              </w:rPr>
              <w:t>围绕</w:t>
            </w:r>
            <w:r>
              <w:rPr>
                <w:rFonts w:ascii="Times New Roman" w:hAnsi="Times New Roman" w:cs="Times New Roman" w:eastAsia="Times New Roman" w:hint="default"/>
                <w:spacing w:val="5"/>
                <w:sz w:val="18"/>
                <w:szCs w:val="18"/>
              </w:rPr>
              <w:t>BGI</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6"/>
                <w:sz w:val="18"/>
                <w:szCs w:val="18"/>
              </w:rPr>
              <w:t>Online</w:t>
            </w:r>
            <w:r>
              <w:rPr>
                <w:rFonts w:ascii="宋体" w:hAnsi="宋体" w:cs="宋体" w:eastAsia="宋体" w:hint="default"/>
                <w:spacing w:val="6"/>
                <w:sz w:val="18"/>
                <w:szCs w:val="18"/>
              </w:rPr>
              <w:t>为中心建设</w:t>
            </w:r>
            <w:r>
              <w:rPr>
                <w:rFonts w:ascii="宋体" w:hAnsi="宋体" w:cs="宋体" w:eastAsia="宋体" w:hint="default"/>
                <w:sz w:val="18"/>
                <w:szCs w:val="18"/>
              </w:rPr>
              <w:t> </w:t>
            </w:r>
            <w:r>
              <w:rPr>
                <w:rFonts w:ascii="宋体" w:hAnsi="宋体" w:cs="宋体" w:eastAsia="宋体" w:hint="default"/>
                <w:spacing w:val="6"/>
                <w:sz w:val="18"/>
                <w:szCs w:val="18"/>
              </w:rPr>
              <w:t>联接测序中心、用户的一套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数据传输网络</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2" w:right="0"/>
              <w:jc w:val="both"/>
              <w:rPr>
                <w:rFonts w:ascii="宋体" w:hAnsi="宋体" w:cs="宋体" w:eastAsia="宋体" w:hint="default"/>
                <w:sz w:val="18"/>
                <w:szCs w:val="18"/>
              </w:rPr>
            </w:pPr>
            <w:r>
              <w:rPr>
                <w:rFonts w:ascii="宋体" w:hAnsi="宋体" w:cs="宋体" w:eastAsia="宋体" w:hint="default"/>
                <w:spacing w:val="3"/>
                <w:sz w:val="18"/>
                <w:szCs w:val="18"/>
              </w:rPr>
              <w:t>完成了多地测序中心、用户的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网络接入，终端多种数据传输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工具的应用。达到项目预期目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标，已结项</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2"/>
              <w:jc w:val="both"/>
              <w:rPr>
                <w:rFonts w:ascii="宋体" w:hAnsi="宋体" w:cs="宋体" w:eastAsia="宋体" w:hint="default"/>
                <w:sz w:val="18"/>
                <w:szCs w:val="18"/>
              </w:rPr>
            </w:pPr>
            <w:r>
              <w:rPr>
                <w:rFonts w:ascii="宋体" w:hAnsi="宋体" w:cs="宋体" w:eastAsia="宋体" w:hint="default"/>
                <w:sz w:val="18"/>
                <w:szCs w:val="18"/>
              </w:rPr>
              <w:t>服务公司国际、国内多组学 大数据业务，升级业务交付 方式，降低科服业务周期时 间。</w:t>
            </w:r>
          </w:p>
        </w:tc>
      </w:tr>
      <w:tr>
        <w:trPr>
          <w:trHeight w:val="740" w:hRule="exac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87" w:right="0"/>
              <w:jc w:val="left"/>
              <w:rPr>
                <w:rFonts w:ascii="Times New Roman" w:hAnsi="Times New Roman" w:cs="Times New Roman" w:eastAsia="Times New Roman" w:hint="default"/>
                <w:sz w:val="18"/>
                <w:szCs w:val="18"/>
              </w:rPr>
            </w:pPr>
            <w:r>
              <w:rPr>
                <w:rFonts w:ascii="Times New Roman"/>
                <w:sz w:val="18"/>
              </w:rPr>
              <w:t>36</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3"/>
              <w:ind w:left="4"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BGI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Online</w:t>
            </w:r>
            <w:r>
              <w:rPr>
                <w:rFonts w:ascii="宋体" w:hAnsi="宋体" w:cs="宋体" w:eastAsia="宋体" w:hint="default"/>
                <w:sz w:val="18"/>
                <w:szCs w:val="18"/>
              </w:rPr>
              <w:t>自动化、全流程 生产项目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3"/>
              <w:ind w:left="2" w:right="-22"/>
              <w:jc w:val="left"/>
              <w:rPr>
                <w:rFonts w:ascii="宋体" w:hAnsi="宋体" w:cs="宋体" w:eastAsia="宋体" w:hint="default"/>
                <w:sz w:val="18"/>
                <w:szCs w:val="18"/>
              </w:rPr>
            </w:pPr>
            <w:r>
              <w:rPr>
                <w:rFonts w:ascii="宋体" w:hAnsi="宋体" w:cs="宋体" w:eastAsia="宋体" w:hint="default"/>
                <w:spacing w:val="-6"/>
                <w:sz w:val="18"/>
                <w:szCs w:val="18"/>
              </w:rPr>
              <w:t>通过</w:t>
            </w:r>
            <w:r>
              <w:rPr>
                <w:rFonts w:ascii="Times New Roman" w:hAnsi="Times New Roman" w:cs="Times New Roman" w:eastAsia="Times New Roman" w:hint="default"/>
                <w:spacing w:val="-6"/>
                <w:sz w:val="18"/>
                <w:szCs w:val="18"/>
              </w:rPr>
              <w:t>IT</w:t>
            </w:r>
            <w:r>
              <w:rPr>
                <w:rFonts w:ascii="宋体" w:hAnsi="宋体" w:cs="宋体" w:eastAsia="宋体" w:hint="default"/>
                <w:spacing w:val="-6"/>
                <w:sz w:val="18"/>
                <w:szCs w:val="18"/>
              </w:rPr>
              <w:t>开发、生信开发打造一</w:t>
            </w:r>
            <w:r>
              <w:rPr>
                <w:rFonts w:ascii="宋体" w:hAnsi="宋体" w:cs="宋体" w:eastAsia="宋体" w:hint="default"/>
                <w:sz w:val="18"/>
                <w:szCs w:val="18"/>
              </w:rPr>
              <w:t> </w:t>
            </w:r>
            <w:r>
              <w:rPr>
                <w:rFonts w:ascii="宋体" w:hAnsi="宋体" w:cs="宋体" w:eastAsia="宋体" w:hint="default"/>
                <w:spacing w:val="22"/>
                <w:sz w:val="18"/>
                <w:szCs w:val="18"/>
              </w:rPr>
              <w:t>个全面覆盖科服生</w:t>
            </w:r>
            <w:r>
              <w:rPr>
                <w:rFonts w:ascii="宋体" w:hAnsi="宋体" w:cs="宋体" w:eastAsia="宋体" w:hint="default"/>
                <w:spacing w:val="-56"/>
                <w:sz w:val="18"/>
                <w:szCs w:val="18"/>
              </w:rPr>
              <w:t> </w:t>
            </w:r>
            <w:r>
              <w:rPr>
                <w:rFonts w:ascii="宋体" w:hAnsi="宋体" w:cs="宋体" w:eastAsia="宋体" w:hint="default"/>
                <w:spacing w:val="17"/>
                <w:sz w:val="18"/>
                <w:szCs w:val="18"/>
              </w:rPr>
              <w:t>产业务</w:t>
            </w:r>
            <w:r>
              <w:rPr>
                <w:rFonts w:ascii="宋体" w:hAnsi="宋体" w:cs="宋体" w:eastAsia="宋体" w:hint="default"/>
                <w:spacing w:val="-64"/>
                <w:sz w:val="18"/>
                <w:szCs w:val="18"/>
              </w:rPr>
              <w:t> </w:t>
            </w:r>
            <w:r>
              <w:rPr>
                <w:rFonts w:ascii="宋体" w:hAnsi="宋体" w:cs="宋体" w:eastAsia="宋体" w:hint="default"/>
                <w:sz w:val="18"/>
                <w:szCs w:val="18"/>
              </w:rPr>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2" w:right="0"/>
              <w:jc w:val="left"/>
              <w:rPr>
                <w:rFonts w:ascii="宋体" w:hAnsi="宋体" w:cs="宋体" w:eastAsia="宋体" w:hint="default"/>
                <w:sz w:val="18"/>
                <w:szCs w:val="18"/>
              </w:rPr>
            </w:pPr>
            <w:r>
              <w:rPr>
                <w:rFonts w:ascii="宋体" w:hAnsi="宋体" w:cs="宋体" w:eastAsia="宋体" w:hint="default"/>
                <w:spacing w:val="3"/>
                <w:sz w:val="18"/>
                <w:szCs w:val="18"/>
              </w:rPr>
              <w:t>实现了多组学大数据类型生产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数据的自动化上传、分析及生</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16"/>
                <w:sz w:val="18"/>
                <w:szCs w:val="18"/>
              </w:rPr>
              <w:t>规范多组学大数据业务在</w:t>
            </w:r>
          </w:p>
          <w:p>
            <w:pPr>
              <w:pStyle w:val="TableParagraph"/>
              <w:spacing w:line="240" w:lineRule="auto" w:before="74"/>
              <w:ind w:left="4" w:right="-1"/>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B</w:t>
            </w:r>
            <w:r>
              <w:rPr>
                <w:rFonts w:ascii="Times New Roman" w:hAnsi="Times New Roman" w:cs="Times New Roman" w:eastAsia="Times New Roman" w:hint="default"/>
                <w:spacing w:val="-3"/>
                <w:w w:val="99"/>
                <w:sz w:val="18"/>
                <w:szCs w:val="18"/>
              </w:rPr>
              <w:t>G</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12"/>
                <w:w w:val="99"/>
                <w:sz w:val="18"/>
                <w:szCs w:val="18"/>
              </w:rPr>
              <w:t> </w:t>
            </w:r>
            <w:r>
              <w:rPr>
                <w:rFonts w:ascii="Times New Roman" w:hAnsi="Times New Roman" w:cs="Times New Roman" w:eastAsia="Times New Roman" w:hint="default"/>
                <w:spacing w:val="1"/>
                <w:w w:val="99"/>
                <w:sz w:val="18"/>
                <w:szCs w:val="18"/>
              </w:rPr>
              <w:t>on</w:t>
            </w:r>
            <w:r>
              <w:rPr>
                <w:rFonts w:ascii="Times New Roman" w:hAnsi="Times New Roman" w:cs="Times New Roman" w:eastAsia="Times New Roman" w:hint="default"/>
                <w:w w:val="99"/>
                <w:sz w:val="18"/>
                <w:szCs w:val="18"/>
              </w:rPr>
              <w:t>li</w:t>
            </w:r>
            <w:r>
              <w:rPr>
                <w:rFonts w:ascii="Times New Roman" w:hAnsi="Times New Roman" w:cs="Times New Roman" w:eastAsia="Times New Roman" w:hint="default"/>
                <w:spacing w:val="1"/>
                <w:w w:val="99"/>
                <w:sz w:val="18"/>
                <w:szCs w:val="18"/>
              </w:rPr>
              <w:t>n</w:t>
            </w:r>
            <w:r>
              <w:rPr>
                <w:rFonts w:ascii="Times New Roman" w:hAnsi="Times New Roman" w:cs="Times New Roman" w:eastAsia="Times New Roman" w:hint="default"/>
                <w:w w:val="99"/>
                <w:sz w:val="18"/>
                <w:szCs w:val="18"/>
              </w:rPr>
              <w:t>e</w:t>
            </w:r>
            <w:r>
              <w:rPr>
                <w:rFonts w:ascii="宋体" w:hAnsi="宋体" w:cs="宋体" w:eastAsia="宋体" w:hint="default"/>
                <w:w w:val="99"/>
                <w:sz w:val="18"/>
                <w:szCs w:val="18"/>
              </w:rPr>
              <w:t>上的生产流程</w:t>
            </w:r>
            <w:r>
              <w:rPr>
                <w:rFonts w:ascii="宋体" w:hAnsi="宋体" w:cs="宋体" w:eastAsia="宋体" w:hint="default"/>
                <w:spacing w:val="-72"/>
                <w:w w:val="99"/>
                <w:sz w:val="18"/>
                <w:szCs w:val="18"/>
              </w:rPr>
              <w:t>，</w:t>
            </w:r>
            <w:r>
              <w:rPr>
                <w:rFonts w:ascii="宋体" w:hAnsi="宋体" w:cs="宋体" w:eastAsia="宋体" w:hint="default"/>
                <w:w w:val="99"/>
                <w:sz w:val="18"/>
                <w:szCs w:val="18"/>
              </w:rPr>
              <w:t>降</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p>
      <w:pPr>
        <w:spacing w:line="1975" w:lineRule="exact"/>
        <w:ind w:left="18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9"/>
          <w:sz w:val="20"/>
          <w:szCs w:val="20"/>
        </w:rPr>
        <w:pict>
          <v:group style="width:482.15pt;height:98.8pt;mso-position-horizontal-relative:char;mso-position-vertical-relative:line" coordorigin="0,0" coordsize="9643,1976">
            <v:group style="position:absolute;left:14;top:14;width:553;height:2" coordorigin="14,14" coordsize="553,2">
              <v:shape style="position:absolute;left:14;top:14;width:553;height:2" coordorigin="14,14" coordsize="553,0" path="m14,14l567,14e" filled="false" stroked="true" strokeweight=".72pt" strokecolor="#000000">
                <v:path arrowok="t"/>
              </v:shape>
            </v:group>
            <v:group style="position:absolute;left:581;top:14;width:2115;height:2" coordorigin="581,14" coordsize="2115,2">
              <v:shape style="position:absolute;left:581;top:14;width:2115;height:2" coordorigin="581,14" coordsize="2115,0" path="m581,14l2696,14e" filled="false" stroked="true" strokeweight=".72pt" strokecolor="#000000">
                <v:path arrowok="t"/>
              </v:shape>
            </v:group>
            <v:group style="position:absolute;left:2711;top:14;width:2254;height:2" coordorigin="2711,14" coordsize="2254,2">
              <v:shape style="position:absolute;left:2711;top:14;width:2254;height:2" coordorigin="2711,14" coordsize="2254,0" path="m2711,14l4964,14e" filled="false" stroked="true" strokeweight=".72pt" strokecolor="#000000">
                <v:path arrowok="t"/>
              </v:shape>
            </v:group>
            <v:group style="position:absolute;left:4979;top:14;width:2394;height:2" coordorigin="4979,14" coordsize="2394,2">
              <v:shape style="position:absolute;left:4979;top:14;width:2394;height:2" coordorigin="4979,14" coordsize="2394,0" path="m4979,14l7372,14e" filled="false" stroked="true" strokeweight=".72pt" strokecolor="#000000">
                <v:path arrowok="t"/>
              </v:shape>
            </v:group>
            <v:group style="position:absolute;left:7386;top:14;width:2168;height:2" coordorigin="7386,14" coordsize="2168,2">
              <v:shape style="position:absolute;left:7386;top:14;width:2168;height:2" coordorigin="7386,14" coordsize="2168,0" path="m7386,14l9554,14e" filled="false" stroked="true" strokeweight=".72pt" strokecolor="#000000">
                <v:path arrowok="t"/>
              </v:shape>
            </v:group>
            <v:group style="position:absolute;left:7;top:7;width:2;height:1962" coordorigin="7,7" coordsize="2,1962">
              <v:shape style="position:absolute;left:7;top:7;width:2;height:1962" coordorigin="7,7" coordsize="0,1962" path="m7,7l7,1968e" filled="false" stroked="true" strokeweight=".72pt" strokecolor="#000000">
                <v:path arrowok="t"/>
              </v:shape>
            </v:group>
            <v:group style="position:absolute;left:14;top:1961;width:553;height:2" coordorigin="14,1961" coordsize="553,2">
              <v:shape style="position:absolute;left:14;top:1961;width:553;height:2" coordorigin="14,1961" coordsize="553,0" path="m14,1961l567,1961e" filled="false" stroked="true" strokeweight=".72pt" strokecolor="#000000">
                <v:path arrowok="t"/>
              </v:shape>
            </v:group>
            <v:group style="position:absolute;left:574;top:7;width:2;height:1962" coordorigin="574,7" coordsize="2,1962">
              <v:shape style="position:absolute;left:574;top:7;width:2;height:1962" coordorigin="574,7" coordsize="0,1962" path="m574,7l574,1968e" filled="false" stroked="true" strokeweight=".72pt" strokecolor="#000000">
                <v:path arrowok="t"/>
              </v:shape>
            </v:group>
            <v:group style="position:absolute;left:581;top:1961;width:2115;height:2" coordorigin="581,1961" coordsize="2115,2">
              <v:shape style="position:absolute;left:581;top:1961;width:2115;height:2" coordorigin="581,1961" coordsize="2115,0" path="m581,1961l2696,1961e" filled="false" stroked="true" strokeweight=".72pt" strokecolor="#000000">
                <v:path arrowok="t"/>
              </v:shape>
            </v:group>
            <v:group style="position:absolute;left:2703;top:7;width:2;height:1962" coordorigin="2703,7" coordsize="2,1962">
              <v:shape style="position:absolute;left:2703;top:7;width:2;height:1962" coordorigin="2703,7" coordsize="0,1962" path="m2703,7l2703,1968e" filled="false" stroked="true" strokeweight=".72pt" strokecolor="#000000">
                <v:path arrowok="t"/>
              </v:shape>
            </v:group>
            <v:group style="position:absolute;left:2711;top:1961;width:2254;height:2" coordorigin="2711,1961" coordsize="2254,2">
              <v:shape style="position:absolute;left:2711;top:1961;width:2254;height:2" coordorigin="2711,1961" coordsize="2254,0" path="m2711,1961l4964,1961e" filled="false" stroked="true" strokeweight=".72pt" strokecolor="#000000">
                <v:path arrowok="t"/>
              </v:shape>
            </v:group>
            <v:group style="position:absolute;left:4971;top:7;width:2;height:1962" coordorigin="4971,7" coordsize="2,1962">
              <v:shape style="position:absolute;left:4971;top:7;width:2;height:1962" coordorigin="4971,7" coordsize="0,1962" path="m4971,7l4971,1968e" filled="false" stroked="true" strokeweight=".72pt" strokecolor="#000000">
                <v:path arrowok="t"/>
              </v:shape>
            </v:group>
            <v:group style="position:absolute;left:4979;top:1961;width:2394;height:2" coordorigin="4979,1961" coordsize="2394,2">
              <v:shape style="position:absolute;left:4979;top:1961;width:2394;height:2" coordorigin="4979,1961" coordsize="2394,0" path="m4979,1961l7372,1961e" filled="false" stroked="true" strokeweight=".72pt" strokecolor="#000000">
                <v:path arrowok="t"/>
              </v:shape>
            </v:group>
            <v:group style="position:absolute;left:7379;top:7;width:2;height:1962" coordorigin="7379,7" coordsize="2,1962">
              <v:shape style="position:absolute;left:7379;top:7;width:2;height:1962" coordorigin="7379,7" coordsize="0,1962" path="m7379,7l7379,1968e" filled="false" stroked="true" strokeweight=".71997pt" strokecolor="#000000">
                <v:path arrowok="t"/>
              </v:shape>
            </v:group>
            <v:group style="position:absolute;left:7386;top:1961;width:2168;height:2" coordorigin="7386,1961" coordsize="2168,2">
              <v:shape style="position:absolute;left:7386;top:1961;width:2168;height:2" coordorigin="7386,1961" coordsize="2168,0" path="m7386,1961l9554,1961e" filled="false" stroked="true" strokeweight=".72pt" strokecolor="#000000">
                <v:path arrowok="t"/>
              </v:shape>
            </v:group>
            <v:group style="position:absolute;left:9561;top:7;width:2;height:1962" coordorigin="9561,7" coordsize="2,1962">
              <v:shape style="position:absolute;left:9561;top:7;width:2;height:1962" coordorigin="9561,7" coordsize="0,1962" path="m9561,7l9561,1968e" filled="false" stroked="true" strokeweight=".72003pt" strokecolor="#000000">
                <v:path arrowok="t"/>
              </v:shape>
              <v:shape style="position:absolute;left:0;top:0;width:9643;height:1976" type="#_x0000_t202" filled="false" stroked="false">
                <v:textbox inset="0,0,0,0">
                  <w:txbxContent>
                    <w:p>
                      <w:pPr>
                        <w:spacing w:line="300" w:lineRule="auto" w:before="42"/>
                        <w:ind w:left="2713" w:right="0" w:firstLine="0"/>
                        <w:jc w:val="left"/>
                        <w:rPr>
                          <w:rFonts w:ascii="宋体" w:hAnsi="宋体" w:cs="宋体" w:eastAsia="宋体" w:hint="default"/>
                          <w:sz w:val="18"/>
                          <w:szCs w:val="18"/>
                        </w:rPr>
                      </w:pPr>
                      <w:r>
                        <w:rPr>
                          <w:rFonts w:ascii="宋体" w:hAnsi="宋体" w:cs="宋体" w:eastAsia="宋体" w:hint="default"/>
                          <w:spacing w:val="-8"/>
                          <w:sz w:val="18"/>
                          <w:szCs w:val="18"/>
                        </w:rPr>
                        <w:t>（数据整理、数据质控、数据</w:t>
                      </w:r>
                      <w:r>
                        <w:rPr>
                          <w:rFonts w:ascii="宋体" w:hAnsi="宋体" w:cs="宋体" w:eastAsia="宋体" w:hint="default"/>
                          <w:spacing w:val="-45"/>
                          <w:sz w:val="18"/>
                          <w:szCs w:val="18"/>
                        </w:rPr>
                        <w:t> </w:t>
                      </w:r>
                      <w:r>
                        <w:rPr>
                          <w:rFonts w:ascii="宋体" w:hAnsi="宋体" w:cs="宋体" w:eastAsia="宋体" w:hint="default"/>
                          <w:spacing w:val="-3"/>
                          <w:sz w:val="18"/>
                          <w:szCs w:val="18"/>
                        </w:rPr>
                        <w:t>成报告功能，完成了多套</w:t>
                      </w:r>
                      <w:r>
                        <w:rPr>
                          <w:rFonts w:ascii="Times New Roman" w:hAnsi="Times New Roman" w:cs="Times New Roman" w:eastAsia="Times New Roman" w:hint="default"/>
                          <w:spacing w:val="-3"/>
                          <w:sz w:val="18"/>
                          <w:szCs w:val="18"/>
                        </w:rPr>
                        <w:t>WGS</w:t>
                      </w:r>
                      <w:r>
                        <w:rPr>
                          <w:rFonts w:ascii="宋体" w:hAnsi="宋体" w:cs="宋体" w:eastAsia="宋体" w:hint="default"/>
                          <w:spacing w:val="-3"/>
                          <w:sz w:val="18"/>
                          <w:szCs w:val="18"/>
                        </w:rPr>
                        <w:t>低人力成本，提高生产效率。</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pacing w:val="-8"/>
                          <w:sz w:val="18"/>
                          <w:szCs w:val="18"/>
                        </w:rPr>
                        <w:t>交付、生信分析）的自动化解</w:t>
                      </w:r>
                      <w:r>
                        <w:rPr>
                          <w:rFonts w:ascii="宋体" w:hAnsi="宋体" w:cs="宋体" w:eastAsia="宋体" w:hint="default"/>
                          <w:spacing w:val="-58"/>
                          <w:sz w:val="18"/>
                          <w:szCs w:val="18"/>
                        </w:rPr>
                        <w:t> </w:t>
                      </w:r>
                      <w:r>
                        <w:rPr>
                          <w:rFonts w:ascii="宋体" w:hAnsi="宋体" w:cs="宋体" w:eastAsia="宋体" w:hint="default"/>
                          <w:spacing w:val="3"/>
                          <w:sz w:val="18"/>
                          <w:szCs w:val="18"/>
                        </w:rPr>
                        <w:t>自动化分析解决方案的部署。</w:t>
                      </w:r>
                    </w:p>
                    <w:p>
                      <w:pPr>
                        <w:spacing w:line="309" w:lineRule="auto" w:before="31"/>
                        <w:ind w:left="2713" w:right="2499" w:firstLine="0"/>
                        <w:jc w:val="left"/>
                        <w:rPr>
                          <w:rFonts w:ascii="宋体" w:hAnsi="宋体" w:cs="宋体" w:eastAsia="宋体" w:hint="default"/>
                          <w:sz w:val="18"/>
                          <w:szCs w:val="18"/>
                        </w:rPr>
                      </w:pPr>
                      <w:r>
                        <w:rPr>
                          <w:rFonts w:ascii="宋体" w:hAnsi="宋体" w:cs="宋体" w:eastAsia="宋体" w:hint="default"/>
                          <w:spacing w:val="6"/>
                          <w:sz w:val="18"/>
                          <w:szCs w:val="18"/>
                        </w:rPr>
                        <w:t>决方案，该方案主要为了规</w:t>
                      </w:r>
                      <w:r>
                        <w:rPr>
                          <w:rFonts w:ascii="宋体" w:hAnsi="宋体" w:cs="宋体" w:eastAsia="宋体" w:hint="default"/>
                          <w:spacing w:val="-60"/>
                          <w:sz w:val="18"/>
                          <w:szCs w:val="18"/>
                        </w:rPr>
                        <w:t> </w:t>
                      </w:r>
                      <w:r>
                        <w:rPr>
                          <w:rFonts w:ascii="宋体" w:hAnsi="宋体" w:cs="宋体" w:eastAsia="宋体" w:hint="default"/>
                          <w:sz w:val="18"/>
                          <w:szCs w:val="18"/>
                        </w:rPr>
                        <w:t>达到项目预期目标，已结项</w:t>
                      </w:r>
                      <w:r>
                        <w:rPr>
                          <w:rFonts w:ascii="宋体" w:hAnsi="宋体" w:cs="宋体" w:eastAsia="宋体" w:hint="default"/>
                          <w:sz w:val="18"/>
                          <w:szCs w:val="18"/>
                        </w:rPr>
                        <w:t> </w:t>
                      </w:r>
                      <w:r>
                        <w:rPr>
                          <w:rFonts w:ascii="宋体" w:hAnsi="宋体" w:cs="宋体" w:eastAsia="宋体" w:hint="default"/>
                          <w:spacing w:val="9"/>
                          <w:sz w:val="18"/>
                          <w:szCs w:val="18"/>
                        </w:rPr>
                        <w:t>范科服业务在</w:t>
                      </w:r>
                      <w:r>
                        <w:rPr>
                          <w:rFonts w:ascii="Times New Roman" w:hAnsi="Times New Roman" w:cs="Times New Roman" w:eastAsia="Times New Roman" w:hint="default"/>
                          <w:spacing w:val="9"/>
                          <w:sz w:val="18"/>
                          <w:szCs w:val="18"/>
                        </w:rPr>
                        <w:t>BGI </w:t>
                      </w:r>
                      <w:r>
                        <w:rPr>
                          <w:rFonts w:ascii="Times New Roman" w:hAnsi="Times New Roman" w:cs="Times New Roman" w:eastAsia="Times New Roman" w:hint="default"/>
                          <w:sz w:val="18"/>
                          <w:szCs w:val="18"/>
                        </w:rPr>
                        <w:t>Online</w:t>
                      </w:r>
                      <w:r>
                        <w:rPr>
                          <w:rFonts w:ascii="宋体" w:hAnsi="宋体" w:cs="宋体" w:eastAsia="宋体" w:hint="default"/>
                          <w:sz w:val="18"/>
                          <w:szCs w:val="18"/>
                        </w:rPr>
                        <w:t>上</w:t>
                      </w:r>
                      <w:r>
                        <w:rPr>
                          <w:rFonts w:ascii="宋体" w:hAnsi="宋体" w:cs="宋体" w:eastAsia="宋体" w:hint="default"/>
                          <w:spacing w:val="-50"/>
                          <w:sz w:val="18"/>
                          <w:szCs w:val="18"/>
                        </w:rPr>
                        <w:t> </w:t>
                      </w:r>
                      <w:r>
                        <w:rPr>
                          <w:rFonts w:ascii="宋体" w:hAnsi="宋体" w:cs="宋体" w:eastAsia="宋体" w:hint="default"/>
                          <w:sz w:val="18"/>
                          <w:szCs w:val="18"/>
                        </w:rPr>
                        <w:t>的生产流程，降低人力成本，</w:t>
                      </w:r>
                    </w:p>
                    <w:p>
                      <w:pPr>
                        <w:spacing w:before="24"/>
                        <w:ind w:left="2713" w:right="0" w:firstLine="0"/>
                        <w:jc w:val="left"/>
                        <w:rPr>
                          <w:rFonts w:ascii="宋体" w:hAnsi="宋体" w:cs="宋体" w:eastAsia="宋体" w:hint="default"/>
                          <w:sz w:val="18"/>
                          <w:szCs w:val="18"/>
                        </w:rPr>
                      </w:pPr>
                      <w:r>
                        <w:rPr>
                          <w:rFonts w:ascii="宋体" w:hAnsi="宋体" w:cs="宋体" w:eastAsia="宋体" w:hint="default"/>
                          <w:sz w:val="18"/>
                          <w:szCs w:val="18"/>
                        </w:rPr>
                        <w:t>提高生产效率</w:t>
                      </w:r>
                    </w:p>
                  </w:txbxContent>
                </v:textbox>
                <w10:wrap type="none"/>
              </v:shape>
            </v:group>
          </v:group>
        </w:pict>
      </w:r>
      <w:r>
        <w:rPr>
          <w:rFonts w:ascii="Times New Roman" w:hAnsi="Times New Roman" w:cs="Times New Roman" w:eastAsia="Times New Roman" w:hint="default"/>
          <w:position w:val="-3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1"/>
          <w:szCs w:val="21"/>
        </w:rPr>
      </w:pPr>
    </w:p>
    <w:p>
      <w:pPr>
        <w:pStyle w:val="BodyText"/>
        <w:spacing w:line="240" w:lineRule="auto" w:before="44"/>
        <w:ind w:right="1133"/>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17.33%</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264,827,932.58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174,314,115.65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176,724,051.02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10.33%</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3,907,554.18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3"/>
        <w:jc w:val="left"/>
      </w:pPr>
      <w:r>
        <w:rPr/>
        <w:t>研发投入总额占营业收入的比重较上年发生显著变化的原因</w:t>
      </w:r>
    </w:p>
    <w:p>
      <w:pPr>
        <w:pStyle w:val="BodyText"/>
        <w:spacing w:line="338" w:lineRule="auto" w:before="117"/>
        <w:ind w:left="441" w:right="2185"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主要原因系公司</w:t>
      </w:r>
      <w:r>
        <w:rPr>
          <w:rFonts w:ascii="Times New Roman" w:hAnsi="Times New Roman" w:cs="Times New Roman" w:eastAsia="Times New Roman" w:hint="default"/>
        </w:rPr>
        <w:t>2018</w:t>
      </w:r>
      <w:r>
        <w:rPr/>
        <w:t>年在遗传病、感染性疾病和肿瘤等重点产品开发及相应资质报证加大投入研发力度。</w:t>
      </w:r>
    </w:p>
    <w:p>
      <w:pPr>
        <w:spacing w:line="240" w:lineRule="auto" w:before="7"/>
        <w:rPr>
          <w:rFonts w:ascii="宋体" w:hAnsi="宋体" w:cs="宋体" w:eastAsia="宋体" w:hint="default"/>
          <w:sz w:val="25"/>
          <w:szCs w:val="25"/>
        </w:rPr>
      </w:pPr>
    </w:p>
    <w:p>
      <w:pPr>
        <w:pStyle w:val="BodyText"/>
        <w:spacing w:line="240" w:lineRule="auto"/>
        <w:ind w:right="1133"/>
        <w:jc w:val="left"/>
      </w:pPr>
      <w:r>
        <w:rPr/>
        <w:t>研发投入资本化率大幅变动的原因及其合理性说明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40" w:lineRule="auto" w:before="101"/>
        <w:ind w:right="2444"/>
        <w:jc w:val="left"/>
      </w:pPr>
      <w:r>
        <w:rPr/>
        <w:t>公司需遵守《深圳证券交易所创业板行业信息披露指引第</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医疗器械产品相关情况</w:t>
      </w:r>
    </w:p>
    <w:p>
      <w:pPr>
        <w:pStyle w:val="BodyText"/>
        <w:spacing w:line="240" w:lineRule="auto" w:before="4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3"/>
          <w:szCs w:val="23"/>
        </w:rPr>
      </w:pPr>
    </w:p>
    <w:p>
      <w:pPr>
        <w:spacing w:line="660" w:lineRule="auto" w:before="0"/>
        <w:ind w:left="152" w:right="3374" w:firstLine="0"/>
        <w:jc w:val="left"/>
        <w:rPr>
          <w:rFonts w:ascii="宋体" w:hAnsi="宋体" w:cs="宋体" w:eastAsia="宋体" w:hint="default"/>
          <w:sz w:val="18"/>
          <w:szCs w:val="18"/>
        </w:rPr>
      </w:pPr>
      <w:r>
        <w:rPr/>
        <w:pict>
          <v:shape style="position:absolute;margin-left:57.599998pt;margin-top:49.391685pt;width:488.65pt;height:115.9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4"/>
                    <w:gridCol w:w="1411"/>
                    <w:gridCol w:w="1270"/>
                    <w:gridCol w:w="2825"/>
                    <w:gridCol w:w="1411"/>
                    <w:gridCol w:w="987"/>
                    <w:gridCol w:w="1282"/>
                  </w:tblGrid>
                  <w:tr>
                    <w:trPr>
                      <w:trHeight w:val="900"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6"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35"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注册分类</w:t>
                        </w:r>
                        <w:r>
                          <w:rPr>
                            <w:rFonts w:ascii="宋体" w:hAnsi="宋体" w:cs="宋体" w:eastAsia="宋体" w:hint="default"/>
                            <w:sz w:val="18"/>
                            <w:szCs w:val="18"/>
                          </w:rPr>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注册所处阶段</w:t>
                        </w:r>
                        <w:r>
                          <w:rPr>
                            <w:rFonts w:ascii="宋体" w:hAnsi="宋体" w:cs="宋体" w:eastAsia="宋体" w:hint="default"/>
                            <w:sz w:val="18"/>
                            <w:szCs w:val="18"/>
                          </w:rPr>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center"/>
                          <w:rPr>
                            <w:rFonts w:ascii="宋体" w:hAnsi="宋体" w:cs="宋体" w:eastAsia="宋体" w:hint="default"/>
                            <w:sz w:val="18"/>
                            <w:szCs w:val="18"/>
                          </w:rPr>
                        </w:pPr>
                        <w:r>
                          <w:rPr>
                            <w:rFonts w:ascii="宋体" w:hAnsi="宋体" w:cs="宋体" w:eastAsia="宋体" w:hint="default"/>
                            <w:b/>
                            <w:bCs/>
                            <w:sz w:val="18"/>
                            <w:szCs w:val="18"/>
                          </w:rPr>
                          <w:t>进展情况</w:t>
                        </w:r>
                        <w:r>
                          <w:rPr>
                            <w:rFonts w:ascii="宋体" w:hAnsi="宋体" w:cs="宋体" w:eastAsia="宋体" w:hint="default"/>
                            <w:sz w:val="18"/>
                            <w:szCs w:val="18"/>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2"/>
                          <w:ind w:left="273" w:right="89" w:hanging="183"/>
                          <w:jc w:val="left"/>
                          <w:rPr>
                            <w:rFonts w:ascii="宋体" w:hAnsi="宋体" w:cs="宋体" w:eastAsia="宋体" w:hint="default"/>
                            <w:sz w:val="18"/>
                            <w:szCs w:val="18"/>
                          </w:rPr>
                        </w:pPr>
                        <w:r>
                          <w:rPr>
                            <w:rFonts w:ascii="宋体" w:hAnsi="宋体" w:cs="宋体" w:eastAsia="宋体" w:hint="default"/>
                            <w:b/>
                            <w:bCs/>
                            <w:sz w:val="18"/>
                            <w:szCs w:val="18"/>
                          </w:rPr>
                          <w:t>是否申报创新</w:t>
                        </w:r>
                        <w:r>
                          <w:rPr>
                            <w:rFonts w:ascii="宋体" w:hAnsi="宋体" w:cs="宋体" w:eastAsia="宋体" w:hint="default"/>
                            <w:b/>
                            <w:bCs/>
                            <w:w w:val="99"/>
                            <w:sz w:val="18"/>
                            <w:szCs w:val="18"/>
                          </w:rPr>
                          <w:t> </w:t>
                        </w:r>
                        <w:r>
                          <w:rPr>
                            <w:rFonts w:ascii="宋体" w:hAnsi="宋体" w:cs="宋体" w:eastAsia="宋体" w:hint="default"/>
                            <w:b/>
                            <w:bCs/>
                            <w:sz w:val="18"/>
                            <w:szCs w:val="18"/>
                          </w:rPr>
                          <w:t>医疗器械</w:t>
                        </w:r>
                        <w:r>
                          <w:rPr>
                            <w:rFonts w:ascii="宋体" w:hAnsi="宋体" w:cs="宋体" w:eastAsia="宋体" w:hint="default"/>
                            <w:sz w:val="18"/>
                            <w:szCs w:val="18"/>
                          </w:rPr>
                        </w:r>
                      </w:p>
                    </w:tc>
                  </w:tr>
                  <w:tr>
                    <w:trPr>
                      <w:trHeight w:val="1404"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EGFR/KRAS/AL</w:t>
                        </w:r>
                      </w:p>
                      <w:p>
                        <w:pPr>
                          <w:pStyle w:val="TableParagraph"/>
                          <w:spacing w:line="309" w:lineRule="auto" w:before="63"/>
                          <w:ind w:left="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K</w:t>
                        </w:r>
                        <w:r>
                          <w:rPr>
                            <w:rFonts w:ascii="宋体" w:hAnsi="宋体" w:cs="宋体" w:eastAsia="宋体" w:hint="default"/>
                            <w:sz w:val="18"/>
                            <w:szCs w:val="18"/>
                          </w:rPr>
                          <w:t>基因突变联合检 测试剂盒（联合 探针锚定聚合测</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2"/>
                          <w:jc w:val="center"/>
                          <w:rPr>
                            <w:rFonts w:ascii="宋体" w:hAnsi="宋体" w:cs="宋体" w:eastAsia="宋体" w:hint="default"/>
                            <w:sz w:val="18"/>
                            <w:szCs w:val="18"/>
                          </w:rPr>
                        </w:pPr>
                        <w:r>
                          <w:rPr>
                            <w:rFonts w:ascii="宋体" w:hAnsi="宋体" w:cs="宋体" w:eastAsia="宋体" w:hint="default"/>
                            <w:sz w:val="18"/>
                            <w:szCs w:val="18"/>
                          </w:rPr>
                          <w:t>Ⅲ类</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40"/>
                          <w:ind w:left="4" w:right="53"/>
                          <w:jc w:val="both"/>
                          <w:rPr>
                            <w:rFonts w:ascii="宋体" w:hAnsi="宋体" w:cs="宋体" w:eastAsia="宋体" w:hint="default"/>
                            <w:sz w:val="18"/>
                            <w:szCs w:val="18"/>
                          </w:rPr>
                        </w:pPr>
                        <w:r>
                          <w:rPr>
                            <w:rFonts w:ascii="宋体" w:hAnsi="宋体" w:cs="宋体" w:eastAsia="宋体" w:hint="default"/>
                            <w:sz w:val="18"/>
                            <w:szCs w:val="18"/>
                          </w:rPr>
                          <w:t>本试剂盒用于定性检测经临床确诊 为非小细胞肺癌患者的福尔马林固 定石蜡包埋（简称</w:t>
                        </w:r>
                        <w:r>
                          <w:rPr>
                            <w:rFonts w:ascii="Times New Roman" w:hAnsi="Times New Roman" w:cs="Times New Roman" w:eastAsia="Times New Roman" w:hint="default"/>
                            <w:sz w:val="18"/>
                            <w:szCs w:val="18"/>
                          </w:rPr>
                          <w:t>FFPE</w:t>
                        </w:r>
                        <w:r>
                          <w:rPr>
                            <w:rFonts w:ascii="宋体" w:hAnsi="宋体" w:cs="宋体" w:eastAsia="宋体" w:hint="default"/>
                            <w:sz w:val="18"/>
                            <w:szCs w:val="18"/>
                          </w:rPr>
                          <w:t>）病理组织 样本中</w:t>
                        </w:r>
                        <w:r>
                          <w:rPr>
                            <w:rFonts w:ascii="Times New Roman" w:hAnsi="Times New Roman" w:cs="Times New Roman" w:eastAsia="Times New Roman" w:hint="default"/>
                            <w:sz w:val="18"/>
                            <w:szCs w:val="18"/>
                          </w:rPr>
                          <w:t>EGFR</w:t>
                        </w:r>
                        <w:r>
                          <w:rPr>
                            <w:rFonts w:ascii="宋体" w:hAnsi="宋体" w:cs="宋体" w:eastAsia="宋体" w:hint="default"/>
                            <w:sz w:val="18"/>
                            <w:szCs w:val="18"/>
                          </w:rPr>
                          <w:t>基因、</w:t>
                        </w:r>
                        <w:r>
                          <w:rPr>
                            <w:rFonts w:ascii="Times New Roman" w:hAnsi="Times New Roman" w:cs="Times New Roman" w:eastAsia="Times New Roman" w:hint="default"/>
                            <w:sz w:val="18"/>
                            <w:szCs w:val="18"/>
                          </w:rPr>
                          <w:t>KRAS</w:t>
                        </w:r>
                        <w:r>
                          <w:rPr>
                            <w:rFonts w:ascii="宋体" w:hAnsi="宋体" w:cs="宋体" w:eastAsia="宋体" w:hint="default"/>
                            <w:sz w:val="18"/>
                            <w:szCs w:val="18"/>
                          </w:rPr>
                          <w:t>基因和</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临床试验</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、处于注册申请中的医疗器械注册证产品的基本情况</w:t>
      </w:r>
      <w:r>
        <w:rPr>
          <w:rFonts w:ascii="宋体" w:hAnsi="宋体" w:cs="宋体" w:eastAsia="宋体" w:hint="default"/>
          <w:b/>
          <w:bCs/>
          <w:w w:val="99"/>
          <w:sz w:val="18"/>
          <w:szCs w:val="18"/>
        </w:rPr>
        <w:t> </w:t>
      </w:r>
      <w:r>
        <w:rPr>
          <w:rFonts w:ascii="宋体" w:hAnsi="宋体" w:cs="宋体" w:eastAsia="宋体" w:hint="default"/>
          <w:sz w:val="18"/>
          <w:szCs w:val="18"/>
        </w:rPr>
        <w:t>截至报告期末，处于注册申请中的Ⅱ类、Ⅲ类医疗器械注册证共计</w:t>
      </w:r>
      <w:r>
        <w:rPr>
          <w:rFonts w:ascii="Times New Roman" w:hAnsi="Times New Roman" w:cs="Times New Roman" w:eastAsia="Times New Roman" w:hint="default"/>
          <w:sz w:val="18"/>
          <w:szCs w:val="18"/>
        </w:rPr>
        <w:t>14</w:t>
      </w:r>
      <w:r>
        <w:rPr>
          <w:rFonts w:ascii="宋体" w:hAnsi="宋体" w:cs="宋体" w:eastAsia="宋体" w:hint="default"/>
          <w:sz w:val="18"/>
          <w:szCs w:val="18"/>
        </w:rPr>
        <w:t>项。具体信息详见下表：</w:t>
      </w:r>
    </w:p>
    <w:p>
      <w:pPr>
        <w:spacing w:after="0" w:line="66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72" w:type="dxa"/>
        <w:tblLayout w:type="fixed"/>
        <w:tblCellMar>
          <w:top w:w="0" w:type="dxa"/>
          <w:left w:w="0" w:type="dxa"/>
          <w:bottom w:w="0" w:type="dxa"/>
          <w:right w:w="0" w:type="dxa"/>
        </w:tblCellMar>
        <w:tblLook w:val="01E0"/>
      </w:tblPr>
      <w:tblGrid>
        <w:gridCol w:w="564"/>
        <w:gridCol w:w="1411"/>
        <w:gridCol w:w="1270"/>
        <w:gridCol w:w="2825"/>
        <w:gridCol w:w="1411"/>
        <w:gridCol w:w="987"/>
        <w:gridCol w:w="1282"/>
      </w:tblGrid>
      <w:tr>
        <w:trPr>
          <w:trHeight w:val="2652" w:hRule="exact"/>
        </w:trPr>
        <w:tc>
          <w:tcPr>
            <w:tcW w:w="564"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序法）</w:t>
            </w:r>
          </w:p>
        </w:tc>
        <w:tc>
          <w:tcPr>
            <w:tcW w:w="1270" w:type="dxa"/>
            <w:tcBorders>
              <w:top w:val="single" w:sz="6" w:space="0" w:color="000000"/>
              <w:left w:val="single" w:sz="6" w:space="0" w:color="000000"/>
              <w:bottom w:val="single" w:sz="6" w:space="0" w:color="000000"/>
              <w:right w:val="single" w:sz="6" w:space="0" w:color="000000"/>
            </w:tcBorders>
          </w:tcPr>
          <w:p>
            <w:pP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ALK</w:t>
            </w:r>
            <w:r>
              <w:rPr>
                <w:rFonts w:ascii="宋体" w:hAnsi="宋体" w:cs="宋体" w:eastAsia="宋体" w:hint="default"/>
                <w:sz w:val="18"/>
                <w:szCs w:val="18"/>
              </w:rPr>
              <w:t>基因中发生的突变，包括 </w:t>
            </w:r>
            <w:r>
              <w:rPr>
                <w:rFonts w:ascii="Times New Roman" w:hAnsi="Times New Roman" w:cs="Times New Roman" w:eastAsia="Times New Roman" w:hint="default"/>
                <w:sz w:val="18"/>
                <w:szCs w:val="18"/>
              </w:rPr>
              <w:t>EGFR</w:t>
            </w:r>
            <w:r>
              <w:rPr>
                <w:rFonts w:ascii="宋体" w:hAnsi="宋体" w:cs="宋体" w:eastAsia="宋体" w:hint="default"/>
                <w:sz w:val="18"/>
                <w:szCs w:val="18"/>
              </w:rPr>
              <w:t>基因</w:t>
            </w:r>
            <w:r>
              <w:rPr>
                <w:rFonts w:ascii="Times New Roman" w:hAnsi="Times New Roman" w:cs="Times New Roman" w:eastAsia="Times New Roman" w:hint="default"/>
                <w:sz w:val="18"/>
                <w:szCs w:val="18"/>
              </w:rPr>
              <w:t>L858R</w:t>
            </w:r>
            <w:r>
              <w:rPr>
                <w:rFonts w:ascii="宋体" w:hAnsi="宋体" w:cs="宋体" w:eastAsia="宋体" w:hint="default"/>
                <w:sz w:val="18"/>
                <w:szCs w:val="18"/>
              </w:rPr>
              <w:t>、</w:t>
            </w:r>
            <w:r>
              <w:rPr>
                <w:rFonts w:ascii="Times New Roman" w:hAnsi="Times New Roman" w:cs="Times New Roman" w:eastAsia="Times New Roman" w:hint="default"/>
                <w:sz w:val="18"/>
                <w:szCs w:val="18"/>
              </w:rPr>
              <w:t>T790M</w:t>
            </w:r>
            <w:r>
              <w:rPr>
                <w:rFonts w:ascii="宋体" w:hAnsi="宋体" w:cs="宋体" w:eastAsia="宋体" w:hint="default"/>
                <w:sz w:val="18"/>
                <w:szCs w:val="18"/>
              </w:rPr>
              <w:t>、</w:t>
            </w:r>
            <w:r>
              <w:rPr>
                <w:rFonts w:ascii="Times New Roman" w:hAnsi="Times New Roman" w:cs="Times New Roman" w:eastAsia="Times New Roman" w:hint="default"/>
                <w:sz w:val="18"/>
                <w:szCs w:val="18"/>
              </w:rPr>
              <w:t>G719X</w:t>
            </w:r>
          </w:p>
          <w:p>
            <w:pPr>
              <w:pStyle w:val="TableParagraph"/>
              <w:spacing w:line="312" w:lineRule="auto" w:before="13"/>
              <w:ind w:left="4" w:right="72"/>
              <w:jc w:val="left"/>
              <w:rPr>
                <w:rFonts w:ascii="宋体" w:hAnsi="宋体" w:cs="宋体" w:eastAsia="宋体" w:hint="default"/>
                <w:sz w:val="18"/>
                <w:szCs w:val="18"/>
              </w:rPr>
            </w:pPr>
            <w:r>
              <w:rPr>
                <w:rFonts w:ascii="宋体" w:hAnsi="宋体" w:cs="宋体" w:eastAsia="宋体" w:hint="default"/>
                <w:sz w:val="18"/>
                <w:szCs w:val="18"/>
              </w:rPr>
              <w:t>突变，</w:t>
            </w:r>
            <w:r>
              <w:rPr>
                <w:rFonts w:ascii="Times New Roman" w:hAnsi="Times New Roman" w:cs="Times New Roman" w:eastAsia="Times New Roman" w:hint="default"/>
                <w:sz w:val="18"/>
                <w:szCs w:val="18"/>
              </w:rPr>
              <w:t>EGFR</w:t>
            </w:r>
            <w:r>
              <w:rPr>
                <w:rFonts w:ascii="宋体" w:hAnsi="宋体" w:cs="宋体" w:eastAsia="宋体" w:hint="default"/>
                <w:sz w:val="18"/>
                <w:szCs w:val="18"/>
              </w:rPr>
              <w:t>基因</w:t>
            </w:r>
            <w:r>
              <w:rPr>
                <w:rFonts w:ascii="Times New Roman" w:hAnsi="Times New Roman" w:cs="Times New Roman" w:eastAsia="Times New Roman" w:hint="default"/>
                <w:sz w:val="18"/>
                <w:szCs w:val="18"/>
              </w:rPr>
              <w:t>19</w:t>
            </w:r>
            <w:r>
              <w:rPr>
                <w:rFonts w:ascii="宋体" w:hAnsi="宋体" w:cs="宋体" w:eastAsia="宋体" w:hint="default"/>
                <w:sz w:val="18"/>
                <w:szCs w:val="18"/>
              </w:rPr>
              <w:t>外显子缺失， </w:t>
            </w:r>
            <w:r>
              <w:rPr>
                <w:rFonts w:ascii="Times New Roman" w:hAnsi="Times New Roman" w:cs="Times New Roman" w:eastAsia="Times New Roman" w:hint="default"/>
                <w:sz w:val="18"/>
                <w:szCs w:val="18"/>
              </w:rPr>
              <w:t>KRAS</w:t>
            </w:r>
            <w:r>
              <w:rPr>
                <w:rFonts w:ascii="宋体" w:hAnsi="宋体" w:cs="宋体" w:eastAsia="宋体" w:hint="default"/>
                <w:sz w:val="18"/>
                <w:szCs w:val="18"/>
              </w:rPr>
              <w:t>基因</w:t>
            </w:r>
            <w:r>
              <w:rPr>
                <w:rFonts w:ascii="Times New Roman" w:hAnsi="Times New Roman" w:cs="Times New Roman" w:eastAsia="Times New Roman" w:hint="default"/>
                <w:sz w:val="18"/>
                <w:szCs w:val="18"/>
              </w:rPr>
              <w:t>G12D</w:t>
            </w:r>
            <w:r>
              <w:rPr>
                <w:rFonts w:ascii="宋体" w:hAnsi="宋体" w:cs="宋体" w:eastAsia="宋体" w:hint="default"/>
                <w:sz w:val="18"/>
                <w:szCs w:val="18"/>
              </w:rPr>
              <w:t>突变和</w:t>
            </w:r>
            <w:r>
              <w:rPr>
                <w:rFonts w:ascii="Times New Roman" w:hAnsi="Times New Roman" w:cs="Times New Roman" w:eastAsia="Times New Roman" w:hint="default"/>
                <w:sz w:val="18"/>
                <w:szCs w:val="18"/>
              </w:rPr>
              <w:t>ALK</w:t>
            </w:r>
            <w:r>
              <w:rPr>
                <w:rFonts w:ascii="宋体" w:hAnsi="宋体" w:cs="宋体" w:eastAsia="宋体" w:hint="default"/>
                <w:sz w:val="18"/>
                <w:szCs w:val="18"/>
              </w:rPr>
              <w:t>融合基 因。本试剂盒仅用于对非小细胞肺 癌患者靶基因序列的检测，其检测 结果用于非小细胞肺癌患者的靶向 用药参考。</w:t>
            </w:r>
          </w:p>
        </w:tc>
        <w:tc>
          <w:tcPr>
            <w:tcW w:w="1411" w:type="dxa"/>
            <w:tcBorders>
              <w:top w:val="single" w:sz="6" w:space="0" w:color="000000"/>
              <w:left w:val="single" w:sz="6" w:space="0" w:color="000000"/>
              <w:bottom w:val="single" w:sz="6" w:space="0" w:color="000000"/>
              <w:right w:val="single" w:sz="6" w:space="0" w:color="000000"/>
            </w:tcBorders>
          </w:tcPr>
          <w:p>
            <w:pPr/>
          </w:p>
        </w:tc>
        <w:tc>
          <w:tcPr>
            <w:tcW w:w="987"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r>
      <w:tr>
        <w:trPr>
          <w:trHeight w:val="2146"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40"/>
              <w:ind w:left="2"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BRCA1/2</w:t>
            </w:r>
            <w:r>
              <w:rPr>
                <w:rFonts w:ascii="宋体" w:hAnsi="宋体" w:cs="宋体" w:eastAsia="宋体" w:hint="default"/>
                <w:sz w:val="18"/>
                <w:szCs w:val="18"/>
              </w:rPr>
              <w:t>基因突</w:t>
            </w:r>
            <w:r>
              <w:rPr>
                <w:rFonts w:ascii="宋体" w:hAnsi="宋体" w:cs="宋体" w:eastAsia="宋体" w:hint="default"/>
                <w:w w:val="99"/>
                <w:sz w:val="18"/>
                <w:szCs w:val="18"/>
              </w:rPr>
              <w:t> </w:t>
            </w:r>
            <w:r>
              <w:rPr>
                <w:rFonts w:ascii="宋体" w:hAnsi="宋体" w:cs="宋体" w:eastAsia="宋体" w:hint="default"/>
                <w:sz w:val="18"/>
                <w:szCs w:val="18"/>
              </w:rPr>
              <w:t>变检测试剂盒</w:t>
            </w:r>
          </w:p>
          <w:p>
            <w:pPr>
              <w:pStyle w:val="TableParagraph"/>
              <w:spacing w:line="316" w:lineRule="auto" w:before="32"/>
              <w:ind w:left="2" w:right="132"/>
              <w:jc w:val="left"/>
              <w:rPr>
                <w:rFonts w:ascii="宋体" w:hAnsi="宋体" w:cs="宋体" w:eastAsia="宋体" w:hint="default"/>
                <w:sz w:val="18"/>
                <w:szCs w:val="18"/>
              </w:rPr>
            </w:pPr>
            <w:r>
              <w:rPr>
                <w:rFonts w:ascii="宋体" w:hAnsi="宋体" w:cs="宋体" w:eastAsia="宋体" w:hint="default"/>
                <w:sz w:val="18"/>
                <w:szCs w:val="18"/>
              </w:rPr>
              <w:t>（联合探针锚定 聚合测序法）</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2"/>
              <w:jc w:val="center"/>
              <w:rPr>
                <w:rFonts w:ascii="宋体" w:hAnsi="宋体" w:cs="宋体" w:eastAsia="宋体" w:hint="default"/>
                <w:sz w:val="18"/>
                <w:szCs w:val="18"/>
              </w:rPr>
            </w:pPr>
            <w:r>
              <w:rPr>
                <w:rFonts w:ascii="宋体" w:hAnsi="宋体" w:cs="宋体" w:eastAsia="宋体" w:hint="default"/>
                <w:sz w:val="18"/>
                <w:szCs w:val="18"/>
              </w:rPr>
              <w:t>Ⅲ类</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40"/>
              <w:ind w:left="4" w:right="103"/>
              <w:jc w:val="both"/>
              <w:rPr>
                <w:rFonts w:ascii="宋体" w:hAnsi="宋体" w:cs="宋体" w:eastAsia="宋体" w:hint="default"/>
                <w:sz w:val="18"/>
                <w:szCs w:val="18"/>
              </w:rPr>
            </w:pPr>
            <w:r>
              <w:rPr>
                <w:rFonts w:ascii="宋体" w:hAnsi="宋体" w:cs="宋体" w:eastAsia="宋体" w:hint="default"/>
                <w:sz w:val="18"/>
                <w:szCs w:val="18"/>
              </w:rPr>
              <w:t>本试剂盒用于定性检测经临床确诊 为卵巢癌</w:t>
            </w:r>
            <w:r>
              <w:rPr>
                <w:rFonts w:ascii="Times New Roman" w:hAnsi="Times New Roman" w:cs="Times New Roman" w:eastAsia="Times New Roman" w:hint="default"/>
                <w:sz w:val="18"/>
                <w:szCs w:val="18"/>
              </w:rPr>
              <w:t>(</w:t>
            </w:r>
            <w:r>
              <w:rPr>
                <w:rFonts w:ascii="宋体" w:hAnsi="宋体" w:cs="宋体" w:eastAsia="宋体" w:hint="default"/>
                <w:sz w:val="18"/>
                <w:szCs w:val="18"/>
              </w:rPr>
              <w:t>及乳腺癌</w:t>
            </w:r>
            <w:r>
              <w:rPr>
                <w:rFonts w:ascii="Times New Roman" w:hAnsi="Times New Roman" w:cs="Times New Roman" w:eastAsia="Times New Roman" w:hint="default"/>
                <w:sz w:val="18"/>
                <w:szCs w:val="18"/>
              </w:rPr>
              <w:t>)</w:t>
            </w:r>
            <w:r>
              <w:rPr>
                <w:rFonts w:ascii="宋体" w:hAnsi="宋体" w:cs="宋体" w:eastAsia="宋体" w:hint="default"/>
                <w:sz w:val="18"/>
                <w:szCs w:val="18"/>
              </w:rPr>
              <w:t>患者的血液样 本中的</w:t>
            </w:r>
            <w:r>
              <w:rPr>
                <w:rFonts w:ascii="Times New Roman" w:hAnsi="Times New Roman" w:cs="Times New Roman" w:eastAsia="Times New Roman" w:hint="default"/>
                <w:sz w:val="18"/>
                <w:szCs w:val="18"/>
              </w:rPr>
              <w:t>BRCA1/2</w:t>
            </w:r>
            <w:r>
              <w:rPr>
                <w:rFonts w:ascii="宋体" w:hAnsi="宋体" w:cs="宋体" w:eastAsia="宋体" w:hint="default"/>
                <w:sz w:val="18"/>
                <w:szCs w:val="18"/>
              </w:rPr>
              <w:t>基因生殖系变异， 包括</w:t>
            </w:r>
            <w:r>
              <w:rPr>
                <w:rFonts w:ascii="Times New Roman" w:hAnsi="Times New Roman" w:cs="Times New Roman" w:eastAsia="Times New Roman" w:hint="default"/>
                <w:sz w:val="18"/>
                <w:szCs w:val="18"/>
              </w:rPr>
              <w:t>BRCA1/2</w:t>
            </w:r>
            <w:r>
              <w:rPr>
                <w:rFonts w:ascii="宋体" w:hAnsi="宋体" w:cs="宋体" w:eastAsia="宋体" w:hint="default"/>
                <w:sz w:val="18"/>
                <w:szCs w:val="18"/>
              </w:rPr>
              <w:t>基因外显子区的移码 突变、无义突变以及邻近</w:t>
            </w:r>
            <w:r>
              <w:rPr>
                <w:rFonts w:ascii="Times New Roman" w:hAnsi="Times New Roman" w:cs="Times New Roman" w:eastAsia="Times New Roman" w:hint="default"/>
                <w:sz w:val="18"/>
                <w:szCs w:val="18"/>
              </w:rPr>
              <w:t>15bp</w:t>
            </w:r>
            <w:r>
              <w:rPr>
                <w:rFonts w:ascii="宋体" w:hAnsi="宋体" w:cs="宋体" w:eastAsia="宋体" w:hint="default"/>
                <w:sz w:val="18"/>
                <w:szCs w:val="18"/>
              </w:rPr>
              <w:t>内含 子区的剪切位点突变。</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336"/>
              <w:jc w:val="right"/>
              <w:rPr>
                <w:rFonts w:ascii="宋体" w:hAnsi="宋体" w:cs="宋体" w:eastAsia="宋体" w:hint="default"/>
                <w:sz w:val="18"/>
                <w:szCs w:val="18"/>
              </w:rPr>
            </w:pPr>
            <w:r>
              <w:rPr>
                <w:rFonts w:ascii="宋体" w:hAnsi="宋体" w:cs="宋体" w:eastAsia="宋体" w:hint="default"/>
                <w:sz w:val="18"/>
                <w:szCs w:val="18"/>
              </w:rPr>
              <w:t>临床试验</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54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524"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2"/>
              <w:ind w:left="2" w:right="132"/>
              <w:jc w:val="both"/>
              <w:rPr>
                <w:rFonts w:ascii="宋体" w:hAnsi="宋体" w:cs="宋体" w:eastAsia="宋体" w:hint="default"/>
                <w:sz w:val="18"/>
                <w:szCs w:val="18"/>
              </w:rPr>
            </w:pPr>
            <w:r>
              <w:rPr>
                <w:rFonts w:ascii="宋体" w:hAnsi="宋体" w:cs="宋体" w:eastAsia="宋体" w:hint="default"/>
                <w:sz w:val="18"/>
                <w:szCs w:val="18"/>
              </w:rPr>
              <w:t>遗传性耳聋基因 检测试剂盒（联 合探针锚定聚合 测序法）</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Ⅲ类</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2"/>
              <w:ind w:left="4" w:right="19"/>
              <w:jc w:val="left"/>
              <w:rPr>
                <w:rFonts w:ascii="宋体" w:hAnsi="宋体" w:cs="宋体" w:eastAsia="宋体" w:hint="default"/>
                <w:sz w:val="18"/>
                <w:szCs w:val="18"/>
              </w:rPr>
            </w:pPr>
            <w:r>
              <w:rPr>
                <w:rFonts w:ascii="宋体" w:hAnsi="宋体" w:cs="宋体" w:eastAsia="宋体" w:hint="default"/>
                <w:sz w:val="18"/>
                <w:szCs w:val="18"/>
              </w:rPr>
              <w:t>本试剂盒用于体外定性检测干血片 样本中人基因组</w:t>
            </w:r>
            <w:r>
              <w:rPr>
                <w:rFonts w:ascii="Times New Roman" w:hAnsi="Times New Roman" w:cs="Times New Roman" w:eastAsia="Times New Roman" w:hint="default"/>
                <w:sz w:val="18"/>
                <w:szCs w:val="18"/>
              </w:rPr>
              <w:t>DNA </w:t>
            </w:r>
            <w:r>
              <w:rPr>
                <w:rFonts w:ascii="宋体" w:hAnsi="宋体" w:cs="宋体" w:eastAsia="宋体" w:hint="default"/>
                <w:sz w:val="18"/>
                <w:szCs w:val="18"/>
              </w:rPr>
              <w:t>的</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个遗传性 耳聋基因的</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个突变位点，检测结 果提供</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个位点的突变类型。</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336"/>
              <w:jc w:val="right"/>
              <w:rPr>
                <w:rFonts w:ascii="宋体" w:hAnsi="宋体" w:cs="宋体" w:eastAsia="宋体" w:hint="default"/>
                <w:sz w:val="18"/>
                <w:szCs w:val="18"/>
              </w:rPr>
            </w:pPr>
            <w:r>
              <w:rPr>
                <w:rFonts w:ascii="宋体" w:hAnsi="宋体" w:cs="宋体" w:eastAsia="宋体" w:hint="default"/>
                <w:sz w:val="18"/>
                <w:szCs w:val="18"/>
              </w:rPr>
              <w:t>临床试验</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54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770"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40"/>
              <w:ind w:left="2" w:right="132"/>
              <w:jc w:val="both"/>
              <w:rPr>
                <w:rFonts w:ascii="宋体" w:hAnsi="宋体" w:cs="宋体" w:eastAsia="宋体" w:hint="default"/>
                <w:sz w:val="18"/>
                <w:szCs w:val="18"/>
              </w:rPr>
            </w:pPr>
            <w:r>
              <w:rPr>
                <w:rFonts w:ascii="宋体" w:hAnsi="宋体" w:cs="宋体" w:eastAsia="宋体" w:hint="default"/>
                <w:sz w:val="18"/>
                <w:szCs w:val="18"/>
              </w:rPr>
              <w:t>胚胎植入前染色 体非整倍体分析 软件</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40"/>
              <w:ind w:left="4" w:right="12"/>
              <w:jc w:val="left"/>
              <w:rPr>
                <w:rFonts w:ascii="宋体" w:hAnsi="宋体" w:cs="宋体" w:eastAsia="宋体" w:hint="default"/>
                <w:sz w:val="18"/>
                <w:szCs w:val="18"/>
              </w:rPr>
            </w:pPr>
            <w:r>
              <w:rPr>
                <w:rFonts w:ascii="宋体" w:hAnsi="宋体" w:cs="宋体" w:eastAsia="宋体" w:hint="default"/>
                <w:sz w:val="18"/>
                <w:szCs w:val="18"/>
              </w:rPr>
              <w:t>本软件对体外受精－胚胎移植</w:t>
            </w:r>
            <w:r>
              <w:rPr>
                <w:rFonts w:ascii="Times New Roman" w:hAnsi="Times New Roman" w:cs="Times New Roman" w:eastAsia="Times New Roman" w:hint="default"/>
                <w:sz w:val="18"/>
                <w:szCs w:val="18"/>
              </w:rPr>
              <w:t>(In vitro fertilization-embryo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transfer,</w:t>
            </w:r>
            <w:r>
              <w:rPr>
                <w:rFonts w:ascii="Times New Roman" w:hAnsi="Times New Roman" w:cs="Times New Roman" w:eastAsia="Times New Roman" w:hint="default"/>
                <w:sz w:val="18"/>
                <w:szCs w:val="18"/>
              </w:rPr>
              <w:t> IVF-ET)</w:t>
            </w:r>
            <w:r>
              <w:rPr>
                <w:rFonts w:ascii="宋体" w:hAnsi="宋体" w:cs="宋体" w:eastAsia="宋体" w:hint="default"/>
                <w:sz w:val="18"/>
                <w:szCs w:val="18"/>
              </w:rPr>
              <w:t>的胚胎细胞在基因测序仪上</w:t>
            </w:r>
          </w:p>
          <w:p>
            <w:pPr>
              <w:pStyle w:val="TableParagraph"/>
              <w:spacing w:line="309" w:lineRule="auto"/>
              <w:ind w:left="4" w:right="73"/>
              <w:jc w:val="both"/>
              <w:rPr>
                <w:rFonts w:ascii="宋体" w:hAnsi="宋体" w:cs="宋体" w:eastAsia="宋体" w:hint="default"/>
                <w:sz w:val="18"/>
                <w:szCs w:val="18"/>
              </w:rPr>
            </w:pPr>
            <w:r>
              <w:rPr>
                <w:rFonts w:ascii="宋体" w:hAnsi="宋体" w:cs="宋体" w:eastAsia="宋体" w:hint="default"/>
                <w:sz w:val="18"/>
                <w:szCs w:val="18"/>
              </w:rPr>
              <w:t>获得的基因组</w:t>
            </w:r>
            <w:r>
              <w:rPr>
                <w:rFonts w:ascii="Times New Roman" w:hAnsi="Times New Roman" w:cs="Times New Roman" w:eastAsia="Times New Roman" w:hint="default"/>
                <w:sz w:val="18"/>
                <w:szCs w:val="18"/>
              </w:rPr>
              <w:t>DNA</w:t>
            </w:r>
            <w:r>
              <w:rPr>
                <w:rFonts w:ascii="宋体" w:hAnsi="宋体" w:cs="宋体" w:eastAsia="宋体" w:hint="default"/>
                <w:sz w:val="18"/>
                <w:szCs w:val="18"/>
              </w:rPr>
              <w:t>序列数据进行计 算，获得与之对应的参考序列比对 结果，并根据阈值进行统计和筛选 以达到对</w:t>
            </w:r>
            <w:r>
              <w:rPr>
                <w:rFonts w:ascii="Times New Roman" w:hAnsi="Times New Roman" w:cs="Times New Roman" w:eastAsia="Times New Roman" w:hint="default"/>
                <w:sz w:val="18"/>
                <w:szCs w:val="18"/>
              </w:rPr>
              <w:t>24</w:t>
            </w:r>
            <w:r>
              <w:rPr>
                <w:rFonts w:ascii="宋体" w:hAnsi="宋体" w:cs="宋体" w:eastAsia="宋体" w:hint="default"/>
                <w:sz w:val="18"/>
                <w:szCs w:val="18"/>
              </w:rPr>
              <w:t>条染色体非整倍体检出 的目的。</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336"/>
              <w:jc w:val="right"/>
              <w:rPr>
                <w:rFonts w:ascii="宋体" w:hAnsi="宋体" w:cs="宋体" w:eastAsia="宋体" w:hint="default"/>
                <w:sz w:val="18"/>
                <w:szCs w:val="18"/>
              </w:rPr>
            </w:pPr>
            <w:r>
              <w:rPr>
                <w:rFonts w:ascii="宋体" w:hAnsi="宋体" w:cs="宋体" w:eastAsia="宋体" w:hint="default"/>
                <w:sz w:val="18"/>
                <w:szCs w:val="18"/>
              </w:rPr>
              <w:t>审评发补</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54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97"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42"/>
              <w:ind w:left="2" w:right="5"/>
              <w:jc w:val="left"/>
              <w:rPr>
                <w:rFonts w:ascii="宋体" w:hAnsi="宋体" w:cs="宋体" w:eastAsia="宋体" w:hint="default"/>
                <w:sz w:val="18"/>
                <w:szCs w:val="18"/>
              </w:rPr>
            </w:pPr>
            <w:r>
              <w:rPr>
                <w:rFonts w:ascii="宋体" w:hAnsi="宋体" w:cs="宋体" w:eastAsia="宋体" w:hint="default"/>
                <w:sz w:val="18"/>
                <w:szCs w:val="18"/>
              </w:rPr>
              <w:t>遗传性</w:t>
            </w:r>
            <w:r>
              <w:rPr>
                <w:rFonts w:ascii="Times New Roman" w:hAnsi="Times New Roman" w:cs="Times New Roman" w:eastAsia="Times New Roman" w:hint="default"/>
                <w:sz w:val="18"/>
                <w:szCs w:val="18"/>
              </w:rPr>
              <w:t>BRCA</w:t>
            </w:r>
            <w:r>
              <w:rPr>
                <w:rFonts w:ascii="宋体" w:hAnsi="宋体" w:cs="宋体" w:eastAsia="宋体" w:hint="default"/>
                <w:sz w:val="18"/>
                <w:szCs w:val="18"/>
              </w:rPr>
              <w:t>基因 分析注释软件</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Ⅲ类</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42"/>
              <w:ind w:left="4" w:right="105"/>
              <w:jc w:val="left"/>
              <w:rPr>
                <w:rFonts w:ascii="宋体" w:hAnsi="宋体" w:cs="宋体" w:eastAsia="宋体" w:hint="default"/>
                <w:sz w:val="18"/>
                <w:szCs w:val="18"/>
              </w:rPr>
            </w:pPr>
            <w:r>
              <w:rPr>
                <w:rFonts w:ascii="宋体" w:hAnsi="宋体" w:cs="宋体" w:eastAsia="宋体" w:hint="default"/>
                <w:sz w:val="18"/>
                <w:szCs w:val="18"/>
              </w:rPr>
              <w:t>本产品适用于遗传性</w:t>
            </w:r>
            <w:r>
              <w:rPr>
                <w:rFonts w:ascii="Times New Roman" w:hAnsi="Times New Roman" w:cs="Times New Roman" w:eastAsia="Times New Roman" w:hint="default"/>
                <w:sz w:val="18"/>
                <w:szCs w:val="18"/>
              </w:rPr>
              <w:t>BRCA</w:t>
            </w:r>
            <w:r>
              <w:rPr>
                <w:rFonts w:ascii="宋体" w:hAnsi="宋体" w:cs="宋体" w:eastAsia="宋体" w:hint="default"/>
                <w:sz w:val="18"/>
                <w:szCs w:val="18"/>
              </w:rPr>
              <w:t>基因检 测数据的分析和注释，通过对测序</w:t>
            </w:r>
          </w:p>
          <w:p>
            <w:pPr>
              <w:pStyle w:val="TableParagraph"/>
              <w:spacing w:line="309" w:lineRule="auto" w:before="32"/>
              <w:ind w:left="4" w:right="6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NGS</w:t>
            </w:r>
            <w:r>
              <w:rPr>
                <w:rFonts w:ascii="宋体" w:hAnsi="宋体" w:cs="宋体" w:eastAsia="宋体" w:hint="default"/>
                <w:sz w:val="18"/>
                <w:szCs w:val="18"/>
              </w:rPr>
              <w:t>）数据的质控、过滤、比 对，获得对应参考序列比对结果。 基于比对结果，进行变异分析，得 到</w:t>
            </w:r>
            <w:r>
              <w:rPr>
                <w:rFonts w:ascii="Times New Roman" w:hAnsi="Times New Roman" w:cs="Times New Roman" w:eastAsia="Times New Roman" w:hint="default"/>
                <w:sz w:val="18"/>
                <w:szCs w:val="18"/>
              </w:rPr>
              <w:t>BRCA1/2</w:t>
            </w:r>
            <w:r>
              <w:rPr>
                <w:rFonts w:ascii="宋体" w:hAnsi="宋体" w:cs="宋体" w:eastAsia="宋体" w:hint="default"/>
                <w:sz w:val="18"/>
                <w:szCs w:val="18"/>
              </w:rPr>
              <w:t>基因突变的分析结果， 包含</w:t>
            </w:r>
            <w:r>
              <w:rPr>
                <w:rFonts w:ascii="Times New Roman" w:hAnsi="Times New Roman" w:cs="Times New Roman" w:eastAsia="Times New Roman" w:hint="default"/>
                <w:sz w:val="18"/>
                <w:szCs w:val="18"/>
              </w:rPr>
              <w:t>SNP</w:t>
            </w:r>
            <w:r>
              <w:rPr>
                <w:rFonts w:ascii="宋体" w:hAnsi="宋体" w:cs="宋体" w:eastAsia="宋体" w:hint="default"/>
                <w:sz w:val="18"/>
                <w:szCs w:val="18"/>
              </w:rPr>
              <w:t>、</w:t>
            </w:r>
            <w:r>
              <w:rPr>
                <w:rFonts w:ascii="Times New Roman" w:hAnsi="Times New Roman" w:cs="Times New Roman" w:eastAsia="Times New Roman" w:hint="default"/>
                <w:sz w:val="18"/>
                <w:szCs w:val="18"/>
              </w:rPr>
              <w:t>InDel</w:t>
            </w:r>
            <w:r>
              <w:rPr>
                <w:rFonts w:ascii="宋体" w:hAnsi="宋体" w:cs="宋体" w:eastAsia="宋体" w:hint="default"/>
                <w:sz w:val="18"/>
                <w:szCs w:val="18"/>
              </w:rPr>
              <w:t>、</w:t>
            </w:r>
            <w:r>
              <w:rPr>
                <w:rFonts w:ascii="Times New Roman" w:hAnsi="Times New Roman" w:cs="Times New Roman" w:eastAsia="Times New Roman" w:hint="default"/>
                <w:sz w:val="18"/>
                <w:szCs w:val="18"/>
              </w:rPr>
              <w:t>CNV</w:t>
            </w:r>
            <w:r>
              <w:rPr>
                <w:rFonts w:ascii="宋体" w:hAnsi="宋体" w:cs="宋体" w:eastAsia="宋体" w:hint="default"/>
                <w:sz w:val="18"/>
                <w:szCs w:val="18"/>
              </w:rPr>
              <w:t>三种突变类 型，并对突变检测结果进行注释， 预测蛋白质层面的序列改变，进而 对突变致病性进行分级。</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336"/>
              <w:jc w:val="right"/>
              <w:rPr>
                <w:rFonts w:ascii="宋体" w:hAnsi="宋体" w:cs="宋体" w:eastAsia="宋体" w:hint="default"/>
                <w:sz w:val="18"/>
                <w:szCs w:val="18"/>
              </w:rPr>
            </w:pPr>
            <w:r>
              <w:rPr>
                <w:rFonts w:ascii="宋体" w:hAnsi="宋体" w:cs="宋体" w:eastAsia="宋体" w:hint="default"/>
                <w:sz w:val="18"/>
                <w:szCs w:val="18"/>
              </w:rPr>
              <w:t>临床试验</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54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92"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2" w:right="132"/>
              <w:jc w:val="left"/>
              <w:rPr>
                <w:rFonts w:ascii="宋体" w:hAnsi="宋体" w:cs="宋体" w:eastAsia="宋体" w:hint="default"/>
                <w:sz w:val="18"/>
                <w:szCs w:val="18"/>
              </w:rPr>
            </w:pPr>
            <w:r>
              <w:rPr>
                <w:rFonts w:ascii="宋体" w:hAnsi="宋体" w:cs="宋体" w:eastAsia="宋体" w:hint="default"/>
                <w:sz w:val="18"/>
                <w:szCs w:val="18"/>
              </w:rPr>
              <w:t>遗传性耳聋基因 分析软件</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40"/>
              <w:ind w:left="4" w:right="105"/>
              <w:jc w:val="both"/>
              <w:rPr>
                <w:rFonts w:ascii="宋体" w:hAnsi="宋体" w:cs="宋体" w:eastAsia="宋体" w:hint="default"/>
                <w:sz w:val="18"/>
                <w:szCs w:val="18"/>
              </w:rPr>
            </w:pPr>
            <w:r>
              <w:rPr>
                <w:rFonts w:ascii="宋体" w:hAnsi="宋体" w:cs="宋体" w:eastAsia="宋体" w:hint="default"/>
                <w:sz w:val="18"/>
                <w:szCs w:val="18"/>
              </w:rPr>
              <w:t>本软件与测序试剂盒及基因测序仪 配套使用，适用于遗传性耳聋基因 检测数据的分析。产品适用于医疗</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336"/>
              <w:jc w:val="right"/>
              <w:rPr>
                <w:rFonts w:ascii="宋体" w:hAnsi="宋体" w:cs="宋体" w:eastAsia="宋体" w:hint="default"/>
                <w:sz w:val="18"/>
                <w:szCs w:val="18"/>
              </w:rPr>
            </w:pPr>
            <w:r>
              <w:rPr>
                <w:rFonts w:ascii="宋体" w:hAnsi="宋体" w:cs="宋体" w:eastAsia="宋体" w:hint="default"/>
                <w:sz w:val="18"/>
                <w:szCs w:val="18"/>
              </w:rPr>
              <w:t>注册审评</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540"/>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72" w:type="dxa"/>
        <w:tblLayout w:type="fixed"/>
        <w:tblCellMar>
          <w:top w:w="0" w:type="dxa"/>
          <w:left w:w="0" w:type="dxa"/>
          <w:bottom w:w="0" w:type="dxa"/>
          <w:right w:w="0" w:type="dxa"/>
        </w:tblCellMar>
        <w:tblLook w:val="01E0"/>
      </w:tblPr>
      <w:tblGrid>
        <w:gridCol w:w="564"/>
        <w:gridCol w:w="1411"/>
        <w:gridCol w:w="1270"/>
        <w:gridCol w:w="2825"/>
        <w:gridCol w:w="1411"/>
        <w:gridCol w:w="987"/>
        <w:gridCol w:w="1282"/>
      </w:tblGrid>
      <w:tr>
        <w:trPr>
          <w:trHeight w:val="468" w:hRule="exact"/>
        </w:trPr>
        <w:tc>
          <w:tcPr>
            <w:tcW w:w="564"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机构使用。</w:t>
            </w:r>
          </w:p>
        </w:tc>
        <w:tc>
          <w:tcPr>
            <w:tcW w:w="1411" w:type="dxa"/>
            <w:tcBorders>
              <w:top w:val="single" w:sz="6" w:space="0" w:color="000000"/>
              <w:left w:val="single" w:sz="6" w:space="0" w:color="000000"/>
              <w:bottom w:val="single" w:sz="6" w:space="0" w:color="000000"/>
              <w:right w:val="single" w:sz="6" w:space="0" w:color="000000"/>
            </w:tcBorders>
          </w:tcPr>
          <w:p>
            <w:pPr/>
          </w:p>
        </w:tc>
        <w:tc>
          <w:tcPr>
            <w:tcW w:w="987"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r>
      <w:tr>
        <w:trPr>
          <w:trHeight w:val="1522"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sz w:val="18"/>
              </w:rPr>
              <w:t>7</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2" w:right="132"/>
              <w:jc w:val="left"/>
              <w:rPr>
                <w:rFonts w:ascii="宋体" w:hAnsi="宋体" w:cs="宋体" w:eastAsia="宋体" w:hint="default"/>
                <w:sz w:val="18"/>
                <w:szCs w:val="18"/>
              </w:rPr>
            </w:pPr>
            <w:r>
              <w:rPr>
                <w:rFonts w:ascii="宋体" w:hAnsi="宋体" w:cs="宋体" w:eastAsia="宋体" w:hint="default"/>
                <w:sz w:val="18"/>
                <w:szCs w:val="18"/>
              </w:rPr>
              <w:t>非小细胞肺癌突 变基因分析软件</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4" w:right="105"/>
              <w:jc w:val="both"/>
              <w:rPr>
                <w:rFonts w:ascii="宋体" w:hAnsi="宋体" w:cs="宋体" w:eastAsia="宋体" w:hint="default"/>
                <w:sz w:val="18"/>
                <w:szCs w:val="18"/>
              </w:rPr>
            </w:pPr>
            <w:r>
              <w:rPr>
                <w:rFonts w:ascii="宋体" w:hAnsi="宋体" w:cs="宋体" w:eastAsia="宋体" w:hint="default"/>
                <w:sz w:val="18"/>
                <w:szCs w:val="18"/>
              </w:rPr>
              <w:t>本软件与测序试剂盒及基因测序仪 配套使用，适用于非小细胞肺癌突 变基因测序数据的分析。产品适用 于医疗机构使用。</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注册审评</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54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525"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sz w:val="18"/>
              </w:rPr>
              <w:t>8</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2"/>
              <w:ind w:left="2" w:right="132"/>
              <w:jc w:val="left"/>
              <w:rPr>
                <w:rFonts w:ascii="宋体" w:hAnsi="宋体" w:cs="宋体" w:eastAsia="宋体" w:hint="default"/>
                <w:sz w:val="18"/>
                <w:szCs w:val="18"/>
              </w:rPr>
            </w:pPr>
            <w:r>
              <w:rPr>
                <w:rFonts w:ascii="宋体" w:hAnsi="宋体" w:cs="宋体" w:eastAsia="宋体" w:hint="default"/>
                <w:sz w:val="18"/>
                <w:szCs w:val="18"/>
              </w:rPr>
              <w:t>染色体非整倍体 分析软件</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2"/>
              <w:ind w:left="4" w:right="105"/>
              <w:jc w:val="both"/>
              <w:rPr>
                <w:rFonts w:ascii="宋体" w:hAnsi="宋体" w:cs="宋体" w:eastAsia="宋体" w:hint="default"/>
                <w:sz w:val="18"/>
                <w:szCs w:val="18"/>
              </w:rPr>
            </w:pPr>
            <w:r>
              <w:rPr>
                <w:rFonts w:ascii="宋体" w:hAnsi="宋体" w:cs="宋体" w:eastAsia="宋体" w:hint="default"/>
                <w:sz w:val="18"/>
                <w:szCs w:val="18"/>
              </w:rPr>
              <w:t>本软件与测序试剂盒及基因测序仪 配套使用，适用于人流产组织样本 的测序数据分析。产品适用于医疗 机构使用。</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注册审评</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54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834"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9</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0"/>
              <w:ind w:left="2" w:right="132"/>
              <w:jc w:val="both"/>
              <w:rPr>
                <w:rFonts w:ascii="宋体" w:hAnsi="宋体" w:cs="宋体" w:eastAsia="宋体" w:hint="default"/>
                <w:sz w:val="18"/>
                <w:szCs w:val="18"/>
              </w:rPr>
            </w:pPr>
            <w:r>
              <w:rPr>
                <w:rFonts w:ascii="宋体" w:hAnsi="宋体" w:cs="宋体" w:eastAsia="宋体" w:hint="default"/>
                <w:sz w:val="18"/>
                <w:szCs w:val="18"/>
              </w:rPr>
              <w:t>抗甲状腺球蛋白 抗体（</w:t>
            </w:r>
            <w:r>
              <w:rPr>
                <w:rFonts w:ascii="Times New Roman" w:hAnsi="Times New Roman" w:cs="Times New Roman" w:eastAsia="Times New Roman" w:hint="default"/>
                <w:sz w:val="18"/>
                <w:szCs w:val="18"/>
              </w:rPr>
              <w:t>TG-Ab</w:t>
            </w:r>
            <w:r>
              <w:rPr>
                <w:rFonts w:ascii="宋体" w:hAnsi="宋体" w:cs="宋体" w:eastAsia="宋体" w:hint="default"/>
                <w:sz w:val="18"/>
                <w:szCs w:val="18"/>
              </w:rPr>
              <w:t>） 测定试剂盒（化 学发光免疫分析 法）</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40"/>
              <w:ind w:left="4" w:right="105"/>
              <w:jc w:val="both"/>
              <w:rPr>
                <w:rFonts w:ascii="宋体" w:hAnsi="宋体" w:cs="宋体" w:eastAsia="宋体" w:hint="default"/>
                <w:sz w:val="18"/>
                <w:szCs w:val="18"/>
              </w:rPr>
            </w:pPr>
            <w:r>
              <w:rPr>
                <w:rFonts w:ascii="宋体" w:hAnsi="宋体" w:cs="宋体" w:eastAsia="宋体" w:hint="default"/>
                <w:sz w:val="18"/>
                <w:szCs w:val="18"/>
              </w:rPr>
              <w:t>本试剂盒用于体外定量测定人血清 中抗甲状腺球蛋白抗体（</w:t>
            </w:r>
            <w:r>
              <w:rPr>
                <w:rFonts w:ascii="Times New Roman" w:hAnsi="Times New Roman" w:cs="Times New Roman" w:eastAsia="Times New Roman" w:hint="default"/>
                <w:sz w:val="18"/>
                <w:szCs w:val="18"/>
              </w:rPr>
              <w:t>TG-Ab</w:t>
            </w:r>
            <w:r>
              <w:rPr>
                <w:rFonts w:ascii="宋体" w:hAnsi="宋体" w:cs="宋体" w:eastAsia="宋体" w:hint="default"/>
                <w:sz w:val="18"/>
                <w:szCs w:val="18"/>
              </w:rPr>
              <w:t>） 的含量。</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准备注册申请</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54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212"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10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42"/>
              <w:ind w:left="2" w:right="35"/>
              <w:jc w:val="left"/>
              <w:rPr>
                <w:rFonts w:ascii="宋体" w:hAnsi="宋体" w:cs="宋体" w:eastAsia="宋体" w:hint="default"/>
                <w:sz w:val="18"/>
                <w:szCs w:val="18"/>
              </w:rPr>
            </w:pPr>
            <w:r>
              <w:rPr>
                <w:rFonts w:ascii="宋体" w:hAnsi="宋体" w:cs="宋体" w:eastAsia="宋体" w:hint="default"/>
                <w:sz w:val="18"/>
                <w:szCs w:val="18"/>
              </w:rPr>
              <w:t>包虫</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抗体检测 试剂盒（酶联免 疫法）</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Ⅲ类</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2"/>
              <w:ind w:left="4" w:right="105"/>
              <w:jc w:val="left"/>
              <w:rPr>
                <w:rFonts w:ascii="宋体" w:hAnsi="宋体" w:cs="宋体" w:eastAsia="宋体" w:hint="default"/>
                <w:sz w:val="18"/>
                <w:szCs w:val="18"/>
              </w:rPr>
            </w:pPr>
            <w:r>
              <w:rPr>
                <w:rFonts w:ascii="宋体" w:hAnsi="宋体" w:cs="宋体" w:eastAsia="宋体" w:hint="default"/>
                <w:sz w:val="18"/>
                <w:szCs w:val="18"/>
              </w:rPr>
              <w:t>本试剂盒用于体外定性检测人血清 中的包虫</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2"/>
              <w:ind w:left="67" w:right="67"/>
              <w:jc w:val="center"/>
              <w:rPr>
                <w:rFonts w:ascii="宋体" w:hAnsi="宋体" w:cs="宋体" w:eastAsia="宋体" w:hint="default"/>
                <w:sz w:val="18"/>
                <w:szCs w:val="18"/>
              </w:rPr>
            </w:pPr>
            <w:r>
              <w:rPr>
                <w:rFonts w:ascii="宋体" w:hAnsi="宋体" w:cs="宋体" w:eastAsia="宋体" w:hint="default"/>
                <w:sz w:val="18"/>
                <w:szCs w:val="18"/>
              </w:rPr>
              <w:t>临床试验阶段： 临床医院正在备 案</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54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834"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11</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40"/>
              <w:ind w:left="2" w:right="89"/>
              <w:jc w:val="both"/>
              <w:rPr>
                <w:rFonts w:ascii="宋体" w:hAnsi="宋体" w:cs="宋体" w:eastAsia="宋体" w:hint="default"/>
                <w:sz w:val="18"/>
                <w:szCs w:val="18"/>
              </w:rPr>
            </w:pPr>
            <w:r>
              <w:rPr>
                <w:rFonts w:ascii="宋体" w:hAnsi="宋体" w:cs="宋体" w:eastAsia="宋体" w:hint="default"/>
                <w:sz w:val="18"/>
                <w:szCs w:val="18"/>
              </w:rPr>
              <w:t>乙型肝炎病毒基 因分型检测试剂 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 针法）</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2"/>
              <w:jc w:val="center"/>
              <w:rPr>
                <w:rFonts w:ascii="宋体" w:hAnsi="宋体" w:cs="宋体" w:eastAsia="宋体" w:hint="default"/>
                <w:sz w:val="18"/>
                <w:szCs w:val="18"/>
              </w:rPr>
            </w:pPr>
            <w:r>
              <w:rPr>
                <w:rFonts w:ascii="宋体" w:hAnsi="宋体" w:cs="宋体" w:eastAsia="宋体" w:hint="default"/>
                <w:sz w:val="18"/>
                <w:szCs w:val="18"/>
              </w:rPr>
              <w:t>Ⅲ类</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本试剂盒用于对乙型肝炎病毒</w:t>
            </w:r>
          </w:p>
          <w:p>
            <w:pPr>
              <w:pStyle w:val="TableParagraph"/>
              <w:spacing w:line="307" w:lineRule="auto" w:before="76"/>
              <w:ind w:left="4"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HBV</w:t>
            </w:r>
            <w:r>
              <w:rPr>
                <w:rFonts w:ascii="宋体" w:hAnsi="宋体" w:cs="宋体" w:eastAsia="宋体" w:hint="default"/>
                <w:sz w:val="18"/>
                <w:szCs w:val="18"/>
              </w:rPr>
              <w:t>）阳性血清样本中的</w:t>
            </w:r>
            <w:r>
              <w:rPr>
                <w:rFonts w:ascii="Times New Roman" w:hAnsi="Times New Roman" w:cs="Times New Roman" w:eastAsia="Times New Roman" w:hint="default"/>
                <w:sz w:val="18"/>
                <w:szCs w:val="18"/>
              </w:rPr>
              <w:t>B</w:t>
            </w:r>
            <w:r>
              <w:rPr>
                <w:rFonts w:ascii="宋体" w:hAnsi="宋体" w:cs="宋体" w:eastAsia="宋体" w:hint="default"/>
                <w:sz w:val="18"/>
                <w:szCs w:val="18"/>
              </w:rPr>
              <w:t>型、</w:t>
            </w:r>
            <w:r>
              <w:rPr>
                <w:rFonts w:ascii="Times New Roman" w:hAnsi="Times New Roman" w:cs="Times New Roman" w:eastAsia="Times New Roman" w:hint="default"/>
                <w:sz w:val="18"/>
                <w:szCs w:val="18"/>
              </w:rPr>
              <w:t>C </w:t>
            </w:r>
            <w:r>
              <w:rPr>
                <w:rFonts w:ascii="宋体" w:hAnsi="宋体" w:cs="宋体" w:eastAsia="宋体" w:hint="default"/>
                <w:sz w:val="18"/>
                <w:szCs w:val="18"/>
              </w:rPr>
              <w:t>型、</w:t>
            </w:r>
            <w:r>
              <w:rPr>
                <w:rFonts w:ascii="Times New Roman" w:hAnsi="Times New Roman" w:cs="Times New Roman" w:eastAsia="Times New Roman" w:hint="default"/>
                <w:sz w:val="18"/>
                <w:szCs w:val="18"/>
              </w:rPr>
              <w:t>D</w:t>
            </w:r>
            <w:r>
              <w:rPr>
                <w:rFonts w:ascii="宋体" w:hAnsi="宋体" w:cs="宋体" w:eastAsia="宋体" w:hint="default"/>
                <w:sz w:val="18"/>
                <w:szCs w:val="18"/>
              </w:rPr>
              <w:t>型进行定性分型检测，不建 议用于未知样本的乙型肝炎病毒核 酸阴性或阳性检测。</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67" w:right="67"/>
              <w:jc w:val="both"/>
              <w:rPr>
                <w:rFonts w:ascii="宋体" w:hAnsi="宋体" w:cs="宋体" w:eastAsia="宋体" w:hint="default"/>
                <w:sz w:val="18"/>
                <w:szCs w:val="18"/>
              </w:rPr>
            </w:pPr>
            <w:r>
              <w:rPr>
                <w:rFonts w:ascii="宋体" w:hAnsi="宋体" w:cs="宋体" w:eastAsia="宋体" w:hint="default"/>
                <w:sz w:val="18"/>
                <w:szCs w:val="18"/>
              </w:rPr>
              <w:t>临床试验阶段： 已取得三家临床 医院备案批件</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54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085"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12</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2"/>
              <w:ind w:left="2" w:right="132"/>
              <w:jc w:val="both"/>
              <w:rPr>
                <w:rFonts w:ascii="宋体" w:hAnsi="宋体" w:cs="宋体" w:eastAsia="宋体" w:hint="default"/>
                <w:sz w:val="18"/>
                <w:szCs w:val="18"/>
              </w:rPr>
            </w:pPr>
            <w:r>
              <w:rPr>
                <w:rFonts w:ascii="宋体" w:hAnsi="宋体" w:cs="宋体" w:eastAsia="宋体" w:hint="default"/>
                <w:sz w:val="18"/>
                <w:szCs w:val="18"/>
              </w:rPr>
              <w:t>颗粒状角膜营养 不良基因单核苷 酸多态性</w:t>
            </w:r>
          </w:p>
          <w:p>
            <w:pPr>
              <w:pStyle w:val="TableParagraph"/>
              <w:spacing w:line="300" w:lineRule="auto" w:before="19"/>
              <w:ind w:left="2" w:right="8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SNP</w:t>
            </w:r>
            <w:r>
              <w:rPr>
                <w:rFonts w:ascii="宋体" w:hAnsi="宋体" w:cs="宋体" w:eastAsia="宋体" w:hint="default"/>
                <w:sz w:val="18"/>
                <w:szCs w:val="18"/>
              </w:rPr>
              <w:t>）核酸检 测试剂盒（</w:t>
            </w:r>
            <w:r>
              <w:rPr>
                <w:rFonts w:ascii="Times New Roman" w:hAnsi="Times New Roman" w:cs="Times New Roman" w:eastAsia="Times New Roman" w:hint="default"/>
                <w:sz w:val="18"/>
                <w:szCs w:val="18"/>
              </w:rPr>
              <w:t>PCR- </w:t>
            </w:r>
            <w:r>
              <w:rPr>
                <w:rFonts w:ascii="宋体" w:hAnsi="宋体" w:cs="宋体" w:eastAsia="宋体" w:hint="default"/>
                <w:sz w:val="18"/>
                <w:szCs w:val="18"/>
              </w:rPr>
              <w:t>荧光探针法）</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Ⅲ类</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42"/>
              <w:ind w:left="4" w:right="53"/>
              <w:jc w:val="left"/>
              <w:rPr>
                <w:rFonts w:ascii="宋体" w:hAnsi="宋体" w:cs="宋体" w:eastAsia="宋体" w:hint="default"/>
                <w:sz w:val="18"/>
                <w:szCs w:val="18"/>
              </w:rPr>
            </w:pPr>
            <w:r>
              <w:rPr>
                <w:rFonts w:ascii="宋体" w:hAnsi="宋体" w:cs="宋体" w:eastAsia="宋体" w:hint="default"/>
                <w:sz w:val="18"/>
                <w:szCs w:val="18"/>
              </w:rPr>
              <w:t>本试剂盒用于检测颗粒状角膜营养 不良基因单核苷酸多态性，包括 </w:t>
            </w:r>
            <w:r>
              <w:rPr>
                <w:rFonts w:ascii="Times New Roman" w:hAnsi="Times New Roman" w:cs="Times New Roman" w:eastAsia="Times New Roman" w:hint="default"/>
                <w:sz w:val="18"/>
                <w:szCs w:val="18"/>
              </w:rPr>
              <w:t>TGFBI</w:t>
            </w:r>
            <w:r>
              <w:rPr>
                <w:rFonts w:ascii="宋体" w:hAnsi="宋体" w:cs="宋体" w:eastAsia="宋体" w:hint="default"/>
                <w:sz w:val="18"/>
                <w:szCs w:val="18"/>
              </w:rPr>
              <w:t>（</w:t>
            </w:r>
            <w:r>
              <w:rPr>
                <w:rFonts w:ascii="Times New Roman" w:hAnsi="Times New Roman" w:cs="Times New Roman" w:eastAsia="Times New Roman" w:hint="default"/>
                <w:sz w:val="18"/>
                <w:szCs w:val="18"/>
              </w:rPr>
              <w:t>Transforing growth</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factor</w:t>
            </w:r>
            <w:r>
              <w:rPr>
                <w:rFonts w:ascii="宋体" w:hAnsi="宋体" w:cs="宋体" w:eastAsia="宋体" w:hint="default"/>
                <w:sz w:val="18"/>
                <w:szCs w:val="18"/>
              </w:rPr>
              <w:t>一 </w:t>
            </w:r>
            <w:r>
              <w:rPr>
                <w:rFonts w:ascii="Times New Roman" w:hAnsi="Times New Roman" w:cs="Times New Roman" w:eastAsia="Times New Roman" w:hint="default"/>
                <w:sz w:val="18"/>
                <w:szCs w:val="18"/>
              </w:rPr>
              <w:t>β induce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gene</w:t>
            </w:r>
            <w:r>
              <w:rPr>
                <w:rFonts w:ascii="宋体" w:hAnsi="宋体" w:cs="宋体" w:eastAsia="宋体" w:hint="default"/>
                <w:sz w:val="18"/>
                <w:szCs w:val="18"/>
              </w:rPr>
              <w:t>）基因</w:t>
            </w:r>
            <w:r>
              <w:rPr>
                <w:rFonts w:ascii="Times New Roman" w:hAnsi="Times New Roman" w:cs="Times New Roman" w:eastAsia="Times New Roman" w:hint="default"/>
                <w:sz w:val="18"/>
                <w:szCs w:val="18"/>
              </w:rPr>
              <w:t>3</w:t>
            </w:r>
            <w:r>
              <w:rPr>
                <w:rFonts w:ascii="宋体" w:hAnsi="宋体" w:cs="宋体" w:eastAsia="宋体" w:hint="default"/>
                <w:sz w:val="18"/>
                <w:szCs w:val="18"/>
              </w:rPr>
              <w:t>个突变点。试 剂盒以人基因组</w:t>
            </w:r>
            <w:r>
              <w:rPr>
                <w:rFonts w:ascii="Times New Roman" w:hAnsi="Times New Roman" w:cs="Times New Roman" w:eastAsia="Times New Roman" w:hint="default"/>
                <w:sz w:val="18"/>
                <w:szCs w:val="18"/>
              </w:rPr>
              <w:t>DNA</w:t>
            </w:r>
            <w:r>
              <w:rPr>
                <w:rFonts w:ascii="宋体" w:hAnsi="宋体" w:cs="宋体" w:eastAsia="宋体" w:hint="default"/>
                <w:sz w:val="18"/>
                <w:szCs w:val="18"/>
              </w:rPr>
              <w:t>为检测样本， 提供突变状态的定性评估。辅助临 床医生从分子水平设计出适合不同 个体特点治疗方案，最大限度的保 证患者的视力水平。</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2"/>
              <w:ind w:left="67" w:right="67"/>
              <w:jc w:val="both"/>
              <w:rPr>
                <w:rFonts w:ascii="宋体" w:hAnsi="宋体" w:cs="宋体" w:eastAsia="宋体" w:hint="default"/>
                <w:sz w:val="18"/>
                <w:szCs w:val="18"/>
              </w:rPr>
            </w:pPr>
            <w:r>
              <w:rPr>
                <w:rFonts w:ascii="宋体" w:hAnsi="宋体" w:cs="宋体" w:eastAsia="宋体" w:hint="default"/>
                <w:sz w:val="18"/>
                <w:szCs w:val="18"/>
              </w:rPr>
              <w:t>临床试验阶段： 已通过上海五官 科医院伦理审查</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54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340"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13</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40"/>
              <w:ind w:left="2" w:right="170"/>
              <w:jc w:val="left"/>
              <w:rPr>
                <w:rFonts w:ascii="宋体" w:hAnsi="宋体" w:cs="宋体" w:eastAsia="宋体" w:hint="default"/>
                <w:sz w:val="18"/>
                <w:szCs w:val="18"/>
              </w:rPr>
            </w:pPr>
            <w:r>
              <w:rPr>
                <w:rFonts w:ascii="宋体" w:hAnsi="宋体" w:cs="宋体" w:eastAsia="宋体" w:hint="default"/>
                <w:sz w:val="18"/>
                <w:szCs w:val="18"/>
              </w:rPr>
              <w:t>丙型肝炎病毒 </w:t>
            </w:r>
            <w:r>
              <w:rPr>
                <w:rFonts w:ascii="Times New Roman" w:hAnsi="Times New Roman" w:cs="Times New Roman" w:eastAsia="Times New Roman" w:hint="default"/>
                <w:sz w:val="18"/>
                <w:szCs w:val="18"/>
              </w:rPr>
              <w:t>(HCV)</w:t>
            </w:r>
            <w:r>
              <w:rPr>
                <w:rFonts w:ascii="宋体" w:hAnsi="宋体" w:cs="宋体" w:eastAsia="宋体" w:hint="default"/>
                <w:sz w:val="18"/>
                <w:szCs w:val="18"/>
              </w:rPr>
              <w:t>基因分型</w:t>
            </w:r>
            <w:r>
              <w:rPr>
                <w:rFonts w:ascii="宋体" w:hAnsi="宋体" w:cs="宋体" w:eastAsia="宋体" w:hint="default"/>
                <w:w w:val="99"/>
                <w:sz w:val="18"/>
                <w:szCs w:val="18"/>
              </w:rPr>
              <w:t> </w:t>
            </w:r>
            <w:r>
              <w:rPr>
                <w:rFonts w:ascii="宋体" w:hAnsi="宋体" w:cs="宋体" w:eastAsia="宋体" w:hint="default"/>
                <w:sz w:val="18"/>
                <w:szCs w:val="18"/>
              </w:rPr>
              <w:t>检测试剂盒</w:t>
            </w:r>
          </w:p>
          <w:p>
            <w:pPr>
              <w:pStyle w:val="TableParagraph"/>
              <w:spacing w:line="300" w:lineRule="auto" w:before="24"/>
              <w:ind w:left="2" w:right="8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 法）</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2"/>
              <w:jc w:val="center"/>
              <w:rPr>
                <w:rFonts w:ascii="宋体" w:hAnsi="宋体" w:cs="宋体" w:eastAsia="宋体" w:hint="default"/>
                <w:sz w:val="18"/>
                <w:szCs w:val="18"/>
              </w:rPr>
            </w:pPr>
            <w:r>
              <w:rPr>
                <w:rFonts w:ascii="宋体" w:hAnsi="宋体" w:cs="宋体" w:eastAsia="宋体" w:hint="default"/>
                <w:sz w:val="18"/>
                <w:szCs w:val="18"/>
              </w:rPr>
              <w:t>Ⅲ类</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0"/>
              <w:ind w:left="4" w:right="105"/>
              <w:jc w:val="both"/>
              <w:rPr>
                <w:rFonts w:ascii="宋体" w:hAnsi="宋体" w:cs="宋体" w:eastAsia="宋体" w:hint="default"/>
                <w:sz w:val="18"/>
                <w:szCs w:val="18"/>
              </w:rPr>
            </w:pPr>
            <w:r>
              <w:rPr>
                <w:rFonts w:ascii="宋体" w:hAnsi="宋体" w:cs="宋体" w:eastAsia="宋体" w:hint="default"/>
                <w:sz w:val="18"/>
                <w:szCs w:val="18"/>
              </w:rPr>
              <w:t>本试剂盒用于对体外定性检测已明 确为丙型肝炎病毒核酸阳性患者的 临床血清、血浆样本中的丙型肝炎 病毒（</w:t>
            </w:r>
            <w:r>
              <w:rPr>
                <w:rFonts w:ascii="Times New Roman" w:hAnsi="Times New Roman" w:cs="Times New Roman" w:eastAsia="Times New Roman" w:hint="default"/>
                <w:sz w:val="18"/>
                <w:szCs w:val="18"/>
              </w:rPr>
              <w:t>HCV</w:t>
            </w:r>
            <w:r>
              <w:rPr>
                <w:rFonts w:ascii="宋体" w:hAnsi="宋体" w:cs="宋体" w:eastAsia="宋体" w:hint="default"/>
                <w:sz w:val="18"/>
                <w:szCs w:val="18"/>
              </w:rPr>
              <w:t>）</w:t>
            </w:r>
            <w:r>
              <w:rPr>
                <w:rFonts w:ascii="Times New Roman" w:hAnsi="Times New Roman" w:cs="Times New Roman" w:eastAsia="Times New Roman" w:hint="default"/>
                <w:sz w:val="18"/>
                <w:szCs w:val="18"/>
              </w:rPr>
              <w:t>1b</w:t>
            </w:r>
            <w:r>
              <w:rPr>
                <w:rFonts w:ascii="宋体" w:hAnsi="宋体" w:cs="宋体" w:eastAsia="宋体" w:hint="default"/>
                <w:sz w:val="18"/>
                <w:szCs w:val="18"/>
              </w:rPr>
              <w:t>、</w:t>
            </w:r>
            <w:r>
              <w:rPr>
                <w:rFonts w:ascii="Times New Roman" w:hAnsi="Times New Roman" w:cs="Times New Roman" w:eastAsia="Times New Roman" w:hint="default"/>
                <w:sz w:val="18"/>
                <w:szCs w:val="18"/>
              </w:rPr>
              <w:t>2a</w:t>
            </w:r>
            <w:r>
              <w:rPr>
                <w:rFonts w:ascii="宋体" w:hAnsi="宋体" w:cs="宋体" w:eastAsia="宋体" w:hint="default"/>
                <w:sz w:val="18"/>
                <w:szCs w:val="18"/>
              </w:rPr>
              <w:t>、</w:t>
            </w:r>
            <w:r>
              <w:rPr>
                <w:rFonts w:ascii="Times New Roman" w:hAnsi="Times New Roman" w:cs="Times New Roman" w:eastAsia="Times New Roman" w:hint="default"/>
                <w:sz w:val="18"/>
                <w:szCs w:val="18"/>
              </w:rPr>
              <w:t>3a</w:t>
            </w:r>
            <w:r>
              <w:rPr>
                <w:rFonts w:ascii="宋体" w:hAnsi="宋体" w:cs="宋体" w:eastAsia="宋体" w:hint="default"/>
                <w:sz w:val="18"/>
                <w:szCs w:val="18"/>
              </w:rPr>
              <w:t>、</w:t>
            </w:r>
            <w:r>
              <w:rPr>
                <w:rFonts w:ascii="Times New Roman" w:hAnsi="Times New Roman" w:cs="Times New Roman" w:eastAsia="Times New Roman" w:hint="default"/>
                <w:sz w:val="18"/>
                <w:szCs w:val="18"/>
              </w:rPr>
              <w:t>3b</w:t>
            </w:r>
            <w:r>
              <w:rPr>
                <w:rFonts w:ascii="宋体" w:hAnsi="宋体" w:cs="宋体" w:eastAsia="宋体" w:hint="default"/>
                <w:sz w:val="18"/>
                <w:szCs w:val="18"/>
              </w:rPr>
              <w:t>和</w:t>
            </w:r>
            <w:r>
              <w:rPr>
                <w:rFonts w:ascii="Times New Roman" w:hAnsi="Times New Roman" w:cs="Times New Roman" w:eastAsia="Times New Roman" w:hint="default"/>
                <w:sz w:val="18"/>
                <w:szCs w:val="18"/>
              </w:rPr>
              <w:t>6a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亚型进行分型检测。辅助医疗专业 人员了解患者的丙型肝炎病毒基因 型以确定适宜的治疗方法。检测结</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67" w:right="67"/>
              <w:jc w:val="both"/>
              <w:rPr>
                <w:rFonts w:ascii="宋体" w:hAnsi="宋体" w:cs="宋体" w:eastAsia="宋体" w:hint="default"/>
                <w:sz w:val="18"/>
                <w:szCs w:val="18"/>
              </w:rPr>
            </w:pPr>
            <w:r>
              <w:rPr>
                <w:rFonts w:ascii="宋体" w:hAnsi="宋体" w:cs="宋体" w:eastAsia="宋体" w:hint="default"/>
                <w:sz w:val="18"/>
                <w:szCs w:val="18"/>
              </w:rPr>
              <w:t>临床试验阶段： 已取得三家临床 医院备案批件</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540"/>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72" w:type="dxa"/>
        <w:tblLayout w:type="fixed"/>
        <w:tblCellMar>
          <w:top w:w="0" w:type="dxa"/>
          <w:left w:w="0" w:type="dxa"/>
          <w:bottom w:w="0" w:type="dxa"/>
          <w:right w:w="0" w:type="dxa"/>
        </w:tblCellMar>
        <w:tblLook w:val="01E0"/>
      </w:tblPr>
      <w:tblGrid>
        <w:gridCol w:w="564"/>
        <w:gridCol w:w="1411"/>
        <w:gridCol w:w="1270"/>
        <w:gridCol w:w="2825"/>
        <w:gridCol w:w="1411"/>
        <w:gridCol w:w="987"/>
        <w:gridCol w:w="1282"/>
      </w:tblGrid>
      <w:tr>
        <w:trPr>
          <w:trHeight w:val="1092" w:hRule="exact"/>
        </w:trPr>
        <w:tc>
          <w:tcPr>
            <w:tcW w:w="564"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5"/>
              <w:jc w:val="both"/>
              <w:rPr>
                <w:rFonts w:ascii="宋体" w:hAnsi="宋体" w:cs="宋体" w:eastAsia="宋体" w:hint="default"/>
                <w:sz w:val="18"/>
                <w:szCs w:val="18"/>
              </w:rPr>
            </w:pPr>
            <w:r>
              <w:rPr>
                <w:rFonts w:ascii="宋体" w:hAnsi="宋体" w:cs="宋体" w:eastAsia="宋体" w:hint="default"/>
                <w:sz w:val="18"/>
                <w:szCs w:val="18"/>
              </w:rPr>
              <w:t>果仅供临床参考，临床医生应结合 患者病情及其他实验室检测指标等 因素对患者治疗进行综合判断。</w:t>
            </w:r>
          </w:p>
        </w:tc>
        <w:tc>
          <w:tcPr>
            <w:tcW w:w="1411" w:type="dxa"/>
            <w:tcBorders>
              <w:top w:val="single" w:sz="6" w:space="0" w:color="000000"/>
              <w:left w:val="single" w:sz="6" w:space="0" w:color="000000"/>
              <w:bottom w:val="single" w:sz="6" w:space="0" w:color="000000"/>
              <w:right w:val="single" w:sz="6" w:space="0" w:color="000000"/>
            </w:tcBorders>
          </w:tcPr>
          <w:p>
            <w:pPr/>
          </w:p>
        </w:tc>
        <w:tc>
          <w:tcPr>
            <w:tcW w:w="987"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r>
      <w:tr>
        <w:trPr>
          <w:trHeight w:val="2146" w:hRule="exact"/>
        </w:trPr>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14</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both"/>
              <w:rPr>
                <w:rFonts w:ascii="宋体" w:hAnsi="宋体" w:cs="宋体" w:eastAsia="宋体" w:hint="default"/>
                <w:sz w:val="18"/>
                <w:szCs w:val="18"/>
              </w:rPr>
            </w:pPr>
            <w:r>
              <w:rPr>
                <w:rFonts w:ascii="宋体" w:hAnsi="宋体" w:cs="宋体" w:eastAsia="宋体" w:hint="default"/>
                <w:sz w:val="18"/>
                <w:szCs w:val="18"/>
              </w:rPr>
              <w:t>柯萨奇病毒</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型</w:t>
            </w:r>
          </w:p>
          <w:p>
            <w:pPr>
              <w:pStyle w:val="TableParagraph"/>
              <w:spacing w:line="300" w:lineRule="auto" w:before="63"/>
              <w:ind w:left="2"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/A10</w:t>
            </w:r>
            <w:r>
              <w:rPr>
                <w:rFonts w:ascii="宋体" w:hAnsi="宋体" w:cs="宋体" w:eastAsia="宋体" w:hint="default"/>
                <w:sz w:val="18"/>
                <w:szCs w:val="18"/>
              </w:rPr>
              <w:t>型检测试剂 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 针法）</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2"/>
              <w:jc w:val="center"/>
              <w:rPr>
                <w:rFonts w:ascii="宋体" w:hAnsi="宋体" w:cs="宋体" w:eastAsia="宋体" w:hint="default"/>
                <w:sz w:val="18"/>
                <w:szCs w:val="18"/>
              </w:rPr>
            </w:pPr>
            <w:r>
              <w:rPr>
                <w:rFonts w:ascii="宋体" w:hAnsi="宋体" w:cs="宋体" w:eastAsia="宋体" w:hint="default"/>
                <w:sz w:val="18"/>
                <w:szCs w:val="18"/>
              </w:rPr>
              <w:t>Ⅲ类</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0"/>
              <w:ind w:left="4" w:right="63"/>
              <w:jc w:val="both"/>
              <w:rPr>
                <w:rFonts w:ascii="宋体" w:hAnsi="宋体" w:cs="宋体" w:eastAsia="宋体" w:hint="default"/>
                <w:sz w:val="18"/>
                <w:szCs w:val="18"/>
              </w:rPr>
            </w:pPr>
            <w:r>
              <w:rPr>
                <w:rFonts w:ascii="宋体" w:hAnsi="宋体" w:cs="宋体" w:eastAsia="宋体" w:hint="default"/>
                <w:sz w:val="18"/>
                <w:szCs w:val="18"/>
              </w:rPr>
              <w:t>本试剂盒适用于体外定性检测手足 口病患者咽拭子样本中柯萨奇病毒 </w:t>
            </w:r>
            <w:r>
              <w:rPr>
                <w:rFonts w:ascii="Times New Roman" w:hAnsi="Times New Roman" w:cs="Times New Roman" w:eastAsia="Times New Roman" w:hint="default"/>
                <w:sz w:val="18"/>
                <w:szCs w:val="18"/>
              </w:rPr>
              <w:t>A6</w:t>
            </w:r>
            <w:r>
              <w:rPr>
                <w:rFonts w:ascii="宋体" w:hAnsi="宋体" w:cs="宋体" w:eastAsia="宋体" w:hint="default"/>
                <w:sz w:val="18"/>
                <w:szCs w:val="18"/>
              </w:rPr>
              <w:t>型</w:t>
            </w:r>
            <w:r>
              <w:rPr>
                <w:rFonts w:ascii="Times New Roman" w:hAnsi="Times New Roman" w:cs="Times New Roman" w:eastAsia="Times New Roman" w:hint="default"/>
                <w:sz w:val="18"/>
                <w:szCs w:val="18"/>
              </w:rPr>
              <w:t>/A10</w:t>
            </w:r>
            <w:r>
              <w:rPr>
                <w:rFonts w:ascii="宋体" w:hAnsi="宋体" w:cs="宋体" w:eastAsia="宋体" w:hint="default"/>
                <w:sz w:val="18"/>
                <w:szCs w:val="18"/>
              </w:rPr>
              <w:t>型核酸；为手足口病患者 的诊断提供辅助手段。检测结果仅 供临床参考，最终诊断应紧密结合 其他临床指标综合考虑。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67" w:right="67"/>
              <w:jc w:val="center"/>
              <w:rPr>
                <w:rFonts w:ascii="宋体" w:hAnsi="宋体" w:cs="宋体" w:eastAsia="宋体" w:hint="default"/>
                <w:sz w:val="18"/>
                <w:szCs w:val="18"/>
              </w:rPr>
            </w:pPr>
            <w:r>
              <w:rPr>
                <w:rFonts w:ascii="宋体" w:hAnsi="宋体" w:cs="宋体" w:eastAsia="宋体" w:hint="default"/>
                <w:sz w:val="18"/>
                <w:szCs w:val="18"/>
              </w:rPr>
              <w:t>临床试验阶段： 已完成临床试 验，完成一家临 床试验报告。</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07"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pStyle w:val="Heading5"/>
        <w:spacing w:line="240" w:lineRule="auto"/>
        <w:ind w:left="152" w:right="1133"/>
        <w:jc w:val="left"/>
        <w:rPr>
          <w:b w:val="0"/>
          <w:bCs w:val="0"/>
        </w:rPr>
      </w:pPr>
      <w:r>
        <w:rPr>
          <w:rFonts w:ascii="Times New Roman" w:hAnsi="Times New Roman" w:cs="Times New Roman" w:eastAsia="Times New Roman" w:hint="default"/>
        </w:rPr>
        <w:t>2</w:t>
      </w:r>
      <w:r>
        <w:rPr/>
        <w:t>、已获得医疗器械注册证产品的基本情况</w:t>
      </w:r>
      <w:r>
        <w:rPr>
          <w:b w:val="0"/>
          <w:bCs w:val="0"/>
        </w:rPr>
      </w:r>
    </w:p>
    <w:p>
      <w:pPr>
        <w:spacing w:line="240" w:lineRule="auto" w:before="2"/>
        <w:rPr>
          <w:rFonts w:ascii="宋体" w:hAnsi="宋体" w:cs="宋体" w:eastAsia="宋体" w:hint="default"/>
          <w:b/>
          <w:bCs/>
          <w:sz w:val="14"/>
          <w:szCs w:val="14"/>
        </w:rPr>
      </w:pPr>
    </w:p>
    <w:p>
      <w:pPr>
        <w:pStyle w:val="BodyText"/>
        <w:spacing w:line="297" w:lineRule="auto"/>
        <w:ind w:right="1117" w:firstLine="360"/>
        <w:jc w:val="left"/>
      </w:pPr>
      <w:r>
        <w:rPr/>
        <w:t>截至报告期末，公司及其全资、控股子公司获得的医疗器械注册证书和备案凭证共计</w:t>
      </w:r>
      <w:r>
        <w:rPr>
          <w:rFonts w:ascii="Times New Roman" w:hAnsi="Times New Roman" w:cs="Times New Roman" w:eastAsia="Times New Roman" w:hint="default"/>
        </w:rPr>
        <w:t>104</w:t>
      </w:r>
      <w:r>
        <w:rPr>
          <w:rFonts w:ascii="Times New Roman" w:hAnsi="Times New Roman" w:cs="Times New Roman" w:eastAsia="Times New Roman" w:hint="default"/>
          <w:spacing w:val="1"/>
        </w:rPr>
        <w:t> </w:t>
      </w:r>
      <w:r>
        <w:rPr>
          <w:spacing w:val="-3"/>
        </w:rPr>
        <w:t>项。其中，报告期内新增医疗</w:t>
      </w:r>
      <w:r>
        <w:rPr/>
        <w:t> 器械注册证</w:t>
      </w: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项；因测序平台升级，原测序平台相应产品申请自行注销</w:t>
      </w:r>
      <w:r>
        <w:rPr>
          <w:rFonts w:ascii="Times New Roman" w:hAnsi="Times New Roman" w:cs="Times New Roman" w:eastAsia="Times New Roman" w:hint="default"/>
        </w:rPr>
        <w:t>4</w:t>
      </w:r>
      <w:r>
        <w:rPr/>
        <w:t>项，因产品升级换代到期不续证</w:t>
      </w:r>
      <w:r>
        <w:rPr>
          <w:rFonts w:ascii="Times New Roman" w:hAnsi="Times New Roman" w:cs="Times New Roman" w:eastAsia="Times New Roman" w:hint="default"/>
        </w:rPr>
        <w:t>3</w:t>
      </w:r>
      <w:r>
        <w:rPr/>
        <w:t>项。</w:t>
      </w:r>
    </w:p>
    <w:tbl>
      <w:tblPr>
        <w:tblW w:w="0" w:type="auto"/>
        <w:jc w:val="left"/>
        <w:tblInd w:w="174" w:type="dxa"/>
        <w:tblLayout w:type="fixed"/>
        <w:tblCellMar>
          <w:top w:w="0" w:type="dxa"/>
          <w:left w:w="0" w:type="dxa"/>
          <w:bottom w:w="0" w:type="dxa"/>
          <w:right w:w="0" w:type="dxa"/>
        </w:tblCellMar>
        <w:tblLook w:val="01E0"/>
      </w:tblPr>
      <w:tblGrid>
        <w:gridCol w:w="557"/>
        <w:gridCol w:w="1985"/>
        <w:gridCol w:w="709"/>
        <w:gridCol w:w="2552"/>
        <w:gridCol w:w="991"/>
        <w:gridCol w:w="994"/>
        <w:gridCol w:w="1135"/>
      </w:tblGrid>
      <w:tr>
        <w:trPr>
          <w:trHeight w:val="665"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621"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255" w:right="73" w:hanging="183"/>
              <w:jc w:val="left"/>
              <w:rPr>
                <w:rFonts w:ascii="宋体" w:hAnsi="宋体" w:cs="宋体" w:eastAsia="宋体" w:hint="default"/>
                <w:sz w:val="18"/>
                <w:szCs w:val="18"/>
              </w:rPr>
            </w:pPr>
            <w:r>
              <w:rPr>
                <w:rFonts w:ascii="宋体" w:hAnsi="宋体" w:cs="宋体" w:eastAsia="宋体" w:hint="default"/>
                <w:b/>
                <w:bCs/>
                <w:sz w:val="18"/>
                <w:szCs w:val="18"/>
              </w:rPr>
              <w:t>注册分</w:t>
            </w:r>
            <w:r>
              <w:rPr>
                <w:rFonts w:ascii="宋体" w:hAnsi="宋体" w:cs="宋体" w:eastAsia="宋体" w:hint="default"/>
                <w:b/>
                <w:bCs/>
                <w:w w:val="99"/>
                <w:sz w:val="18"/>
                <w:szCs w:val="18"/>
              </w:rPr>
              <w:t> </w:t>
            </w:r>
            <w:r>
              <w:rPr>
                <w:rFonts w:ascii="宋体" w:hAnsi="宋体" w:cs="宋体" w:eastAsia="宋体" w:hint="default"/>
                <w:b/>
                <w:bCs/>
                <w:sz w:val="18"/>
                <w:szCs w:val="18"/>
              </w:rPr>
              <w:t>类</w:t>
            </w:r>
            <w:r>
              <w:rPr>
                <w:rFonts w:ascii="宋体" w:hAnsi="宋体" w:cs="宋体" w:eastAsia="宋体" w:hint="default"/>
                <w:sz w:val="18"/>
                <w:szCs w:val="18"/>
              </w:rPr>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398" w:right="31" w:hanging="363"/>
              <w:jc w:val="left"/>
              <w:rPr>
                <w:rFonts w:ascii="宋体" w:hAnsi="宋体" w:cs="宋体" w:eastAsia="宋体" w:hint="default"/>
                <w:sz w:val="18"/>
                <w:szCs w:val="18"/>
              </w:rPr>
            </w:pPr>
            <w:r>
              <w:rPr>
                <w:rFonts w:ascii="宋体" w:hAnsi="宋体" w:cs="宋体" w:eastAsia="宋体" w:hint="default"/>
                <w:b/>
                <w:bCs/>
                <w:sz w:val="18"/>
                <w:szCs w:val="18"/>
              </w:rPr>
              <w:t>注册证有效</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307" w:right="34" w:hanging="272"/>
              <w:jc w:val="left"/>
              <w:rPr>
                <w:rFonts w:ascii="宋体" w:hAnsi="宋体" w:cs="宋体" w:eastAsia="宋体" w:hint="default"/>
                <w:sz w:val="18"/>
                <w:szCs w:val="18"/>
              </w:rPr>
            </w:pPr>
            <w:r>
              <w:rPr>
                <w:rFonts w:ascii="宋体" w:hAnsi="宋体" w:cs="宋体" w:eastAsia="宋体" w:hint="default"/>
                <w:b/>
                <w:bCs/>
                <w:sz w:val="18"/>
                <w:szCs w:val="18"/>
              </w:rPr>
              <w:t>注册证批准</w:t>
            </w:r>
            <w:r>
              <w:rPr>
                <w:rFonts w:ascii="宋体" w:hAnsi="宋体" w:cs="宋体" w:eastAsia="宋体" w:hint="default"/>
                <w:b/>
                <w:bCs/>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注册类型</w:t>
            </w:r>
            <w:r>
              <w:rPr>
                <w:rFonts w:ascii="宋体" w:hAnsi="宋体" w:cs="宋体" w:eastAsia="宋体" w:hint="default"/>
                <w:sz w:val="18"/>
                <w:szCs w:val="18"/>
              </w:rPr>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right="163"/>
              <w:jc w:val="both"/>
              <w:rPr>
                <w:rFonts w:ascii="宋体" w:hAnsi="宋体" w:cs="宋体" w:eastAsia="宋体" w:hint="default"/>
                <w:sz w:val="18"/>
                <w:szCs w:val="18"/>
              </w:rPr>
            </w:pPr>
            <w:r>
              <w:rPr>
                <w:rFonts w:ascii="宋体" w:hAnsi="宋体" w:cs="宋体" w:eastAsia="宋体" w:hint="default"/>
                <w:sz w:val="18"/>
                <w:szCs w:val="18"/>
              </w:rPr>
              <w:t>乙型肝炎病毒表面抗体 检测试剂盒（酶联免疫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2" w:right="9"/>
              <w:jc w:val="both"/>
              <w:rPr>
                <w:rFonts w:ascii="宋体" w:hAnsi="宋体" w:cs="宋体" w:eastAsia="宋体" w:hint="default"/>
                <w:sz w:val="18"/>
                <w:szCs w:val="18"/>
              </w:rPr>
            </w:pPr>
            <w:r>
              <w:rPr>
                <w:rFonts w:ascii="宋体" w:hAnsi="宋体" w:cs="宋体" w:eastAsia="宋体" w:hint="default"/>
                <w:sz w:val="18"/>
                <w:szCs w:val="18"/>
              </w:rPr>
              <w:t>本产品用于体外定性检测人血清 或血浆中的乙型肝炎病毒表面抗 体（抗</w:t>
            </w:r>
            <w:r>
              <w:rPr>
                <w:rFonts w:ascii="Times New Roman" w:hAnsi="Times New Roman" w:cs="Times New Roman" w:eastAsia="Times New Roman" w:hint="default"/>
                <w:sz w:val="18"/>
                <w:szCs w:val="18"/>
              </w:rPr>
              <w:t>-HBs</w:t>
            </w:r>
            <w:r>
              <w:rPr>
                <w:rFonts w:ascii="宋体" w:hAnsi="宋体" w:cs="宋体" w:eastAsia="宋体" w:hint="default"/>
                <w:sz w:val="18"/>
                <w:szCs w:val="18"/>
              </w:rPr>
              <w:t>）</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5" w:right="0"/>
              <w:jc w:val="center"/>
              <w:rPr>
                <w:rFonts w:ascii="Times New Roman" w:hAnsi="Times New Roman" w:cs="Times New Roman" w:eastAsia="Times New Roman" w:hint="default"/>
                <w:sz w:val="18"/>
                <w:szCs w:val="18"/>
              </w:rPr>
            </w:pPr>
            <w:r>
              <w:rPr>
                <w:rFonts w:ascii="Times New Roman"/>
                <w:sz w:val="18"/>
              </w:rPr>
              <w:t>2023/1/2</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2018/1/3</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5"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right="84"/>
              <w:jc w:val="left"/>
              <w:rPr>
                <w:rFonts w:ascii="宋体" w:hAnsi="宋体" w:cs="宋体" w:eastAsia="宋体" w:hint="default"/>
                <w:sz w:val="18"/>
                <w:szCs w:val="18"/>
              </w:rPr>
            </w:pPr>
            <w:r>
              <w:rPr>
                <w:rFonts w:ascii="宋体" w:hAnsi="宋体" w:cs="宋体" w:eastAsia="宋体" w:hint="default"/>
                <w:sz w:val="18"/>
                <w:szCs w:val="18"/>
              </w:rPr>
              <w:t>乙型肝炎病毒</w:t>
            </w:r>
            <w:r>
              <w:rPr>
                <w:rFonts w:ascii="Times New Roman" w:hAnsi="Times New Roman" w:cs="Times New Roman" w:eastAsia="Times New Roman" w:hint="default"/>
                <w:sz w:val="18"/>
                <w:szCs w:val="18"/>
              </w:rPr>
              <w:t>e</w:t>
            </w:r>
            <w:r>
              <w:rPr>
                <w:rFonts w:ascii="宋体" w:hAnsi="宋体" w:cs="宋体" w:eastAsia="宋体" w:hint="default"/>
                <w:sz w:val="18"/>
                <w:szCs w:val="18"/>
              </w:rPr>
              <w:t>抗原检测 试剂盒（酶联免疫法）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本产品用于体外定性检测人血清 或血浆中的乙型肝炎病毒</w:t>
            </w:r>
            <w:r>
              <w:rPr>
                <w:rFonts w:ascii="Times New Roman" w:hAnsi="Times New Roman" w:cs="Times New Roman" w:eastAsia="Times New Roman" w:hint="default"/>
                <w:sz w:val="18"/>
                <w:szCs w:val="18"/>
              </w:rPr>
              <w:t>e</w:t>
            </w:r>
            <w:r>
              <w:rPr>
                <w:rFonts w:ascii="宋体" w:hAnsi="宋体" w:cs="宋体" w:eastAsia="宋体" w:hint="default"/>
                <w:sz w:val="18"/>
                <w:szCs w:val="18"/>
              </w:rPr>
              <w:t>抗原</w:t>
            </w:r>
          </w:p>
          <w:p>
            <w:pPr>
              <w:pStyle w:val="TableParagraph"/>
              <w:spacing w:line="248" w:lineRule="exact"/>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HBeAg</w:t>
            </w:r>
            <w:r>
              <w:rPr>
                <w:rFonts w:ascii="宋体" w:hAnsi="宋体" w:cs="宋体" w:eastAsia="宋体" w:hint="default"/>
                <w:sz w:val="18"/>
                <w:szCs w:val="18"/>
              </w:rPr>
              <w:t>）</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2023/1/2</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2018/1/3</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2"/>
              <w:ind w:right="84"/>
              <w:jc w:val="left"/>
              <w:rPr>
                <w:rFonts w:ascii="宋体" w:hAnsi="宋体" w:cs="宋体" w:eastAsia="宋体" w:hint="default"/>
                <w:sz w:val="18"/>
                <w:szCs w:val="18"/>
              </w:rPr>
            </w:pPr>
            <w:r>
              <w:rPr>
                <w:rFonts w:ascii="宋体" w:hAnsi="宋体" w:cs="宋体" w:eastAsia="宋体" w:hint="default"/>
                <w:sz w:val="18"/>
                <w:szCs w:val="18"/>
              </w:rPr>
              <w:t>乙型肝炎病毒</w:t>
            </w:r>
            <w:r>
              <w:rPr>
                <w:rFonts w:ascii="Times New Roman" w:hAnsi="Times New Roman" w:cs="Times New Roman" w:eastAsia="Times New Roman" w:hint="default"/>
                <w:sz w:val="18"/>
                <w:szCs w:val="18"/>
              </w:rPr>
              <w:t>e</w:t>
            </w:r>
            <w:r>
              <w:rPr>
                <w:rFonts w:ascii="宋体" w:hAnsi="宋体" w:cs="宋体" w:eastAsia="宋体" w:hint="default"/>
                <w:sz w:val="18"/>
                <w:szCs w:val="18"/>
              </w:rPr>
              <w:t>抗体检测 试剂盒（酶联免疫法）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本产品用于体外定性检测人血清 或血浆中的乙型肝炎病毒</w:t>
            </w:r>
            <w:r>
              <w:rPr>
                <w:rFonts w:ascii="Times New Roman" w:hAnsi="Times New Roman" w:cs="Times New Roman" w:eastAsia="Times New Roman" w:hint="default"/>
                <w:sz w:val="18"/>
                <w:szCs w:val="18"/>
              </w:rPr>
              <w:t>e</w:t>
            </w:r>
            <w:r>
              <w:rPr>
                <w:rFonts w:ascii="宋体" w:hAnsi="宋体" w:cs="宋体" w:eastAsia="宋体" w:hint="default"/>
                <w:sz w:val="18"/>
                <w:szCs w:val="18"/>
              </w:rPr>
              <w:t>抗体</w:t>
            </w:r>
          </w:p>
          <w:p>
            <w:pPr>
              <w:pStyle w:val="TableParagraph"/>
              <w:spacing w:line="248" w:lineRule="exact"/>
              <w:ind w:left="2" w:right="0"/>
              <w:jc w:val="left"/>
              <w:rPr>
                <w:rFonts w:ascii="宋体" w:hAnsi="宋体" w:cs="宋体" w:eastAsia="宋体" w:hint="default"/>
                <w:sz w:val="18"/>
                <w:szCs w:val="18"/>
              </w:rPr>
            </w:pPr>
            <w:r>
              <w:rPr>
                <w:rFonts w:ascii="宋体" w:hAnsi="宋体" w:cs="宋体" w:eastAsia="宋体" w:hint="default"/>
                <w:sz w:val="18"/>
                <w:szCs w:val="18"/>
              </w:rPr>
              <w:t>（抗</w:t>
            </w:r>
            <w:r>
              <w:rPr>
                <w:rFonts w:ascii="Times New Roman" w:hAnsi="Times New Roman" w:cs="Times New Roman" w:eastAsia="Times New Roman" w:hint="default"/>
                <w:sz w:val="18"/>
                <w:szCs w:val="18"/>
              </w:rPr>
              <w:t>-HBe</w:t>
            </w:r>
            <w:r>
              <w:rPr>
                <w:rFonts w:ascii="宋体" w:hAnsi="宋体" w:cs="宋体" w:eastAsia="宋体" w:hint="default"/>
                <w:sz w:val="18"/>
                <w:szCs w:val="18"/>
              </w:rPr>
              <w:t>）</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5" w:right="0"/>
              <w:jc w:val="center"/>
              <w:rPr>
                <w:rFonts w:ascii="Times New Roman" w:hAnsi="Times New Roman" w:cs="Times New Roman" w:eastAsia="Times New Roman" w:hint="default"/>
                <w:sz w:val="18"/>
                <w:szCs w:val="18"/>
              </w:rPr>
            </w:pPr>
            <w:r>
              <w:rPr>
                <w:rFonts w:ascii="Times New Roman"/>
                <w:sz w:val="18"/>
              </w:rPr>
              <w:t>2023/1/2</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2018/1/3</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right="163"/>
              <w:jc w:val="both"/>
              <w:rPr>
                <w:rFonts w:ascii="宋体" w:hAnsi="宋体" w:cs="宋体" w:eastAsia="宋体" w:hint="default"/>
                <w:sz w:val="18"/>
                <w:szCs w:val="18"/>
              </w:rPr>
            </w:pPr>
            <w:r>
              <w:rPr>
                <w:rFonts w:ascii="宋体" w:hAnsi="宋体" w:cs="宋体" w:eastAsia="宋体" w:hint="default"/>
                <w:sz w:val="18"/>
                <w:szCs w:val="18"/>
              </w:rPr>
              <w:t>乙型肝炎病毒核心抗体 检测试剂盒（酶联免疫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2" w:right="9"/>
              <w:jc w:val="both"/>
              <w:rPr>
                <w:rFonts w:ascii="宋体" w:hAnsi="宋体" w:cs="宋体" w:eastAsia="宋体" w:hint="default"/>
                <w:sz w:val="18"/>
                <w:szCs w:val="18"/>
              </w:rPr>
            </w:pPr>
            <w:r>
              <w:rPr>
                <w:rFonts w:ascii="宋体" w:hAnsi="宋体" w:cs="宋体" w:eastAsia="宋体" w:hint="default"/>
                <w:sz w:val="18"/>
                <w:szCs w:val="18"/>
              </w:rPr>
              <w:t>本产品用于体外定性检测人血清 或血浆中的乙型肝炎病毒核心抗 体（抗</w:t>
            </w:r>
            <w:r>
              <w:rPr>
                <w:rFonts w:ascii="Times New Roman" w:hAnsi="Times New Roman" w:cs="Times New Roman" w:eastAsia="Times New Roman" w:hint="default"/>
                <w:sz w:val="18"/>
                <w:szCs w:val="18"/>
              </w:rPr>
              <w:t>-HBc</w:t>
            </w:r>
            <w:r>
              <w:rPr>
                <w:rFonts w:ascii="宋体" w:hAnsi="宋体" w:cs="宋体" w:eastAsia="宋体" w:hint="default"/>
                <w:sz w:val="18"/>
                <w:szCs w:val="18"/>
              </w:rPr>
              <w:t>）</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5" w:right="0"/>
              <w:jc w:val="center"/>
              <w:rPr>
                <w:rFonts w:ascii="Times New Roman" w:hAnsi="Times New Roman" w:cs="Times New Roman" w:eastAsia="Times New Roman" w:hint="default"/>
                <w:sz w:val="18"/>
                <w:szCs w:val="18"/>
              </w:rPr>
            </w:pPr>
            <w:r>
              <w:rPr>
                <w:rFonts w:ascii="Times New Roman"/>
                <w:sz w:val="18"/>
              </w:rPr>
              <w:t>2023/1/2</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2018/1/3</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5"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125"/>
              <w:jc w:val="both"/>
              <w:rPr>
                <w:rFonts w:ascii="宋体" w:hAnsi="宋体" w:cs="宋体" w:eastAsia="宋体" w:hint="default"/>
                <w:sz w:val="18"/>
                <w:szCs w:val="18"/>
              </w:rPr>
            </w:pPr>
            <w:r>
              <w:rPr>
                <w:rFonts w:ascii="Times New Roman" w:hAnsi="Times New Roman" w:cs="Times New Roman" w:eastAsia="Times New Roman" w:hint="default"/>
                <w:sz w:val="18"/>
                <w:szCs w:val="18"/>
              </w:rPr>
              <w:t>SARS</w:t>
            </w:r>
            <w:r>
              <w:rPr>
                <w:rFonts w:ascii="宋体" w:hAnsi="宋体" w:cs="宋体" w:eastAsia="宋体" w:hint="default"/>
                <w:sz w:val="18"/>
                <w:szCs w:val="18"/>
              </w:rPr>
              <w:t>冠状病毒</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 检测试剂盒（酶联免疫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本产品用于体外定性检测人血清 或血浆中的抗</w:t>
            </w:r>
            <w:r>
              <w:rPr>
                <w:rFonts w:ascii="Times New Roman" w:hAnsi="Times New Roman" w:cs="Times New Roman" w:eastAsia="Times New Roman" w:hint="default"/>
                <w:sz w:val="18"/>
                <w:szCs w:val="18"/>
              </w:rPr>
              <w:t>SARS</w:t>
            </w:r>
            <w:r>
              <w:rPr>
                <w:rFonts w:ascii="宋体" w:hAnsi="宋体" w:cs="宋体" w:eastAsia="宋体" w:hint="default"/>
                <w:sz w:val="18"/>
                <w:szCs w:val="18"/>
              </w:rPr>
              <w:t>冠状病毒 </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2019/6/17</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2014/6/18</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SARS</w:t>
            </w:r>
            <w:r>
              <w:rPr>
                <w:rFonts w:ascii="宋体" w:hAnsi="宋体" w:cs="宋体" w:eastAsia="宋体" w:hint="default"/>
                <w:sz w:val="18"/>
                <w:szCs w:val="18"/>
              </w:rPr>
              <w:t>冠状病毒</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 检测试剂盒（酶联免疫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left="2" w:right="-1"/>
              <w:jc w:val="both"/>
              <w:rPr>
                <w:rFonts w:ascii="宋体" w:hAnsi="宋体" w:cs="宋体" w:eastAsia="宋体" w:hint="default"/>
                <w:sz w:val="18"/>
                <w:szCs w:val="18"/>
              </w:rPr>
            </w:pPr>
            <w:r>
              <w:rPr>
                <w:rFonts w:ascii="宋体" w:hAnsi="宋体" w:cs="宋体" w:eastAsia="宋体" w:hint="default"/>
                <w:sz w:val="18"/>
                <w:szCs w:val="18"/>
              </w:rPr>
              <w:t>本产品用于体外定性检测人血清 或血浆中的抗</w:t>
            </w:r>
            <w:r>
              <w:rPr>
                <w:rFonts w:ascii="Times New Roman" w:hAnsi="Times New Roman" w:cs="Times New Roman" w:eastAsia="Times New Roman" w:hint="default"/>
                <w:sz w:val="18"/>
                <w:szCs w:val="18"/>
              </w:rPr>
              <w:t>SARS</w:t>
            </w:r>
            <w:r>
              <w:rPr>
                <w:rFonts w:ascii="宋体" w:hAnsi="宋体" w:cs="宋体" w:eastAsia="宋体" w:hint="default"/>
                <w:sz w:val="18"/>
                <w:szCs w:val="18"/>
              </w:rPr>
              <w:t>冠状病毒</w:t>
            </w:r>
            <w:r>
              <w:rPr>
                <w:rFonts w:ascii="Times New Roman" w:hAnsi="Times New Roman" w:cs="Times New Roman" w:eastAsia="Times New Roman" w:hint="default"/>
                <w:sz w:val="18"/>
                <w:szCs w:val="18"/>
              </w:rPr>
              <w:t>IgG</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抗体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2019/6/17</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2014/6/18</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EB</w:t>
            </w:r>
            <w:r>
              <w:rPr>
                <w:rFonts w:ascii="宋体" w:hAnsi="宋体" w:cs="宋体" w:eastAsia="宋体" w:hint="default"/>
                <w:sz w:val="18"/>
                <w:szCs w:val="18"/>
              </w:rPr>
              <w:t>病毒</w:t>
            </w:r>
            <w:r>
              <w:rPr>
                <w:rFonts w:ascii="Times New Roman" w:hAnsi="Times New Roman" w:cs="Times New Roman" w:eastAsia="Times New Roman" w:hint="default"/>
                <w:sz w:val="18"/>
                <w:szCs w:val="18"/>
              </w:rPr>
              <w:t>VCA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IgA</w:t>
            </w:r>
            <w:r>
              <w:rPr>
                <w:rFonts w:ascii="宋体" w:hAnsi="宋体" w:cs="宋体" w:eastAsia="宋体" w:hint="default"/>
                <w:sz w:val="18"/>
                <w:szCs w:val="18"/>
              </w:rPr>
              <w:t>抗体诊 断试剂盒（酶联免疫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本试剂盒用于定性检测人血清或 血浆中</w:t>
            </w:r>
            <w:r>
              <w:rPr>
                <w:rFonts w:ascii="Times New Roman" w:hAnsi="Times New Roman" w:cs="Times New Roman" w:eastAsia="Times New Roman" w:hint="default"/>
                <w:sz w:val="18"/>
                <w:szCs w:val="18"/>
              </w:rPr>
              <w:t>EBV VCA</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IgA</w:t>
            </w:r>
            <w:r>
              <w:rPr>
                <w:rFonts w:ascii="宋体" w:hAnsi="宋体" w:cs="宋体" w:eastAsia="宋体" w:hint="default"/>
                <w:sz w:val="18"/>
                <w:szCs w:val="18"/>
              </w:rPr>
              <w:t>抗体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2021/8/30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2016/8/31</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9"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right="163"/>
              <w:jc w:val="both"/>
              <w:rPr>
                <w:rFonts w:ascii="宋体" w:hAnsi="宋体" w:cs="宋体" w:eastAsia="宋体" w:hint="default"/>
                <w:sz w:val="18"/>
                <w:szCs w:val="18"/>
              </w:rPr>
            </w:pPr>
            <w:r>
              <w:rPr>
                <w:rFonts w:ascii="宋体" w:hAnsi="宋体" w:cs="宋体" w:eastAsia="宋体" w:hint="default"/>
                <w:sz w:val="18"/>
                <w:szCs w:val="18"/>
              </w:rPr>
              <w:t>六项肿瘤标志物测定试 剂盒（微阵列酶联免疫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 或</w:t>
            </w:r>
            <w:r>
              <w:rPr>
                <w:rFonts w:ascii="Times New Roman" w:hAnsi="Times New Roman" w:cs="Times New Roman" w:eastAsia="Times New Roman" w:hint="default"/>
                <w:sz w:val="18"/>
                <w:szCs w:val="18"/>
              </w:rPr>
              <w:t>/</w:t>
            </w:r>
            <w:r>
              <w:rPr>
                <w:rFonts w:ascii="宋体" w:hAnsi="宋体" w:cs="宋体" w:eastAsia="宋体" w:hint="default"/>
                <w:sz w:val="18"/>
                <w:szCs w:val="18"/>
              </w:rPr>
              <w:t>和血浆中六项肿瘤标志物</w:t>
            </w:r>
          </w:p>
          <w:p>
            <w:pPr>
              <w:pStyle w:val="TableParagraph"/>
              <w:spacing w:line="248" w:lineRule="exact"/>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AFP</w:t>
            </w:r>
            <w:r>
              <w:rPr>
                <w:rFonts w:ascii="宋体" w:hAnsi="宋体" w:cs="宋体" w:eastAsia="宋体" w:hint="default"/>
                <w:sz w:val="18"/>
                <w:szCs w:val="18"/>
              </w:rPr>
              <w:t>、</w:t>
            </w:r>
            <w:r>
              <w:rPr>
                <w:rFonts w:ascii="Times New Roman" w:hAnsi="Times New Roman" w:cs="Times New Roman" w:eastAsia="Times New Roman" w:hint="default"/>
                <w:sz w:val="18"/>
                <w:szCs w:val="18"/>
              </w:rPr>
              <w:t>CEA</w:t>
            </w:r>
            <w:r>
              <w:rPr>
                <w:rFonts w:ascii="宋体" w:hAnsi="宋体" w:cs="宋体" w:eastAsia="宋体" w:hint="default"/>
                <w:sz w:val="18"/>
                <w:szCs w:val="18"/>
              </w:rPr>
              <w:t>、</w:t>
            </w:r>
            <w:r>
              <w:rPr>
                <w:rFonts w:ascii="Times New Roman" w:hAnsi="Times New Roman" w:cs="Times New Roman" w:eastAsia="Times New Roman" w:hint="default"/>
                <w:sz w:val="18"/>
                <w:szCs w:val="18"/>
              </w:rPr>
              <w:t>PSA</w:t>
            </w:r>
            <w:r>
              <w:rPr>
                <w:rFonts w:ascii="宋体" w:hAnsi="宋体" w:cs="宋体" w:eastAsia="宋体" w:hint="default"/>
                <w:sz w:val="18"/>
                <w:szCs w:val="18"/>
              </w:rPr>
              <w:t>、</w:t>
            </w:r>
            <w:r>
              <w:rPr>
                <w:rFonts w:ascii="Times New Roman" w:hAnsi="Times New Roman" w:cs="Times New Roman" w:eastAsia="Times New Roman" w:hint="default"/>
                <w:sz w:val="18"/>
                <w:szCs w:val="18"/>
              </w:rPr>
              <w:t>CA125</w:t>
            </w:r>
            <w:r>
              <w:rPr>
                <w:rFonts w:ascii="宋体" w:hAnsi="宋体" w:cs="宋体" w:eastAsia="宋体" w:hint="default"/>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CA19-9</w:t>
            </w:r>
            <w:r>
              <w:rPr>
                <w:rFonts w:ascii="宋体" w:hAnsi="宋体" w:cs="宋体" w:eastAsia="宋体" w:hint="default"/>
                <w:sz w:val="18"/>
                <w:szCs w:val="18"/>
              </w:rPr>
              <w:t>和</w:t>
            </w:r>
            <w:r>
              <w:rPr>
                <w:rFonts w:ascii="Times New Roman" w:hAnsi="Times New Roman" w:cs="Times New Roman" w:eastAsia="Times New Roman" w:hint="default"/>
                <w:sz w:val="18"/>
                <w:szCs w:val="18"/>
              </w:rPr>
              <w:t>CA15-3</w:t>
            </w:r>
            <w:r>
              <w:rPr>
                <w:rFonts w:ascii="宋体" w:hAnsi="宋体" w:cs="宋体" w:eastAsia="宋体" w:hint="default"/>
                <w:sz w:val="18"/>
                <w:szCs w:val="18"/>
              </w:rPr>
              <w:t>）。</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2020/11/30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2015/12/1</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延续注册</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74" w:type="dxa"/>
        <w:tblLayout w:type="fixed"/>
        <w:tblCellMar>
          <w:top w:w="0" w:type="dxa"/>
          <w:left w:w="0" w:type="dxa"/>
          <w:bottom w:w="0" w:type="dxa"/>
          <w:right w:w="0" w:type="dxa"/>
        </w:tblCellMar>
        <w:tblLook w:val="01E0"/>
      </w:tblPr>
      <w:tblGrid>
        <w:gridCol w:w="557"/>
        <w:gridCol w:w="1985"/>
        <w:gridCol w:w="709"/>
        <w:gridCol w:w="2552"/>
        <w:gridCol w:w="991"/>
        <w:gridCol w:w="994"/>
        <w:gridCol w:w="1135"/>
      </w:tblGrid>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223" w:right="0"/>
              <w:jc w:val="left"/>
              <w:rPr>
                <w:rFonts w:ascii="Times New Roman" w:hAnsi="Times New Roman" w:cs="Times New Roman" w:eastAsia="Times New Roman" w:hint="default"/>
                <w:sz w:val="18"/>
                <w:szCs w:val="18"/>
              </w:rPr>
            </w:pPr>
            <w:r>
              <w:rPr>
                <w:rFonts w:ascii="Times New Roman"/>
                <w:sz w:val="18"/>
              </w:rPr>
              <w:t>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23"/>
              <w:ind w:right="163"/>
              <w:jc w:val="left"/>
              <w:rPr>
                <w:rFonts w:ascii="宋体" w:hAnsi="宋体" w:cs="宋体" w:eastAsia="宋体" w:hint="default"/>
                <w:sz w:val="18"/>
                <w:szCs w:val="18"/>
              </w:rPr>
            </w:pPr>
            <w:r>
              <w:rPr>
                <w:rFonts w:ascii="宋体" w:hAnsi="宋体" w:cs="宋体" w:eastAsia="宋体" w:hint="default"/>
                <w:sz w:val="18"/>
                <w:szCs w:val="18"/>
              </w:rPr>
              <w:t>梅毒螺旋体抗体检测试 剂盒（胶体金法）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7" w:lineRule="auto" w:before="23"/>
              <w:ind w:left="2" w:right="9"/>
              <w:jc w:val="left"/>
              <w:rPr>
                <w:rFonts w:ascii="宋体" w:hAnsi="宋体" w:cs="宋体" w:eastAsia="宋体" w:hint="default"/>
                <w:sz w:val="18"/>
                <w:szCs w:val="18"/>
              </w:rPr>
            </w:pPr>
            <w:r>
              <w:rPr>
                <w:rFonts w:ascii="宋体" w:hAnsi="宋体" w:cs="宋体" w:eastAsia="宋体" w:hint="default"/>
                <w:sz w:val="18"/>
                <w:szCs w:val="18"/>
              </w:rPr>
              <w:t>该产品用于定性检测全血</w:t>
            </w:r>
            <w:r>
              <w:rPr>
                <w:rFonts w:ascii="Times New Roman" w:hAnsi="Times New Roman" w:cs="Times New Roman" w:eastAsia="Times New Roman" w:hint="default"/>
                <w:sz w:val="18"/>
                <w:szCs w:val="18"/>
              </w:rPr>
              <w:t>/</w:t>
            </w:r>
            <w:r>
              <w:rPr>
                <w:rFonts w:ascii="宋体" w:hAnsi="宋体" w:cs="宋体" w:eastAsia="宋体" w:hint="default"/>
                <w:sz w:val="18"/>
                <w:szCs w:val="18"/>
              </w:rPr>
              <w:t>血清</w:t>
            </w:r>
            <w:r>
              <w:rPr>
                <w:rFonts w:ascii="Times New Roman" w:hAnsi="Times New Roman" w:cs="Times New Roman" w:eastAsia="Times New Roman" w:hint="default"/>
                <w:sz w:val="18"/>
                <w:szCs w:val="18"/>
              </w:rPr>
              <w:t>/ </w:t>
            </w:r>
            <w:r>
              <w:rPr>
                <w:rFonts w:ascii="宋体" w:hAnsi="宋体" w:cs="宋体" w:eastAsia="宋体" w:hint="default"/>
                <w:sz w:val="18"/>
                <w:szCs w:val="18"/>
              </w:rPr>
              <w:t>血浆中是否含有特异性梅毒螺旋 体抗体。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3" w:right="0"/>
              <w:jc w:val="center"/>
              <w:rPr>
                <w:rFonts w:ascii="Times New Roman" w:hAnsi="Times New Roman" w:cs="Times New Roman" w:eastAsia="Times New Roman" w:hint="default"/>
                <w:sz w:val="18"/>
                <w:szCs w:val="18"/>
              </w:rPr>
            </w:pPr>
            <w:r>
              <w:rPr>
                <w:rFonts w:ascii="Times New Roman"/>
                <w:sz w:val="18"/>
              </w:rPr>
              <w:t>2022/6/28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2017/6/29</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10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甲型 </w:t>
            </w:r>
            <w:r>
              <w:rPr>
                <w:rFonts w:ascii="Times New Roman" w:hAnsi="Times New Roman" w:cs="Times New Roman" w:eastAsia="Times New Roman" w:hint="default"/>
                <w:sz w:val="18"/>
                <w:szCs w:val="18"/>
              </w:rPr>
              <w:t>H1N1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流感病毒</w:t>
            </w:r>
          </w:p>
          <w:p>
            <w:pPr>
              <w:pStyle w:val="TableParagraph"/>
              <w:spacing w:line="300" w:lineRule="auto" w:before="63"/>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宋体" w:hAnsi="宋体" w:cs="宋体" w:eastAsia="宋体" w:hint="default"/>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核酸检测 试剂盒（荧光 </w:t>
            </w:r>
            <w:r>
              <w:rPr>
                <w:rFonts w:ascii="Times New Roman" w:hAnsi="Times New Roman" w:cs="Times New Roman" w:eastAsia="Times New Roman" w:hint="default"/>
                <w:sz w:val="18"/>
                <w:szCs w:val="18"/>
              </w:rPr>
              <w:t>PCR</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用于对甲型</w:t>
            </w:r>
            <w:r>
              <w:rPr>
                <w:rFonts w:ascii="Times New Roman" w:hAnsi="Times New Roman" w:cs="Times New Roman" w:eastAsia="Times New Roman" w:hint="default"/>
                <w:sz w:val="18"/>
                <w:szCs w:val="18"/>
              </w:rPr>
              <w:t>H1N1</w:t>
            </w:r>
            <w:r>
              <w:rPr>
                <w:rFonts w:ascii="宋体" w:hAnsi="宋体" w:cs="宋体" w:eastAsia="宋体" w:hint="default"/>
                <w:sz w:val="18"/>
                <w:szCs w:val="18"/>
              </w:rPr>
              <w:t>流感病毒疑似 患者的鼻咽拭子样本的核酸进行 定性检测。</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2022/6/27</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2017/6/28</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11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right="120"/>
              <w:jc w:val="both"/>
              <w:rPr>
                <w:rFonts w:ascii="宋体" w:hAnsi="宋体" w:cs="宋体" w:eastAsia="宋体" w:hint="default"/>
                <w:sz w:val="18"/>
                <w:szCs w:val="18"/>
              </w:rPr>
            </w:pPr>
            <w:r>
              <w:rPr>
                <w:rFonts w:ascii="宋体" w:hAnsi="宋体" w:cs="宋体" w:eastAsia="宋体" w:hint="default"/>
                <w:sz w:val="18"/>
                <w:szCs w:val="18"/>
              </w:rPr>
              <w:t>甲型流感病毒通用型核 酸检测试剂盒（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 光探针法）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2" w:right="9"/>
              <w:jc w:val="both"/>
              <w:rPr>
                <w:rFonts w:ascii="宋体" w:hAnsi="宋体" w:cs="宋体" w:eastAsia="宋体" w:hint="default"/>
                <w:sz w:val="18"/>
                <w:szCs w:val="18"/>
              </w:rPr>
            </w:pPr>
            <w:r>
              <w:rPr>
                <w:rFonts w:ascii="宋体" w:hAnsi="宋体" w:cs="宋体" w:eastAsia="宋体" w:hint="default"/>
                <w:sz w:val="18"/>
                <w:szCs w:val="18"/>
              </w:rPr>
              <w:t>用于对甲型流感病毒疑似患者的 鼻咽拭子样本的核酸进行定性检 测。</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2022/6/27</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2017/6/28</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1601"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12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40" w:lineRule="auto" w:before="20"/>
              <w:ind w:right="346"/>
              <w:jc w:val="left"/>
              <w:rPr>
                <w:rFonts w:ascii="Times New Roman" w:hAnsi="Times New Roman" w:cs="Times New Roman" w:eastAsia="Times New Roman" w:hint="default"/>
                <w:sz w:val="18"/>
                <w:szCs w:val="18"/>
              </w:rPr>
            </w:pPr>
            <w:r>
              <w:rPr>
                <w:rFonts w:ascii="宋体" w:hAnsi="宋体" w:cs="宋体" w:eastAsia="宋体" w:hint="default"/>
                <w:sz w:val="18"/>
                <w:szCs w:val="18"/>
              </w:rPr>
              <w:t>生物芯片阅读仪</w:t>
            </w:r>
            <w:r>
              <w:rPr>
                <w:rFonts w:ascii="Times New Roman" w:hAnsi="Times New Roman" w:cs="Times New Roman" w:eastAsia="Times New Roman" w:hint="default"/>
                <w:sz w:val="18"/>
                <w:szCs w:val="18"/>
              </w:rPr>
              <w:t>(AE- 1000)</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20"/>
              <w:ind w:left="2" w:right="9"/>
              <w:jc w:val="both"/>
              <w:rPr>
                <w:rFonts w:ascii="宋体" w:hAnsi="宋体" w:cs="宋体" w:eastAsia="宋体" w:hint="default"/>
                <w:sz w:val="18"/>
                <w:szCs w:val="18"/>
              </w:rPr>
            </w:pPr>
            <w:r>
              <w:rPr>
                <w:rFonts w:ascii="宋体" w:hAnsi="宋体" w:cs="宋体" w:eastAsia="宋体" w:hint="default"/>
                <w:sz w:val="18"/>
                <w:szCs w:val="18"/>
              </w:rPr>
              <w:t>产品适用范围：该产品与本公司 已上市的微阵列酶联免疫法的体 外诊断试剂配套使用，适用于临 床机构对人类体液中的被分析物 进行检测。</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2019/7/23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2014/7/24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1910"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13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156"/>
              <w:jc w:val="both"/>
              <w:rPr>
                <w:rFonts w:ascii="宋体" w:hAnsi="宋体" w:cs="宋体" w:eastAsia="宋体" w:hint="default"/>
                <w:sz w:val="18"/>
                <w:szCs w:val="18"/>
              </w:rPr>
            </w:pPr>
            <w:r>
              <w:rPr>
                <w:rFonts w:ascii="宋体" w:hAnsi="宋体" w:cs="宋体" w:eastAsia="宋体" w:hint="default"/>
                <w:sz w:val="18"/>
                <w:szCs w:val="18"/>
              </w:rPr>
              <w:t>自身免疫性疾病</w:t>
            </w:r>
            <w:r>
              <w:rPr>
                <w:rFonts w:ascii="Times New Roman" w:hAnsi="Times New Roman" w:cs="Times New Roman" w:eastAsia="Times New Roman" w:hint="default"/>
                <w:sz w:val="18"/>
                <w:szCs w:val="18"/>
              </w:rPr>
              <w:t>ENA</w:t>
            </w:r>
            <w:r>
              <w:rPr>
                <w:rFonts w:ascii="宋体" w:hAnsi="宋体" w:cs="宋体" w:eastAsia="宋体" w:hint="default"/>
                <w:sz w:val="18"/>
                <w:szCs w:val="18"/>
              </w:rPr>
              <w:t>抗 体谱检测试剂盒（微阵 列酶联免疫法）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7"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本试剂盒可用于体外定性检测人 血清中自身免疫性疾病相关的六 种特异性自身抗体（抗</w:t>
            </w:r>
            <w:r>
              <w:rPr>
                <w:rFonts w:ascii="Times New Roman" w:hAnsi="Times New Roman" w:cs="Times New Roman" w:eastAsia="Times New Roman" w:hint="default"/>
                <w:sz w:val="18"/>
                <w:szCs w:val="18"/>
              </w:rPr>
              <w:t>Sm</w:t>
            </w:r>
            <w:r>
              <w:rPr>
                <w:rFonts w:ascii="宋体" w:hAnsi="宋体" w:cs="宋体" w:eastAsia="宋体" w:hint="default"/>
                <w:sz w:val="18"/>
                <w:szCs w:val="18"/>
              </w:rPr>
              <w:t>抗 体、抗</w:t>
            </w:r>
            <w:r>
              <w:rPr>
                <w:rFonts w:ascii="Times New Roman" w:hAnsi="Times New Roman" w:cs="Times New Roman" w:eastAsia="Times New Roman" w:hint="default"/>
                <w:sz w:val="18"/>
                <w:szCs w:val="18"/>
              </w:rPr>
              <w:t>nRNP/Sm</w:t>
            </w:r>
            <w:r>
              <w:rPr>
                <w:rFonts w:ascii="宋体" w:hAnsi="宋体" w:cs="宋体" w:eastAsia="宋体" w:hint="default"/>
                <w:sz w:val="18"/>
                <w:szCs w:val="18"/>
              </w:rPr>
              <w:t>抗体、抗</w:t>
            </w:r>
            <w:r>
              <w:rPr>
                <w:rFonts w:ascii="Times New Roman" w:hAnsi="Times New Roman" w:cs="Times New Roman" w:eastAsia="Times New Roman" w:hint="default"/>
                <w:sz w:val="18"/>
                <w:szCs w:val="18"/>
              </w:rPr>
              <w:t>SS-A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抗体、抗</w:t>
            </w:r>
            <w:r>
              <w:rPr>
                <w:rFonts w:ascii="Times New Roman" w:hAnsi="Times New Roman" w:cs="Times New Roman" w:eastAsia="Times New Roman" w:hint="default"/>
                <w:sz w:val="18"/>
                <w:szCs w:val="18"/>
              </w:rPr>
              <w:t>SS-B</w:t>
            </w:r>
            <w:r>
              <w:rPr>
                <w:rFonts w:ascii="宋体" w:hAnsi="宋体" w:cs="宋体" w:eastAsia="宋体" w:hint="default"/>
                <w:sz w:val="18"/>
                <w:szCs w:val="18"/>
              </w:rPr>
              <w:t>抗体、抗</w:t>
            </w:r>
            <w:r>
              <w:rPr>
                <w:rFonts w:ascii="Times New Roman" w:hAnsi="Times New Roman" w:cs="Times New Roman" w:eastAsia="Times New Roman" w:hint="default"/>
                <w:sz w:val="18"/>
                <w:szCs w:val="18"/>
              </w:rPr>
              <w:t>Scl-70</w:t>
            </w:r>
            <w:r>
              <w:rPr>
                <w:rFonts w:ascii="宋体" w:hAnsi="宋体" w:cs="宋体" w:eastAsia="宋体" w:hint="default"/>
                <w:sz w:val="18"/>
                <w:szCs w:val="18"/>
              </w:rPr>
              <w:t>抗 体和抗</w:t>
            </w:r>
            <w:r>
              <w:rPr>
                <w:rFonts w:ascii="Times New Roman" w:hAnsi="Times New Roman" w:cs="Times New Roman" w:eastAsia="Times New Roman" w:hint="default"/>
                <w:sz w:val="18"/>
                <w:szCs w:val="18"/>
              </w:rPr>
              <w:t>Jo-l</w:t>
            </w:r>
            <w:r>
              <w:rPr>
                <w:rFonts w:ascii="宋体" w:hAnsi="宋体" w:cs="宋体" w:eastAsia="宋体" w:hint="default"/>
                <w:sz w:val="18"/>
                <w:szCs w:val="18"/>
              </w:rPr>
              <w:t>抗体）。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2020/11/12</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2015/11/13</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9"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14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三碘甲状腺原氨酸</w:t>
            </w:r>
          </w:p>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T3</w:t>
            </w:r>
            <w:r>
              <w:rPr>
                <w:rFonts w:ascii="宋体" w:hAnsi="宋体" w:cs="宋体" w:eastAsia="宋体" w:hint="default"/>
                <w:sz w:val="18"/>
                <w:szCs w:val="18"/>
              </w:rPr>
              <w:t>）定量测定试剂盒</w:t>
            </w:r>
          </w:p>
          <w:p>
            <w:pPr>
              <w:pStyle w:val="TableParagraph"/>
              <w:spacing w:line="316" w:lineRule="auto" w:before="63"/>
              <w:ind w:right="343"/>
              <w:jc w:val="left"/>
              <w:rPr>
                <w:rFonts w:ascii="宋体" w:hAnsi="宋体" w:cs="宋体" w:eastAsia="宋体" w:hint="default"/>
                <w:sz w:val="18"/>
                <w:szCs w:val="18"/>
              </w:rPr>
            </w:pPr>
            <w:r>
              <w:rPr>
                <w:rFonts w:ascii="宋体" w:hAnsi="宋体" w:cs="宋体" w:eastAsia="宋体" w:hint="default"/>
                <w:sz w:val="18"/>
                <w:szCs w:val="18"/>
              </w:rPr>
              <w:t>（化学发光免疫分析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用于体外定量测定人血清中三碘 甲状腺原氨酸（</w:t>
            </w:r>
            <w:r>
              <w:rPr>
                <w:rFonts w:ascii="Times New Roman" w:hAnsi="Times New Roman" w:cs="Times New Roman" w:eastAsia="Times New Roman" w:hint="default"/>
                <w:sz w:val="18"/>
                <w:szCs w:val="18"/>
              </w:rPr>
              <w:t>T3</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9"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15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游离三碘甲状腺原氨酸</w:t>
            </w:r>
          </w:p>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FT3</w:t>
            </w:r>
            <w:r>
              <w:rPr>
                <w:rFonts w:ascii="宋体" w:hAnsi="宋体" w:cs="宋体" w:eastAsia="宋体" w:hint="default"/>
                <w:sz w:val="18"/>
                <w:szCs w:val="18"/>
              </w:rPr>
              <w:t>）定量测定试剂盒</w:t>
            </w:r>
          </w:p>
          <w:p>
            <w:pPr>
              <w:pStyle w:val="TableParagraph"/>
              <w:spacing w:line="316" w:lineRule="auto" w:before="63"/>
              <w:ind w:right="343"/>
              <w:jc w:val="left"/>
              <w:rPr>
                <w:rFonts w:ascii="宋体" w:hAnsi="宋体" w:cs="宋体" w:eastAsia="宋体" w:hint="default"/>
                <w:sz w:val="18"/>
                <w:szCs w:val="18"/>
              </w:rPr>
            </w:pPr>
            <w:r>
              <w:rPr>
                <w:rFonts w:ascii="宋体" w:hAnsi="宋体" w:cs="宋体" w:eastAsia="宋体" w:hint="default"/>
                <w:sz w:val="18"/>
                <w:szCs w:val="18"/>
              </w:rPr>
              <w:t>（化学发光免疫分析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9"/>
              <w:jc w:val="both"/>
              <w:rPr>
                <w:rFonts w:ascii="宋体" w:hAnsi="宋体" w:cs="宋体" w:eastAsia="宋体" w:hint="default"/>
                <w:sz w:val="18"/>
                <w:szCs w:val="18"/>
              </w:rPr>
            </w:pPr>
            <w:r>
              <w:rPr>
                <w:rFonts w:ascii="宋体" w:hAnsi="宋体" w:cs="宋体" w:eastAsia="宋体" w:hint="default"/>
                <w:sz w:val="18"/>
                <w:szCs w:val="18"/>
              </w:rPr>
              <w:t>用于体外定量测定人血清中游离 三碘甲状腺原氨酸（</w:t>
            </w:r>
            <w:r>
              <w:rPr>
                <w:rFonts w:ascii="Times New Roman" w:hAnsi="Times New Roman" w:cs="Times New Roman" w:eastAsia="Times New Roman" w:hint="default"/>
                <w:sz w:val="18"/>
                <w:szCs w:val="18"/>
              </w:rPr>
              <w:t>FT3</w:t>
            </w:r>
            <w:r>
              <w:rPr>
                <w:rFonts w:ascii="宋体" w:hAnsi="宋体" w:cs="宋体" w:eastAsia="宋体" w:hint="default"/>
                <w:sz w:val="18"/>
                <w:szCs w:val="18"/>
              </w:rPr>
              <w:t>）的含 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5"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16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144"/>
              <w:jc w:val="both"/>
              <w:rPr>
                <w:rFonts w:ascii="宋体" w:hAnsi="宋体" w:cs="宋体" w:eastAsia="宋体" w:hint="default"/>
                <w:sz w:val="18"/>
                <w:szCs w:val="18"/>
              </w:rPr>
            </w:pPr>
            <w:r>
              <w:rPr>
                <w:rFonts w:ascii="宋体" w:hAnsi="宋体" w:cs="宋体" w:eastAsia="宋体" w:hint="default"/>
                <w:sz w:val="18"/>
                <w:szCs w:val="18"/>
              </w:rPr>
              <w:t>甲状腺素（</w:t>
            </w:r>
            <w:r>
              <w:rPr>
                <w:rFonts w:ascii="Times New Roman" w:hAnsi="Times New Roman" w:cs="Times New Roman" w:eastAsia="Times New Roman" w:hint="default"/>
                <w:sz w:val="18"/>
                <w:szCs w:val="18"/>
              </w:rPr>
              <w:t>T4</w:t>
            </w:r>
            <w:r>
              <w:rPr>
                <w:rFonts w:ascii="宋体" w:hAnsi="宋体" w:cs="宋体" w:eastAsia="宋体" w:hint="default"/>
                <w:sz w:val="18"/>
                <w:szCs w:val="18"/>
              </w:rPr>
              <w:t>）定量测 定试剂盒（化学发光免 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用于体外定量测定人血清中甲状 腺素（</w:t>
            </w:r>
            <w:r>
              <w:rPr>
                <w:rFonts w:ascii="Times New Roman" w:hAnsi="Times New Roman" w:cs="Times New Roman" w:eastAsia="Times New Roman" w:hint="default"/>
                <w:sz w:val="18"/>
                <w:szCs w:val="18"/>
              </w:rPr>
              <w:t>T4</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17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right="43"/>
              <w:jc w:val="left"/>
              <w:rPr>
                <w:rFonts w:ascii="宋体" w:hAnsi="宋体" w:cs="宋体" w:eastAsia="宋体" w:hint="default"/>
                <w:sz w:val="18"/>
                <w:szCs w:val="18"/>
              </w:rPr>
            </w:pPr>
            <w:r>
              <w:rPr>
                <w:rFonts w:ascii="宋体" w:hAnsi="宋体" w:cs="宋体" w:eastAsia="宋体" w:hint="default"/>
                <w:sz w:val="18"/>
                <w:szCs w:val="18"/>
              </w:rPr>
              <w:t>游离甲状腺素（</w:t>
            </w:r>
            <w:r>
              <w:rPr>
                <w:rFonts w:ascii="Times New Roman" w:hAnsi="Times New Roman" w:cs="Times New Roman" w:eastAsia="Times New Roman" w:hint="default"/>
                <w:sz w:val="18"/>
                <w:szCs w:val="18"/>
              </w:rPr>
              <w:t>FT4</w:t>
            </w:r>
            <w:r>
              <w:rPr>
                <w:rFonts w:ascii="宋体" w:hAnsi="宋体" w:cs="宋体" w:eastAsia="宋体" w:hint="default"/>
                <w:sz w:val="18"/>
                <w:szCs w:val="18"/>
              </w:rPr>
              <w:t>）定 量测定试剂盒（化学发 光免疫分析法）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用于体外定量测定人血清中游离 甲状腺素（</w:t>
            </w:r>
            <w:r>
              <w:rPr>
                <w:rFonts w:ascii="Times New Roman" w:hAnsi="Times New Roman" w:cs="Times New Roman" w:eastAsia="Times New Roman" w:hint="default"/>
                <w:sz w:val="18"/>
                <w:szCs w:val="18"/>
              </w:rPr>
              <w:t>FT4</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18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5"/>
              <w:jc w:val="left"/>
              <w:rPr>
                <w:rFonts w:ascii="宋体" w:hAnsi="宋体" w:cs="宋体" w:eastAsia="宋体" w:hint="default"/>
                <w:sz w:val="18"/>
                <w:szCs w:val="18"/>
              </w:rPr>
            </w:pPr>
            <w:r>
              <w:rPr>
                <w:rFonts w:ascii="宋体" w:hAnsi="宋体" w:cs="宋体" w:eastAsia="宋体" w:hint="default"/>
                <w:sz w:val="18"/>
                <w:szCs w:val="18"/>
              </w:rPr>
              <w:t>促甲状腺素（</w:t>
            </w:r>
            <w:r>
              <w:rPr>
                <w:rFonts w:ascii="Times New Roman" w:hAnsi="Times New Roman" w:cs="Times New Roman" w:eastAsia="Times New Roman" w:hint="default"/>
                <w:sz w:val="18"/>
                <w:szCs w:val="18"/>
              </w:rPr>
              <w:t>TSH</w:t>
            </w:r>
            <w:r>
              <w:rPr>
                <w:rFonts w:ascii="宋体" w:hAnsi="宋体" w:cs="宋体" w:eastAsia="宋体" w:hint="default"/>
                <w:sz w:val="18"/>
                <w:szCs w:val="18"/>
              </w:rPr>
              <w:t>）定量 测定试剂盒（化学发光 免疫分析法）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用于体外定量测定人血清中促甲 状腺素（</w:t>
            </w:r>
            <w:r>
              <w:rPr>
                <w:rFonts w:ascii="Times New Roman" w:hAnsi="Times New Roman" w:cs="Times New Roman" w:eastAsia="Times New Roman" w:hint="default"/>
                <w:sz w:val="18"/>
                <w:szCs w:val="18"/>
              </w:rPr>
              <w:t>TSH</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6"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19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right="14"/>
              <w:jc w:val="left"/>
              <w:rPr>
                <w:rFonts w:ascii="宋体" w:hAnsi="宋体" w:cs="宋体" w:eastAsia="宋体" w:hint="default"/>
                <w:sz w:val="18"/>
                <w:szCs w:val="18"/>
              </w:rPr>
            </w:pPr>
            <w:r>
              <w:rPr>
                <w:rFonts w:ascii="宋体" w:hAnsi="宋体" w:cs="宋体" w:eastAsia="宋体" w:hint="default"/>
                <w:sz w:val="18"/>
                <w:szCs w:val="18"/>
              </w:rPr>
              <w:t>抗甲状腺微粒抗体（</w:t>
            </w:r>
            <w:r>
              <w:rPr>
                <w:rFonts w:ascii="Times New Roman" w:hAnsi="Times New Roman" w:cs="Times New Roman" w:eastAsia="Times New Roman" w:hint="default"/>
                <w:sz w:val="18"/>
                <w:szCs w:val="18"/>
              </w:rPr>
              <w:t>TM-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Ab</w:t>
            </w:r>
            <w:r>
              <w:rPr>
                <w:rFonts w:ascii="宋体" w:hAnsi="宋体" w:cs="宋体" w:eastAsia="宋体" w:hint="default"/>
                <w:sz w:val="18"/>
                <w:szCs w:val="18"/>
              </w:rPr>
              <w:t>）定量测定试剂盒</w:t>
            </w:r>
          </w:p>
          <w:p>
            <w:pPr>
              <w:pStyle w:val="TableParagraph"/>
              <w:spacing w:line="316" w:lineRule="auto" w:before="13"/>
              <w:ind w:right="343"/>
              <w:jc w:val="left"/>
              <w:rPr>
                <w:rFonts w:ascii="宋体" w:hAnsi="宋体" w:cs="宋体" w:eastAsia="宋体" w:hint="default"/>
                <w:sz w:val="18"/>
                <w:szCs w:val="18"/>
              </w:rPr>
            </w:pPr>
            <w:r>
              <w:rPr>
                <w:rFonts w:ascii="宋体" w:hAnsi="宋体" w:cs="宋体" w:eastAsia="宋体" w:hint="default"/>
                <w:sz w:val="18"/>
                <w:szCs w:val="18"/>
              </w:rPr>
              <w:t>（化学发光免疫分析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用于体外定量测定人血清中抗甲 状腺微粒抗体（</w:t>
            </w:r>
            <w:r>
              <w:rPr>
                <w:rFonts w:ascii="Times New Roman" w:hAnsi="Times New Roman" w:cs="Times New Roman" w:eastAsia="Times New Roman" w:hint="default"/>
                <w:sz w:val="18"/>
                <w:szCs w:val="18"/>
              </w:rPr>
              <w:t>TM-Ab</w:t>
            </w:r>
            <w:r>
              <w:rPr>
                <w:rFonts w:ascii="宋体" w:hAnsi="宋体" w:cs="宋体" w:eastAsia="宋体" w:hint="default"/>
                <w:sz w:val="18"/>
                <w:szCs w:val="18"/>
              </w:rPr>
              <w:t>）的含 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665"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178" w:right="0"/>
              <w:jc w:val="left"/>
              <w:rPr>
                <w:rFonts w:ascii="Times New Roman" w:hAnsi="Times New Roman" w:cs="Times New Roman" w:eastAsia="Times New Roman" w:hint="default"/>
                <w:sz w:val="18"/>
                <w:szCs w:val="18"/>
              </w:rPr>
            </w:pPr>
            <w:r>
              <w:rPr>
                <w:rFonts w:ascii="Times New Roman"/>
                <w:sz w:val="18"/>
              </w:rPr>
              <w:t>20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3"/>
              <w:ind w:right="84"/>
              <w:jc w:val="left"/>
              <w:rPr>
                <w:rFonts w:ascii="宋体" w:hAnsi="宋体" w:cs="宋体" w:eastAsia="宋体" w:hint="default"/>
                <w:sz w:val="18"/>
                <w:szCs w:val="18"/>
              </w:rPr>
            </w:pPr>
            <w:r>
              <w:rPr>
                <w:rFonts w:ascii="宋体" w:hAnsi="宋体" w:cs="宋体" w:eastAsia="宋体" w:hint="default"/>
                <w:sz w:val="18"/>
                <w:szCs w:val="18"/>
              </w:rPr>
              <w:t>抗甲状腺过氧化物酶抗 体（</w:t>
            </w:r>
            <w:r>
              <w:rPr>
                <w:rFonts w:ascii="Times New Roman" w:hAnsi="Times New Roman" w:cs="Times New Roman" w:eastAsia="Times New Roman" w:hint="default"/>
                <w:sz w:val="18"/>
                <w:szCs w:val="18"/>
              </w:rPr>
              <w:t>TPO-Ab</w:t>
            </w:r>
            <w:r>
              <w:rPr>
                <w:rFonts w:ascii="宋体" w:hAnsi="宋体" w:cs="宋体" w:eastAsia="宋体" w:hint="default"/>
                <w:sz w:val="18"/>
                <w:szCs w:val="18"/>
              </w:rPr>
              <w:t>）定量测定</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3"/>
              <w:ind w:left="2" w:right="9"/>
              <w:jc w:val="left"/>
              <w:rPr>
                <w:rFonts w:ascii="Times New Roman" w:hAnsi="Times New Roman" w:cs="Times New Roman" w:eastAsia="Times New Roman" w:hint="default"/>
                <w:sz w:val="18"/>
                <w:szCs w:val="18"/>
              </w:rPr>
            </w:pPr>
            <w:r>
              <w:rPr>
                <w:rFonts w:ascii="宋体" w:hAnsi="宋体" w:cs="宋体" w:eastAsia="宋体" w:hint="default"/>
                <w:sz w:val="18"/>
                <w:szCs w:val="18"/>
              </w:rPr>
              <w:t>用于体外定量测定人血清中抗甲 状腺过氧化物酶抗体（</w:t>
            </w:r>
            <w:r>
              <w:rPr>
                <w:rFonts w:ascii="Times New Roman" w:hAnsi="Times New Roman" w:cs="Times New Roman" w:eastAsia="Times New Roman" w:hint="default"/>
                <w:sz w:val="18"/>
                <w:szCs w:val="18"/>
              </w:rPr>
              <w:t>TPO-</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bl>
    <w:p>
      <w:pPr>
        <w:spacing w:after="0" w:line="240" w:lineRule="auto"/>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74" w:type="dxa"/>
        <w:tblLayout w:type="fixed"/>
        <w:tblCellMar>
          <w:top w:w="0" w:type="dxa"/>
          <w:left w:w="0" w:type="dxa"/>
          <w:bottom w:w="0" w:type="dxa"/>
          <w:right w:w="0" w:type="dxa"/>
        </w:tblCellMar>
        <w:tblLook w:val="01E0"/>
      </w:tblPr>
      <w:tblGrid>
        <w:gridCol w:w="557"/>
        <w:gridCol w:w="1985"/>
        <w:gridCol w:w="709"/>
        <w:gridCol w:w="2552"/>
        <w:gridCol w:w="991"/>
        <w:gridCol w:w="994"/>
        <w:gridCol w:w="1135"/>
      </w:tblGrid>
      <w:tr>
        <w:trPr>
          <w:trHeight w:val="665" w:hRule="exact"/>
        </w:trPr>
        <w:tc>
          <w:tcPr>
            <w:tcW w:w="557"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23"/>
              <w:ind w:right="163"/>
              <w:jc w:val="left"/>
              <w:rPr>
                <w:rFonts w:ascii="宋体" w:hAnsi="宋体" w:cs="宋体" w:eastAsia="宋体" w:hint="default"/>
                <w:sz w:val="18"/>
                <w:szCs w:val="18"/>
              </w:rPr>
            </w:pPr>
            <w:r>
              <w:rPr>
                <w:rFonts w:ascii="宋体" w:hAnsi="宋体" w:cs="宋体" w:eastAsia="宋体" w:hint="default"/>
                <w:sz w:val="18"/>
                <w:szCs w:val="18"/>
              </w:rPr>
              <w:t>试剂盒（化学发光免疫 分析法）</w:t>
            </w:r>
          </w:p>
        </w:tc>
        <w:tc>
          <w:tcPr>
            <w:tcW w:w="709" w:type="dxa"/>
            <w:tcBorders>
              <w:top w:val="single" w:sz="8" w:space="0" w:color="000000"/>
              <w:left w:val="single" w:sz="8" w:space="0" w:color="000000"/>
              <w:bottom w:val="single" w:sz="8" w:space="0" w:color="000000"/>
              <w:right w:val="single" w:sz="8" w:space="0" w:color="000000"/>
            </w:tcBorders>
          </w:tcPr>
          <w:p>
            <w:pP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Ab</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
        </w:tc>
        <w:tc>
          <w:tcPr>
            <w:tcW w:w="1135" w:type="dxa"/>
            <w:tcBorders>
              <w:top w:val="single" w:sz="8" w:space="0" w:color="000000"/>
              <w:left w:val="single" w:sz="8" w:space="0" w:color="000000"/>
              <w:bottom w:val="single" w:sz="8" w:space="0" w:color="000000"/>
              <w:right w:val="single" w:sz="8" w:space="0" w:color="000000"/>
            </w:tcBorders>
          </w:tcPr>
          <w:p>
            <w:pPr/>
          </w:p>
        </w:tc>
      </w:tr>
      <w:tr>
        <w:trPr>
          <w:trHeight w:val="97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21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122"/>
              <w:jc w:val="both"/>
              <w:rPr>
                <w:rFonts w:ascii="宋体" w:hAnsi="宋体" w:cs="宋体" w:eastAsia="宋体" w:hint="default"/>
                <w:sz w:val="18"/>
                <w:szCs w:val="18"/>
              </w:rPr>
            </w:pPr>
            <w:r>
              <w:rPr>
                <w:rFonts w:ascii="宋体" w:hAnsi="宋体" w:cs="宋体" w:eastAsia="宋体" w:hint="default"/>
                <w:sz w:val="18"/>
                <w:szCs w:val="18"/>
              </w:rPr>
              <w:t>胰岛素（</w:t>
            </w:r>
            <w:r>
              <w:rPr>
                <w:rFonts w:ascii="Times New Roman" w:hAnsi="Times New Roman" w:cs="Times New Roman" w:eastAsia="Times New Roman" w:hint="default"/>
                <w:sz w:val="18"/>
                <w:szCs w:val="18"/>
              </w:rPr>
              <w:t>Ins</w:t>
            </w:r>
            <w:r>
              <w:rPr>
                <w:rFonts w:ascii="宋体" w:hAnsi="宋体" w:cs="宋体" w:eastAsia="宋体" w:hint="default"/>
                <w:sz w:val="18"/>
                <w:szCs w:val="18"/>
              </w:rPr>
              <w:t>）定量测定 试剂盒（化学发光免疫 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用于体外定量测定人血清中胰岛 素（</w:t>
            </w:r>
            <w:r>
              <w:rPr>
                <w:rFonts w:ascii="Times New Roman" w:hAnsi="Times New Roman" w:cs="Times New Roman" w:eastAsia="Times New Roman" w:hint="default"/>
                <w:sz w:val="18"/>
                <w:szCs w:val="18"/>
              </w:rPr>
              <w:t>Ins</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63"/>
              <w:jc w:val="right"/>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22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right="120"/>
              <w:jc w:val="both"/>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肽（</w:t>
            </w:r>
            <w:r>
              <w:rPr>
                <w:rFonts w:ascii="Times New Roman" w:hAnsi="Times New Roman" w:cs="Times New Roman" w:eastAsia="Times New Roman" w:hint="default"/>
                <w:sz w:val="18"/>
                <w:szCs w:val="18"/>
              </w:rPr>
              <w:t>C-P</w:t>
            </w:r>
            <w:r>
              <w:rPr>
                <w:rFonts w:ascii="宋体" w:hAnsi="宋体" w:cs="宋体" w:eastAsia="宋体" w:hint="default"/>
                <w:sz w:val="18"/>
                <w:szCs w:val="18"/>
              </w:rPr>
              <w:t>）定量测定试 剂盒（化学发光免疫分 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用于体外定量测定人血清中</w:t>
            </w:r>
            <w:r>
              <w:rPr>
                <w:rFonts w:ascii="Times New Roman" w:hAnsi="Times New Roman" w:cs="Times New Roman" w:eastAsia="Times New Roman" w:hint="default"/>
                <w:sz w:val="18"/>
                <w:szCs w:val="18"/>
              </w:rPr>
              <w:t>C</w:t>
            </w:r>
            <w:r>
              <w:rPr>
                <w:rFonts w:ascii="宋体" w:hAnsi="宋体" w:cs="宋体" w:eastAsia="宋体" w:hint="default"/>
                <w:sz w:val="18"/>
                <w:szCs w:val="18"/>
              </w:rPr>
              <w:t>肽</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C-P</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63"/>
              <w:jc w:val="right"/>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23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143"/>
              <w:jc w:val="both"/>
              <w:rPr>
                <w:rFonts w:ascii="宋体" w:hAnsi="宋体" w:cs="宋体" w:eastAsia="宋体" w:hint="default"/>
                <w:sz w:val="18"/>
                <w:szCs w:val="18"/>
              </w:rPr>
            </w:pPr>
            <w:r>
              <w:rPr>
                <w:rFonts w:ascii="宋体" w:hAnsi="宋体" w:cs="宋体" w:eastAsia="宋体" w:hint="default"/>
                <w:sz w:val="18"/>
                <w:szCs w:val="18"/>
              </w:rPr>
              <w:t>雌二醇（</w:t>
            </w:r>
            <w:r>
              <w:rPr>
                <w:rFonts w:ascii="Times New Roman" w:hAnsi="Times New Roman" w:cs="Times New Roman" w:eastAsia="Times New Roman" w:hint="default"/>
                <w:sz w:val="18"/>
                <w:szCs w:val="18"/>
              </w:rPr>
              <w:t>E2</w:t>
            </w:r>
            <w:r>
              <w:rPr>
                <w:rFonts w:ascii="宋体" w:hAnsi="宋体" w:cs="宋体" w:eastAsia="宋体" w:hint="default"/>
                <w:sz w:val="18"/>
                <w:szCs w:val="18"/>
              </w:rPr>
              <w:t>）定量测定 试剂盒（化学发光免疫 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用于体外定量测定人血清中雌二 醇（</w:t>
            </w:r>
            <w:r>
              <w:rPr>
                <w:rFonts w:ascii="Times New Roman" w:hAnsi="Times New Roman" w:cs="Times New Roman" w:eastAsia="Times New Roman" w:hint="default"/>
                <w:sz w:val="18"/>
                <w:szCs w:val="18"/>
              </w:rPr>
              <w:t>E2</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63"/>
              <w:jc w:val="right"/>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6"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24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β</w:t>
            </w:r>
            <w:r>
              <w:rPr>
                <w:rFonts w:ascii="宋体" w:hAnsi="宋体" w:cs="宋体" w:eastAsia="宋体" w:hint="default"/>
                <w:sz w:val="18"/>
                <w:szCs w:val="18"/>
              </w:rPr>
              <w:t>绒毛膜促性腺激素（</w:t>
            </w:r>
            <w:r>
              <w:rPr>
                <w:rFonts w:ascii="Times New Roman" w:hAnsi="Times New Roman" w:cs="Times New Roman" w:eastAsia="Times New Roman" w:hint="default"/>
                <w:sz w:val="18"/>
                <w:szCs w:val="18"/>
              </w:rPr>
              <w:t>β</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HCG</w:t>
            </w:r>
            <w:r>
              <w:rPr>
                <w:rFonts w:ascii="宋体" w:hAnsi="宋体" w:cs="宋体" w:eastAsia="宋体" w:hint="default"/>
                <w:sz w:val="18"/>
                <w:szCs w:val="18"/>
              </w:rPr>
              <w:t>）定量测定试剂盒</w:t>
            </w:r>
          </w:p>
          <w:p>
            <w:pPr>
              <w:pStyle w:val="TableParagraph"/>
              <w:spacing w:line="316" w:lineRule="auto" w:before="13"/>
              <w:ind w:right="343"/>
              <w:jc w:val="left"/>
              <w:rPr>
                <w:rFonts w:ascii="宋体" w:hAnsi="宋体" w:cs="宋体" w:eastAsia="宋体" w:hint="default"/>
                <w:sz w:val="18"/>
                <w:szCs w:val="18"/>
              </w:rPr>
            </w:pPr>
            <w:r>
              <w:rPr>
                <w:rFonts w:ascii="宋体" w:hAnsi="宋体" w:cs="宋体" w:eastAsia="宋体" w:hint="default"/>
                <w:sz w:val="18"/>
                <w:szCs w:val="18"/>
              </w:rPr>
              <w:t>（化学发光免疫分析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left="2" w:right="15"/>
              <w:jc w:val="left"/>
              <w:rPr>
                <w:rFonts w:ascii="宋体" w:hAnsi="宋体" w:cs="宋体" w:eastAsia="宋体" w:hint="default"/>
                <w:sz w:val="18"/>
                <w:szCs w:val="18"/>
              </w:rPr>
            </w:pPr>
            <w:r>
              <w:rPr>
                <w:rFonts w:ascii="宋体" w:hAnsi="宋体" w:cs="宋体" w:eastAsia="宋体" w:hint="default"/>
                <w:sz w:val="18"/>
                <w:szCs w:val="18"/>
              </w:rPr>
              <w:t>用于体外定量测定人血清中</w:t>
            </w:r>
            <w:r>
              <w:rPr>
                <w:rFonts w:ascii="Times New Roman" w:hAnsi="Times New Roman" w:cs="Times New Roman" w:eastAsia="Times New Roman" w:hint="default"/>
                <w:sz w:val="18"/>
                <w:szCs w:val="18"/>
              </w:rPr>
              <w:t>β</w:t>
            </w:r>
            <w:r>
              <w:rPr>
                <w:rFonts w:ascii="宋体" w:hAnsi="宋体" w:cs="宋体" w:eastAsia="宋体" w:hint="default"/>
                <w:sz w:val="18"/>
                <w:szCs w:val="18"/>
              </w:rPr>
              <w:t>绒 毛膜促性腺激素（</w:t>
            </w:r>
            <w:r>
              <w:rPr>
                <w:rFonts w:ascii="Times New Roman" w:hAnsi="Times New Roman" w:cs="Times New Roman" w:eastAsia="Times New Roman" w:hint="default"/>
                <w:sz w:val="18"/>
                <w:szCs w:val="18"/>
              </w:rPr>
              <w:t>β</w:t>
            </w:r>
            <w:r>
              <w:rPr>
                <w:rFonts w:ascii="Times New Roman" w:hAnsi="Times New Roman" w:cs="Times New Roman" w:eastAsia="Times New Roman" w:hint="default"/>
                <w:sz w:val="18"/>
                <w:szCs w:val="18"/>
              </w:rPr>
              <w:t>-HCG</w:t>
            </w:r>
            <w:r>
              <w:rPr>
                <w:rFonts w:ascii="宋体" w:hAnsi="宋体" w:cs="宋体" w:eastAsia="宋体" w:hint="default"/>
                <w:sz w:val="18"/>
                <w:szCs w:val="18"/>
              </w:rPr>
              <w:t>）的含 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63"/>
              <w:jc w:val="right"/>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25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right="107"/>
              <w:jc w:val="both"/>
              <w:rPr>
                <w:rFonts w:ascii="宋体" w:hAnsi="宋体" w:cs="宋体" w:eastAsia="宋体" w:hint="default"/>
                <w:sz w:val="18"/>
                <w:szCs w:val="18"/>
              </w:rPr>
            </w:pPr>
            <w:r>
              <w:rPr>
                <w:rFonts w:ascii="宋体" w:hAnsi="宋体" w:cs="宋体" w:eastAsia="宋体" w:hint="default"/>
                <w:sz w:val="18"/>
                <w:szCs w:val="18"/>
              </w:rPr>
              <w:t>黄体生成素（</w:t>
            </w:r>
            <w:r>
              <w:rPr>
                <w:rFonts w:ascii="Times New Roman" w:hAnsi="Times New Roman" w:cs="Times New Roman" w:eastAsia="Times New Roman" w:hint="default"/>
                <w:sz w:val="18"/>
                <w:szCs w:val="18"/>
              </w:rPr>
              <w:t>LH</w:t>
            </w:r>
            <w:r>
              <w:rPr>
                <w:rFonts w:ascii="宋体" w:hAnsi="宋体" w:cs="宋体" w:eastAsia="宋体" w:hint="default"/>
                <w:sz w:val="18"/>
                <w:szCs w:val="18"/>
              </w:rPr>
              <w:t>）定量 测定试剂盒（化学发光 免疫分析法）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用于体外定量测定人血清中黄体 生成激素（</w:t>
            </w:r>
            <w:r>
              <w:rPr>
                <w:rFonts w:ascii="Times New Roman" w:hAnsi="Times New Roman" w:cs="Times New Roman" w:eastAsia="Times New Roman" w:hint="default"/>
                <w:sz w:val="18"/>
                <w:szCs w:val="18"/>
              </w:rPr>
              <w:t>LH</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63"/>
              <w:jc w:val="right"/>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26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12"/>
              <w:jc w:val="left"/>
              <w:rPr>
                <w:rFonts w:ascii="宋体" w:hAnsi="宋体" w:cs="宋体" w:eastAsia="宋体" w:hint="default"/>
                <w:sz w:val="18"/>
                <w:szCs w:val="18"/>
              </w:rPr>
            </w:pPr>
            <w:r>
              <w:rPr>
                <w:rFonts w:ascii="宋体" w:hAnsi="宋体" w:cs="宋体" w:eastAsia="宋体" w:hint="default"/>
                <w:sz w:val="18"/>
                <w:szCs w:val="18"/>
              </w:rPr>
              <w:t>催乳素（</w:t>
            </w:r>
            <w:r>
              <w:rPr>
                <w:rFonts w:ascii="Times New Roman" w:hAnsi="Times New Roman" w:cs="Times New Roman" w:eastAsia="Times New Roman" w:hint="default"/>
                <w:sz w:val="18"/>
                <w:szCs w:val="18"/>
              </w:rPr>
              <w:t>PRL</w:t>
            </w:r>
            <w:r>
              <w:rPr>
                <w:rFonts w:ascii="宋体" w:hAnsi="宋体" w:cs="宋体" w:eastAsia="宋体" w:hint="default"/>
                <w:sz w:val="18"/>
                <w:szCs w:val="18"/>
              </w:rPr>
              <w:t>）定量测定 试剂盒（化学发光免疫 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用于体外定量测定人血清中催乳 素（</w:t>
            </w:r>
            <w:r>
              <w:rPr>
                <w:rFonts w:ascii="Times New Roman" w:hAnsi="Times New Roman" w:cs="Times New Roman" w:eastAsia="Times New Roman" w:hint="default"/>
                <w:sz w:val="18"/>
                <w:szCs w:val="18"/>
              </w:rPr>
              <w:t>PRL</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63"/>
              <w:jc w:val="right"/>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27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60"/>
              <w:jc w:val="left"/>
              <w:rPr>
                <w:rFonts w:ascii="宋体" w:hAnsi="宋体" w:cs="宋体" w:eastAsia="宋体" w:hint="default"/>
                <w:sz w:val="18"/>
                <w:szCs w:val="18"/>
              </w:rPr>
            </w:pPr>
            <w:r>
              <w:rPr>
                <w:rFonts w:ascii="宋体" w:hAnsi="宋体" w:cs="宋体" w:eastAsia="宋体" w:hint="default"/>
                <w:sz w:val="18"/>
                <w:szCs w:val="18"/>
              </w:rPr>
              <w:t>孕酮（</w:t>
            </w:r>
            <w:r>
              <w:rPr>
                <w:rFonts w:ascii="Times New Roman" w:hAnsi="Times New Roman" w:cs="Times New Roman" w:eastAsia="Times New Roman" w:hint="default"/>
                <w:sz w:val="18"/>
                <w:szCs w:val="18"/>
              </w:rPr>
              <w:t>P</w:t>
            </w:r>
            <w:r>
              <w:rPr>
                <w:rFonts w:ascii="宋体" w:hAnsi="宋体" w:cs="宋体" w:eastAsia="宋体" w:hint="default"/>
                <w:sz w:val="18"/>
                <w:szCs w:val="18"/>
              </w:rPr>
              <w:t>）定量测定试剂 盒（化学发光免疫分析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用于体外定量测定人血清中孕酮</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63"/>
              <w:jc w:val="right"/>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28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right="55"/>
              <w:jc w:val="left"/>
              <w:rPr>
                <w:rFonts w:ascii="宋体" w:hAnsi="宋体" w:cs="宋体" w:eastAsia="宋体" w:hint="default"/>
                <w:sz w:val="18"/>
                <w:szCs w:val="18"/>
              </w:rPr>
            </w:pPr>
            <w:r>
              <w:rPr>
                <w:rFonts w:ascii="宋体" w:hAnsi="宋体" w:cs="宋体" w:eastAsia="宋体" w:hint="default"/>
                <w:sz w:val="18"/>
                <w:szCs w:val="18"/>
              </w:rPr>
              <w:t>睾酮（</w:t>
            </w:r>
            <w:r>
              <w:rPr>
                <w:rFonts w:ascii="Times New Roman" w:hAnsi="Times New Roman" w:cs="Times New Roman" w:eastAsia="Times New Roman" w:hint="default"/>
                <w:sz w:val="18"/>
                <w:szCs w:val="18"/>
              </w:rPr>
              <w:t>T</w:t>
            </w:r>
            <w:r>
              <w:rPr>
                <w:rFonts w:ascii="宋体" w:hAnsi="宋体" w:cs="宋体" w:eastAsia="宋体" w:hint="default"/>
                <w:sz w:val="18"/>
                <w:szCs w:val="18"/>
              </w:rPr>
              <w:t>）定量测定试剂 盒（化学发光免疫分析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用于体外定量测定人血清中睾酮</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T</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63"/>
              <w:jc w:val="right"/>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29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12"/>
              <w:jc w:val="left"/>
              <w:rPr>
                <w:rFonts w:ascii="宋体" w:hAnsi="宋体" w:cs="宋体" w:eastAsia="宋体" w:hint="default"/>
                <w:sz w:val="18"/>
                <w:szCs w:val="18"/>
              </w:rPr>
            </w:pPr>
            <w:r>
              <w:rPr>
                <w:rFonts w:ascii="宋体" w:hAnsi="宋体" w:cs="宋体" w:eastAsia="宋体" w:hint="default"/>
                <w:sz w:val="18"/>
                <w:szCs w:val="18"/>
              </w:rPr>
              <w:t>促卵泡激素（</w:t>
            </w:r>
            <w:r>
              <w:rPr>
                <w:rFonts w:ascii="Times New Roman" w:hAnsi="Times New Roman" w:cs="Times New Roman" w:eastAsia="Times New Roman" w:hint="default"/>
                <w:sz w:val="18"/>
                <w:szCs w:val="18"/>
              </w:rPr>
              <w:t>FSH</w:t>
            </w:r>
            <w:r>
              <w:rPr>
                <w:rFonts w:ascii="宋体" w:hAnsi="宋体" w:cs="宋体" w:eastAsia="宋体" w:hint="default"/>
                <w:sz w:val="18"/>
                <w:szCs w:val="18"/>
              </w:rPr>
              <w:t>）定量 测定试剂盒（化学发光 免疫分析法）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用于体外定量测定人血清中促卵 泡激素（</w:t>
            </w:r>
            <w:r>
              <w:rPr>
                <w:rFonts w:ascii="Times New Roman" w:hAnsi="Times New Roman" w:cs="Times New Roman" w:eastAsia="Times New Roman" w:hint="default"/>
                <w:sz w:val="18"/>
                <w:szCs w:val="18"/>
              </w:rPr>
              <w:t>FSH</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63"/>
              <w:jc w:val="right"/>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5"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78" w:right="0"/>
              <w:jc w:val="left"/>
              <w:rPr>
                <w:rFonts w:ascii="Times New Roman" w:hAnsi="Times New Roman" w:cs="Times New Roman" w:eastAsia="Times New Roman" w:hint="default"/>
                <w:sz w:val="18"/>
                <w:szCs w:val="18"/>
              </w:rPr>
            </w:pPr>
            <w:r>
              <w:rPr>
                <w:rFonts w:ascii="Times New Roman"/>
                <w:sz w:val="18"/>
              </w:rPr>
              <w:t>30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107"/>
              <w:jc w:val="both"/>
              <w:rPr>
                <w:rFonts w:ascii="宋体" w:hAnsi="宋体" w:cs="宋体" w:eastAsia="宋体" w:hint="default"/>
                <w:sz w:val="18"/>
                <w:szCs w:val="18"/>
              </w:rPr>
            </w:pPr>
            <w:r>
              <w:rPr>
                <w:rFonts w:ascii="宋体" w:hAnsi="宋体" w:cs="宋体" w:eastAsia="宋体" w:hint="default"/>
                <w:sz w:val="18"/>
                <w:szCs w:val="18"/>
              </w:rPr>
              <w:t>层粘蛋白（</w:t>
            </w:r>
            <w:r>
              <w:rPr>
                <w:rFonts w:ascii="Times New Roman" w:hAnsi="Times New Roman" w:cs="Times New Roman" w:eastAsia="Times New Roman" w:hint="default"/>
                <w:sz w:val="18"/>
                <w:szCs w:val="18"/>
              </w:rPr>
              <w:t>LN</w:t>
            </w:r>
            <w:r>
              <w:rPr>
                <w:rFonts w:ascii="宋体" w:hAnsi="宋体" w:cs="宋体" w:eastAsia="宋体" w:hint="default"/>
                <w:sz w:val="18"/>
                <w:szCs w:val="18"/>
              </w:rPr>
              <w:t>）定量测 定试剂盒（化学发光免 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用于体外定量测定人血清中层粘 蛋白（</w:t>
            </w:r>
            <w:r>
              <w:rPr>
                <w:rFonts w:ascii="Times New Roman" w:hAnsi="Times New Roman" w:cs="Times New Roman" w:eastAsia="Times New Roman" w:hint="default"/>
                <w:sz w:val="18"/>
                <w:szCs w:val="18"/>
              </w:rPr>
              <w:t>LN</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163"/>
              <w:jc w:val="right"/>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31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right="120"/>
              <w:jc w:val="both"/>
              <w:rPr>
                <w:rFonts w:ascii="宋体" w:hAnsi="宋体" w:cs="宋体" w:eastAsia="宋体" w:hint="default"/>
                <w:sz w:val="18"/>
                <w:szCs w:val="18"/>
              </w:rPr>
            </w:pPr>
            <w:r>
              <w:rPr>
                <w:rFonts w:ascii="Times New Roman" w:hAnsi="Times New Roman" w:cs="Times New Roman" w:eastAsia="Times New Roman" w:hint="default"/>
                <w:sz w:val="18"/>
                <w:szCs w:val="18"/>
              </w:rPr>
              <w:t>III</w:t>
            </w:r>
            <w:r>
              <w:rPr>
                <w:rFonts w:ascii="宋体" w:hAnsi="宋体" w:cs="宋体" w:eastAsia="宋体" w:hint="default"/>
                <w:sz w:val="18"/>
                <w:szCs w:val="18"/>
              </w:rPr>
              <w:t>型前胶原（</w:t>
            </w:r>
            <w:r>
              <w:rPr>
                <w:rFonts w:ascii="Times New Roman" w:hAnsi="Times New Roman" w:cs="Times New Roman" w:eastAsia="Times New Roman" w:hint="default"/>
                <w:sz w:val="18"/>
                <w:szCs w:val="18"/>
              </w:rPr>
              <w:t>PCIII</w:t>
            </w:r>
            <w:r>
              <w:rPr>
                <w:rFonts w:ascii="宋体" w:hAnsi="宋体" w:cs="宋体" w:eastAsia="宋体" w:hint="default"/>
                <w:sz w:val="18"/>
                <w:szCs w:val="18"/>
              </w:rPr>
              <w:t>）定</w:t>
            </w:r>
            <w:r>
              <w:rPr>
                <w:rFonts w:ascii="宋体" w:hAnsi="宋体" w:cs="宋体" w:eastAsia="宋体" w:hint="default"/>
                <w:w w:val="99"/>
                <w:sz w:val="18"/>
                <w:szCs w:val="18"/>
              </w:rPr>
              <w:t> </w:t>
            </w:r>
            <w:r>
              <w:rPr>
                <w:rFonts w:ascii="宋体" w:hAnsi="宋体" w:cs="宋体" w:eastAsia="宋体" w:hint="default"/>
                <w:sz w:val="18"/>
                <w:szCs w:val="18"/>
              </w:rPr>
              <w:t>量测定试剂盒（化学发</w:t>
            </w:r>
            <w:r>
              <w:rPr>
                <w:rFonts w:ascii="宋体" w:hAnsi="宋体" w:cs="宋体" w:eastAsia="宋体" w:hint="default"/>
                <w:w w:val="99"/>
                <w:sz w:val="18"/>
                <w:szCs w:val="18"/>
              </w:rPr>
              <w:t> </w:t>
            </w:r>
            <w:r>
              <w:rPr>
                <w:rFonts w:ascii="宋体" w:hAnsi="宋体" w:cs="宋体" w:eastAsia="宋体" w:hint="default"/>
                <w:sz w:val="18"/>
                <w:szCs w:val="18"/>
              </w:rPr>
              <w:t>光免疫分析法）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2"/>
              <w:ind w:left="2" w:right="7"/>
              <w:jc w:val="left"/>
              <w:rPr>
                <w:rFonts w:ascii="宋体" w:hAnsi="宋体" w:cs="宋体" w:eastAsia="宋体" w:hint="default"/>
                <w:sz w:val="18"/>
                <w:szCs w:val="18"/>
              </w:rPr>
            </w:pPr>
            <w:r>
              <w:rPr>
                <w:rFonts w:ascii="宋体" w:hAnsi="宋体" w:cs="宋体" w:eastAsia="宋体" w:hint="default"/>
                <w:sz w:val="18"/>
                <w:szCs w:val="18"/>
              </w:rPr>
              <w:t>用于体外定量测定人血清中</w:t>
            </w:r>
            <w:r>
              <w:rPr>
                <w:rFonts w:ascii="Times New Roman" w:hAnsi="Times New Roman" w:cs="Times New Roman" w:eastAsia="Times New Roman" w:hint="default"/>
                <w:sz w:val="18"/>
                <w:szCs w:val="18"/>
              </w:rPr>
              <w:t>III</w:t>
            </w:r>
            <w:r>
              <w:rPr>
                <w:rFonts w:ascii="宋体" w:hAnsi="宋体" w:cs="宋体" w:eastAsia="宋体" w:hint="default"/>
                <w:sz w:val="18"/>
                <w:szCs w:val="18"/>
              </w:rPr>
              <w:t>型 前胶原（</w:t>
            </w:r>
            <w:r>
              <w:rPr>
                <w:rFonts w:ascii="Times New Roman" w:hAnsi="Times New Roman" w:cs="Times New Roman" w:eastAsia="Times New Roman" w:hint="default"/>
                <w:sz w:val="18"/>
                <w:szCs w:val="18"/>
              </w:rPr>
              <w:t>PCIII</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63"/>
              <w:jc w:val="right"/>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32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86"/>
              <w:jc w:val="left"/>
              <w:rPr>
                <w:rFonts w:ascii="宋体" w:hAnsi="宋体" w:cs="宋体" w:eastAsia="宋体" w:hint="default"/>
                <w:sz w:val="18"/>
                <w:szCs w:val="18"/>
              </w:rPr>
            </w:pPr>
            <w:r>
              <w:rPr>
                <w:rFonts w:ascii="宋体" w:hAnsi="宋体" w:cs="宋体" w:eastAsia="宋体" w:hint="default"/>
                <w:sz w:val="18"/>
                <w:szCs w:val="18"/>
              </w:rPr>
              <w:t>透明质酸（</w:t>
            </w:r>
            <w:r>
              <w:rPr>
                <w:rFonts w:ascii="Times New Roman" w:hAnsi="Times New Roman" w:cs="Times New Roman" w:eastAsia="Times New Roman" w:hint="default"/>
                <w:sz w:val="18"/>
                <w:szCs w:val="18"/>
              </w:rPr>
              <w:t>HA</w:t>
            </w:r>
            <w:r>
              <w:rPr>
                <w:rFonts w:ascii="宋体" w:hAnsi="宋体" w:cs="宋体" w:eastAsia="宋体" w:hint="default"/>
                <w:sz w:val="18"/>
                <w:szCs w:val="18"/>
              </w:rPr>
              <w:t>）定量测 定试剂盒（化学发光免 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用于体外定量测定人血清中透明 质酸（</w:t>
            </w:r>
            <w:r>
              <w:rPr>
                <w:rFonts w:ascii="Times New Roman" w:hAnsi="Times New Roman" w:cs="Times New Roman" w:eastAsia="Times New Roman" w:hint="default"/>
                <w:sz w:val="18"/>
                <w:szCs w:val="18"/>
              </w:rPr>
              <w:t>HA</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63"/>
              <w:jc w:val="right"/>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33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143"/>
              <w:jc w:val="both"/>
              <w:rPr>
                <w:rFonts w:ascii="宋体" w:hAnsi="宋体" w:cs="宋体" w:eastAsia="宋体" w:hint="default"/>
                <w:sz w:val="18"/>
                <w:szCs w:val="18"/>
              </w:rPr>
            </w:pPr>
            <w:r>
              <w:rPr>
                <w:rFonts w:ascii="Times New Roman" w:hAnsi="Times New Roman" w:cs="Times New Roman" w:eastAsia="Times New Roman" w:hint="default"/>
                <w:sz w:val="18"/>
                <w:szCs w:val="18"/>
              </w:rPr>
              <w:t>IV</w:t>
            </w:r>
            <w:r>
              <w:rPr>
                <w:rFonts w:ascii="宋体" w:hAnsi="宋体" w:cs="宋体" w:eastAsia="宋体" w:hint="default"/>
                <w:sz w:val="18"/>
                <w:szCs w:val="18"/>
              </w:rPr>
              <w:t>型胶原（</w:t>
            </w:r>
            <w:r>
              <w:rPr>
                <w:rFonts w:ascii="Times New Roman" w:hAnsi="Times New Roman" w:cs="Times New Roman" w:eastAsia="Times New Roman" w:hint="default"/>
                <w:sz w:val="18"/>
                <w:szCs w:val="18"/>
              </w:rPr>
              <w:t>C-IV</w:t>
            </w:r>
            <w:r>
              <w:rPr>
                <w:rFonts w:ascii="宋体" w:hAnsi="宋体" w:cs="宋体" w:eastAsia="宋体" w:hint="default"/>
                <w:sz w:val="18"/>
                <w:szCs w:val="18"/>
              </w:rPr>
              <w:t>）定量 测定试剂盒（化学发光 免疫分析法）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left="2" w:right="-1"/>
              <w:jc w:val="left"/>
              <w:rPr>
                <w:rFonts w:ascii="宋体" w:hAnsi="宋体" w:cs="宋体" w:eastAsia="宋体" w:hint="default"/>
                <w:sz w:val="18"/>
                <w:szCs w:val="18"/>
              </w:rPr>
            </w:pPr>
            <w:r>
              <w:rPr>
                <w:rFonts w:ascii="宋体" w:hAnsi="宋体" w:cs="宋体" w:eastAsia="宋体" w:hint="default"/>
                <w:sz w:val="18"/>
                <w:szCs w:val="18"/>
              </w:rPr>
              <w:t>用于体外定量测定人血清中</w:t>
            </w:r>
            <w:r>
              <w:rPr>
                <w:rFonts w:ascii="Times New Roman" w:hAnsi="Times New Roman" w:cs="Times New Roman" w:eastAsia="Times New Roman" w:hint="default"/>
                <w:sz w:val="18"/>
                <w:szCs w:val="18"/>
              </w:rPr>
              <w:t>IV</w:t>
            </w:r>
            <w:r>
              <w:rPr>
                <w:rFonts w:ascii="宋体" w:hAnsi="宋体" w:cs="宋体" w:eastAsia="宋体" w:hint="default"/>
                <w:sz w:val="18"/>
                <w:szCs w:val="18"/>
              </w:rPr>
              <w:t>型 胶原（</w:t>
            </w:r>
            <w:r>
              <w:rPr>
                <w:rFonts w:ascii="Times New Roman" w:hAnsi="Times New Roman" w:cs="Times New Roman" w:eastAsia="Times New Roman" w:hint="default"/>
                <w:sz w:val="18"/>
                <w:szCs w:val="18"/>
              </w:rPr>
              <w:t>C-IV</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2019/6/3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63"/>
              <w:jc w:val="right"/>
              <w:rPr>
                <w:rFonts w:ascii="Times New Roman" w:hAnsi="Times New Roman" w:cs="Times New Roman" w:eastAsia="Times New Roman" w:hint="default"/>
                <w:sz w:val="18"/>
                <w:szCs w:val="18"/>
              </w:rPr>
            </w:pPr>
            <w:r>
              <w:rPr>
                <w:rFonts w:ascii="Times New Roman"/>
                <w:sz w:val="18"/>
              </w:rPr>
              <w:t>2014/6/4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bl>
    <w:p>
      <w:pPr>
        <w:spacing w:after="0" w:line="240" w:lineRule="auto"/>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74" w:type="dxa"/>
        <w:tblLayout w:type="fixed"/>
        <w:tblCellMar>
          <w:top w:w="0" w:type="dxa"/>
          <w:left w:w="0" w:type="dxa"/>
          <w:bottom w:w="0" w:type="dxa"/>
          <w:right w:w="0" w:type="dxa"/>
        </w:tblCellMar>
        <w:tblLook w:val="01E0"/>
      </w:tblPr>
      <w:tblGrid>
        <w:gridCol w:w="557"/>
        <w:gridCol w:w="1985"/>
        <w:gridCol w:w="709"/>
        <w:gridCol w:w="2552"/>
        <w:gridCol w:w="991"/>
        <w:gridCol w:w="994"/>
        <w:gridCol w:w="1135"/>
      </w:tblGrid>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178" w:right="0"/>
              <w:jc w:val="left"/>
              <w:rPr>
                <w:rFonts w:ascii="Times New Roman" w:hAnsi="Times New Roman" w:cs="Times New Roman" w:eastAsia="Times New Roman" w:hint="default"/>
                <w:sz w:val="18"/>
                <w:szCs w:val="18"/>
              </w:rPr>
            </w:pPr>
            <w:r>
              <w:rPr>
                <w:rFonts w:ascii="Times New Roman"/>
                <w:sz w:val="18"/>
              </w:rPr>
              <w:t>34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3"/>
              <w:ind w:right="101"/>
              <w:jc w:val="both"/>
              <w:rPr>
                <w:rFonts w:ascii="宋体" w:hAnsi="宋体" w:cs="宋体" w:eastAsia="宋体" w:hint="default"/>
                <w:sz w:val="18"/>
                <w:szCs w:val="18"/>
              </w:rPr>
            </w:pPr>
            <w:r>
              <w:rPr>
                <w:rFonts w:ascii="宋体" w:hAnsi="宋体" w:cs="宋体" w:eastAsia="宋体" w:hint="default"/>
                <w:sz w:val="18"/>
                <w:szCs w:val="18"/>
              </w:rPr>
              <w:t>肠道病毒</w:t>
            </w:r>
            <w:r>
              <w:rPr>
                <w:rFonts w:ascii="Times New Roman" w:hAnsi="Times New Roman" w:cs="Times New Roman" w:eastAsia="Times New Roman" w:hint="default"/>
                <w:sz w:val="18"/>
                <w:szCs w:val="18"/>
              </w:rPr>
              <w:t>EV71</w:t>
            </w:r>
            <w:r>
              <w:rPr>
                <w:rFonts w:ascii="宋体" w:hAnsi="宋体" w:cs="宋体" w:eastAsia="宋体" w:hint="default"/>
                <w:sz w:val="18"/>
                <w:szCs w:val="18"/>
              </w:rPr>
              <w:t>核酸检测 试剂盒（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3"/>
              <w:ind w:left="2" w:right="9"/>
              <w:jc w:val="both"/>
              <w:rPr>
                <w:rFonts w:ascii="宋体" w:hAnsi="宋体" w:cs="宋体" w:eastAsia="宋体" w:hint="default"/>
                <w:sz w:val="18"/>
                <w:szCs w:val="18"/>
              </w:rPr>
            </w:pPr>
            <w:r>
              <w:rPr>
                <w:rFonts w:ascii="宋体" w:hAnsi="宋体" w:cs="宋体" w:eastAsia="宋体" w:hint="default"/>
                <w:sz w:val="18"/>
                <w:szCs w:val="18"/>
              </w:rPr>
              <w:t>本试剂盒用于体外定性检测人的 咽拭子、疱疹液和粪便样本中的 肠道病毒</w:t>
            </w:r>
            <w:r>
              <w:rPr>
                <w:rFonts w:ascii="Times New Roman" w:hAnsi="Times New Roman" w:cs="Times New Roman" w:eastAsia="Times New Roman" w:hint="default"/>
                <w:sz w:val="18"/>
                <w:szCs w:val="18"/>
              </w:rPr>
              <w:t>EV71</w:t>
            </w:r>
            <w:r>
              <w:rPr>
                <w:rFonts w:ascii="宋体" w:hAnsi="宋体" w:cs="宋体" w:eastAsia="宋体" w:hint="default"/>
                <w:sz w:val="18"/>
                <w:szCs w:val="18"/>
              </w:rPr>
              <w:t>核酸。</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3" w:right="0"/>
              <w:jc w:val="center"/>
              <w:rPr>
                <w:rFonts w:ascii="Times New Roman" w:hAnsi="Times New Roman" w:cs="Times New Roman" w:eastAsia="Times New Roman" w:hint="default"/>
                <w:sz w:val="18"/>
                <w:szCs w:val="18"/>
              </w:rPr>
            </w:pPr>
            <w:r>
              <w:rPr>
                <w:rFonts w:ascii="Times New Roman"/>
                <w:sz w:val="18"/>
              </w:rPr>
              <w:t>2021/6/28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2016/6/29</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35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right="95"/>
              <w:jc w:val="both"/>
              <w:rPr>
                <w:rFonts w:ascii="宋体" w:hAnsi="宋体" w:cs="宋体" w:eastAsia="宋体" w:hint="default"/>
                <w:sz w:val="18"/>
                <w:szCs w:val="18"/>
              </w:rPr>
            </w:pPr>
            <w:r>
              <w:rPr>
                <w:rFonts w:ascii="宋体" w:hAnsi="宋体" w:cs="宋体" w:eastAsia="宋体" w:hint="default"/>
                <w:sz w:val="18"/>
                <w:szCs w:val="18"/>
              </w:rPr>
              <w:t>肠道病毒</w:t>
            </w:r>
            <w:r>
              <w:rPr>
                <w:rFonts w:ascii="Times New Roman" w:hAnsi="Times New Roman" w:cs="Times New Roman" w:eastAsia="Times New Roman" w:hint="default"/>
                <w:sz w:val="18"/>
                <w:szCs w:val="18"/>
              </w:rPr>
              <w:t>CoxA16</w:t>
            </w:r>
            <w:r>
              <w:rPr>
                <w:rFonts w:ascii="宋体" w:hAnsi="宋体" w:cs="宋体" w:eastAsia="宋体" w:hint="default"/>
                <w:sz w:val="18"/>
                <w:szCs w:val="18"/>
              </w:rPr>
              <w:t>核酸检 测试剂盒（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 针法）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both"/>
              <w:rPr>
                <w:rFonts w:ascii="宋体" w:hAnsi="宋体" w:cs="宋体" w:eastAsia="宋体" w:hint="default"/>
                <w:sz w:val="18"/>
                <w:szCs w:val="18"/>
              </w:rPr>
            </w:pPr>
            <w:r>
              <w:rPr>
                <w:rFonts w:ascii="宋体" w:hAnsi="宋体" w:cs="宋体" w:eastAsia="宋体" w:hint="default"/>
                <w:sz w:val="18"/>
                <w:szCs w:val="18"/>
              </w:rPr>
              <w:t>本试剂盒用于体外定性检测人的 咽拭子、疱疹液和粪便样本中的 肠道病毒</w:t>
            </w:r>
            <w:r>
              <w:rPr>
                <w:rFonts w:ascii="Times New Roman" w:hAnsi="Times New Roman" w:cs="Times New Roman" w:eastAsia="Times New Roman" w:hint="default"/>
                <w:sz w:val="18"/>
                <w:szCs w:val="18"/>
              </w:rPr>
              <w:t>CoxA16</w:t>
            </w:r>
            <w:r>
              <w:rPr>
                <w:rFonts w:ascii="宋体" w:hAnsi="宋体" w:cs="宋体" w:eastAsia="宋体" w:hint="default"/>
                <w:sz w:val="18"/>
                <w:szCs w:val="18"/>
              </w:rPr>
              <w:t>核酸。</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2021/6/28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2016/6/29</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36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right="120"/>
              <w:jc w:val="both"/>
              <w:rPr>
                <w:rFonts w:ascii="宋体" w:hAnsi="宋体" w:cs="宋体" w:eastAsia="宋体" w:hint="default"/>
                <w:sz w:val="18"/>
                <w:szCs w:val="18"/>
              </w:rPr>
            </w:pPr>
            <w:r>
              <w:rPr>
                <w:rFonts w:ascii="宋体" w:hAnsi="宋体" w:cs="宋体" w:eastAsia="宋体" w:hint="default"/>
                <w:sz w:val="18"/>
                <w:szCs w:val="18"/>
              </w:rPr>
              <w:t>肠道病毒通用型核酸检 测试剂盒（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 针法）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2" w:right="9"/>
              <w:jc w:val="both"/>
              <w:rPr>
                <w:rFonts w:ascii="宋体" w:hAnsi="宋体" w:cs="宋体" w:eastAsia="宋体" w:hint="default"/>
                <w:sz w:val="18"/>
                <w:szCs w:val="18"/>
              </w:rPr>
            </w:pPr>
            <w:r>
              <w:rPr>
                <w:rFonts w:ascii="宋体" w:hAnsi="宋体" w:cs="宋体" w:eastAsia="宋体" w:hint="default"/>
                <w:sz w:val="18"/>
                <w:szCs w:val="18"/>
              </w:rPr>
              <w:t>本试剂盒用于体外定性检测人的 咽拭子、疱疹液和粪便样本中的 肠道病毒核酸。</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2021/6/28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2016/6/29</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37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120"/>
              <w:jc w:val="both"/>
              <w:rPr>
                <w:rFonts w:ascii="宋体" w:hAnsi="宋体" w:cs="宋体" w:eastAsia="宋体" w:hint="default"/>
                <w:sz w:val="18"/>
                <w:szCs w:val="18"/>
              </w:rPr>
            </w:pPr>
            <w:r>
              <w:rPr>
                <w:rFonts w:ascii="宋体" w:hAnsi="宋体" w:cs="宋体" w:eastAsia="宋体" w:hint="default"/>
                <w:sz w:val="18"/>
                <w:szCs w:val="18"/>
              </w:rPr>
              <w:t>结核分枝杆菌核酸检测 试剂盒（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本试剂盒用于体外定性检测人痰 液样本中的结核分枝杆菌核酸</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2022/4/9</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2017/4/10</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38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120"/>
              <w:jc w:val="both"/>
              <w:rPr>
                <w:rFonts w:ascii="宋体" w:hAnsi="宋体" w:cs="宋体" w:eastAsia="宋体" w:hint="default"/>
                <w:sz w:val="18"/>
                <w:szCs w:val="18"/>
              </w:rPr>
            </w:pPr>
            <w:r>
              <w:rPr>
                <w:rFonts w:ascii="宋体" w:hAnsi="宋体" w:cs="宋体" w:eastAsia="宋体" w:hint="default"/>
                <w:sz w:val="18"/>
                <w:szCs w:val="18"/>
              </w:rPr>
              <w:t>乙型肝炎病毒核酸测定 试剂盒（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本试剂盒用于体外定量检测人血 清样本中的乙型肝炎病毒核酸</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2022/6/28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2017/6/29</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39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right="35"/>
              <w:jc w:val="left"/>
              <w:rPr>
                <w:rFonts w:ascii="宋体" w:hAnsi="宋体" w:cs="宋体" w:eastAsia="宋体" w:hint="default"/>
                <w:sz w:val="18"/>
                <w:szCs w:val="18"/>
              </w:rPr>
            </w:pPr>
            <w:r>
              <w:rPr>
                <w:rFonts w:ascii="宋体" w:hAnsi="宋体" w:cs="宋体" w:eastAsia="宋体" w:hint="default"/>
                <w:sz w:val="18"/>
                <w:szCs w:val="18"/>
              </w:rPr>
              <w:t>戊型肝炎病毒</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 测试剂盒（酶联免疫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本试剂盒可定性检测人血清或血 浆中的戊型肝炎病毒（</w:t>
            </w:r>
            <w:r>
              <w:rPr>
                <w:rFonts w:ascii="Times New Roman" w:hAnsi="Times New Roman" w:cs="Times New Roman" w:eastAsia="Times New Roman" w:hint="default"/>
                <w:sz w:val="18"/>
                <w:szCs w:val="18"/>
              </w:rPr>
              <w:t>HEV</w:t>
            </w:r>
            <w:r>
              <w:rPr>
                <w:rFonts w:ascii="宋体" w:hAnsi="宋体" w:cs="宋体" w:eastAsia="宋体" w:hint="default"/>
                <w:sz w:val="18"/>
                <w:szCs w:val="18"/>
              </w:rPr>
              <w:t>） </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2021/5/11</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2016/5/12</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40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65"/>
              <w:jc w:val="left"/>
              <w:rPr>
                <w:rFonts w:ascii="宋体" w:hAnsi="宋体" w:cs="宋体" w:eastAsia="宋体" w:hint="default"/>
                <w:sz w:val="18"/>
                <w:szCs w:val="18"/>
              </w:rPr>
            </w:pPr>
            <w:r>
              <w:rPr>
                <w:rFonts w:ascii="宋体" w:hAnsi="宋体" w:cs="宋体" w:eastAsia="宋体" w:hint="default"/>
                <w:sz w:val="18"/>
                <w:szCs w:val="18"/>
              </w:rPr>
              <w:t>戊型肝炎病毒</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抗体检 测试剂盒（酶联免疫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本试剂盒可定性检测人血清或血 浆中的戊型肝炎病毒（</w:t>
            </w:r>
            <w:r>
              <w:rPr>
                <w:rFonts w:ascii="Times New Roman" w:hAnsi="Times New Roman" w:cs="Times New Roman" w:eastAsia="Times New Roman" w:hint="default"/>
                <w:sz w:val="18"/>
                <w:szCs w:val="18"/>
              </w:rPr>
              <w:t>HEV</w:t>
            </w:r>
            <w:r>
              <w:rPr>
                <w:rFonts w:ascii="宋体" w:hAnsi="宋体" w:cs="宋体" w:eastAsia="宋体" w:hint="default"/>
                <w:sz w:val="18"/>
                <w:szCs w:val="18"/>
              </w:rPr>
              <w:t>） </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2021/5/25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2016/5/26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41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35"/>
              <w:jc w:val="left"/>
              <w:rPr>
                <w:rFonts w:ascii="宋体" w:hAnsi="宋体" w:cs="宋体" w:eastAsia="宋体" w:hint="default"/>
                <w:sz w:val="18"/>
                <w:szCs w:val="18"/>
              </w:rPr>
            </w:pPr>
            <w:r>
              <w:rPr>
                <w:rFonts w:ascii="宋体" w:hAnsi="宋体" w:cs="宋体" w:eastAsia="宋体" w:hint="default"/>
                <w:sz w:val="18"/>
                <w:szCs w:val="18"/>
              </w:rPr>
              <w:t>甲型肝炎病毒</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 测试剂盒（酶联免疫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本试剂盒可定性检测人血清或血 浆中的甲型肝炎病毒（</w:t>
            </w:r>
            <w:r>
              <w:rPr>
                <w:rFonts w:ascii="Times New Roman" w:hAnsi="Times New Roman" w:cs="Times New Roman" w:eastAsia="Times New Roman" w:hint="default"/>
                <w:sz w:val="18"/>
                <w:szCs w:val="18"/>
              </w:rPr>
              <w:t>HAV</w:t>
            </w:r>
            <w:r>
              <w:rPr>
                <w:rFonts w:ascii="宋体" w:hAnsi="宋体" w:cs="宋体" w:eastAsia="宋体" w:hint="default"/>
                <w:sz w:val="18"/>
                <w:szCs w:val="18"/>
              </w:rPr>
              <w:t>） </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2021/5/25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2016/5/26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1601"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42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2"/>
              <w:ind w:right="161"/>
              <w:jc w:val="left"/>
              <w:rPr>
                <w:rFonts w:ascii="宋体" w:hAnsi="宋体" w:cs="宋体" w:eastAsia="宋体" w:hint="default"/>
                <w:sz w:val="18"/>
                <w:szCs w:val="18"/>
              </w:rPr>
            </w:pPr>
            <w:r>
              <w:rPr>
                <w:rFonts w:ascii="宋体" w:hAnsi="宋体" w:cs="宋体" w:eastAsia="宋体" w:hint="default"/>
                <w:sz w:val="18"/>
                <w:szCs w:val="18"/>
              </w:rPr>
              <w:t>人乳头瘤病毒（</w:t>
            </w:r>
            <w:r>
              <w:rPr>
                <w:rFonts w:ascii="Times New Roman" w:hAnsi="Times New Roman" w:cs="Times New Roman" w:eastAsia="Times New Roman" w:hint="default"/>
                <w:sz w:val="18"/>
                <w:szCs w:val="18"/>
              </w:rPr>
              <w:t>HPV</w:t>
            </w:r>
            <w:r>
              <w:rPr>
                <w:rFonts w:ascii="宋体" w:hAnsi="宋体" w:cs="宋体" w:eastAsia="宋体" w:hint="default"/>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型、</w:t>
            </w:r>
            <w:r>
              <w:rPr>
                <w:rFonts w:ascii="Times New Roman" w:hAnsi="Times New Roman" w:cs="Times New Roman" w:eastAsia="Times New Roman" w:hint="default"/>
                <w:sz w:val="18"/>
                <w:szCs w:val="18"/>
              </w:rPr>
              <w:t>18</w:t>
            </w:r>
            <w:r>
              <w:rPr>
                <w:rFonts w:ascii="宋体" w:hAnsi="宋体" w:cs="宋体" w:eastAsia="宋体" w:hint="default"/>
                <w:sz w:val="18"/>
                <w:szCs w:val="18"/>
              </w:rPr>
              <w:t>型核酸检测试 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22"/>
              <w:ind w:left="2" w:right="7"/>
              <w:jc w:val="left"/>
              <w:rPr>
                <w:rFonts w:ascii="宋体" w:hAnsi="宋体" w:cs="宋体" w:eastAsia="宋体" w:hint="default"/>
                <w:sz w:val="18"/>
                <w:szCs w:val="18"/>
              </w:rPr>
            </w:pPr>
            <w:r>
              <w:rPr>
                <w:rFonts w:ascii="宋体" w:hAnsi="宋体" w:cs="宋体" w:eastAsia="宋体" w:hint="default"/>
                <w:sz w:val="18"/>
                <w:szCs w:val="18"/>
              </w:rPr>
              <w:t>本试剂盒针对女性宫颈脱落细胞 中的人乳头瘤病毒</w:t>
            </w:r>
            <w:r>
              <w:rPr>
                <w:rFonts w:ascii="Times New Roman" w:hAnsi="Times New Roman" w:cs="Times New Roman" w:eastAsia="Times New Roman" w:hint="default"/>
                <w:sz w:val="18"/>
                <w:szCs w:val="18"/>
              </w:rPr>
              <w:t>HPV16</w:t>
            </w:r>
            <w:r>
              <w:rPr>
                <w:rFonts w:ascii="宋体" w:hAnsi="宋体" w:cs="宋体" w:eastAsia="宋体" w:hint="default"/>
                <w:sz w:val="18"/>
                <w:szCs w:val="18"/>
              </w:rPr>
              <w:t>、 </w:t>
            </w:r>
            <w:r>
              <w:rPr>
                <w:rFonts w:ascii="Times New Roman" w:hAnsi="Times New Roman" w:cs="Times New Roman" w:eastAsia="Times New Roman" w:hint="default"/>
                <w:sz w:val="18"/>
                <w:szCs w:val="18"/>
              </w:rPr>
              <w:t>HPV18</w:t>
            </w:r>
            <w:r>
              <w:rPr>
                <w:rFonts w:ascii="宋体" w:hAnsi="宋体" w:cs="宋体" w:eastAsia="宋体" w:hint="default"/>
                <w:sz w:val="18"/>
                <w:szCs w:val="18"/>
              </w:rPr>
              <w:t>型核酸实现定性检测，为 </w:t>
            </w:r>
            <w:r>
              <w:rPr>
                <w:rFonts w:ascii="Times New Roman" w:hAnsi="Times New Roman" w:cs="Times New Roman" w:eastAsia="Times New Roman" w:hint="default"/>
                <w:sz w:val="18"/>
                <w:szCs w:val="18"/>
              </w:rPr>
              <w:t>HPV</w:t>
            </w:r>
            <w:r>
              <w:rPr>
                <w:rFonts w:ascii="宋体" w:hAnsi="宋体" w:cs="宋体" w:eastAsia="宋体" w:hint="default"/>
                <w:sz w:val="18"/>
                <w:szCs w:val="18"/>
              </w:rPr>
              <w:t>感染患者的诊治提供辅助手 段。</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2022/6/27</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2017/6/28</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2225"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43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right="161"/>
              <w:jc w:val="left"/>
              <w:rPr>
                <w:rFonts w:ascii="宋体" w:hAnsi="宋体" w:cs="宋体" w:eastAsia="宋体" w:hint="default"/>
                <w:sz w:val="18"/>
                <w:szCs w:val="18"/>
              </w:rPr>
            </w:pPr>
            <w:r>
              <w:rPr>
                <w:rFonts w:ascii="宋体" w:hAnsi="宋体" w:cs="宋体" w:eastAsia="宋体" w:hint="default"/>
                <w:sz w:val="18"/>
                <w:szCs w:val="18"/>
              </w:rPr>
              <w:t>人乳头瘤病毒（</w:t>
            </w:r>
            <w:r>
              <w:rPr>
                <w:rFonts w:ascii="Times New Roman" w:hAnsi="Times New Roman" w:cs="Times New Roman" w:eastAsia="Times New Roman" w:hint="default"/>
                <w:sz w:val="18"/>
                <w:szCs w:val="18"/>
              </w:rPr>
              <w:t>16</w:t>
            </w:r>
            <w:r>
              <w:rPr>
                <w:rFonts w:ascii="宋体" w:hAnsi="宋体" w:cs="宋体" w:eastAsia="宋体" w:hint="default"/>
                <w:sz w:val="18"/>
                <w:szCs w:val="18"/>
              </w:rPr>
              <w:t>种型 别）核酸检测试剂盒</w:t>
            </w:r>
          </w:p>
          <w:p>
            <w:pPr>
              <w:pStyle w:val="TableParagraph"/>
              <w:spacing w:line="240" w:lineRule="auto" w:before="32"/>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both"/>
              <w:rPr>
                <w:rFonts w:ascii="宋体" w:hAnsi="宋体" w:cs="宋体" w:eastAsia="宋体" w:hint="default"/>
                <w:sz w:val="18"/>
                <w:szCs w:val="18"/>
              </w:rPr>
            </w:pPr>
            <w:r>
              <w:rPr>
                <w:rFonts w:ascii="宋体" w:hAnsi="宋体" w:cs="宋体" w:eastAsia="宋体" w:hint="default"/>
                <w:sz w:val="18"/>
                <w:szCs w:val="18"/>
              </w:rPr>
              <w:t>本试剂盒针对女性宫颈脱落细胞 中的</w:t>
            </w:r>
            <w:r>
              <w:rPr>
                <w:rFonts w:ascii="Times New Roman" w:hAnsi="Times New Roman" w:cs="Times New Roman" w:eastAsia="Times New Roman" w:hint="default"/>
                <w:sz w:val="18"/>
                <w:szCs w:val="18"/>
              </w:rPr>
              <w:t>16</w:t>
            </w:r>
            <w:r>
              <w:rPr>
                <w:rFonts w:ascii="宋体" w:hAnsi="宋体" w:cs="宋体" w:eastAsia="宋体" w:hint="default"/>
                <w:sz w:val="18"/>
                <w:szCs w:val="18"/>
              </w:rPr>
              <w:t>种人乳头瘤病毒</w:t>
            </w:r>
          </w:p>
          <w:p>
            <w:pPr>
              <w:pStyle w:val="TableParagraph"/>
              <w:spacing w:line="249" w:lineRule="exact"/>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HPV16</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31</w:t>
            </w:r>
            <w:r>
              <w:rPr>
                <w:rFonts w:ascii="宋体" w:hAnsi="宋体" w:cs="宋体" w:eastAsia="宋体" w:hint="default"/>
                <w:sz w:val="18"/>
                <w:szCs w:val="18"/>
              </w:rPr>
              <w:t>、</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p>
          <w:p>
            <w:pPr>
              <w:pStyle w:val="TableParagraph"/>
              <w:spacing w:line="240" w:lineRule="auto" w:before="63"/>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宋体" w:hAnsi="宋体" w:cs="宋体" w:eastAsia="宋体" w:hint="default"/>
                <w:sz w:val="18"/>
                <w:szCs w:val="18"/>
              </w:rPr>
              <w:t>、</w:t>
            </w:r>
            <w:r>
              <w:rPr>
                <w:rFonts w:ascii="Times New Roman" w:hAnsi="Times New Roman" w:cs="Times New Roman" w:eastAsia="Times New Roman" w:hint="default"/>
                <w:sz w:val="18"/>
                <w:szCs w:val="18"/>
              </w:rPr>
              <w:t>45</w:t>
            </w:r>
            <w:r>
              <w:rPr>
                <w:rFonts w:ascii="宋体" w:hAnsi="宋体" w:cs="宋体" w:eastAsia="宋体" w:hint="default"/>
                <w:sz w:val="18"/>
                <w:szCs w:val="18"/>
              </w:rPr>
              <w:t>、</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r>
              <w:rPr>
                <w:rFonts w:ascii="Times New Roman" w:hAnsi="Times New Roman" w:cs="Times New Roman" w:eastAsia="Times New Roman" w:hint="default"/>
                <w:sz w:val="18"/>
                <w:szCs w:val="18"/>
              </w:rPr>
              <w:t>52</w:t>
            </w:r>
            <w:r>
              <w:rPr>
                <w:rFonts w:ascii="宋体" w:hAnsi="宋体" w:cs="宋体" w:eastAsia="宋体" w:hint="default"/>
                <w:sz w:val="18"/>
                <w:szCs w:val="18"/>
              </w:rPr>
              <w:t>、</w:t>
            </w:r>
            <w:r>
              <w:rPr>
                <w:rFonts w:ascii="Times New Roman" w:hAnsi="Times New Roman" w:cs="Times New Roman" w:eastAsia="Times New Roman" w:hint="default"/>
                <w:sz w:val="18"/>
                <w:szCs w:val="18"/>
              </w:rPr>
              <w:t>53</w:t>
            </w:r>
            <w:r>
              <w:rPr>
                <w:rFonts w:ascii="宋体" w:hAnsi="宋体" w:cs="宋体" w:eastAsia="宋体" w:hint="default"/>
                <w:sz w:val="18"/>
                <w:szCs w:val="18"/>
              </w:rPr>
              <w:t>、</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r>
              <w:rPr>
                <w:rFonts w:ascii="Times New Roman" w:hAnsi="Times New Roman" w:cs="Times New Roman" w:eastAsia="Times New Roman" w:hint="default"/>
                <w:sz w:val="18"/>
                <w:szCs w:val="18"/>
              </w:rPr>
              <w:t>58</w:t>
            </w:r>
            <w:r>
              <w:rPr>
                <w:rFonts w:ascii="宋体" w:hAnsi="宋体" w:cs="宋体" w:eastAsia="宋体" w:hint="default"/>
                <w:sz w:val="18"/>
                <w:szCs w:val="18"/>
              </w:rPr>
              <w:t>、</w:t>
            </w:r>
          </w:p>
          <w:p>
            <w:pPr>
              <w:pStyle w:val="TableParagraph"/>
              <w:spacing w:line="300" w:lineRule="auto" w:before="63"/>
              <w:ind w:left="2" w:right="7"/>
              <w:jc w:val="both"/>
              <w:rPr>
                <w:rFonts w:ascii="宋体" w:hAnsi="宋体" w:cs="宋体" w:eastAsia="宋体" w:hint="default"/>
                <w:sz w:val="18"/>
                <w:szCs w:val="18"/>
              </w:rPr>
            </w:pPr>
            <w:r>
              <w:rPr>
                <w:rFonts w:ascii="Times New Roman" w:hAnsi="Times New Roman" w:cs="Times New Roman" w:eastAsia="Times New Roman" w:hint="default"/>
                <w:sz w:val="18"/>
                <w:szCs w:val="18"/>
              </w:rPr>
              <w:t>59</w:t>
            </w:r>
            <w:r>
              <w:rPr>
                <w:rFonts w:ascii="宋体" w:hAnsi="宋体" w:cs="宋体" w:eastAsia="宋体" w:hint="default"/>
                <w:sz w:val="18"/>
                <w:szCs w:val="18"/>
              </w:rPr>
              <w:t>、</w:t>
            </w:r>
            <w:r>
              <w:rPr>
                <w:rFonts w:ascii="Times New Roman" w:hAnsi="Times New Roman" w:cs="Times New Roman" w:eastAsia="Times New Roman" w:hint="default"/>
                <w:sz w:val="18"/>
                <w:szCs w:val="18"/>
              </w:rPr>
              <w:t>66</w:t>
            </w:r>
            <w:r>
              <w:rPr>
                <w:rFonts w:ascii="宋体" w:hAnsi="宋体" w:cs="宋体" w:eastAsia="宋体" w:hint="default"/>
                <w:sz w:val="18"/>
                <w:szCs w:val="18"/>
              </w:rPr>
              <w:t>、</w:t>
            </w:r>
            <w:r>
              <w:rPr>
                <w:rFonts w:ascii="Times New Roman" w:hAnsi="Times New Roman" w:cs="Times New Roman" w:eastAsia="Times New Roman" w:hint="default"/>
                <w:sz w:val="18"/>
                <w:szCs w:val="18"/>
              </w:rPr>
              <w:t>68</w:t>
            </w:r>
            <w:r>
              <w:rPr>
                <w:rFonts w:ascii="宋体" w:hAnsi="宋体" w:cs="宋体" w:eastAsia="宋体" w:hint="default"/>
                <w:sz w:val="18"/>
                <w:szCs w:val="18"/>
              </w:rPr>
              <w:t>、</w:t>
            </w:r>
            <w:r>
              <w:rPr>
                <w:rFonts w:ascii="Times New Roman" w:hAnsi="Times New Roman" w:cs="Times New Roman" w:eastAsia="Times New Roman" w:hint="default"/>
                <w:sz w:val="18"/>
                <w:szCs w:val="18"/>
              </w:rPr>
              <w:t>73</w:t>
            </w:r>
            <w:r>
              <w:rPr>
                <w:rFonts w:ascii="宋体" w:hAnsi="宋体" w:cs="宋体" w:eastAsia="宋体" w:hint="default"/>
                <w:sz w:val="18"/>
                <w:szCs w:val="18"/>
              </w:rPr>
              <w:t>）核酸实现定性 检测，为</w:t>
            </w:r>
            <w:r>
              <w:rPr>
                <w:rFonts w:ascii="Times New Roman" w:hAnsi="Times New Roman" w:cs="Times New Roman" w:eastAsia="Times New Roman" w:hint="default"/>
                <w:sz w:val="18"/>
                <w:szCs w:val="18"/>
              </w:rPr>
              <w:t>HPV</w:t>
            </w:r>
            <w:r>
              <w:rPr>
                <w:rFonts w:ascii="宋体" w:hAnsi="宋体" w:cs="宋体" w:eastAsia="宋体" w:hint="default"/>
                <w:sz w:val="18"/>
                <w:szCs w:val="18"/>
              </w:rPr>
              <w:t>的感染的诊治提供 辅助手段。</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2022/6/27</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2017/6/28</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44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right="35"/>
              <w:jc w:val="left"/>
              <w:rPr>
                <w:rFonts w:ascii="宋体" w:hAnsi="宋体" w:cs="宋体" w:eastAsia="宋体" w:hint="default"/>
                <w:sz w:val="18"/>
                <w:szCs w:val="18"/>
              </w:rPr>
            </w:pPr>
            <w:r>
              <w:rPr>
                <w:rFonts w:ascii="宋体" w:hAnsi="宋体" w:cs="宋体" w:eastAsia="宋体" w:hint="default"/>
                <w:sz w:val="18"/>
                <w:szCs w:val="18"/>
              </w:rPr>
              <w:t>弓形虫</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抗体检测试剂 盒（酶联免疫法）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9"/>
              <w:jc w:val="both"/>
              <w:rPr>
                <w:rFonts w:ascii="宋体" w:hAnsi="宋体" w:cs="宋体" w:eastAsia="宋体" w:hint="default"/>
                <w:sz w:val="18"/>
                <w:szCs w:val="18"/>
              </w:rPr>
            </w:pPr>
            <w:r>
              <w:rPr>
                <w:rFonts w:ascii="宋体" w:hAnsi="宋体" w:cs="宋体" w:eastAsia="宋体" w:hint="default"/>
                <w:sz w:val="18"/>
                <w:szCs w:val="18"/>
              </w:rPr>
              <w:t>该产品用于体外定性检测人血清 或血浆中弓形虫的特异性</w:t>
            </w:r>
            <w:r>
              <w:rPr>
                <w:rFonts w:ascii="Times New Roman" w:hAnsi="Times New Roman" w:cs="Times New Roman" w:eastAsia="Times New Roman" w:hint="default"/>
                <w:sz w:val="18"/>
                <w:szCs w:val="18"/>
              </w:rPr>
              <w:t>IgM</w:t>
            </w:r>
            <w:r>
              <w:rPr>
                <w:rFonts w:ascii="宋体" w:hAnsi="宋体" w:cs="宋体" w:eastAsia="宋体" w:hint="default"/>
                <w:sz w:val="18"/>
                <w:szCs w:val="18"/>
              </w:rPr>
              <w:t>抗 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2022/11/2</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2017/11/3</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9"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45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22"/>
              <w:ind w:right="103"/>
              <w:jc w:val="both"/>
              <w:rPr>
                <w:rFonts w:ascii="宋体" w:hAnsi="宋体" w:cs="宋体" w:eastAsia="宋体" w:hint="default"/>
                <w:sz w:val="18"/>
                <w:szCs w:val="18"/>
              </w:rPr>
            </w:pPr>
            <w:r>
              <w:rPr>
                <w:rFonts w:ascii="宋体" w:hAnsi="宋体" w:cs="宋体" w:eastAsia="宋体" w:hint="default"/>
                <w:sz w:val="18"/>
                <w:szCs w:val="18"/>
              </w:rPr>
              <w:t>弓形虫、风疹病毒、巨 细胞病毒、单纯疱疹病 毒（</w:t>
            </w:r>
            <w:r>
              <w:rPr>
                <w:rFonts w:ascii="Times New Roman" w:hAnsi="Times New Roman" w:cs="Times New Roman" w:eastAsia="Times New Roman" w:hint="default"/>
                <w:sz w:val="18"/>
                <w:szCs w:val="18"/>
              </w:rPr>
              <w:t>I</w:t>
            </w:r>
            <w:r>
              <w:rPr>
                <w:rFonts w:ascii="宋体" w:hAnsi="宋体" w:cs="宋体" w:eastAsia="宋体" w:hint="default"/>
                <w:sz w:val="18"/>
                <w:szCs w:val="18"/>
              </w:rPr>
              <w:t>）型、单纯疱疹病 毒（Ⅱ）型五种病原体</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本试剂盒用于体外定性检测人血 清或血浆中弓形虫（</w:t>
            </w:r>
            <w:r>
              <w:rPr>
                <w:rFonts w:ascii="Times New Roman" w:hAnsi="Times New Roman" w:cs="Times New Roman" w:eastAsia="Times New Roman" w:hint="default"/>
                <w:sz w:val="18"/>
                <w:szCs w:val="18"/>
              </w:rPr>
              <w:t>Toxo</w:t>
            </w:r>
            <w:r>
              <w:rPr>
                <w:rFonts w:ascii="宋体" w:hAnsi="宋体" w:cs="宋体" w:eastAsia="宋体" w:hint="default"/>
                <w:sz w:val="18"/>
                <w:szCs w:val="18"/>
              </w:rPr>
              <w:t>）、 风疹病毒（</w:t>
            </w:r>
            <w:r>
              <w:rPr>
                <w:rFonts w:ascii="Times New Roman" w:hAnsi="Times New Roman" w:cs="Times New Roman" w:eastAsia="Times New Roman" w:hint="default"/>
                <w:sz w:val="18"/>
                <w:szCs w:val="18"/>
              </w:rPr>
              <w:t>RV</w:t>
            </w:r>
            <w:r>
              <w:rPr>
                <w:rFonts w:ascii="宋体" w:hAnsi="宋体" w:cs="宋体" w:eastAsia="宋体" w:hint="default"/>
                <w:sz w:val="18"/>
                <w:szCs w:val="18"/>
              </w:rPr>
              <w:t>）、巨细胞病毒</w:t>
            </w:r>
          </w:p>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CMV</w:t>
            </w:r>
            <w:r>
              <w:rPr>
                <w:rFonts w:ascii="宋体" w:hAnsi="宋体" w:cs="宋体" w:eastAsia="宋体" w:hint="default"/>
                <w:sz w:val="18"/>
                <w:szCs w:val="18"/>
              </w:rPr>
              <w:t>）、单纯疱疹病毒</w:t>
            </w:r>
            <w:r>
              <w:rPr>
                <w:rFonts w:ascii="Times New Roman" w:hAnsi="Times New Roman" w:cs="Times New Roman" w:eastAsia="Times New Roman" w:hint="default"/>
                <w:sz w:val="18"/>
                <w:szCs w:val="18"/>
              </w:rPr>
              <w:t>I</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2023/4/15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2018/4/16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bl>
    <w:p>
      <w:pPr>
        <w:spacing w:after="0" w:line="240" w:lineRule="auto"/>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74" w:type="dxa"/>
        <w:tblLayout w:type="fixed"/>
        <w:tblCellMar>
          <w:top w:w="0" w:type="dxa"/>
          <w:left w:w="0" w:type="dxa"/>
          <w:bottom w:w="0" w:type="dxa"/>
          <w:right w:w="0" w:type="dxa"/>
        </w:tblCellMar>
        <w:tblLook w:val="01E0"/>
      </w:tblPr>
      <w:tblGrid>
        <w:gridCol w:w="557"/>
        <w:gridCol w:w="1985"/>
        <w:gridCol w:w="709"/>
        <w:gridCol w:w="2552"/>
        <w:gridCol w:w="991"/>
        <w:gridCol w:w="994"/>
        <w:gridCol w:w="1135"/>
      </w:tblGrid>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97" w:lineRule="auto" w:before="23"/>
              <w:ind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IgG</w:t>
            </w:r>
            <w:r>
              <w:rPr>
                <w:rFonts w:ascii="宋体" w:hAnsi="宋体" w:cs="宋体" w:eastAsia="宋体" w:hint="default"/>
                <w:sz w:val="18"/>
                <w:szCs w:val="18"/>
              </w:rPr>
              <w:t>抗体检测试剂盒（微 阵列酶联免疫法）</w:t>
            </w:r>
          </w:p>
        </w:tc>
        <w:tc>
          <w:tcPr>
            <w:tcW w:w="709" w:type="dxa"/>
            <w:tcBorders>
              <w:top w:val="single" w:sz="8" w:space="0" w:color="000000"/>
              <w:left w:val="single" w:sz="8" w:space="0" w:color="000000"/>
              <w:bottom w:val="single" w:sz="8" w:space="0" w:color="000000"/>
              <w:right w:val="single" w:sz="8" w:space="0" w:color="000000"/>
            </w:tcBorders>
          </w:tcPr>
          <w:p>
            <w:pP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HSV</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w:t>
            </w:r>
            <w:r>
              <w:rPr>
                <w:rFonts w:ascii="宋体" w:hAnsi="宋体" w:cs="宋体" w:eastAsia="宋体" w:hint="default"/>
                <w:sz w:val="18"/>
                <w:szCs w:val="18"/>
              </w:rPr>
              <w:t>）和单纯疱疹病毒Ⅱ</w:t>
            </w:r>
          </w:p>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HSV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Ⅱ）五种病原体（简称</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ToRCH</w:t>
            </w:r>
            <w:r>
              <w:rPr>
                <w:rFonts w:ascii="宋体" w:hAnsi="宋体" w:cs="宋体" w:eastAsia="宋体" w:hint="default"/>
                <w:sz w:val="18"/>
                <w:szCs w:val="18"/>
              </w:rPr>
              <w:t>）的</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w:t>
            </w:r>
          </w:p>
        </w:tc>
        <w:tc>
          <w:tcPr>
            <w:tcW w:w="991"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
        </w:tc>
        <w:tc>
          <w:tcPr>
            <w:tcW w:w="1135" w:type="dxa"/>
            <w:tcBorders>
              <w:top w:val="single" w:sz="8" w:space="0" w:color="000000"/>
              <w:left w:val="single" w:sz="8" w:space="0" w:color="000000"/>
              <w:bottom w:val="single" w:sz="8" w:space="0" w:color="000000"/>
              <w:right w:val="single" w:sz="8" w:space="0" w:color="000000"/>
            </w:tcBorders>
          </w:tcPr>
          <w:p>
            <w:pPr/>
          </w:p>
        </w:tc>
      </w:tr>
      <w:tr>
        <w:trPr>
          <w:trHeight w:val="97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46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right="35"/>
              <w:jc w:val="left"/>
              <w:rPr>
                <w:rFonts w:ascii="宋体" w:hAnsi="宋体" w:cs="宋体" w:eastAsia="宋体" w:hint="default"/>
                <w:sz w:val="18"/>
                <w:szCs w:val="18"/>
              </w:rPr>
            </w:pPr>
            <w:r>
              <w:rPr>
                <w:rFonts w:ascii="宋体" w:hAnsi="宋体" w:cs="宋体" w:eastAsia="宋体" w:hint="default"/>
                <w:sz w:val="18"/>
                <w:szCs w:val="18"/>
              </w:rPr>
              <w:t>巨细胞病毒</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抗体检测 试剂盒（酶联免疫法）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both"/>
              <w:rPr>
                <w:rFonts w:ascii="宋体" w:hAnsi="宋体" w:cs="宋体" w:eastAsia="宋体" w:hint="default"/>
                <w:sz w:val="18"/>
                <w:szCs w:val="18"/>
              </w:rPr>
            </w:pPr>
            <w:r>
              <w:rPr>
                <w:rFonts w:ascii="宋体" w:hAnsi="宋体" w:cs="宋体" w:eastAsia="宋体" w:hint="default"/>
                <w:sz w:val="18"/>
                <w:szCs w:val="18"/>
              </w:rPr>
              <w:t>本试剂盒用于体外定性检测人血 清或血浆中巨细胞病毒的特异性 </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2023/4/15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2018/4/16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47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2"/>
              <w:ind w:right="35"/>
              <w:jc w:val="left"/>
              <w:rPr>
                <w:rFonts w:ascii="宋体" w:hAnsi="宋体" w:cs="宋体" w:eastAsia="宋体" w:hint="default"/>
                <w:sz w:val="18"/>
                <w:szCs w:val="18"/>
              </w:rPr>
            </w:pPr>
            <w:r>
              <w:rPr>
                <w:rFonts w:ascii="宋体" w:hAnsi="宋体" w:cs="宋体" w:eastAsia="宋体" w:hint="default"/>
                <w:sz w:val="18"/>
                <w:szCs w:val="18"/>
              </w:rPr>
              <w:t>风疹病毒</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抗体检测试 剂盒（酶联免疫法）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本试剂盒用于体外定性检测人血 清或血浆中风疹病毒的特异性 </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2023/4/15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2018/4/16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48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35"/>
              <w:jc w:val="left"/>
              <w:rPr>
                <w:rFonts w:ascii="宋体" w:hAnsi="宋体" w:cs="宋体" w:eastAsia="宋体" w:hint="default"/>
                <w:sz w:val="18"/>
                <w:szCs w:val="18"/>
              </w:rPr>
            </w:pPr>
            <w:r>
              <w:rPr>
                <w:rFonts w:ascii="宋体" w:hAnsi="宋体" w:cs="宋体" w:eastAsia="宋体" w:hint="default"/>
                <w:sz w:val="18"/>
                <w:szCs w:val="18"/>
              </w:rPr>
              <w:t>单纯疱疹病毒（Ⅱ型） </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抗体检测试剂盒（酶 联免疫法）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20"/>
              <w:ind w:left="2" w:right="7"/>
              <w:jc w:val="both"/>
              <w:rPr>
                <w:rFonts w:ascii="宋体" w:hAnsi="宋体" w:cs="宋体" w:eastAsia="宋体" w:hint="default"/>
                <w:sz w:val="18"/>
                <w:szCs w:val="18"/>
              </w:rPr>
            </w:pPr>
            <w:r>
              <w:rPr>
                <w:rFonts w:ascii="宋体" w:hAnsi="宋体" w:cs="宋体" w:eastAsia="宋体" w:hint="default"/>
                <w:sz w:val="18"/>
                <w:szCs w:val="18"/>
              </w:rPr>
              <w:t>本试剂盒用于体外定性检测人血 清或血浆中的单纯疱疹病毒（Ⅱ 型）</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2023/4/15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2018/4/16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49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35"/>
              <w:jc w:val="left"/>
              <w:rPr>
                <w:rFonts w:ascii="宋体" w:hAnsi="宋体" w:cs="宋体" w:eastAsia="宋体" w:hint="default"/>
                <w:sz w:val="18"/>
                <w:szCs w:val="18"/>
              </w:rPr>
            </w:pPr>
            <w:r>
              <w:rPr>
                <w:rFonts w:ascii="宋体" w:hAnsi="宋体" w:cs="宋体" w:eastAsia="宋体" w:hint="default"/>
                <w:sz w:val="18"/>
                <w:szCs w:val="18"/>
              </w:rPr>
              <w:t>单纯疱疹病毒（Ⅰ型） </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抗体检测试剂盒（酶 联免疫法）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本试剂盒用于体外定性检测人血 清或血浆中的单纯疱疹病毒（</w:t>
            </w:r>
            <w:r>
              <w:rPr>
                <w:rFonts w:ascii="Times New Roman" w:hAnsi="Times New Roman" w:cs="Times New Roman" w:eastAsia="Times New Roman" w:hint="default"/>
                <w:sz w:val="18"/>
                <w:szCs w:val="18"/>
              </w:rPr>
              <w:t>I </w:t>
            </w:r>
            <w:r>
              <w:rPr>
                <w:rFonts w:ascii="宋体" w:hAnsi="宋体" w:cs="宋体" w:eastAsia="宋体" w:hint="default"/>
                <w:sz w:val="18"/>
                <w:szCs w:val="18"/>
              </w:rPr>
              <w:t>型）</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2019/6/18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2014/6/19</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1289"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50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right="65"/>
              <w:jc w:val="left"/>
              <w:rPr>
                <w:rFonts w:ascii="宋体" w:hAnsi="宋体" w:cs="宋体" w:eastAsia="宋体" w:hint="default"/>
                <w:sz w:val="18"/>
                <w:szCs w:val="18"/>
              </w:rPr>
            </w:pPr>
            <w:r>
              <w:rPr>
                <w:rFonts w:ascii="宋体" w:hAnsi="宋体" w:cs="宋体" w:eastAsia="宋体" w:hint="default"/>
                <w:sz w:val="18"/>
                <w:szCs w:val="18"/>
              </w:rPr>
              <w:t>结核分枝杆菌</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抗体谱 检测试剂盒（微阵列酶 联免疫法）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7" w:lineRule="auto" w:before="22"/>
              <w:ind w:left="2" w:right="9"/>
              <w:jc w:val="both"/>
              <w:rPr>
                <w:rFonts w:ascii="宋体" w:hAnsi="宋体" w:cs="宋体" w:eastAsia="宋体" w:hint="default"/>
                <w:sz w:val="18"/>
                <w:szCs w:val="18"/>
              </w:rPr>
            </w:pPr>
            <w:r>
              <w:rPr>
                <w:rFonts w:ascii="宋体" w:hAnsi="宋体" w:cs="宋体" w:eastAsia="宋体" w:hint="default"/>
                <w:sz w:val="18"/>
                <w:szCs w:val="18"/>
              </w:rPr>
              <w:t>本试剂盒用于体外定性检测人血 清中抗多种结核抗原（</w:t>
            </w:r>
            <w:r>
              <w:rPr>
                <w:rFonts w:ascii="Times New Roman" w:hAnsi="Times New Roman" w:cs="Times New Roman" w:eastAsia="Times New Roman" w:hint="default"/>
                <w:sz w:val="18"/>
                <w:szCs w:val="18"/>
              </w:rPr>
              <w:t>16KDa</w:t>
            </w:r>
            <w:r>
              <w:rPr>
                <w:rFonts w:ascii="宋体" w:hAnsi="宋体" w:cs="宋体" w:eastAsia="宋体" w:hint="default"/>
                <w:sz w:val="18"/>
                <w:szCs w:val="18"/>
              </w:rPr>
              <w:t>、 </w:t>
            </w:r>
            <w:r>
              <w:rPr>
                <w:rFonts w:ascii="Times New Roman" w:hAnsi="Times New Roman" w:cs="Times New Roman" w:eastAsia="Times New Roman" w:hint="default"/>
                <w:sz w:val="18"/>
                <w:szCs w:val="18"/>
              </w:rPr>
              <w:t>38KDa</w:t>
            </w:r>
            <w:r>
              <w:rPr>
                <w:rFonts w:ascii="宋体" w:hAnsi="宋体" w:cs="宋体" w:eastAsia="宋体" w:hint="default"/>
                <w:sz w:val="18"/>
                <w:szCs w:val="18"/>
              </w:rPr>
              <w:t>、</w:t>
            </w:r>
            <w:r>
              <w:rPr>
                <w:rFonts w:ascii="Times New Roman" w:hAnsi="Times New Roman" w:cs="Times New Roman" w:eastAsia="Times New Roman" w:hint="default"/>
                <w:sz w:val="18"/>
                <w:szCs w:val="18"/>
              </w:rPr>
              <w:t>Ag85B</w:t>
            </w:r>
            <w:r>
              <w:rPr>
                <w:rFonts w:ascii="宋体" w:hAnsi="宋体" w:cs="宋体" w:eastAsia="宋体" w:hint="default"/>
                <w:sz w:val="18"/>
                <w:szCs w:val="18"/>
              </w:rPr>
              <w:t>和</w:t>
            </w:r>
            <w:r>
              <w:rPr>
                <w:rFonts w:ascii="Times New Roman" w:hAnsi="Times New Roman" w:cs="Times New Roman" w:eastAsia="Times New Roman" w:hint="default"/>
                <w:sz w:val="18"/>
                <w:szCs w:val="18"/>
              </w:rPr>
              <w:t>MPT64</w:t>
            </w:r>
            <w:r>
              <w:rPr>
                <w:rFonts w:ascii="宋体" w:hAnsi="宋体" w:cs="宋体" w:eastAsia="宋体" w:hint="default"/>
                <w:sz w:val="18"/>
                <w:szCs w:val="18"/>
              </w:rPr>
              <w:t>）的抗 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2019/6/18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2014/6/19</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51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91"/>
              <w:jc w:val="left"/>
              <w:rPr>
                <w:rFonts w:ascii="宋体" w:hAnsi="宋体" w:cs="宋体" w:eastAsia="宋体" w:hint="default"/>
                <w:sz w:val="18"/>
                <w:szCs w:val="18"/>
              </w:rPr>
            </w:pPr>
            <w:r>
              <w:rPr>
                <w:rFonts w:ascii="宋体" w:hAnsi="宋体" w:cs="宋体" w:eastAsia="宋体" w:hint="default"/>
                <w:sz w:val="18"/>
                <w:szCs w:val="18"/>
              </w:rPr>
              <w:t>糖类抗原</w:t>
            </w:r>
            <w:r>
              <w:rPr>
                <w:rFonts w:ascii="Times New Roman" w:hAnsi="Times New Roman" w:cs="Times New Roman" w:eastAsia="Times New Roman" w:hint="default"/>
                <w:sz w:val="18"/>
                <w:szCs w:val="18"/>
              </w:rPr>
              <w:t>242</w:t>
            </w:r>
            <w:r>
              <w:rPr>
                <w:rFonts w:ascii="宋体" w:hAnsi="宋体" w:cs="宋体" w:eastAsia="宋体" w:hint="default"/>
                <w:sz w:val="18"/>
                <w:szCs w:val="18"/>
              </w:rPr>
              <w:t>（</w:t>
            </w:r>
            <w:r>
              <w:rPr>
                <w:rFonts w:ascii="Times New Roman" w:hAnsi="Times New Roman" w:cs="Times New Roman" w:eastAsia="Times New Roman" w:hint="default"/>
                <w:sz w:val="18"/>
                <w:szCs w:val="18"/>
              </w:rPr>
              <w:t>CA242</w:t>
            </w:r>
            <w:r>
              <w:rPr>
                <w:rFonts w:ascii="宋体" w:hAnsi="宋体" w:cs="宋体" w:eastAsia="宋体" w:hint="default"/>
                <w:sz w:val="18"/>
                <w:szCs w:val="18"/>
              </w:rPr>
              <w:t>） 测定试剂盒（化学发光 免疫分析法）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20"/>
              <w:ind w:left="2" w:right="9"/>
              <w:jc w:val="left"/>
              <w:rPr>
                <w:rFonts w:ascii="Times New Roman" w:hAnsi="Times New Roman" w:cs="Times New Roman" w:eastAsia="Times New Roman" w:hint="default"/>
                <w:sz w:val="18"/>
                <w:szCs w:val="18"/>
              </w:rPr>
            </w:pPr>
            <w:r>
              <w:rPr>
                <w:rFonts w:ascii="宋体" w:hAnsi="宋体" w:cs="宋体" w:eastAsia="宋体" w:hint="default"/>
                <w:sz w:val="18"/>
                <w:szCs w:val="18"/>
              </w:rPr>
              <w:t>本试剂盒用于体外定量检测人血 清或血浆中糖类抗原</w:t>
            </w:r>
            <w:r>
              <w:rPr>
                <w:rFonts w:ascii="Times New Roman" w:hAnsi="Times New Roman" w:cs="Times New Roman" w:eastAsia="Times New Roman" w:hint="default"/>
                <w:sz w:val="18"/>
                <w:szCs w:val="18"/>
              </w:rPr>
              <w:t>242</w:t>
            </w:r>
          </w:p>
          <w:p>
            <w:pPr>
              <w:pStyle w:val="TableParagraph"/>
              <w:spacing w:line="246" w:lineRule="exact"/>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CA242</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2020/12/15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2015/12/16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52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163"/>
              <w:jc w:val="both"/>
              <w:rPr>
                <w:rFonts w:ascii="宋体" w:hAnsi="宋体" w:cs="宋体" w:eastAsia="宋体" w:hint="default"/>
                <w:sz w:val="18"/>
                <w:szCs w:val="18"/>
              </w:rPr>
            </w:pPr>
            <w:r>
              <w:rPr>
                <w:rFonts w:ascii="宋体" w:hAnsi="宋体" w:cs="宋体" w:eastAsia="宋体" w:hint="default"/>
                <w:sz w:val="18"/>
                <w:szCs w:val="18"/>
              </w:rPr>
              <w:t>人生长激素（</w:t>
            </w:r>
            <w:r>
              <w:rPr>
                <w:rFonts w:ascii="Times New Roman" w:hAnsi="Times New Roman" w:cs="Times New Roman" w:eastAsia="Times New Roman" w:hint="default"/>
                <w:sz w:val="18"/>
                <w:szCs w:val="18"/>
              </w:rPr>
              <w:t>hGH</w:t>
            </w:r>
            <w:r>
              <w:rPr>
                <w:rFonts w:ascii="宋体" w:hAnsi="宋体" w:cs="宋体" w:eastAsia="宋体" w:hint="default"/>
                <w:sz w:val="18"/>
                <w:szCs w:val="18"/>
              </w:rPr>
              <w:t>）测 定试剂盒（化学发光免 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9"/>
              <w:jc w:val="both"/>
              <w:rPr>
                <w:rFonts w:ascii="宋体" w:hAnsi="宋体" w:cs="宋体" w:eastAsia="宋体" w:hint="default"/>
                <w:sz w:val="18"/>
                <w:szCs w:val="18"/>
              </w:rPr>
            </w:pPr>
            <w:r>
              <w:rPr>
                <w:rFonts w:ascii="宋体" w:hAnsi="宋体" w:cs="宋体" w:eastAsia="宋体" w:hint="default"/>
                <w:sz w:val="18"/>
                <w:szCs w:val="18"/>
              </w:rPr>
              <w:t>本试剂盒用于体外定量检测人血 清或血浆中人生长激素（</w:t>
            </w:r>
            <w:r>
              <w:rPr>
                <w:rFonts w:ascii="Times New Roman" w:hAnsi="Times New Roman" w:cs="Times New Roman" w:eastAsia="Times New Roman" w:hint="default"/>
                <w:sz w:val="18"/>
                <w:szCs w:val="18"/>
              </w:rPr>
              <w:t>hGH</w:t>
            </w:r>
            <w:r>
              <w:rPr>
                <w:rFonts w:ascii="宋体" w:hAnsi="宋体" w:cs="宋体" w:eastAsia="宋体" w:hint="default"/>
                <w:sz w:val="18"/>
                <w:szCs w:val="18"/>
              </w:rPr>
              <w:t>） 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2020/12/15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2015/12/16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53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right="91"/>
              <w:jc w:val="left"/>
              <w:rPr>
                <w:rFonts w:ascii="宋体" w:hAnsi="宋体" w:cs="宋体" w:eastAsia="宋体" w:hint="default"/>
                <w:sz w:val="18"/>
                <w:szCs w:val="18"/>
              </w:rPr>
            </w:pPr>
            <w:r>
              <w:rPr>
                <w:rFonts w:ascii="宋体" w:hAnsi="宋体" w:cs="宋体" w:eastAsia="宋体" w:hint="default"/>
                <w:sz w:val="18"/>
                <w:szCs w:val="18"/>
              </w:rPr>
              <w:t>糖类抗原</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CA125</w:t>
            </w:r>
            <w:r>
              <w:rPr>
                <w:rFonts w:ascii="宋体" w:hAnsi="宋体" w:cs="宋体" w:eastAsia="宋体" w:hint="default"/>
                <w:sz w:val="18"/>
                <w:szCs w:val="18"/>
              </w:rPr>
              <w:t>） 测定试剂盒（化学发光 免疫分析法）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2" w:right="9"/>
              <w:jc w:val="left"/>
              <w:rPr>
                <w:rFonts w:ascii="Times New Roman" w:hAnsi="Times New Roman" w:cs="Times New Roman" w:eastAsia="Times New Roman" w:hint="default"/>
                <w:sz w:val="18"/>
                <w:szCs w:val="18"/>
              </w:rPr>
            </w:pPr>
            <w:r>
              <w:rPr>
                <w:rFonts w:ascii="宋体" w:hAnsi="宋体" w:cs="宋体" w:eastAsia="宋体" w:hint="default"/>
                <w:sz w:val="18"/>
                <w:szCs w:val="18"/>
              </w:rPr>
              <w:t>本试剂盒用于体外定量检测人血 清或血浆中糖类抗原</w:t>
            </w:r>
            <w:r>
              <w:rPr>
                <w:rFonts w:ascii="Times New Roman" w:hAnsi="Times New Roman" w:cs="Times New Roman" w:eastAsia="Times New Roman" w:hint="default"/>
                <w:sz w:val="18"/>
                <w:szCs w:val="18"/>
              </w:rPr>
              <w:t>125</w:t>
            </w:r>
          </w:p>
          <w:p>
            <w:pPr>
              <w:pStyle w:val="TableParagraph"/>
              <w:spacing w:line="248" w:lineRule="exact"/>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CA125</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2020/12/15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2015/12/16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54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101"/>
              <w:jc w:val="left"/>
              <w:rPr>
                <w:rFonts w:ascii="宋体" w:hAnsi="宋体" w:cs="宋体" w:eastAsia="宋体" w:hint="default"/>
                <w:sz w:val="18"/>
                <w:szCs w:val="18"/>
              </w:rPr>
            </w:pPr>
            <w:r>
              <w:rPr>
                <w:rFonts w:ascii="宋体" w:hAnsi="宋体" w:cs="宋体" w:eastAsia="宋体" w:hint="default"/>
                <w:sz w:val="18"/>
                <w:szCs w:val="18"/>
              </w:rPr>
              <w:t>人附睾蛋白</w:t>
            </w:r>
            <w:r>
              <w:rPr>
                <w:rFonts w:ascii="Times New Roman" w:hAnsi="Times New Roman" w:cs="Times New Roman" w:eastAsia="Times New Roman" w:hint="default"/>
                <w:sz w:val="18"/>
                <w:szCs w:val="18"/>
              </w:rPr>
              <w:t>4(HE-4)</w:t>
            </w:r>
            <w:r>
              <w:rPr>
                <w:rFonts w:ascii="宋体" w:hAnsi="宋体" w:cs="宋体" w:eastAsia="宋体" w:hint="default"/>
                <w:sz w:val="18"/>
                <w:szCs w:val="18"/>
              </w:rPr>
              <w:t>测定 试剂盒（化学发光免疫 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9"/>
              <w:jc w:val="both"/>
              <w:rPr>
                <w:rFonts w:ascii="宋体" w:hAnsi="宋体" w:cs="宋体" w:eastAsia="宋体" w:hint="default"/>
                <w:sz w:val="18"/>
                <w:szCs w:val="18"/>
              </w:rPr>
            </w:pPr>
            <w:r>
              <w:rPr>
                <w:rFonts w:ascii="宋体" w:hAnsi="宋体" w:cs="宋体" w:eastAsia="宋体" w:hint="default"/>
                <w:sz w:val="18"/>
                <w:szCs w:val="18"/>
              </w:rPr>
              <w:t>该产品用于体外定量检测人血清 或血浆中人附睾蛋白</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HE-4</w: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2020/12/15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2015/12/16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55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right="72"/>
              <w:jc w:val="left"/>
              <w:rPr>
                <w:rFonts w:ascii="宋体" w:hAnsi="宋体" w:cs="宋体" w:eastAsia="宋体" w:hint="default"/>
                <w:sz w:val="18"/>
                <w:szCs w:val="18"/>
              </w:rPr>
            </w:pPr>
            <w:r>
              <w:rPr>
                <w:rFonts w:ascii="宋体" w:hAnsi="宋体" w:cs="宋体" w:eastAsia="宋体" w:hint="default"/>
                <w:sz w:val="18"/>
                <w:szCs w:val="18"/>
              </w:rPr>
              <w:t>糖类抗原</w:t>
            </w:r>
            <w:r>
              <w:rPr>
                <w:rFonts w:ascii="Times New Roman" w:hAnsi="Times New Roman" w:cs="Times New Roman" w:eastAsia="Times New Roman" w:hint="default"/>
                <w:sz w:val="18"/>
                <w:szCs w:val="18"/>
              </w:rPr>
              <w:t>19-9</w:t>
            </w:r>
            <w:r>
              <w:rPr>
                <w:rFonts w:ascii="宋体" w:hAnsi="宋体" w:cs="宋体" w:eastAsia="宋体" w:hint="default"/>
                <w:sz w:val="18"/>
                <w:szCs w:val="18"/>
              </w:rPr>
              <w:t>（</w:t>
            </w:r>
            <w:r>
              <w:rPr>
                <w:rFonts w:ascii="Times New Roman" w:hAnsi="Times New Roman" w:cs="Times New Roman" w:eastAsia="Times New Roman" w:hint="default"/>
                <w:sz w:val="18"/>
                <w:szCs w:val="18"/>
              </w:rPr>
              <w:t>CA19- 9</w:t>
            </w:r>
            <w:r>
              <w:rPr>
                <w:rFonts w:ascii="宋体" w:hAnsi="宋体" w:cs="宋体" w:eastAsia="宋体" w:hint="default"/>
                <w:sz w:val="18"/>
                <w:szCs w:val="18"/>
              </w:rPr>
              <w:t>）测定试剂盒（化学发 光免疫分析法）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 或血浆中糖类抗原</w:t>
            </w:r>
            <w:r>
              <w:rPr>
                <w:rFonts w:ascii="Times New Roman" w:hAnsi="Times New Roman" w:cs="Times New Roman" w:eastAsia="Times New Roman" w:hint="default"/>
                <w:sz w:val="18"/>
                <w:szCs w:val="18"/>
              </w:rPr>
              <w:t>19-9</w:t>
            </w:r>
            <w:r>
              <w:rPr>
                <w:rFonts w:ascii="宋体" w:hAnsi="宋体" w:cs="宋体" w:eastAsia="宋体" w:hint="default"/>
                <w:sz w:val="18"/>
                <w:szCs w:val="18"/>
              </w:rPr>
              <w:t>（</w:t>
            </w:r>
            <w:r>
              <w:rPr>
                <w:rFonts w:ascii="Times New Roman" w:hAnsi="Times New Roman" w:cs="Times New Roman" w:eastAsia="Times New Roman" w:hint="default"/>
                <w:sz w:val="18"/>
                <w:szCs w:val="18"/>
              </w:rPr>
              <w:t>CA19- 9</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2020/12/15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2015/12/16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56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2"/>
              <w:ind w:right="72"/>
              <w:jc w:val="left"/>
              <w:rPr>
                <w:rFonts w:ascii="宋体" w:hAnsi="宋体" w:cs="宋体" w:eastAsia="宋体" w:hint="default"/>
                <w:sz w:val="18"/>
                <w:szCs w:val="18"/>
              </w:rPr>
            </w:pPr>
            <w:r>
              <w:rPr>
                <w:rFonts w:ascii="宋体" w:hAnsi="宋体" w:cs="宋体" w:eastAsia="宋体" w:hint="default"/>
                <w:sz w:val="18"/>
                <w:szCs w:val="18"/>
              </w:rPr>
              <w:t>糖类抗原</w:t>
            </w:r>
            <w:r>
              <w:rPr>
                <w:rFonts w:ascii="Times New Roman" w:hAnsi="Times New Roman" w:cs="Times New Roman" w:eastAsia="Times New Roman" w:hint="default"/>
                <w:sz w:val="18"/>
                <w:szCs w:val="18"/>
              </w:rPr>
              <w:t>15-3</w:t>
            </w:r>
            <w:r>
              <w:rPr>
                <w:rFonts w:ascii="宋体" w:hAnsi="宋体" w:cs="宋体" w:eastAsia="宋体" w:hint="default"/>
                <w:sz w:val="18"/>
                <w:szCs w:val="18"/>
              </w:rPr>
              <w:t>（</w:t>
            </w:r>
            <w:r>
              <w:rPr>
                <w:rFonts w:ascii="Times New Roman" w:hAnsi="Times New Roman" w:cs="Times New Roman" w:eastAsia="Times New Roman" w:hint="default"/>
                <w:sz w:val="18"/>
                <w:szCs w:val="18"/>
              </w:rPr>
              <w:t>CA15- 3</w:t>
            </w:r>
            <w:r>
              <w:rPr>
                <w:rFonts w:ascii="宋体" w:hAnsi="宋体" w:cs="宋体" w:eastAsia="宋体" w:hint="default"/>
                <w:sz w:val="18"/>
                <w:szCs w:val="18"/>
              </w:rPr>
              <w:t>）测定试剂盒（化学发 光免疫分析法）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 或血浆中糖类抗原</w:t>
            </w:r>
            <w:r>
              <w:rPr>
                <w:rFonts w:ascii="Times New Roman" w:hAnsi="Times New Roman" w:cs="Times New Roman" w:eastAsia="Times New Roman" w:hint="default"/>
                <w:sz w:val="18"/>
                <w:szCs w:val="18"/>
              </w:rPr>
              <w:t>15-3</w:t>
            </w:r>
            <w:r>
              <w:rPr>
                <w:rFonts w:ascii="宋体" w:hAnsi="宋体" w:cs="宋体" w:eastAsia="宋体" w:hint="default"/>
                <w:sz w:val="18"/>
                <w:szCs w:val="18"/>
              </w:rPr>
              <w:t>（</w:t>
            </w:r>
            <w:r>
              <w:rPr>
                <w:rFonts w:ascii="Times New Roman" w:hAnsi="Times New Roman" w:cs="Times New Roman" w:eastAsia="Times New Roman" w:hint="default"/>
                <w:sz w:val="18"/>
                <w:szCs w:val="18"/>
              </w:rPr>
              <w:t>CA15- 3</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2020/12/15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2015/12/16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57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91"/>
              <w:jc w:val="left"/>
              <w:rPr>
                <w:rFonts w:ascii="宋体" w:hAnsi="宋体" w:cs="宋体" w:eastAsia="宋体" w:hint="default"/>
                <w:sz w:val="18"/>
                <w:szCs w:val="18"/>
              </w:rPr>
            </w:pPr>
            <w:r>
              <w:rPr>
                <w:rFonts w:ascii="宋体" w:hAnsi="宋体" w:cs="宋体" w:eastAsia="宋体" w:hint="default"/>
                <w:sz w:val="18"/>
                <w:szCs w:val="18"/>
              </w:rPr>
              <w:t>糖类抗原</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CA50</w:t>
            </w:r>
            <w:r>
              <w:rPr>
                <w:rFonts w:ascii="宋体" w:hAnsi="宋体" w:cs="宋体" w:eastAsia="宋体" w:hint="default"/>
                <w:sz w:val="18"/>
                <w:szCs w:val="18"/>
              </w:rPr>
              <w:t>）测 定试剂盒（化学发光免 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 或血浆中糖类抗原</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CA50</w:t>
            </w:r>
            <w:r>
              <w:rPr>
                <w:rFonts w:ascii="宋体" w:hAnsi="宋体" w:cs="宋体" w:eastAsia="宋体" w:hint="default"/>
                <w:sz w:val="18"/>
                <w:szCs w:val="18"/>
              </w:rPr>
              <w:t>） 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2020/12/15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2015/12/16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665"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58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right="12"/>
              <w:jc w:val="left"/>
              <w:rPr>
                <w:rFonts w:ascii="宋体" w:hAnsi="宋体" w:cs="宋体" w:eastAsia="宋体" w:hint="default"/>
                <w:sz w:val="18"/>
                <w:szCs w:val="18"/>
              </w:rPr>
            </w:pPr>
            <w:r>
              <w:rPr>
                <w:rFonts w:ascii="宋体" w:hAnsi="宋体" w:cs="宋体" w:eastAsia="宋体" w:hint="default"/>
                <w:sz w:val="18"/>
                <w:szCs w:val="18"/>
              </w:rPr>
              <w:t>甲胎蛋白（</w:t>
            </w:r>
            <w:r>
              <w:rPr>
                <w:rFonts w:ascii="Times New Roman" w:hAnsi="Times New Roman" w:cs="Times New Roman" w:eastAsia="Times New Roman" w:hint="default"/>
                <w:sz w:val="18"/>
                <w:szCs w:val="18"/>
              </w:rPr>
              <w:t>AFP</w:t>
            </w:r>
            <w:r>
              <w:rPr>
                <w:rFonts w:ascii="宋体" w:hAnsi="宋体" w:cs="宋体" w:eastAsia="宋体" w:hint="default"/>
                <w:sz w:val="18"/>
                <w:szCs w:val="18"/>
              </w:rPr>
              <w:t>）测定试 剂盒（化学发光免疫分</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 或血浆中甲胎蛋白（</w:t>
            </w:r>
            <w:r>
              <w:rPr>
                <w:rFonts w:ascii="Times New Roman" w:hAnsi="Times New Roman" w:cs="Times New Roman" w:eastAsia="Times New Roman" w:hint="default"/>
                <w:sz w:val="18"/>
                <w:szCs w:val="18"/>
              </w:rPr>
              <w:t>AFP</w:t>
            </w:r>
            <w:r>
              <w:rPr>
                <w:rFonts w:ascii="宋体" w:hAnsi="宋体" w:cs="宋体" w:eastAsia="宋体" w:hint="default"/>
                <w:sz w:val="18"/>
                <w:szCs w:val="18"/>
              </w:rPr>
              <w:t>）的含</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2020/12/15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2015/12/16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bl>
    <w:p>
      <w:pPr>
        <w:spacing w:after="0" w:line="240" w:lineRule="auto"/>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74" w:type="dxa"/>
        <w:tblLayout w:type="fixed"/>
        <w:tblCellMar>
          <w:top w:w="0" w:type="dxa"/>
          <w:left w:w="0" w:type="dxa"/>
          <w:bottom w:w="0" w:type="dxa"/>
          <w:right w:w="0" w:type="dxa"/>
        </w:tblCellMar>
        <w:tblLook w:val="01E0"/>
      </w:tblPr>
      <w:tblGrid>
        <w:gridCol w:w="557"/>
        <w:gridCol w:w="1985"/>
        <w:gridCol w:w="709"/>
        <w:gridCol w:w="2552"/>
        <w:gridCol w:w="991"/>
        <w:gridCol w:w="994"/>
        <w:gridCol w:w="1135"/>
      </w:tblGrid>
      <w:tr>
        <w:trPr>
          <w:trHeight w:val="353" w:hRule="exact"/>
        </w:trPr>
        <w:tc>
          <w:tcPr>
            <w:tcW w:w="557"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left"/>
              <w:rPr>
                <w:rFonts w:ascii="宋体" w:hAnsi="宋体" w:cs="宋体" w:eastAsia="宋体" w:hint="default"/>
                <w:sz w:val="18"/>
                <w:szCs w:val="18"/>
              </w:rPr>
            </w:pPr>
            <w:r>
              <w:rPr>
                <w:rFonts w:ascii="宋体" w:hAnsi="宋体" w:cs="宋体" w:eastAsia="宋体" w:hint="default"/>
                <w:sz w:val="18"/>
                <w:szCs w:val="18"/>
              </w:rPr>
              <w:t>析法）</w:t>
            </w:r>
          </w:p>
        </w:tc>
        <w:tc>
          <w:tcPr>
            <w:tcW w:w="709" w:type="dxa"/>
            <w:tcBorders>
              <w:top w:val="single" w:sz="8" w:space="0" w:color="000000"/>
              <w:left w:val="single" w:sz="8" w:space="0" w:color="000000"/>
              <w:bottom w:val="single" w:sz="8" w:space="0" w:color="000000"/>
              <w:right w:val="single" w:sz="8" w:space="0" w:color="000000"/>
            </w:tcBorders>
          </w:tcPr>
          <w:p>
            <w:pP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量。</w:t>
            </w:r>
          </w:p>
        </w:tc>
        <w:tc>
          <w:tcPr>
            <w:tcW w:w="991"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
        </w:tc>
        <w:tc>
          <w:tcPr>
            <w:tcW w:w="1135" w:type="dxa"/>
            <w:tcBorders>
              <w:top w:val="single" w:sz="8" w:space="0" w:color="000000"/>
              <w:left w:val="single" w:sz="8" w:space="0" w:color="000000"/>
              <w:bottom w:val="single" w:sz="8" w:space="0" w:color="000000"/>
              <w:right w:val="single" w:sz="8" w:space="0" w:color="000000"/>
            </w:tcBorders>
          </w:tcPr>
          <w:p>
            <w:pPr/>
          </w:p>
        </w:tc>
      </w:tr>
      <w:tr>
        <w:trPr>
          <w:trHeight w:val="97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59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神经元特异性烯醇化酶</w:t>
            </w:r>
          </w:p>
          <w:p>
            <w:pPr>
              <w:pStyle w:val="TableParagraph"/>
              <w:spacing w:line="300" w:lineRule="auto" w:before="76"/>
              <w:ind w:right="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NSE</w:t>
            </w:r>
            <w:r>
              <w:rPr>
                <w:rFonts w:ascii="宋体" w:hAnsi="宋体" w:cs="宋体" w:eastAsia="宋体" w:hint="default"/>
                <w:sz w:val="18"/>
                <w:szCs w:val="18"/>
              </w:rPr>
              <w:t>）测定试剂盒（化 学发光免疫分析法）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 或血浆中神经元特异性烯醇化酶</w:t>
            </w:r>
          </w:p>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NSE</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2020/12/15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2015/12/16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1289"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60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游离前列腺特异性抗原</w:t>
            </w:r>
          </w:p>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F-PSA</w:t>
            </w:r>
            <w:r>
              <w:rPr>
                <w:rFonts w:ascii="宋体" w:hAnsi="宋体" w:cs="宋体" w:eastAsia="宋体" w:hint="default"/>
                <w:sz w:val="18"/>
                <w:szCs w:val="18"/>
              </w:rPr>
              <w:t>）测定试剂盒</w:t>
            </w:r>
          </w:p>
          <w:p>
            <w:pPr>
              <w:pStyle w:val="TableParagraph"/>
              <w:spacing w:line="316" w:lineRule="auto" w:before="63"/>
              <w:ind w:right="343"/>
              <w:jc w:val="left"/>
              <w:rPr>
                <w:rFonts w:ascii="宋体" w:hAnsi="宋体" w:cs="宋体" w:eastAsia="宋体" w:hint="default"/>
                <w:sz w:val="18"/>
                <w:szCs w:val="18"/>
              </w:rPr>
            </w:pPr>
            <w:r>
              <w:rPr>
                <w:rFonts w:ascii="宋体" w:hAnsi="宋体" w:cs="宋体" w:eastAsia="宋体" w:hint="default"/>
                <w:sz w:val="18"/>
                <w:szCs w:val="18"/>
              </w:rPr>
              <w:t>（化学发光免疫分析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2" w:right="9"/>
              <w:jc w:val="both"/>
              <w:rPr>
                <w:rFonts w:ascii="宋体" w:hAnsi="宋体" w:cs="宋体" w:eastAsia="宋体" w:hint="default"/>
                <w:sz w:val="18"/>
                <w:szCs w:val="18"/>
              </w:rPr>
            </w:pPr>
            <w:r>
              <w:rPr>
                <w:rFonts w:ascii="宋体" w:hAnsi="宋体" w:cs="宋体" w:eastAsia="宋体" w:hint="default"/>
                <w:sz w:val="18"/>
                <w:szCs w:val="18"/>
              </w:rPr>
              <w:t>本试剂盒用于体外定量检测人血 清或血浆中游离前列腺特异性抗 原（</w:t>
            </w:r>
            <w:r>
              <w:rPr>
                <w:rFonts w:ascii="Times New Roman" w:hAnsi="Times New Roman" w:cs="Times New Roman" w:eastAsia="Times New Roman" w:hint="default"/>
                <w:sz w:val="18"/>
                <w:szCs w:val="18"/>
              </w:rPr>
              <w:t>F-PSA</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2020/12/15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2015/12/16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1289"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61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细胞角蛋白</w:t>
            </w:r>
            <w:r>
              <w:rPr>
                <w:rFonts w:ascii="Times New Roman" w:hAnsi="Times New Roman" w:cs="Times New Roman" w:eastAsia="Times New Roman" w:hint="default"/>
                <w:sz w:val="18"/>
                <w:szCs w:val="18"/>
              </w:rPr>
              <w:t>19</w:t>
            </w:r>
            <w:r>
              <w:rPr>
                <w:rFonts w:ascii="宋体" w:hAnsi="宋体" w:cs="宋体" w:eastAsia="宋体" w:hint="default"/>
                <w:sz w:val="18"/>
                <w:szCs w:val="18"/>
              </w:rPr>
              <w:t>片段</w:t>
            </w:r>
          </w:p>
          <w:p>
            <w:pPr>
              <w:pStyle w:val="TableParagraph"/>
              <w:spacing w:line="309" w:lineRule="auto" w:before="63"/>
              <w:ind w:right="7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CYFRA21-1)</w:t>
            </w:r>
            <w:r>
              <w:rPr>
                <w:rFonts w:ascii="宋体" w:hAnsi="宋体" w:cs="宋体" w:eastAsia="宋体" w:hint="default"/>
                <w:sz w:val="18"/>
                <w:szCs w:val="18"/>
              </w:rPr>
              <w:t>测定试剂 盒（化学发光免疫分析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本试剂盒用于体外定量检测人血 清或血浆中细胞角蛋白</w:t>
            </w:r>
            <w:r>
              <w:rPr>
                <w:rFonts w:ascii="Times New Roman" w:hAnsi="Times New Roman" w:cs="Times New Roman" w:eastAsia="Times New Roman" w:hint="default"/>
                <w:sz w:val="18"/>
                <w:szCs w:val="18"/>
              </w:rPr>
              <w:t>19</w:t>
            </w:r>
            <w:r>
              <w:rPr>
                <w:rFonts w:ascii="宋体" w:hAnsi="宋体" w:cs="宋体" w:eastAsia="宋体" w:hint="default"/>
                <w:sz w:val="18"/>
                <w:szCs w:val="18"/>
              </w:rPr>
              <w:t>片段</w:t>
            </w:r>
          </w:p>
          <w:p>
            <w:pPr>
              <w:pStyle w:val="TableParagraph"/>
              <w:spacing w:line="249" w:lineRule="exact"/>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CYFRA21-1</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2020/12/15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2015/12/16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62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110"/>
              <w:jc w:val="both"/>
              <w:rPr>
                <w:rFonts w:ascii="宋体" w:hAnsi="宋体" w:cs="宋体" w:eastAsia="宋体" w:hint="default"/>
                <w:sz w:val="18"/>
                <w:szCs w:val="18"/>
              </w:rPr>
            </w:pPr>
            <w:r>
              <w:rPr>
                <w:rFonts w:ascii="Times New Roman" w:hAnsi="Times New Roman" w:cs="Times New Roman" w:eastAsia="Times New Roman" w:hint="default"/>
                <w:sz w:val="18"/>
                <w:szCs w:val="18"/>
              </w:rPr>
              <w:t>β2</w:t>
            </w:r>
            <w:r>
              <w:rPr>
                <w:rFonts w:ascii="Times New Roman" w:hAnsi="Times New Roman" w:cs="Times New Roman" w:eastAsia="Times New Roman" w:hint="default"/>
                <w:sz w:val="18"/>
                <w:szCs w:val="18"/>
              </w:rPr>
              <w:t>-</w:t>
            </w:r>
            <w:r>
              <w:rPr>
                <w:rFonts w:ascii="宋体" w:hAnsi="宋体" w:cs="宋体" w:eastAsia="宋体" w:hint="default"/>
                <w:sz w:val="18"/>
                <w:szCs w:val="18"/>
              </w:rPr>
              <w:t>微球蛋白（</w:t>
            </w:r>
            <w:r>
              <w:rPr>
                <w:rFonts w:ascii="Times New Roman" w:hAnsi="Times New Roman" w:cs="Times New Roman" w:eastAsia="Times New Roman" w:hint="default"/>
                <w:sz w:val="18"/>
                <w:szCs w:val="18"/>
              </w:rPr>
              <w:t>β2</w:t>
            </w:r>
            <w:r>
              <w:rPr>
                <w:rFonts w:ascii="Times New Roman" w:hAnsi="Times New Roman" w:cs="Times New Roman" w:eastAsia="Times New Roman" w:hint="default"/>
                <w:sz w:val="18"/>
                <w:szCs w:val="18"/>
              </w:rPr>
              <w:t>-MG</w:t>
            </w:r>
            <w:r>
              <w:rPr>
                <w:rFonts w:ascii="宋体" w:hAnsi="宋体" w:cs="宋体" w:eastAsia="宋体" w:hint="default"/>
                <w:sz w:val="18"/>
                <w:szCs w:val="18"/>
              </w:rPr>
              <w:t>） 测定试剂盒（化学发光 免疫分析法）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 或血浆中</w:t>
            </w:r>
            <w:r>
              <w:rPr>
                <w:rFonts w:ascii="Times New Roman" w:hAnsi="Times New Roman" w:cs="Times New Roman" w:eastAsia="Times New Roman" w:hint="default"/>
                <w:sz w:val="18"/>
                <w:szCs w:val="18"/>
              </w:rPr>
              <w:t>β2</w:t>
            </w:r>
            <w:r>
              <w:rPr>
                <w:rFonts w:ascii="Times New Roman" w:hAnsi="Times New Roman" w:cs="Times New Roman" w:eastAsia="Times New Roman" w:hint="default"/>
                <w:sz w:val="18"/>
                <w:szCs w:val="18"/>
              </w:rPr>
              <w:t>-</w:t>
            </w:r>
            <w:r>
              <w:rPr>
                <w:rFonts w:ascii="宋体" w:hAnsi="宋体" w:cs="宋体" w:eastAsia="宋体" w:hint="default"/>
                <w:sz w:val="18"/>
                <w:szCs w:val="18"/>
              </w:rPr>
              <w:t>微球蛋白（</w:t>
            </w:r>
            <w:r>
              <w:rPr>
                <w:rFonts w:ascii="Times New Roman" w:hAnsi="Times New Roman" w:cs="Times New Roman" w:eastAsia="Times New Roman" w:hint="default"/>
                <w:sz w:val="18"/>
                <w:szCs w:val="18"/>
              </w:rPr>
              <w:t>β2</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MG</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2020/12/15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2015/12/16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63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2"/>
              <w:ind w:right="72"/>
              <w:jc w:val="left"/>
              <w:rPr>
                <w:rFonts w:ascii="宋体" w:hAnsi="宋体" w:cs="宋体" w:eastAsia="宋体" w:hint="default"/>
                <w:sz w:val="18"/>
                <w:szCs w:val="18"/>
              </w:rPr>
            </w:pPr>
            <w:r>
              <w:rPr>
                <w:rFonts w:ascii="宋体" w:hAnsi="宋体" w:cs="宋体" w:eastAsia="宋体" w:hint="default"/>
                <w:sz w:val="18"/>
                <w:szCs w:val="18"/>
              </w:rPr>
              <w:t>糖类抗原</w:t>
            </w:r>
            <w:r>
              <w:rPr>
                <w:rFonts w:ascii="Times New Roman" w:hAnsi="Times New Roman" w:cs="Times New Roman" w:eastAsia="Times New Roman" w:hint="default"/>
                <w:sz w:val="18"/>
                <w:szCs w:val="18"/>
              </w:rPr>
              <w:t>72-4</w:t>
            </w:r>
            <w:r>
              <w:rPr>
                <w:rFonts w:ascii="宋体" w:hAnsi="宋体" w:cs="宋体" w:eastAsia="宋体" w:hint="default"/>
                <w:sz w:val="18"/>
                <w:szCs w:val="18"/>
              </w:rPr>
              <w:t>（</w:t>
            </w:r>
            <w:r>
              <w:rPr>
                <w:rFonts w:ascii="Times New Roman" w:hAnsi="Times New Roman" w:cs="Times New Roman" w:eastAsia="Times New Roman" w:hint="default"/>
                <w:sz w:val="18"/>
                <w:szCs w:val="18"/>
              </w:rPr>
              <w:t>CA72- 4</w:t>
            </w:r>
            <w:r>
              <w:rPr>
                <w:rFonts w:ascii="宋体" w:hAnsi="宋体" w:cs="宋体" w:eastAsia="宋体" w:hint="default"/>
                <w:sz w:val="18"/>
                <w:szCs w:val="18"/>
              </w:rPr>
              <w:t>）测定试剂盒（化学发 光免疫分析法）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 或血浆中糖类抗原</w:t>
            </w:r>
            <w:r>
              <w:rPr>
                <w:rFonts w:ascii="Times New Roman" w:hAnsi="Times New Roman" w:cs="Times New Roman" w:eastAsia="Times New Roman" w:hint="default"/>
                <w:sz w:val="18"/>
                <w:szCs w:val="18"/>
              </w:rPr>
              <w:t>72-4</w:t>
            </w:r>
            <w:r>
              <w:rPr>
                <w:rFonts w:ascii="宋体" w:hAnsi="宋体" w:cs="宋体" w:eastAsia="宋体" w:hint="default"/>
                <w:sz w:val="18"/>
                <w:szCs w:val="18"/>
              </w:rPr>
              <w:t>（</w:t>
            </w:r>
            <w:r>
              <w:rPr>
                <w:rFonts w:ascii="Times New Roman" w:hAnsi="Times New Roman" w:cs="Times New Roman" w:eastAsia="Times New Roman" w:hint="default"/>
                <w:sz w:val="18"/>
                <w:szCs w:val="18"/>
              </w:rPr>
              <w:t>CA72- 4</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2020/12/15</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2015/12/16</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64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43"/>
              <w:jc w:val="left"/>
              <w:rPr>
                <w:rFonts w:ascii="宋体" w:hAnsi="宋体" w:cs="宋体" w:eastAsia="宋体" w:hint="default"/>
                <w:sz w:val="18"/>
                <w:szCs w:val="18"/>
              </w:rPr>
            </w:pPr>
            <w:r>
              <w:rPr>
                <w:rFonts w:ascii="宋体" w:hAnsi="宋体" w:cs="宋体" w:eastAsia="宋体" w:hint="default"/>
                <w:sz w:val="18"/>
                <w:szCs w:val="18"/>
              </w:rPr>
              <w:t>铁蛋白（</w:t>
            </w:r>
            <w:r>
              <w:rPr>
                <w:rFonts w:ascii="Times New Roman" w:hAnsi="Times New Roman" w:cs="Times New Roman" w:eastAsia="Times New Roman" w:hint="default"/>
                <w:sz w:val="18"/>
                <w:szCs w:val="18"/>
              </w:rPr>
              <w:t>Ferr</w:t>
            </w:r>
            <w:r>
              <w:rPr>
                <w:rFonts w:ascii="宋体" w:hAnsi="宋体" w:cs="宋体" w:eastAsia="宋体" w:hint="default"/>
                <w:sz w:val="18"/>
                <w:szCs w:val="18"/>
              </w:rPr>
              <w:t>）测定试剂 盒（化学发光免疫分析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 或血浆中铁蛋白（</w:t>
            </w:r>
            <w:r>
              <w:rPr>
                <w:rFonts w:ascii="Times New Roman" w:hAnsi="Times New Roman" w:cs="Times New Roman" w:eastAsia="Times New Roman" w:hint="default"/>
                <w:sz w:val="18"/>
                <w:szCs w:val="18"/>
              </w:rPr>
              <w:t>Ferr</w:t>
            </w:r>
            <w:r>
              <w:rPr>
                <w:rFonts w:ascii="宋体" w:hAnsi="宋体" w:cs="宋体" w:eastAsia="宋体" w:hint="default"/>
                <w:sz w:val="18"/>
                <w:szCs w:val="18"/>
              </w:rPr>
              <w:t>）的含 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2021/1/10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2016/1/11</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65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right="146"/>
              <w:jc w:val="both"/>
              <w:rPr>
                <w:rFonts w:ascii="宋体" w:hAnsi="宋体" w:cs="宋体" w:eastAsia="宋体" w:hint="default"/>
                <w:sz w:val="18"/>
                <w:szCs w:val="18"/>
              </w:rPr>
            </w:pPr>
            <w:r>
              <w:rPr>
                <w:rFonts w:ascii="宋体" w:hAnsi="宋体" w:cs="宋体" w:eastAsia="宋体" w:hint="default"/>
                <w:sz w:val="18"/>
                <w:szCs w:val="18"/>
              </w:rPr>
              <w:t>丙型肝炎病毒</w:t>
            </w:r>
            <w:r>
              <w:rPr>
                <w:rFonts w:ascii="Times New Roman" w:hAnsi="Times New Roman" w:cs="Times New Roman" w:eastAsia="Times New Roman" w:hint="default"/>
                <w:sz w:val="18"/>
                <w:szCs w:val="18"/>
              </w:rPr>
              <w:t>RNA</w:t>
            </w:r>
            <w:r>
              <w:rPr>
                <w:rFonts w:ascii="宋体" w:hAnsi="宋体" w:cs="宋体" w:eastAsia="宋体" w:hint="default"/>
                <w:sz w:val="18"/>
                <w:szCs w:val="18"/>
              </w:rPr>
              <w:t>核酸 测定试剂盒（荧光</w:t>
            </w:r>
            <w:r>
              <w:rPr>
                <w:rFonts w:ascii="Times New Roman" w:hAnsi="Times New Roman" w:cs="Times New Roman" w:eastAsia="Times New Roman" w:hint="default"/>
                <w:sz w:val="18"/>
                <w:szCs w:val="18"/>
              </w:rPr>
              <w:t>PCR </w:t>
            </w:r>
            <w:r>
              <w:rPr>
                <w:rFonts w:ascii="宋体" w:hAnsi="宋体" w:cs="宋体" w:eastAsia="宋体" w:hint="default"/>
                <w:sz w:val="18"/>
                <w:szCs w:val="18"/>
              </w:rPr>
              <w:t>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 或血浆样本中丙型肝炎病毒 </w:t>
            </w:r>
            <w:r>
              <w:rPr>
                <w:rFonts w:ascii="Times New Roman" w:hAnsi="Times New Roman" w:cs="Times New Roman" w:eastAsia="Times New Roman" w:hint="default"/>
                <w:sz w:val="18"/>
                <w:szCs w:val="18"/>
              </w:rPr>
              <w:t>RNA</w:t>
            </w:r>
            <w:r>
              <w:rPr>
                <w:rFonts w:ascii="宋体" w:hAnsi="宋体" w:cs="宋体" w:eastAsia="宋体" w:hint="default"/>
                <w:sz w:val="18"/>
                <w:szCs w:val="18"/>
              </w:rPr>
              <w:t>。</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2021/1/10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2016/1/11</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1913"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66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2"/>
              <w:ind w:right="62"/>
              <w:jc w:val="both"/>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EGFR</w:t>
            </w:r>
            <w:r>
              <w:rPr>
                <w:rFonts w:ascii="宋体" w:hAnsi="宋体" w:cs="宋体" w:eastAsia="宋体" w:hint="default"/>
                <w:sz w:val="18"/>
                <w:szCs w:val="18"/>
              </w:rPr>
              <w:t>基因</w:t>
            </w:r>
            <w:r>
              <w:rPr>
                <w:rFonts w:ascii="Times New Roman" w:hAnsi="Times New Roman" w:cs="Times New Roman" w:eastAsia="Times New Roman" w:hint="default"/>
                <w:sz w:val="18"/>
                <w:szCs w:val="18"/>
              </w:rPr>
              <w:t>20</w:t>
            </w:r>
            <w:r>
              <w:rPr>
                <w:rFonts w:ascii="宋体" w:hAnsi="宋体" w:cs="宋体" w:eastAsia="宋体" w:hint="default"/>
                <w:sz w:val="18"/>
                <w:szCs w:val="18"/>
              </w:rPr>
              <w:t>种突变检 测试剂盒（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 针法）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该产品用于体外定性检测人非小 细胞肺癌患者石蜡包埋肿瘤组织 样本中</w:t>
            </w:r>
            <w:r>
              <w:rPr>
                <w:rFonts w:ascii="Times New Roman" w:hAnsi="Times New Roman" w:cs="Times New Roman" w:eastAsia="Times New Roman" w:hint="default"/>
                <w:sz w:val="18"/>
                <w:szCs w:val="18"/>
              </w:rPr>
              <w:t>EGFR</w:t>
            </w:r>
            <w:r>
              <w:rPr>
                <w:rFonts w:ascii="宋体" w:hAnsi="宋体" w:cs="宋体" w:eastAsia="宋体" w:hint="default"/>
                <w:sz w:val="18"/>
                <w:szCs w:val="18"/>
              </w:rPr>
              <w:t>基因</w:t>
            </w:r>
            <w:r>
              <w:rPr>
                <w:rFonts w:ascii="Times New Roman" w:hAnsi="Times New Roman" w:cs="Times New Roman" w:eastAsia="Times New Roman" w:hint="default"/>
                <w:sz w:val="18"/>
                <w:szCs w:val="18"/>
              </w:rPr>
              <w:t>19</w:t>
            </w:r>
            <w:r>
              <w:rPr>
                <w:rFonts w:ascii="宋体" w:hAnsi="宋体" w:cs="宋体" w:eastAsia="宋体" w:hint="default"/>
                <w:sz w:val="18"/>
                <w:szCs w:val="18"/>
              </w:rPr>
              <w:t>外显子的</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种缺少基因型和</w:t>
            </w:r>
            <w:r>
              <w:rPr>
                <w:rFonts w:ascii="Times New Roman" w:hAnsi="Times New Roman" w:cs="Times New Roman" w:eastAsia="Times New Roman" w:hint="default"/>
                <w:sz w:val="18"/>
                <w:szCs w:val="18"/>
              </w:rPr>
              <w:t>21</w:t>
            </w:r>
            <w:r>
              <w:rPr>
                <w:rFonts w:ascii="宋体" w:hAnsi="宋体" w:cs="宋体" w:eastAsia="宋体" w:hint="default"/>
                <w:sz w:val="18"/>
                <w:szCs w:val="18"/>
              </w:rPr>
              <w:t>外显子的</w:t>
            </w:r>
            <w:r>
              <w:rPr>
                <w:rFonts w:ascii="Times New Roman" w:hAnsi="Times New Roman" w:cs="Times New Roman" w:eastAsia="Times New Roman" w:hint="default"/>
                <w:sz w:val="18"/>
                <w:szCs w:val="18"/>
              </w:rPr>
              <w:t>1</w:t>
            </w:r>
            <w:r>
              <w:rPr>
                <w:rFonts w:ascii="宋体" w:hAnsi="宋体" w:cs="宋体" w:eastAsia="宋体" w:hint="default"/>
                <w:sz w:val="18"/>
                <w:szCs w:val="18"/>
              </w:rPr>
              <w:t>种</w:t>
            </w:r>
            <w:r>
              <w:rPr>
                <w:rFonts w:ascii="宋体" w:hAnsi="宋体" w:cs="宋体" w:eastAsia="宋体" w:hint="default"/>
                <w:spacing w:val="-87"/>
                <w:sz w:val="18"/>
                <w:szCs w:val="18"/>
              </w:rPr>
              <w:t> </w:t>
            </w:r>
            <w:r>
              <w:rPr>
                <w:rFonts w:ascii="宋体" w:hAnsi="宋体" w:cs="宋体" w:eastAsia="宋体" w:hint="default"/>
                <w:sz w:val="18"/>
                <w:szCs w:val="18"/>
              </w:rPr>
              <w:t>突变基因型。（具体型别详见说 明书表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2021/1/10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2016/1/11</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1601"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67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right="35"/>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K-ras</w:t>
            </w:r>
            <w:r>
              <w:rPr>
                <w:rFonts w:ascii="宋体" w:hAnsi="宋体" w:cs="宋体" w:eastAsia="宋体" w:hint="default"/>
                <w:sz w:val="18"/>
                <w:szCs w:val="18"/>
              </w:rPr>
              <w:t>基因</w:t>
            </w:r>
            <w:r>
              <w:rPr>
                <w:rFonts w:ascii="Times New Roman" w:hAnsi="Times New Roman" w:cs="Times New Roman" w:eastAsia="Times New Roman" w:hint="default"/>
                <w:sz w:val="18"/>
                <w:szCs w:val="18"/>
              </w:rPr>
              <w:t>8</w:t>
            </w:r>
            <w:r>
              <w:rPr>
                <w:rFonts w:ascii="宋体" w:hAnsi="宋体" w:cs="宋体" w:eastAsia="宋体" w:hint="default"/>
                <w:sz w:val="18"/>
                <w:szCs w:val="18"/>
              </w:rPr>
              <w:t>种突变检测 试剂盒（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该产品用于体外定性检测人石蜡 包埋病理切片组织中提取</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K-ras</w:t>
            </w:r>
            <w:r>
              <w:rPr>
                <w:rFonts w:ascii="宋体" w:hAnsi="宋体" w:cs="宋体" w:eastAsia="宋体" w:hint="default"/>
                <w:sz w:val="18"/>
                <w:szCs w:val="18"/>
              </w:rPr>
              <w:t>基因</w:t>
            </w:r>
            <w:r>
              <w:rPr>
                <w:rFonts w:ascii="Times New Roman" w:hAnsi="Times New Roman" w:cs="Times New Roman" w:eastAsia="Times New Roman" w:hint="default"/>
                <w:sz w:val="18"/>
                <w:szCs w:val="18"/>
              </w:rPr>
              <w:t>12</w:t>
            </w:r>
            <w:r>
              <w:rPr>
                <w:rFonts w:ascii="宋体" w:hAnsi="宋体" w:cs="宋体" w:eastAsia="宋体" w:hint="default"/>
                <w:sz w:val="18"/>
                <w:szCs w:val="18"/>
              </w:rPr>
              <w:t>和</w:t>
            </w:r>
            <w:r>
              <w:rPr>
                <w:rFonts w:ascii="Times New Roman" w:hAnsi="Times New Roman" w:cs="Times New Roman" w:eastAsia="Times New Roman" w:hint="default"/>
                <w:sz w:val="18"/>
                <w:szCs w:val="18"/>
              </w:rPr>
              <w:t>13</w:t>
            </w:r>
            <w:r>
              <w:rPr>
                <w:rFonts w:ascii="宋体" w:hAnsi="宋体" w:cs="宋体" w:eastAsia="宋体" w:hint="default"/>
                <w:sz w:val="18"/>
                <w:szCs w:val="18"/>
              </w:rPr>
              <w:t>密码子</w:t>
            </w:r>
            <w:r>
              <w:rPr>
                <w:rFonts w:ascii="Times New Roman" w:hAnsi="Times New Roman" w:cs="Times New Roman" w:eastAsia="Times New Roman" w:hint="default"/>
                <w:sz w:val="18"/>
                <w:szCs w:val="18"/>
              </w:rPr>
              <w:t>8</w:t>
            </w:r>
            <w:r>
              <w:rPr>
                <w:rFonts w:ascii="宋体" w:hAnsi="宋体" w:cs="宋体" w:eastAsia="宋体" w:hint="default"/>
                <w:sz w:val="18"/>
                <w:szCs w:val="18"/>
              </w:rPr>
              <w:t>种突</w:t>
            </w:r>
            <w:r>
              <w:rPr>
                <w:rFonts w:ascii="宋体" w:hAnsi="宋体" w:cs="宋体" w:eastAsia="宋体" w:hint="default"/>
                <w:spacing w:val="-3"/>
                <w:sz w:val="18"/>
                <w:szCs w:val="18"/>
              </w:rPr>
              <w:t> </w:t>
            </w:r>
            <w:r>
              <w:rPr>
                <w:rFonts w:ascii="宋体" w:hAnsi="宋体" w:cs="宋体" w:eastAsia="宋体" w:hint="default"/>
                <w:sz w:val="18"/>
                <w:szCs w:val="18"/>
              </w:rPr>
              <w:t>变。（具体型别详见说明书表</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2021/1/10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2016/1/11</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68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2"/>
              <w:jc w:val="left"/>
              <w:rPr>
                <w:rFonts w:ascii="宋体" w:hAnsi="宋体" w:cs="宋体" w:eastAsia="宋体" w:hint="default"/>
                <w:sz w:val="18"/>
                <w:szCs w:val="18"/>
              </w:rPr>
            </w:pPr>
            <w:r>
              <w:rPr>
                <w:rFonts w:ascii="宋体" w:hAnsi="宋体" w:cs="宋体" w:eastAsia="宋体" w:hint="default"/>
                <w:sz w:val="18"/>
                <w:szCs w:val="18"/>
              </w:rPr>
              <w:t>鳞状细胞癌抗原（</w:t>
            </w:r>
            <w:r>
              <w:rPr>
                <w:rFonts w:ascii="Times New Roman" w:hAnsi="Times New Roman" w:cs="Times New Roman" w:eastAsia="Times New Roman" w:hint="default"/>
                <w:sz w:val="18"/>
                <w:szCs w:val="18"/>
              </w:rPr>
              <w:t>SCC</w:t>
            </w:r>
            <w:r>
              <w:rPr>
                <w:rFonts w:ascii="宋体" w:hAnsi="宋体" w:cs="宋体" w:eastAsia="宋体" w:hint="default"/>
                <w:sz w:val="18"/>
                <w:szCs w:val="18"/>
              </w:rPr>
              <w:t>） 测定试剂盒（化学发光 免疫分析法）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该产品用于体外定量检测人血清 或血浆中鳞状细胞癌抗原</w:t>
            </w:r>
          </w:p>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SCC</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2021/1/10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2016/1/11</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69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right="163"/>
              <w:jc w:val="both"/>
              <w:rPr>
                <w:rFonts w:ascii="宋体" w:hAnsi="宋体" w:cs="宋体" w:eastAsia="宋体" w:hint="default"/>
                <w:sz w:val="18"/>
                <w:szCs w:val="18"/>
              </w:rPr>
            </w:pPr>
            <w:r>
              <w:rPr>
                <w:rFonts w:ascii="宋体" w:hAnsi="宋体" w:cs="宋体" w:eastAsia="宋体" w:hint="default"/>
                <w:sz w:val="18"/>
                <w:szCs w:val="18"/>
              </w:rPr>
              <w:t>癌胚抗原（</w:t>
            </w:r>
            <w:r>
              <w:rPr>
                <w:rFonts w:ascii="Times New Roman" w:hAnsi="Times New Roman" w:cs="Times New Roman" w:eastAsia="Times New Roman" w:hint="default"/>
                <w:sz w:val="18"/>
                <w:szCs w:val="18"/>
              </w:rPr>
              <w:t>CEA</w:t>
            </w:r>
            <w:r>
              <w:rPr>
                <w:rFonts w:ascii="宋体" w:hAnsi="宋体" w:cs="宋体" w:eastAsia="宋体" w:hint="default"/>
                <w:sz w:val="18"/>
                <w:szCs w:val="18"/>
              </w:rPr>
              <w:t>）测定 试剂盒（化学发光免疫 分析法）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用于体外定量检测人血清或血浆 中癌胚抗原（</w:t>
            </w:r>
            <w:r>
              <w:rPr>
                <w:rFonts w:ascii="Times New Roman" w:hAnsi="Times New Roman" w:cs="Times New Roman" w:eastAsia="Times New Roman" w:hint="default"/>
                <w:sz w:val="18"/>
                <w:szCs w:val="18"/>
              </w:rPr>
              <w:t>CEA</w:t>
            </w:r>
            <w:r>
              <w:rPr>
                <w:rFonts w:ascii="宋体" w:hAnsi="宋体" w:cs="宋体" w:eastAsia="宋体" w:hint="default"/>
                <w:sz w:val="18"/>
                <w:szCs w:val="18"/>
              </w:rPr>
              <w:t>）的含量。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2021/3/14</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2016/3/15</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665"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70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前列腺特异性抗原</w:t>
            </w:r>
          </w:p>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PSA</w:t>
            </w:r>
            <w:r>
              <w:rPr>
                <w:rFonts w:ascii="宋体" w:hAnsi="宋体" w:cs="宋体" w:eastAsia="宋体" w:hint="default"/>
                <w:sz w:val="18"/>
                <w:szCs w:val="18"/>
              </w:rPr>
              <w:t>）测定试剂盒（化</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用于体外定量检测人血清或血浆 中前列腺特异性抗原（</w:t>
            </w:r>
            <w:r>
              <w:rPr>
                <w:rFonts w:ascii="Times New Roman" w:hAnsi="Times New Roman" w:cs="Times New Roman" w:eastAsia="Times New Roman" w:hint="default"/>
                <w:sz w:val="18"/>
                <w:szCs w:val="18"/>
              </w:rPr>
              <w:t>PSA</w:t>
            </w:r>
            <w:r>
              <w:rPr>
                <w:rFonts w:ascii="宋体" w:hAnsi="宋体" w:cs="宋体" w:eastAsia="宋体" w:hint="default"/>
                <w:sz w:val="18"/>
                <w:szCs w:val="18"/>
              </w:rPr>
              <w:t>）的</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2021/3/14</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2016/3/15</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bl>
    <w:p>
      <w:pPr>
        <w:spacing w:after="0" w:line="240" w:lineRule="auto"/>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74" w:type="dxa"/>
        <w:tblLayout w:type="fixed"/>
        <w:tblCellMar>
          <w:top w:w="0" w:type="dxa"/>
          <w:left w:w="0" w:type="dxa"/>
          <w:bottom w:w="0" w:type="dxa"/>
          <w:right w:w="0" w:type="dxa"/>
        </w:tblCellMar>
        <w:tblLook w:val="01E0"/>
      </w:tblPr>
      <w:tblGrid>
        <w:gridCol w:w="557"/>
        <w:gridCol w:w="1985"/>
        <w:gridCol w:w="709"/>
        <w:gridCol w:w="2552"/>
        <w:gridCol w:w="991"/>
        <w:gridCol w:w="994"/>
        <w:gridCol w:w="1135"/>
      </w:tblGrid>
      <w:tr>
        <w:trPr>
          <w:trHeight w:val="353" w:hRule="exact"/>
        </w:trPr>
        <w:tc>
          <w:tcPr>
            <w:tcW w:w="557"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left"/>
              <w:rPr>
                <w:rFonts w:ascii="宋体" w:hAnsi="宋体" w:cs="宋体" w:eastAsia="宋体" w:hint="default"/>
                <w:sz w:val="18"/>
                <w:szCs w:val="18"/>
              </w:rPr>
            </w:pPr>
            <w:r>
              <w:rPr>
                <w:rFonts w:ascii="宋体" w:hAnsi="宋体" w:cs="宋体" w:eastAsia="宋体" w:hint="default"/>
                <w:sz w:val="18"/>
                <w:szCs w:val="18"/>
              </w:rPr>
              <w:t>学发光免疫分析法）</w:t>
            </w:r>
          </w:p>
        </w:tc>
        <w:tc>
          <w:tcPr>
            <w:tcW w:w="709" w:type="dxa"/>
            <w:tcBorders>
              <w:top w:val="single" w:sz="8" w:space="0" w:color="000000"/>
              <w:left w:val="single" w:sz="8" w:space="0" w:color="000000"/>
              <w:bottom w:val="single" w:sz="8" w:space="0" w:color="000000"/>
              <w:right w:val="single" w:sz="8" w:space="0" w:color="000000"/>
            </w:tcBorders>
          </w:tcPr>
          <w:p>
            <w:pP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含量。</w:t>
            </w:r>
          </w:p>
        </w:tc>
        <w:tc>
          <w:tcPr>
            <w:tcW w:w="991"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
        </w:tc>
        <w:tc>
          <w:tcPr>
            <w:tcW w:w="1135" w:type="dxa"/>
            <w:tcBorders>
              <w:top w:val="single" w:sz="8" w:space="0" w:color="000000"/>
              <w:left w:val="single" w:sz="8" w:space="0" w:color="000000"/>
              <w:bottom w:val="single" w:sz="8" w:space="0" w:color="000000"/>
              <w:right w:val="single" w:sz="8" w:space="0" w:color="000000"/>
            </w:tcBorders>
          </w:tcPr>
          <w:p>
            <w:pPr/>
          </w:p>
        </w:tc>
      </w:tr>
      <w:tr>
        <w:trPr>
          <w:trHeight w:val="1286"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71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20"/>
              <w:ind w:right="120"/>
              <w:jc w:val="both"/>
              <w:rPr>
                <w:rFonts w:ascii="宋体" w:hAnsi="宋体" w:cs="宋体" w:eastAsia="宋体" w:hint="default"/>
                <w:sz w:val="18"/>
                <w:szCs w:val="18"/>
              </w:rPr>
            </w:pPr>
            <w:r>
              <w:rPr>
                <w:rFonts w:ascii="宋体" w:hAnsi="宋体" w:cs="宋体" w:eastAsia="宋体" w:hint="default"/>
                <w:sz w:val="18"/>
                <w:szCs w:val="18"/>
              </w:rPr>
              <w:t>发热伴血小板减少综合 征布尼亚病毒核酸检测 试剂盒（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该产品用于体外定性检测人血清 样本中新型布尼亚病毒</w:t>
            </w:r>
            <w:r>
              <w:rPr>
                <w:rFonts w:ascii="Times New Roman" w:hAnsi="Times New Roman" w:cs="Times New Roman" w:eastAsia="Times New Roman" w:hint="default"/>
                <w:sz w:val="18"/>
                <w:szCs w:val="18"/>
              </w:rPr>
              <w:t>RNA</w:t>
            </w:r>
            <w:r>
              <w:rPr>
                <w:rFonts w:ascii="宋体" w:hAnsi="宋体" w:cs="宋体" w:eastAsia="宋体" w:hint="default"/>
                <w:sz w:val="18"/>
                <w:szCs w:val="18"/>
              </w:rPr>
              <w:t>。</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17"/>
              <w:jc w:val="right"/>
              <w:rPr>
                <w:rFonts w:ascii="Times New Roman" w:hAnsi="Times New Roman" w:cs="Times New Roman" w:eastAsia="Times New Roman" w:hint="default"/>
                <w:sz w:val="18"/>
                <w:szCs w:val="18"/>
              </w:rPr>
            </w:pPr>
            <w:r>
              <w:rPr>
                <w:rFonts w:ascii="Times New Roman"/>
                <w:spacing w:val="-1"/>
                <w:sz w:val="18"/>
              </w:rPr>
              <w:t>2021/3/14</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2016/3/15</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289"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72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right="163"/>
              <w:jc w:val="left"/>
              <w:rPr>
                <w:rFonts w:ascii="宋体" w:hAnsi="宋体" w:cs="宋体" w:eastAsia="宋体" w:hint="default"/>
                <w:sz w:val="18"/>
                <w:szCs w:val="18"/>
              </w:rPr>
            </w:pPr>
            <w:r>
              <w:rPr>
                <w:rFonts w:ascii="宋体" w:hAnsi="宋体" w:cs="宋体" w:eastAsia="宋体" w:hint="default"/>
                <w:sz w:val="18"/>
                <w:szCs w:val="18"/>
              </w:rPr>
              <w:t>奈瑟淋球菌核酸检测试 剂盒（</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22"/>
              <w:ind w:left="2" w:right="9"/>
              <w:jc w:val="both"/>
              <w:rPr>
                <w:rFonts w:ascii="宋体" w:hAnsi="宋体" w:cs="宋体" w:eastAsia="宋体" w:hint="default"/>
                <w:sz w:val="18"/>
                <w:szCs w:val="18"/>
              </w:rPr>
            </w:pPr>
            <w:r>
              <w:rPr>
                <w:rFonts w:ascii="宋体" w:hAnsi="宋体" w:cs="宋体" w:eastAsia="宋体" w:hint="default"/>
                <w:sz w:val="18"/>
                <w:szCs w:val="18"/>
              </w:rPr>
              <w:t>本试剂盒适用于体外定性检测女 性宫颈拭子和男性尿道拭子样本 中提取的奈瑟淋球菌（</w:t>
            </w:r>
            <w:r>
              <w:rPr>
                <w:rFonts w:ascii="Times New Roman" w:hAnsi="Times New Roman" w:cs="Times New Roman" w:eastAsia="Times New Roman" w:hint="default"/>
                <w:sz w:val="18"/>
                <w:szCs w:val="18"/>
              </w:rPr>
              <w:t>Neisseria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Gonorrhoeae</w:t>
            </w:r>
            <w:r>
              <w:rPr>
                <w:rFonts w:ascii="宋体" w:hAnsi="宋体" w:cs="宋体" w:eastAsia="宋体" w:hint="default"/>
                <w:sz w:val="18"/>
                <w:szCs w:val="18"/>
              </w:rPr>
              <w:t>，</w:t>
            </w:r>
            <w:r>
              <w:rPr>
                <w:rFonts w:ascii="Times New Roman" w:hAnsi="Times New Roman" w:cs="Times New Roman" w:eastAsia="Times New Roman" w:hint="default"/>
                <w:sz w:val="18"/>
                <w:szCs w:val="18"/>
              </w:rPr>
              <w:t>NG</w:t>
            </w:r>
            <w:r>
              <w:rPr>
                <w:rFonts w:ascii="宋体" w:hAnsi="宋体" w:cs="宋体" w:eastAsia="宋体" w:hint="default"/>
                <w:sz w:val="18"/>
                <w:szCs w:val="18"/>
              </w:rPr>
              <w:t>）</w:t>
            </w:r>
            <w:r>
              <w:rPr>
                <w:rFonts w:ascii="Times New Roman" w:hAnsi="Times New Roman" w:cs="Times New Roman" w:eastAsia="Times New Roman" w:hint="default"/>
                <w:sz w:val="18"/>
                <w:szCs w:val="18"/>
              </w:rPr>
              <w:t>DNA</w:t>
            </w:r>
            <w:r>
              <w:rPr>
                <w:rFonts w:ascii="宋体" w:hAnsi="宋体" w:cs="宋体" w:eastAsia="宋体" w:hint="default"/>
                <w:sz w:val="18"/>
                <w:szCs w:val="18"/>
              </w:rPr>
              <w:t>。</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17"/>
              <w:jc w:val="right"/>
              <w:rPr>
                <w:rFonts w:ascii="Times New Roman" w:hAnsi="Times New Roman" w:cs="Times New Roman" w:eastAsia="Times New Roman" w:hint="default"/>
                <w:sz w:val="18"/>
                <w:szCs w:val="18"/>
              </w:rPr>
            </w:pPr>
            <w:r>
              <w:rPr>
                <w:rFonts w:ascii="Times New Roman"/>
                <w:spacing w:val="-1"/>
                <w:sz w:val="18"/>
              </w:rPr>
              <w:t>2021/12/4</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2016/12/5</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2225"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73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right="113"/>
              <w:jc w:val="both"/>
              <w:rPr>
                <w:rFonts w:ascii="宋体" w:hAnsi="宋体" w:cs="宋体" w:eastAsia="宋体" w:hint="default"/>
                <w:sz w:val="18"/>
                <w:szCs w:val="18"/>
              </w:rPr>
            </w:pPr>
            <w:r>
              <w:rPr>
                <w:rFonts w:ascii="宋体" w:hAnsi="宋体" w:cs="宋体" w:eastAsia="宋体" w:hint="default"/>
                <w:sz w:val="18"/>
                <w:szCs w:val="18"/>
              </w:rPr>
              <w:t>沙眼衣原体</w:t>
            </w:r>
            <w:r>
              <w:rPr>
                <w:rFonts w:ascii="Times New Roman" w:hAnsi="Times New Roman" w:cs="Times New Roman" w:eastAsia="Times New Roman" w:hint="default"/>
                <w:sz w:val="18"/>
                <w:szCs w:val="18"/>
              </w:rPr>
              <w:t>/</w:t>
            </w:r>
            <w:r>
              <w:rPr>
                <w:rFonts w:ascii="宋体" w:hAnsi="宋体" w:cs="宋体" w:eastAsia="宋体" w:hint="default"/>
                <w:sz w:val="18"/>
                <w:szCs w:val="18"/>
              </w:rPr>
              <w:t>解脲脲原体 核酸检测试剂盒（</w:t>
            </w:r>
            <w:r>
              <w:rPr>
                <w:rFonts w:ascii="Times New Roman" w:hAnsi="Times New Roman" w:cs="Times New Roman" w:eastAsia="Times New Roman" w:hint="default"/>
                <w:sz w:val="18"/>
                <w:szCs w:val="18"/>
              </w:rPr>
              <w:t>PCR- </w:t>
            </w:r>
            <w:r>
              <w:rPr>
                <w:rFonts w:ascii="宋体" w:hAnsi="宋体" w:cs="宋体" w:eastAsia="宋体" w:hint="default"/>
                <w:sz w:val="18"/>
                <w:szCs w:val="18"/>
              </w:rPr>
              <w:t>荧光探针法）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20"/>
              <w:ind w:left="2" w:right="9"/>
              <w:jc w:val="both"/>
              <w:rPr>
                <w:rFonts w:ascii="宋体" w:hAnsi="宋体" w:cs="宋体" w:eastAsia="宋体" w:hint="default"/>
                <w:sz w:val="18"/>
                <w:szCs w:val="18"/>
              </w:rPr>
            </w:pPr>
            <w:r>
              <w:rPr>
                <w:rFonts w:ascii="宋体" w:hAnsi="宋体" w:cs="宋体" w:eastAsia="宋体" w:hint="default"/>
                <w:sz w:val="18"/>
                <w:szCs w:val="18"/>
              </w:rPr>
              <w:t>本试剂盒适用于体外定性检测女 性宫颈拭子和男性尿道拭子样本 中提取的沙眼衣原体</w:t>
            </w:r>
          </w:p>
          <w:p>
            <w:pPr>
              <w:pStyle w:val="TableParagraph"/>
              <w:spacing w:line="240" w:lineRule="auto" w:before="17"/>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Chlamydiatrachomatis</w:t>
            </w:r>
            <w:r>
              <w:rPr>
                <w:rFonts w:ascii="宋体" w:hAnsi="宋体" w:cs="宋体" w:eastAsia="宋体" w:hint="default"/>
                <w:sz w:val="18"/>
                <w:szCs w:val="18"/>
              </w:rPr>
              <w:t>，</w:t>
            </w:r>
          </w:p>
          <w:p>
            <w:pPr>
              <w:pStyle w:val="TableParagraph"/>
              <w:spacing w:line="240" w:lineRule="auto" w:before="63"/>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CT</w:t>
            </w:r>
            <w:r>
              <w:rPr>
                <w:rFonts w:ascii="宋体" w:hAnsi="宋体" w:cs="宋体" w:eastAsia="宋体" w:hint="default"/>
                <w:sz w:val="18"/>
                <w:szCs w:val="18"/>
              </w:rPr>
              <w:t>）、解脲脲原体</w:t>
            </w:r>
          </w:p>
          <w:p>
            <w:pPr>
              <w:pStyle w:val="TableParagraph"/>
              <w:spacing w:line="240" w:lineRule="auto" w:before="63"/>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Ureaplasmaurealyticum</w:t>
            </w:r>
            <w:r>
              <w:rPr>
                <w:rFonts w:ascii="宋体" w:hAnsi="宋体" w:cs="宋体" w:eastAsia="宋体" w:hint="default"/>
                <w:sz w:val="18"/>
                <w:szCs w:val="18"/>
              </w:rPr>
              <w:t>，</w:t>
            </w:r>
            <w:r>
              <w:rPr>
                <w:rFonts w:ascii="Times New Roman" w:hAnsi="Times New Roman" w:cs="Times New Roman" w:eastAsia="Times New Roman" w:hint="default"/>
                <w:sz w:val="18"/>
                <w:szCs w:val="18"/>
              </w:rPr>
              <w:t>UU</w:t>
            </w:r>
            <w:r>
              <w:rPr>
                <w:rFonts w:ascii="宋体" w:hAnsi="宋体" w:cs="宋体" w:eastAsia="宋体" w:hint="default"/>
                <w:sz w:val="18"/>
                <w:szCs w:val="18"/>
              </w:rPr>
              <w:t>）</w:t>
            </w:r>
          </w:p>
          <w:p>
            <w:pPr>
              <w:pStyle w:val="TableParagraph"/>
              <w:spacing w:line="240" w:lineRule="auto" w:before="63"/>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DNA</w:t>
            </w:r>
            <w:r>
              <w:rPr>
                <w:rFonts w:ascii="宋体" w:hAnsi="宋体" w:cs="宋体" w:eastAsia="宋体" w:hint="default"/>
                <w:sz w:val="18"/>
                <w:szCs w:val="18"/>
              </w:rPr>
              <w:t>。</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17"/>
              <w:jc w:val="right"/>
              <w:rPr>
                <w:rFonts w:ascii="Times New Roman" w:hAnsi="Times New Roman" w:cs="Times New Roman" w:eastAsia="Times New Roman" w:hint="default"/>
                <w:sz w:val="18"/>
                <w:szCs w:val="18"/>
              </w:rPr>
            </w:pPr>
            <w:r>
              <w:rPr>
                <w:rFonts w:ascii="Times New Roman"/>
                <w:spacing w:val="-1"/>
                <w:sz w:val="18"/>
              </w:rPr>
              <w:t>2021/12/4</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2016/12/5</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74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right="65"/>
              <w:jc w:val="left"/>
              <w:rPr>
                <w:rFonts w:ascii="宋体" w:hAnsi="宋体" w:cs="宋体" w:eastAsia="宋体" w:hint="default"/>
                <w:sz w:val="18"/>
                <w:szCs w:val="18"/>
              </w:rPr>
            </w:pPr>
            <w:r>
              <w:rPr>
                <w:rFonts w:ascii="宋体" w:hAnsi="宋体" w:cs="宋体" w:eastAsia="宋体" w:hint="default"/>
                <w:sz w:val="18"/>
                <w:szCs w:val="18"/>
              </w:rPr>
              <w:t>登革热病毒</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抗体检测 试剂盒（酶联免疫法）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本试剂盒用于体外定性检测人血 清中登革热病毒的特异性</w:t>
            </w:r>
            <w:r>
              <w:rPr>
                <w:rFonts w:ascii="Times New Roman" w:hAnsi="Times New Roman" w:cs="Times New Roman" w:eastAsia="Times New Roman" w:hint="default"/>
                <w:sz w:val="18"/>
                <w:szCs w:val="18"/>
              </w:rPr>
              <w:t>IgG</w:t>
            </w:r>
            <w:r>
              <w:rPr>
                <w:rFonts w:ascii="宋体" w:hAnsi="宋体" w:cs="宋体" w:eastAsia="宋体" w:hint="default"/>
                <w:sz w:val="18"/>
                <w:szCs w:val="18"/>
              </w:rPr>
              <w:t>抗 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17"/>
              <w:jc w:val="right"/>
              <w:rPr>
                <w:rFonts w:ascii="Times New Roman" w:hAnsi="Times New Roman" w:cs="Times New Roman" w:eastAsia="Times New Roman" w:hint="default"/>
                <w:sz w:val="18"/>
                <w:szCs w:val="18"/>
              </w:rPr>
            </w:pPr>
            <w:r>
              <w:rPr>
                <w:rFonts w:ascii="Times New Roman"/>
                <w:spacing w:val="-1"/>
                <w:sz w:val="18"/>
              </w:rPr>
              <w:t>2022/8/29</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2017/8/30</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75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2"/>
              <w:ind w:right="65"/>
              <w:jc w:val="left"/>
              <w:rPr>
                <w:rFonts w:ascii="宋体" w:hAnsi="宋体" w:cs="宋体" w:eastAsia="宋体" w:hint="default"/>
                <w:sz w:val="18"/>
                <w:szCs w:val="18"/>
              </w:rPr>
            </w:pPr>
            <w:r>
              <w:rPr>
                <w:rFonts w:ascii="宋体" w:hAnsi="宋体" w:cs="宋体" w:eastAsia="宋体" w:hint="default"/>
                <w:sz w:val="18"/>
                <w:szCs w:val="18"/>
              </w:rPr>
              <w:t>汉坦病毒</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抗体检测试 剂盒（酶联免疫法）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本试剂盒用于体外定性检测人血 清中汉坦病毒的特异性</w:t>
            </w:r>
            <w:r>
              <w:rPr>
                <w:rFonts w:ascii="Times New Roman" w:hAnsi="Times New Roman" w:cs="Times New Roman" w:eastAsia="Times New Roman" w:hint="default"/>
                <w:sz w:val="18"/>
                <w:szCs w:val="18"/>
              </w:rPr>
              <w:t>IgG</w:t>
            </w:r>
            <w:r>
              <w:rPr>
                <w:rFonts w:ascii="宋体" w:hAnsi="宋体" w:cs="宋体" w:eastAsia="宋体" w:hint="default"/>
                <w:sz w:val="18"/>
                <w:szCs w:val="18"/>
              </w:rPr>
              <w:t>抗 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17"/>
              <w:jc w:val="right"/>
              <w:rPr>
                <w:rFonts w:ascii="Times New Roman" w:hAnsi="Times New Roman" w:cs="Times New Roman" w:eastAsia="Times New Roman" w:hint="default"/>
                <w:sz w:val="18"/>
                <w:szCs w:val="18"/>
              </w:rPr>
            </w:pPr>
            <w:r>
              <w:rPr>
                <w:rFonts w:ascii="Times New Roman"/>
                <w:spacing w:val="-1"/>
                <w:sz w:val="18"/>
              </w:rPr>
              <w:t>2022/8/29</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2017/8/30</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76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35"/>
              <w:jc w:val="left"/>
              <w:rPr>
                <w:rFonts w:ascii="宋体" w:hAnsi="宋体" w:cs="宋体" w:eastAsia="宋体" w:hint="default"/>
                <w:sz w:val="18"/>
                <w:szCs w:val="18"/>
              </w:rPr>
            </w:pPr>
            <w:r>
              <w:rPr>
                <w:rFonts w:ascii="宋体" w:hAnsi="宋体" w:cs="宋体" w:eastAsia="宋体" w:hint="default"/>
                <w:sz w:val="18"/>
                <w:szCs w:val="18"/>
              </w:rPr>
              <w:t>乙型脑炎病毒</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 测试剂盒（酶联免疫 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9"/>
              <w:jc w:val="both"/>
              <w:rPr>
                <w:rFonts w:ascii="宋体" w:hAnsi="宋体" w:cs="宋体" w:eastAsia="宋体" w:hint="default"/>
                <w:sz w:val="18"/>
                <w:szCs w:val="18"/>
              </w:rPr>
            </w:pPr>
            <w:r>
              <w:rPr>
                <w:rFonts w:ascii="宋体" w:hAnsi="宋体" w:cs="宋体" w:eastAsia="宋体" w:hint="default"/>
                <w:sz w:val="18"/>
                <w:szCs w:val="18"/>
              </w:rPr>
              <w:t>本试剂盒用于体外定性检测人血 清中乙型脑炎病毒的特异性</w:t>
            </w:r>
            <w:r>
              <w:rPr>
                <w:rFonts w:ascii="Times New Roman" w:hAnsi="Times New Roman" w:cs="Times New Roman" w:eastAsia="Times New Roman" w:hint="default"/>
                <w:sz w:val="18"/>
                <w:szCs w:val="18"/>
              </w:rPr>
              <w:t>IgM</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抗体。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17"/>
              <w:jc w:val="right"/>
              <w:rPr>
                <w:rFonts w:ascii="Times New Roman" w:hAnsi="Times New Roman" w:cs="Times New Roman" w:eastAsia="Times New Roman" w:hint="default"/>
                <w:sz w:val="18"/>
                <w:szCs w:val="18"/>
              </w:rPr>
            </w:pPr>
            <w:r>
              <w:rPr>
                <w:rFonts w:ascii="Times New Roman"/>
                <w:spacing w:val="-1"/>
                <w:sz w:val="18"/>
              </w:rPr>
              <w:t>2022/8/29</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2017/8/30</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286"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77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核酸提取试剂</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7"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本试剂盒适用于人血清、血浆的 病毒核酸（</w:t>
            </w:r>
            <w:r>
              <w:rPr>
                <w:rFonts w:ascii="Times New Roman" w:hAnsi="Times New Roman" w:cs="Times New Roman" w:eastAsia="Times New Roman" w:hint="default"/>
                <w:sz w:val="18"/>
                <w:szCs w:val="18"/>
              </w:rPr>
              <w:t>DNA</w:t>
            </w:r>
            <w:r>
              <w:rPr>
                <w:rFonts w:ascii="宋体" w:hAnsi="宋体" w:cs="宋体" w:eastAsia="宋体" w:hint="default"/>
                <w:sz w:val="18"/>
                <w:szCs w:val="18"/>
              </w:rPr>
              <w:t>和</w:t>
            </w:r>
            <w:r>
              <w:rPr>
                <w:rFonts w:ascii="Times New Roman" w:hAnsi="Times New Roman" w:cs="Times New Roman" w:eastAsia="Times New Roman" w:hint="default"/>
                <w:sz w:val="18"/>
                <w:szCs w:val="18"/>
              </w:rPr>
              <w:t>RNA</w:t>
            </w:r>
            <w:r>
              <w:rPr>
                <w:rFonts w:ascii="宋体" w:hAnsi="宋体" w:cs="宋体" w:eastAsia="宋体" w:hint="default"/>
                <w:sz w:val="18"/>
                <w:szCs w:val="18"/>
              </w:rPr>
              <w:t>）提取 和纯化。提取纯化的</w:t>
            </w:r>
            <w:r>
              <w:rPr>
                <w:rFonts w:ascii="Times New Roman" w:hAnsi="Times New Roman" w:cs="Times New Roman" w:eastAsia="Times New Roman" w:hint="default"/>
                <w:sz w:val="18"/>
                <w:szCs w:val="18"/>
              </w:rPr>
              <w:t>DNA/RNA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可用于后续的临床检测。</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22"/>
              <w:jc w:val="right"/>
              <w:rPr>
                <w:rFonts w:ascii="宋体" w:hAnsi="宋体" w:cs="宋体" w:eastAsia="宋体" w:hint="default"/>
                <w:sz w:val="18"/>
                <w:szCs w:val="18"/>
              </w:rPr>
            </w:pPr>
            <w:r>
              <w:rPr>
                <w:rFonts w:ascii="宋体" w:hAnsi="宋体" w:cs="宋体" w:eastAsia="宋体" w:hint="default"/>
                <w:sz w:val="18"/>
                <w:szCs w:val="18"/>
              </w:rPr>
              <w:t>永久有效</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2016/10/28</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601"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78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核酸提取试剂</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本试剂盒与核酸提取仪配套使 用，适用于人血清、血浆的病毒 核酸（</w:t>
            </w:r>
            <w:r>
              <w:rPr>
                <w:rFonts w:ascii="Times New Roman" w:hAnsi="Times New Roman" w:cs="Times New Roman" w:eastAsia="Times New Roman" w:hint="default"/>
                <w:sz w:val="18"/>
                <w:szCs w:val="18"/>
              </w:rPr>
              <w:t>DNA</w:t>
            </w:r>
            <w:r>
              <w:rPr>
                <w:rFonts w:ascii="宋体" w:hAnsi="宋体" w:cs="宋体" w:eastAsia="宋体" w:hint="default"/>
                <w:sz w:val="18"/>
                <w:szCs w:val="18"/>
              </w:rPr>
              <w:t>和</w:t>
            </w:r>
            <w:r>
              <w:rPr>
                <w:rFonts w:ascii="Times New Roman" w:hAnsi="Times New Roman" w:cs="Times New Roman" w:eastAsia="Times New Roman" w:hint="default"/>
                <w:sz w:val="18"/>
                <w:szCs w:val="18"/>
              </w:rPr>
              <w:t>RNA</w:t>
            </w:r>
            <w:r>
              <w:rPr>
                <w:rFonts w:ascii="宋体" w:hAnsi="宋体" w:cs="宋体" w:eastAsia="宋体" w:hint="default"/>
                <w:sz w:val="18"/>
                <w:szCs w:val="18"/>
              </w:rPr>
              <w:t>）提取和纯 化。提取纯化的</w:t>
            </w:r>
            <w:r>
              <w:rPr>
                <w:rFonts w:ascii="Times New Roman" w:hAnsi="Times New Roman" w:cs="Times New Roman" w:eastAsia="Times New Roman" w:hint="default"/>
                <w:sz w:val="18"/>
                <w:szCs w:val="18"/>
              </w:rPr>
              <w:t>DNA/RNA</w:t>
            </w:r>
            <w:r>
              <w:rPr>
                <w:rFonts w:ascii="宋体" w:hAnsi="宋体" w:cs="宋体" w:eastAsia="宋体" w:hint="default"/>
                <w:sz w:val="18"/>
                <w:szCs w:val="18"/>
              </w:rPr>
              <w:t>可用 于后续的临床检测。</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22"/>
              <w:jc w:val="right"/>
              <w:rPr>
                <w:rFonts w:ascii="宋体" w:hAnsi="宋体" w:cs="宋体" w:eastAsia="宋体" w:hint="default"/>
                <w:sz w:val="18"/>
                <w:szCs w:val="18"/>
              </w:rPr>
            </w:pPr>
            <w:r>
              <w:rPr>
                <w:rFonts w:ascii="宋体" w:hAnsi="宋体" w:cs="宋体" w:eastAsia="宋体" w:hint="default"/>
                <w:sz w:val="18"/>
                <w:szCs w:val="18"/>
              </w:rPr>
              <w:t>永久有效</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2017/7/25</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289"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79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全自动核酸提取仪</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both"/>
              <w:rPr>
                <w:rFonts w:ascii="宋体" w:hAnsi="宋体" w:cs="宋体" w:eastAsia="宋体" w:hint="default"/>
                <w:sz w:val="18"/>
                <w:szCs w:val="18"/>
              </w:rPr>
            </w:pPr>
            <w:r>
              <w:rPr>
                <w:rFonts w:ascii="宋体" w:hAnsi="宋体" w:cs="宋体" w:eastAsia="宋体" w:hint="default"/>
                <w:sz w:val="18"/>
                <w:szCs w:val="18"/>
              </w:rPr>
              <w:t>与本公司已上市的核酸提取试剂 盒（磁珠法）配套使用，适用于 临床机构对人类血清血浆中病毒 核酸的提取。</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22"/>
              <w:jc w:val="right"/>
              <w:rPr>
                <w:rFonts w:ascii="宋体" w:hAnsi="宋体" w:cs="宋体" w:eastAsia="宋体" w:hint="default"/>
                <w:sz w:val="18"/>
                <w:szCs w:val="18"/>
              </w:rPr>
            </w:pPr>
            <w:r>
              <w:rPr>
                <w:rFonts w:ascii="宋体" w:hAnsi="宋体" w:cs="宋体" w:eastAsia="宋体" w:hint="default"/>
                <w:sz w:val="18"/>
                <w:szCs w:val="18"/>
              </w:rPr>
              <w:t>永久有效</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2017/12/5</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601"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80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样本释放剂</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本试剂盒适用于人血浆的预处 理，使人血浆中的氨基酸从与其 他物质结合的状态中释放出来， 以便于使用液相色谱串联质谱对 氨基酸进行检测。</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22"/>
              <w:jc w:val="right"/>
              <w:rPr>
                <w:rFonts w:ascii="宋体" w:hAnsi="宋体" w:cs="宋体" w:eastAsia="宋体" w:hint="default"/>
                <w:sz w:val="18"/>
                <w:szCs w:val="18"/>
              </w:rPr>
            </w:pPr>
            <w:r>
              <w:rPr>
                <w:rFonts w:ascii="宋体" w:hAnsi="宋体" w:cs="宋体" w:eastAsia="宋体" w:hint="default"/>
                <w:sz w:val="18"/>
                <w:szCs w:val="18"/>
              </w:rPr>
              <w:t>永久有效</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2018/12/5</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备案</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74" w:type="dxa"/>
        <w:tblLayout w:type="fixed"/>
        <w:tblCellMar>
          <w:top w:w="0" w:type="dxa"/>
          <w:left w:w="0" w:type="dxa"/>
          <w:bottom w:w="0" w:type="dxa"/>
          <w:right w:w="0" w:type="dxa"/>
        </w:tblCellMar>
        <w:tblLook w:val="01E0"/>
      </w:tblPr>
      <w:tblGrid>
        <w:gridCol w:w="557"/>
        <w:gridCol w:w="1985"/>
        <w:gridCol w:w="709"/>
        <w:gridCol w:w="2552"/>
        <w:gridCol w:w="991"/>
        <w:gridCol w:w="994"/>
        <w:gridCol w:w="1135"/>
      </w:tblGrid>
      <w:tr>
        <w:trPr>
          <w:trHeight w:val="1601"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178" w:right="0"/>
              <w:jc w:val="left"/>
              <w:rPr>
                <w:rFonts w:ascii="Times New Roman" w:hAnsi="Times New Roman" w:cs="Times New Roman" w:eastAsia="Times New Roman" w:hint="default"/>
                <w:sz w:val="18"/>
                <w:szCs w:val="18"/>
              </w:rPr>
            </w:pPr>
            <w:r>
              <w:rPr>
                <w:rFonts w:ascii="Times New Roman"/>
                <w:sz w:val="18"/>
              </w:rPr>
              <w:t>81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left"/>
              <w:rPr>
                <w:rFonts w:ascii="宋体" w:hAnsi="宋体" w:cs="宋体" w:eastAsia="宋体" w:hint="default"/>
                <w:sz w:val="18"/>
                <w:szCs w:val="18"/>
              </w:rPr>
            </w:pPr>
            <w:r>
              <w:rPr>
                <w:rFonts w:ascii="宋体" w:hAnsi="宋体" w:cs="宋体" w:eastAsia="宋体" w:hint="default"/>
                <w:sz w:val="18"/>
                <w:szCs w:val="18"/>
              </w:rPr>
              <w:t>样本释放剂</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3"/>
              <w:ind w:left="2" w:right="9"/>
              <w:jc w:val="left"/>
              <w:rPr>
                <w:rFonts w:ascii="宋体" w:hAnsi="宋体" w:cs="宋体" w:eastAsia="宋体" w:hint="default"/>
                <w:sz w:val="18"/>
                <w:szCs w:val="18"/>
              </w:rPr>
            </w:pPr>
            <w:r>
              <w:rPr>
                <w:rFonts w:ascii="宋体" w:hAnsi="宋体" w:cs="宋体" w:eastAsia="宋体" w:hint="default"/>
                <w:sz w:val="18"/>
                <w:szCs w:val="18"/>
              </w:rPr>
              <w:t>本试剂盒适用于人血浆的预处 理，使人血浆中的水溶性维生素 从与其它物质结合的状态中释放 出来，以便于使用液相色谱串联 质谱对水溶性维生素进行检测。</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2018/12/5</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598"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82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样本释放剂</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本试剂盒适用于人血浆的预处 理，使人血浆中的脂溶性维生素 从与其它物质结合的状态中释放 出来，以便于使用液相色谱串联 质谱对脂溶性维生素进行检测。</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2018/12/5</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601"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83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样本释放剂</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本试剂盒适用于人血浆的预处 理，使人血浆中的类固醇激素从 与其它物质结合的状态中释放出 来，以便于使用液相色谱串联质 谱对类固醇激素进行检测。</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2018/12/5</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601"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84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超声多普勒胎儿心率仪</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Ⅱ类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both"/>
              <w:rPr>
                <w:rFonts w:ascii="宋体" w:hAnsi="宋体" w:cs="宋体" w:eastAsia="宋体" w:hint="default"/>
                <w:sz w:val="18"/>
                <w:szCs w:val="18"/>
              </w:rPr>
            </w:pPr>
            <w:r>
              <w:rPr>
                <w:rFonts w:ascii="宋体" w:hAnsi="宋体" w:cs="宋体" w:eastAsia="宋体" w:hint="default"/>
                <w:sz w:val="18"/>
                <w:szCs w:val="18"/>
              </w:rPr>
              <w:t>用于胎儿心率监测。适用于医疗 机构、孕妇或其家属在家中进行 使用。该产品的检测结果只能用 于初步评估胎儿状态，不作为诊 断依据。</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2020/10/26</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2015/10/27</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663"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85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DNA</w:t>
            </w:r>
            <w:r>
              <w:rPr>
                <w:rFonts w:ascii="宋体" w:hAnsi="宋体" w:cs="宋体" w:eastAsia="宋体" w:hint="default"/>
                <w:sz w:val="18"/>
                <w:szCs w:val="18"/>
              </w:rPr>
              <w:t>样品保持卡</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left="2" w:right="159"/>
              <w:jc w:val="left"/>
              <w:rPr>
                <w:rFonts w:ascii="宋体" w:hAnsi="宋体" w:cs="宋体" w:eastAsia="宋体" w:hint="default"/>
                <w:sz w:val="18"/>
                <w:szCs w:val="18"/>
              </w:rPr>
            </w:pPr>
            <w:r>
              <w:rPr>
                <w:rFonts w:ascii="宋体" w:hAnsi="宋体" w:cs="宋体" w:eastAsia="宋体" w:hint="default"/>
                <w:sz w:val="18"/>
                <w:szCs w:val="18"/>
              </w:rPr>
              <w:t>用于</w:t>
            </w:r>
            <w:r>
              <w:rPr>
                <w:rFonts w:ascii="Times New Roman" w:hAnsi="Times New Roman" w:cs="Times New Roman" w:eastAsia="Times New Roman" w:hint="default"/>
                <w:sz w:val="18"/>
                <w:szCs w:val="18"/>
              </w:rPr>
              <w:t>DNA</w:t>
            </w:r>
            <w:r>
              <w:rPr>
                <w:rFonts w:ascii="宋体" w:hAnsi="宋体" w:cs="宋体" w:eastAsia="宋体" w:hint="default"/>
                <w:sz w:val="18"/>
                <w:szCs w:val="18"/>
              </w:rPr>
              <w:t>样品的室温稳定化保 存和运输。</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2016/11/10</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86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核酸纯化试剂</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2" w:right="9"/>
              <w:jc w:val="both"/>
              <w:rPr>
                <w:rFonts w:ascii="宋体" w:hAnsi="宋体" w:cs="宋体" w:eastAsia="宋体" w:hint="default"/>
                <w:sz w:val="18"/>
                <w:szCs w:val="18"/>
              </w:rPr>
            </w:pPr>
            <w:r>
              <w:rPr>
                <w:rFonts w:ascii="宋体" w:hAnsi="宋体" w:cs="宋体" w:eastAsia="宋体" w:hint="default"/>
                <w:sz w:val="18"/>
                <w:szCs w:val="18"/>
              </w:rPr>
              <w:t>用于核酸的提取、富集、纯化等 步骤。其处理后的产物用于临床 体外检测使用。</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2016/06/21</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87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细胞保存液</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用于保存、运输取自人体的细 胞，仅用于体外分析检测目的， 不用于治疗性用途。</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2015/09/07</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2223"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88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测序反应通用试剂盒</w:t>
            </w:r>
          </w:p>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（半导体测序法）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本试剂盒是检测人类基因组 </w:t>
            </w:r>
            <w:r>
              <w:rPr>
                <w:rFonts w:ascii="Times New Roman" w:hAnsi="Times New Roman" w:cs="Times New Roman" w:eastAsia="Times New Roman" w:hint="default"/>
                <w:sz w:val="18"/>
                <w:szCs w:val="18"/>
              </w:rPr>
              <w:t>DNA</w:t>
            </w:r>
            <w:r>
              <w:rPr>
                <w:rFonts w:ascii="宋体" w:hAnsi="宋体" w:cs="宋体" w:eastAsia="宋体" w:hint="default"/>
                <w:sz w:val="18"/>
                <w:szCs w:val="18"/>
              </w:rPr>
              <w:t>文库的一组常用试剂，与 基因测序仪配合使用，完成高通 量测序过程并获取样本序列信 息，是该测序反应系统的通用试 剂。本产品不用于全基因组测 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2015/09/07</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89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细胞保存液</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用于保存、运输取自人体的细 胞，仅用于体外分析检测目的， 不用于治疗性用途。</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2015/09/07</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90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核酸提取试剂</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both"/>
              <w:rPr>
                <w:rFonts w:ascii="宋体" w:hAnsi="宋体" w:cs="宋体" w:eastAsia="宋体" w:hint="default"/>
                <w:sz w:val="18"/>
                <w:szCs w:val="18"/>
              </w:rPr>
            </w:pPr>
            <w:r>
              <w:rPr>
                <w:rFonts w:ascii="宋体" w:hAnsi="宋体" w:cs="宋体" w:eastAsia="宋体" w:hint="default"/>
                <w:sz w:val="18"/>
                <w:szCs w:val="18"/>
              </w:rPr>
              <w:t>用于核酸的提取、富集、纯化等 步骤。其处理后的产物用于临床 体外检测使用。</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2017/07/10</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665"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91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测序反应通用试剂盒</w:t>
            </w:r>
          </w:p>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（联合探针锚定聚合测</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本试剂盒是检测人类基因组</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DNA</w:t>
            </w:r>
            <w:r>
              <w:rPr>
                <w:rFonts w:ascii="宋体" w:hAnsi="宋体" w:cs="宋体" w:eastAsia="宋体" w:hint="default"/>
                <w:sz w:val="18"/>
                <w:szCs w:val="18"/>
              </w:rPr>
              <w:t>文库的一组常用试剂，与</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2015/11/19</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备案</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74" w:type="dxa"/>
        <w:tblLayout w:type="fixed"/>
        <w:tblCellMar>
          <w:top w:w="0" w:type="dxa"/>
          <w:left w:w="0" w:type="dxa"/>
          <w:bottom w:w="0" w:type="dxa"/>
          <w:right w:w="0" w:type="dxa"/>
        </w:tblCellMar>
        <w:tblLook w:val="01E0"/>
      </w:tblPr>
      <w:tblGrid>
        <w:gridCol w:w="557"/>
        <w:gridCol w:w="1985"/>
        <w:gridCol w:w="709"/>
        <w:gridCol w:w="2552"/>
        <w:gridCol w:w="991"/>
        <w:gridCol w:w="994"/>
        <w:gridCol w:w="1135"/>
      </w:tblGrid>
      <w:tr>
        <w:trPr>
          <w:trHeight w:val="1601" w:hRule="exact"/>
        </w:trPr>
        <w:tc>
          <w:tcPr>
            <w:tcW w:w="557"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left"/>
              <w:rPr>
                <w:rFonts w:ascii="宋体" w:hAnsi="宋体" w:cs="宋体" w:eastAsia="宋体" w:hint="default"/>
                <w:sz w:val="18"/>
                <w:szCs w:val="18"/>
              </w:rPr>
            </w:pPr>
            <w:r>
              <w:rPr>
                <w:rFonts w:ascii="宋体" w:hAnsi="宋体" w:cs="宋体" w:eastAsia="宋体" w:hint="default"/>
                <w:sz w:val="18"/>
                <w:szCs w:val="18"/>
              </w:rPr>
              <w:t>序法）</w:t>
            </w:r>
          </w:p>
        </w:tc>
        <w:tc>
          <w:tcPr>
            <w:tcW w:w="709" w:type="dxa"/>
            <w:tcBorders>
              <w:top w:val="single" w:sz="8" w:space="0" w:color="000000"/>
              <w:left w:val="single" w:sz="8" w:space="0" w:color="000000"/>
              <w:bottom w:val="single" w:sz="8" w:space="0" w:color="000000"/>
              <w:right w:val="single" w:sz="8" w:space="0" w:color="000000"/>
            </w:tcBorders>
          </w:tcPr>
          <w:p>
            <w:pP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3"/>
              <w:ind w:left="2" w:right="9"/>
              <w:jc w:val="left"/>
              <w:rPr>
                <w:rFonts w:ascii="宋体" w:hAnsi="宋体" w:cs="宋体" w:eastAsia="宋体" w:hint="default"/>
                <w:sz w:val="18"/>
                <w:szCs w:val="18"/>
              </w:rPr>
            </w:pPr>
            <w:r>
              <w:rPr>
                <w:rFonts w:ascii="宋体" w:hAnsi="宋体" w:cs="宋体" w:eastAsia="宋体" w:hint="default"/>
                <w:sz w:val="18"/>
                <w:szCs w:val="18"/>
              </w:rPr>
              <w:t>基因测序仪配合使用，完成高通 量测序过程并获取样本序列信 息，是该测序反应系统的通用试 剂。本产品不用于全基因组测 序。</w:t>
            </w:r>
          </w:p>
        </w:tc>
        <w:tc>
          <w:tcPr>
            <w:tcW w:w="991"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
        </w:tc>
        <w:tc>
          <w:tcPr>
            <w:tcW w:w="1135" w:type="dxa"/>
            <w:tcBorders>
              <w:top w:val="single" w:sz="8" w:space="0" w:color="000000"/>
              <w:left w:val="single" w:sz="8" w:space="0" w:color="000000"/>
              <w:bottom w:val="single" w:sz="8" w:space="0" w:color="000000"/>
              <w:right w:val="single" w:sz="8" w:space="0" w:color="000000"/>
            </w:tcBorders>
          </w:tcPr>
          <w:p>
            <w:pPr/>
          </w:p>
        </w:tc>
      </w:tr>
      <w:tr>
        <w:trPr>
          <w:trHeight w:val="2223"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92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测序反应通用试剂盒</w:t>
            </w:r>
          </w:p>
          <w:p>
            <w:pPr>
              <w:pStyle w:val="TableParagraph"/>
              <w:spacing w:line="316" w:lineRule="auto" w:before="76"/>
              <w:ind w:right="163"/>
              <w:jc w:val="left"/>
              <w:rPr>
                <w:rFonts w:ascii="宋体" w:hAnsi="宋体" w:cs="宋体" w:eastAsia="宋体" w:hint="default"/>
                <w:sz w:val="18"/>
                <w:szCs w:val="18"/>
              </w:rPr>
            </w:pPr>
            <w:r>
              <w:rPr>
                <w:rFonts w:ascii="宋体" w:hAnsi="宋体" w:cs="宋体" w:eastAsia="宋体" w:hint="default"/>
                <w:sz w:val="18"/>
                <w:szCs w:val="18"/>
              </w:rPr>
              <w:t>（联合探针锚定聚合测 序法）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87"/>
              <w:jc w:val="righ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本试剂盒是检测人类基因组 </w:t>
            </w:r>
            <w:r>
              <w:rPr>
                <w:rFonts w:ascii="Times New Roman" w:hAnsi="Times New Roman" w:cs="Times New Roman" w:eastAsia="Times New Roman" w:hint="default"/>
                <w:sz w:val="18"/>
                <w:szCs w:val="18"/>
              </w:rPr>
              <w:t>DNA</w:t>
            </w:r>
            <w:r>
              <w:rPr>
                <w:rFonts w:ascii="宋体" w:hAnsi="宋体" w:cs="宋体" w:eastAsia="宋体" w:hint="default"/>
                <w:sz w:val="18"/>
                <w:szCs w:val="18"/>
              </w:rPr>
              <w:t>文库的一组常用试剂，与 基因测序仪配合使用，完成高通 量测序过程并获取样本序列信 息，是该测序反应系统的通用试 剂。本产品不用于全基因组测 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74"/>
              <w:jc w:val="right"/>
              <w:rPr>
                <w:rFonts w:ascii="Times New Roman" w:hAnsi="Times New Roman" w:cs="Times New Roman" w:eastAsia="Times New Roman" w:hint="default"/>
                <w:sz w:val="18"/>
                <w:szCs w:val="18"/>
              </w:rPr>
            </w:pPr>
            <w:r>
              <w:rPr>
                <w:rFonts w:ascii="Times New Roman"/>
                <w:w w:val="95"/>
                <w:sz w:val="18"/>
              </w:rPr>
              <w:t>2017/09/29</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93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核酸提取试剂</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87"/>
              <w:jc w:val="righ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left="2" w:right="9"/>
              <w:jc w:val="both"/>
              <w:rPr>
                <w:rFonts w:ascii="宋体" w:hAnsi="宋体" w:cs="宋体" w:eastAsia="宋体" w:hint="default"/>
                <w:sz w:val="18"/>
                <w:szCs w:val="18"/>
              </w:rPr>
            </w:pPr>
            <w:r>
              <w:rPr>
                <w:rFonts w:ascii="宋体" w:hAnsi="宋体" w:cs="宋体" w:eastAsia="宋体" w:hint="default"/>
                <w:sz w:val="18"/>
                <w:szCs w:val="18"/>
              </w:rPr>
              <w:t>用于核酸的提取、富集、纯化等 步骤。其处理后的产物用于临床 体外检测使用。</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74"/>
              <w:jc w:val="right"/>
              <w:rPr>
                <w:rFonts w:ascii="Times New Roman" w:hAnsi="Times New Roman" w:cs="Times New Roman" w:eastAsia="Times New Roman" w:hint="default"/>
                <w:sz w:val="18"/>
                <w:szCs w:val="18"/>
              </w:rPr>
            </w:pPr>
            <w:r>
              <w:rPr>
                <w:rFonts w:ascii="Times New Roman"/>
                <w:w w:val="95"/>
                <w:sz w:val="18"/>
              </w:rPr>
              <w:t>2015/09/07</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2225"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94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测序反应通用试剂盒</w:t>
            </w:r>
          </w:p>
          <w:p>
            <w:pPr>
              <w:pStyle w:val="TableParagraph"/>
              <w:spacing w:line="316" w:lineRule="auto" w:before="76"/>
              <w:ind w:right="163"/>
              <w:jc w:val="left"/>
              <w:rPr>
                <w:rFonts w:ascii="宋体" w:hAnsi="宋体" w:cs="宋体" w:eastAsia="宋体" w:hint="default"/>
                <w:sz w:val="18"/>
                <w:szCs w:val="18"/>
              </w:rPr>
            </w:pPr>
            <w:r>
              <w:rPr>
                <w:rFonts w:ascii="宋体" w:hAnsi="宋体" w:cs="宋体" w:eastAsia="宋体" w:hint="default"/>
                <w:sz w:val="18"/>
                <w:szCs w:val="18"/>
              </w:rPr>
              <w:t>（联合探针锚定聚合测 序法）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87"/>
              <w:jc w:val="righ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本试剂盒是检测人类基因组 </w:t>
            </w:r>
            <w:r>
              <w:rPr>
                <w:rFonts w:ascii="Times New Roman" w:hAnsi="Times New Roman" w:cs="Times New Roman" w:eastAsia="Times New Roman" w:hint="default"/>
                <w:sz w:val="18"/>
                <w:szCs w:val="18"/>
              </w:rPr>
              <w:t>DNA</w:t>
            </w:r>
            <w:r>
              <w:rPr>
                <w:rFonts w:ascii="宋体" w:hAnsi="宋体" w:cs="宋体" w:eastAsia="宋体" w:hint="default"/>
                <w:sz w:val="18"/>
                <w:szCs w:val="18"/>
              </w:rPr>
              <w:t>文库的一组常用试剂，与 基因测序仪配合使用，完成高通 量测序过程并获取样本序列信 息，是该测序反应系统的通用试 剂。本产品不用于全基因组测 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永久有效</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74"/>
              <w:jc w:val="right"/>
              <w:rPr>
                <w:rFonts w:ascii="Times New Roman" w:hAnsi="Times New Roman" w:cs="Times New Roman" w:eastAsia="Times New Roman" w:hint="default"/>
                <w:sz w:val="18"/>
                <w:szCs w:val="18"/>
              </w:rPr>
            </w:pPr>
            <w:r>
              <w:rPr>
                <w:rFonts w:ascii="Times New Roman"/>
                <w:w w:val="95"/>
                <w:sz w:val="18"/>
              </w:rPr>
              <w:t>2017/06/08</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253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95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right="163"/>
              <w:jc w:val="left"/>
              <w:rPr>
                <w:rFonts w:ascii="宋体" w:hAnsi="宋体" w:cs="宋体" w:eastAsia="宋体" w:hint="default"/>
                <w:sz w:val="18"/>
                <w:szCs w:val="18"/>
              </w:rPr>
            </w:pPr>
            <w:r>
              <w:rPr>
                <w:rFonts w:ascii="宋体" w:hAnsi="宋体" w:cs="宋体" w:eastAsia="宋体" w:hint="default"/>
                <w:sz w:val="18"/>
                <w:szCs w:val="18"/>
              </w:rPr>
              <w:t>人乳头瘤病毒核酸分型 分析软件</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2"/>
              <w:jc w:val="righ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both"/>
              <w:rPr>
                <w:rFonts w:ascii="宋体" w:hAnsi="宋体" w:cs="宋体" w:eastAsia="宋体" w:hint="default"/>
                <w:sz w:val="18"/>
                <w:szCs w:val="18"/>
              </w:rPr>
            </w:pPr>
            <w:r>
              <w:rPr>
                <w:rFonts w:ascii="宋体" w:hAnsi="宋体" w:cs="宋体" w:eastAsia="宋体" w:hint="default"/>
                <w:sz w:val="18"/>
                <w:szCs w:val="18"/>
              </w:rPr>
              <w:t>本软件与适用的测序试剂盒配套 使用，通过对宫颈脱落细胞中的 </w:t>
            </w:r>
            <w:r>
              <w:rPr>
                <w:rFonts w:ascii="Times New Roman" w:hAnsi="Times New Roman" w:cs="Times New Roman" w:eastAsia="Times New Roman" w:hint="default"/>
                <w:sz w:val="18"/>
                <w:szCs w:val="18"/>
              </w:rPr>
              <w:t>16</w:t>
            </w:r>
            <w:r>
              <w:rPr>
                <w:rFonts w:ascii="宋体" w:hAnsi="宋体" w:cs="宋体" w:eastAsia="宋体" w:hint="default"/>
                <w:sz w:val="18"/>
                <w:szCs w:val="18"/>
              </w:rPr>
              <w:t>种人乳头瘤病毒（</w:t>
            </w:r>
            <w:r>
              <w:rPr>
                <w:rFonts w:ascii="Times New Roman" w:hAnsi="Times New Roman" w:cs="Times New Roman" w:eastAsia="Times New Roman" w:hint="default"/>
                <w:sz w:val="18"/>
                <w:szCs w:val="18"/>
              </w:rPr>
              <w:t>HPV6</w:t>
            </w:r>
            <w:r>
              <w:rPr>
                <w:rFonts w:ascii="宋体" w:hAnsi="宋体" w:cs="宋体" w:eastAsia="宋体" w:hint="default"/>
                <w:sz w:val="18"/>
                <w:szCs w:val="18"/>
              </w:rPr>
              <w:t>、</w:t>
            </w:r>
          </w:p>
          <w:p>
            <w:pPr>
              <w:pStyle w:val="TableParagraph"/>
              <w:spacing w:line="248" w:lineRule="exact"/>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31</w:t>
            </w:r>
            <w:r>
              <w:rPr>
                <w:rFonts w:ascii="宋体" w:hAnsi="宋体" w:cs="宋体" w:eastAsia="宋体" w:hint="default"/>
                <w:sz w:val="18"/>
                <w:szCs w:val="18"/>
              </w:rPr>
              <w:t>、</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39</w:t>
            </w:r>
            <w:r>
              <w:rPr>
                <w:rFonts w:ascii="宋体" w:hAnsi="宋体" w:cs="宋体" w:eastAsia="宋体" w:hint="default"/>
                <w:sz w:val="18"/>
                <w:szCs w:val="18"/>
              </w:rPr>
              <w:t>、</w:t>
            </w:r>
          </w:p>
          <w:p>
            <w:pPr>
              <w:pStyle w:val="TableParagraph"/>
              <w:spacing w:line="240" w:lineRule="auto" w:before="63"/>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r>
              <w:rPr>
                <w:rFonts w:ascii="Times New Roman" w:hAnsi="Times New Roman" w:cs="Times New Roman" w:eastAsia="Times New Roman" w:hint="default"/>
                <w:sz w:val="18"/>
                <w:szCs w:val="18"/>
              </w:rPr>
              <w:t>52</w:t>
            </w:r>
            <w:r>
              <w:rPr>
                <w:rFonts w:ascii="宋体" w:hAnsi="宋体" w:cs="宋体" w:eastAsia="宋体" w:hint="default"/>
                <w:sz w:val="18"/>
                <w:szCs w:val="18"/>
              </w:rPr>
              <w:t>、</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r>
              <w:rPr>
                <w:rFonts w:ascii="Times New Roman" w:hAnsi="Times New Roman" w:cs="Times New Roman" w:eastAsia="Times New Roman" w:hint="default"/>
                <w:sz w:val="18"/>
                <w:szCs w:val="18"/>
              </w:rPr>
              <w:t>58</w:t>
            </w:r>
            <w:r>
              <w:rPr>
                <w:rFonts w:ascii="宋体" w:hAnsi="宋体" w:cs="宋体" w:eastAsia="宋体" w:hint="default"/>
                <w:sz w:val="18"/>
                <w:szCs w:val="18"/>
              </w:rPr>
              <w:t>、</w:t>
            </w:r>
            <w:r>
              <w:rPr>
                <w:rFonts w:ascii="Times New Roman" w:hAnsi="Times New Roman" w:cs="Times New Roman" w:eastAsia="Times New Roman" w:hint="default"/>
                <w:sz w:val="18"/>
                <w:szCs w:val="18"/>
              </w:rPr>
              <w:t>59</w:t>
            </w:r>
            <w:r>
              <w:rPr>
                <w:rFonts w:ascii="宋体" w:hAnsi="宋体" w:cs="宋体" w:eastAsia="宋体" w:hint="default"/>
                <w:sz w:val="18"/>
                <w:szCs w:val="18"/>
              </w:rPr>
              <w:t>、</w:t>
            </w:r>
            <w:r>
              <w:rPr>
                <w:rFonts w:ascii="Times New Roman" w:hAnsi="Times New Roman" w:cs="Times New Roman" w:eastAsia="Times New Roman" w:hint="default"/>
                <w:sz w:val="18"/>
                <w:szCs w:val="18"/>
              </w:rPr>
              <w:t>66</w:t>
            </w:r>
            <w:r>
              <w:rPr>
                <w:rFonts w:ascii="宋体" w:hAnsi="宋体" w:cs="宋体" w:eastAsia="宋体" w:hint="default"/>
                <w:sz w:val="18"/>
                <w:szCs w:val="18"/>
              </w:rPr>
              <w:t>、</w:t>
            </w:r>
          </w:p>
          <w:p>
            <w:pPr>
              <w:pStyle w:val="TableParagraph"/>
              <w:spacing w:line="300" w:lineRule="auto" w:before="63"/>
              <w:ind w:left="2" w:right="7"/>
              <w:jc w:val="both"/>
              <w:rPr>
                <w:rFonts w:ascii="宋体" w:hAnsi="宋体" w:cs="宋体" w:eastAsia="宋体" w:hint="default"/>
                <w:sz w:val="18"/>
                <w:szCs w:val="18"/>
              </w:rPr>
            </w:pPr>
            <w:r>
              <w:rPr>
                <w:rFonts w:ascii="Times New Roman" w:hAnsi="Times New Roman" w:cs="Times New Roman" w:eastAsia="Times New Roman" w:hint="default"/>
                <w:sz w:val="18"/>
                <w:szCs w:val="18"/>
              </w:rPr>
              <w:t>68</w:t>
            </w:r>
            <w:r>
              <w:rPr>
                <w:rFonts w:ascii="宋体" w:hAnsi="宋体" w:cs="宋体" w:eastAsia="宋体" w:hint="default"/>
                <w:sz w:val="18"/>
                <w:szCs w:val="18"/>
              </w:rPr>
              <w:t>）的测序数据进行定性及分型 分型，分析结果可用于</w:t>
            </w:r>
            <w:r>
              <w:rPr>
                <w:rFonts w:ascii="Times New Roman" w:hAnsi="Times New Roman" w:cs="Times New Roman" w:eastAsia="Times New Roman" w:hint="default"/>
                <w:sz w:val="18"/>
                <w:szCs w:val="18"/>
              </w:rPr>
              <w:t>HPV</w:t>
            </w:r>
            <w:r>
              <w:rPr>
                <w:rFonts w:ascii="宋体" w:hAnsi="宋体" w:cs="宋体" w:eastAsia="宋体" w:hint="default"/>
                <w:sz w:val="18"/>
                <w:szCs w:val="18"/>
              </w:rPr>
              <w:t>感染</w:t>
            </w:r>
            <w:r>
              <w:rPr>
                <w:rFonts w:ascii="宋体" w:hAnsi="宋体" w:cs="宋体" w:eastAsia="宋体" w:hint="default"/>
                <w:spacing w:val="-3"/>
                <w:sz w:val="18"/>
                <w:szCs w:val="18"/>
              </w:rPr>
              <w:t> </w:t>
            </w:r>
            <w:r>
              <w:rPr>
                <w:rFonts w:ascii="宋体" w:hAnsi="宋体" w:cs="宋体" w:eastAsia="宋体" w:hint="default"/>
                <w:sz w:val="18"/>
                <w:szCs w:val="18"/>
              </w:rPr>
              <w:t>的辅助诊断。</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2020/06/28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74"/>
              <w:jc w:val="right"/>
              <w:rPr>
                <w:rFonts w:ascii="Times New Roman" w:hAnsi="Times New Roman" w:cs="Times New Roman" w:eastAsia="Times New Roman" w:hint="default"/>
                <w:sz w:val="18"/>
                <w:szCs w:val="18"/>
              </w:rPr>
            </w:pPr>
            <w:r>
              <w:rPr>
                <w:rFonts w:ascii="Times New Roman"/>
                <w:w w:val="95"/>
                <w:sz w:val="18"/>
              </w:rPr>
              <w:t>2015/06/29</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4098"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96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22"/>
              <w:ind w:right="163"/>
              <w:jc w:val="left"/>
              <w:rPr>
                <w:rFonts w:ascii="宋体" w:hAnsi="宋体" w:cs="宋体" w:eastAsia="宋体" w:hint="default"/>
                <w:sz w:val="18"/>
                <w:szCs w:val="18"/>
              </w:rPr>
            </w:pPr>
            <w:r>
              <w:rPr>
                <w:rFonts w:ascii="宋体" w:hAnsi="宋体" w:cs="宋体" w:eastAsia="宋体" w:hint="default"/>
                <w:sz w:val="18"/>
                <w:szCs w:val="18"/>
              </w:rPr>
              <w:t>遗传性耳聋基因分析软 件</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2"/>
              <w:jc w:val="righ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本软件与适用的测序试剂盒配套 使用，通过对四个基因</w:t>
            </w:r>
          </w:p>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GJB2</w:t>
            </w:r>
            <w:r>
              <w:rPr>
                <w:rFonts w:ascii="宋体" w:hAnsi="宋体" w:cs="宋体" w:eastAsia="宋体" w:hint="default"/>
                <w:sz w:val="18"/>
                <w:szCs w:val="18"/>
              </w:rPr>
              <w:t>、</w:t>
            </w:r>
            <w:r>
              <w:rPr>
                <w:rFonts w:ascii="Times New Roman" w:hAnsi="Times New Roman" w:cs="Times New Roman" w:eastAsia="Times New Roman" w:hint="default"/>
                <w:sz w:val="18"/>
                <w:szCs w:val="18"/>
              </w:rPr>
              <w:t>GJB3</w:t>
            </w:r>
            <w:r>
              <w:rPr>
                <w:rFonts w:ascii="宋体" w:hAnsi="宋体" w:cs="宋体" w:eastAsia="宋体" w:hint="default"/>
                <w:sz w:val="18"/>
                <w:szCs w:val="18"/>
              </w:rPr>
              <w:t>、</w:t>
            </w:r>
            <w:r>
              <w:rPr>
                <w:rFonts w:ascii="Times New Roman" w:hAnsi="Times New Roman" w:cs="Times New Roman" w:eastAsia="Times New Roman" w:hint="default"/>
                <w:sz w:val="18"/>
                <w:szCs w:val="18"/>
              </w:rPr>
              <w:t>SLC26A4</w:t>
            </w:r>
            <w:r>
              <w:rPr>
                <w:rFonts w:ascii="宋体" w:hAnsi="宋体" w:cs="宋体" w:eastAsia="宋体" w:hint="default"/>
                <w:sz w:val="18"/>
                <w:szCs w:val="18"/>
              </w:rPr>
              <w:t>和</w:t>
            </w:r>
          </w:p>
          <w:p>
            <w:pPr>
              <w:pStyle w:val="TableParagraph"/>
              <w:spacing w:line="312" w:lineRule="auto" w:before="63"/>
              <w:ind w:left="2"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12S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rRNA</w:t>
            </w:r>
            <w:r>
              <w:rPr>
                <w:rFonts w:ascii="宋体" w:hAnsi="宋体" w:cs="宋体" w:eastAsia="宋体" w:hint="default"/>
                <w:sz w:val="18"/>
                <w:szCs w:val="18"/>
              </w:rPr>
              <w:t>）特定片段有效</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序列数据进行计算，获得与之对 应的参考序列比对结果，得出与 遗传性耳聋关联性</w:t>
            </w:r>
            <w:r>
              <w:rPr>
                <w:rFonts w:ascii="Times New Roman" w:hAnsi="Times New Roman" w:cs="Times New Roman" w:eastAsia="Times New Roman" w:hint="default"/>
                <w:sz w:val="18"/>
                <w:szCs w:val="18"/>
              </w:rPr>
              <w:t>20</w:t>
            </w:r>
            <w:r>
              <w:rPr>
                <w:rFonts w:ascii="宋体" w:hAnsi="宋体" w:cs="宋体" w:eastAsia="宋体" w:hint="default"/>
                <w:sz w:val="18"/>
                <w:szCs w:val="18"/>
              </w:rPr>
              <w:t>个突变位点</w:t>
            </w:r>
          </w:p>
          <w:p>
            <w:pPr>
              <w:pStyle w:val="TableParagraph"/>
              <w:spacing w:line="240" w:lineRule="auto" w:before="3"/>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35delG</w:t>
            </w:r>
            <w:r>
              <w:rPr>
                <w:rFonts w:ascii="宋体" w:hAnsi="宋体" w:cs="宋体" w:eastAsia="宋体" w:hint="default"/>
                <w:sz w:val="18"/>
                <w:szCs w:val="18"/>
              </w:rPr>
              <w:t>、</w:t>
            </w:r>
            <w:r>
              <w:rPr>
                <w:rFonts w:ascii="Times New Roman" w:hAnsi="Times New Roman" w:cs="Times New Roman" w:eastAsia="Times New Roman" w:hint="default"/>
                <w:sz w:val="18"/>
                <w:szCs w:val="18"/>
              </w:rPr>
              <w:t>176_191del16</w:t>
            </w:r>
            <w:r>
              <w:rPr>
                <w:rFonts w:ascii="宋体" w:hAnsi="宋体" w:cs="宋体" w:eastAsia="宋体" w:hint="default"/>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235delC</w:t>
            </w:r>
            <w:r>
              <w:rPr>
                <w:rFonts w:ascii="宋体" w:hAnsi="宋体" w:cs="宋体" w:eastAsia="宋体" w:hint="default"/>
                <w:sz w:val="18"/>
                <w:szCs w:val="18"/>
              </w:rPr>
              <w:t>、</w:t>
            </w:r>
            <w:r>
              <w:rPr>
                <w:rFonts w:ascii="Times New Roman" w:hAnsi="Times New Roman" w:cs="Times New Roman" w:eastAsia="Times New Roman" w:hint="default"/>
                <w:sz w:val="18"/>
                <w:szCs w:val="18"/>
              </w:rPr>
              <w:t>299_300delAT</w:t>
            </w:r>
            <w:r>
              <w:rPr>
                <w:rFonts w:ascii="宋体" w:hAnsi="宋体" w:cs="宋体" w:eastAsia="宋体" w:hint="default"/>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538C&gt;T</w:t>
            </w:r>
            <w:r>
              <w:rPr>
                <w:rFonts w:ascii="宋体" w:hAnsi="宋体" w:cs="宋体" w:eastAsia="宋体" w:hint="default"/>
                <w:sz w:val="18"/>
                <w:szCs w:val="18"/>
              </w:rPr>
              <w:t>、</w:t>
            </w:r>
            <w:r>
              <w:rPr>
                <w:rFonts w:ascii="Times New Roman" w:hAnsi="Times New Roman" w:cs="Times New Roman" w:eastAsia="Times New Roman" w:hint="default"/>
                <w:sz w:val="18"/>
                <w:szCs w:val="18"/>
              </w:rPr>
              <w:t>547G&gt;A</w:t>
            </w:r>
            <w:r>
              <w:rPr>
                <w:rFonts w:ascii="宋体" w:hAnsi="宋体" w:cs="宋体" w:eastAsia="宋体" w:hint="default"/>
                <w:sz w:val="18"/>
                <w:szCs w:val="18"/>
              </w:rPr>
              <w:t>、</w:t>
            </w:r>
            <w:r>
              <w:rPr>
                <w:rFonts w:ascii="Times New Roman" w:hAnsi="Times New Roman" w:cs="Times New Roman" w:eastAsia="Times New Roman" w:hint="default"/>
                <w:sz w:val="18"/>
                <w:szCs w:val="18"/>
              </w:rPr>
              <w:t>281C&gt;T</w:t>
            </w:r>
            <w:r>
              <w:rPr>
                <w:rFonts w:ascii="宋体" w:hAnsi="宋体" w:cs="宋体" w:eastAsia="宋体" w:hint="default"/>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589G&gt;A</w:t>
            </w:r>
            <w:r>
              <w:rPr>
                <w:rFonts w:ascii="宋体" w:hAnsi="宋体" w:cs="宋体" w:eastAsia="宋体" w:hint="default"/>
                <w:sz w:val="18"/>
                <w:szCs w:val="18"/>
              </w:rPr>
              <w:t>、</w:t>
            </w:r>
            <w:r>
              <w:rPr>
                <w:rFonts w:ascii="Times New Roman" w:hAnsi="Times New Roman" w:cs="Times New Roman" w:eastAsia="Times New Roman" w:hint="default"/>
                <w:sz w:val="18"/>
                <w:szCs w:val="18"/>
              </w:rPr>
              <w:t>IVS7-2A&gt;G</w:t>
            </w:r>
            <w:r>
              <w:rPr>
                <w:rFonts w:ascii="宋体" w:hAnsi="宋体" w:cs="宋体" w:eastAsia="宋体" w:hint="default"/>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1174A&gt;T</w:t>
            </w:r>
            <w:r>
              <w:rPr>
                <w:rFonts w:ascii="宋体" w:hAnsi="宋体" w:cs="宋体" w:eastAsia="宋体" w:hint="default"/>
                <w:sz w:val="18"/>
                <w:szCs w:val="18"/>
              </w:rPr>
              <w:t>、</w:t>
            </w:r>
            <w:r>
              <w:rPr>
                <w:rFonts w:ascii="Times New Roman" w:hAnsi="Times New Roman" w:cs="Times New Roman" w:eastAsia="Times New Roman" w:hint="default"/>
                <w:sz w:val="18"/>
                <w:szCs w:val="18"/>
              </w:rPr>
              <w:t>1226G&gt;A</w:t>
            </w:r>
            <w:r>
              <w:rPr>
                <w:rFonts w:ascii="宋体" w:hAnsi="宋体" w:cs="宋体" w:eastAsia="宋体" w:hint="default"/>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1229C&gt;T</w:t>
            </w:r>
            <w:r>
              <w:rPr>
                <w:rFonts w:ascii="宋体" w:hAnsi="宋体" w:cs="宋体" w:eastAsia="宋体" w:hint="default"/>
                <w:sz w:val="18"/>
                <w:szCs w:val="18"/>
              </w:rPr>
              <w:t>、</w:t>
            </w:r>
            <w:r>
              <w:rPr>
                <w:rFonts w:ascii="Times New Roman" w:hAnsi="Times New Roman" w:cs="Times New Roman" w:eastAsia="Times New Roman" w:hint="default"/>
                <w:sz w:val="18"/>
                <w:szCs w:val="18"/>
              </w:rPr>
              <w:t>IVS15+5G&gt;A</w:t>
            </w:r>
            <w:r>
              <w:rPr>
                <w:rFonts w:ascii="宋体" w:hAnsi="宋体" w:cs="宋体" w:eastAsia="宋体" w:hint="default"/>
                <w:sz w:val="18"/>
                <w:szCs w:val="18"/>
              </w:rPr>
              <w:t>、</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2020/09/24</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74"/>
              <w:jc w:val="right"/>
              <w:rPr>
                <w:rFonts w:ascii="Times New Roman" w:hAnsi="Times New Roman" w:cs="Times New Roman" w:eastAsia="Times New Roman" w:hint="default"/>
                <w:sz w:val="18"/>
                <w:szCs w:val="18"/>
              </w:rPr>
            </w:pPr>
            <w:r>
              <w:rPr>
                <w:rFonts w:ascii="Times New Roman"/>
                <w:w w:val="95"/>
                <w:sz w:val="18"/>
              </w:rPr>
              <w:t>2015/09/25</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首次注册</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74" w:type="dxa"/>
        <w:tblLayout w:type="fixed"/>
        <w:tblCellMar>
          <w:top w:w="0" w:type="dxa"/>
          <w:left w:w="0" w:type="dxa"/>
          <w:bottom w:w="0" w:type="dxa"/>
          <w:right w:w="0" w:type="dxa"/>
        </w:tblCellMar>
        <w:tblLook w:val="01E0"/>
      </w:tblPr>
      <w:tblGrid>
        <w:gridCol w:w="557"/>
        <w:gridCol w:w="1985"/>
        <w:gridCol w:w="709"/>
        <w:gridCol w:w="2552"/>
        <w:gridCol w:w="991"/>
        <w:gridCol w:w="994"/>
        <w:gridCol w:w="1135"/>
      </w:tblGrid>
      <w:tr>
        <w:trPr>
          <w:trHeight w:val="1289" w:hRule="exact"/>
        </w:trPr>
        <w:tc>
          <w:tcPr>
            <w:tcW w:w="557"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1975G&gt;C</w:t>
            </w:r>
            <w:r>
              <w:rPr>
                <w:rFonts w:ascii="宋体" w:hAnsi="宋体" w:cs="宋体" w:eastAsia="宋体" w:hint="default"/>
                <w:sz w:val="18"/>
                <w:szCs w:val="18"/>
              </w:rPr>
              <w:t>、</w:t>
            </w:r>
            <w:r>
              <w:rPr>
                <w:rFonts w:ascii="Times New Roman" w:hAnsi="Times New Roman" w:cs="Times New Roman" w:eastAsia="Times New Roman" w:hint="default"/>
                <w:sz w:val="18"/>
                <w:szCs w:val="18"/>
              </w:rPr>
              <w:t>2027T&gt;A</w:t>
            </w:r>
            <w:r>
              <w:rPr>
                <w:rFonts w:ascii="宋体" w:hAnsi="宋体" w:cs="宋体" w:eastAsia="宋体" w:hint="default"/>
                <w:sz w:val="18"/>
                <w:szCs w:val="18"/>
              </w:rPr>
              <w:t>、</w:t>
            </w:r>
          </w:p>
          <w:p>
            <w:pPr>
              <w:pStyle w:val="TableParagraph"/>
              <w:spacing w:line="240" w:lineRule="auto" w:before="6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2162C&gt;T</w:t>
            </w:r>
            <w:r>
              <w:rPr>
                <w:rFonts w:ascii="宋体" w:hAnsi="宋体" w:cs="宋体" w:eastAsia="宋体" w:hint="default"/>
                <w:sz w:val="18"/>
                <w:szCs w:val="18"/>
              </w:rPr>
              <w:t>、</w:t>
            </w:r>
            <w:r>
              <w:rPr>
                <w:rFonts w:ascii="Times New Roman" w:hAnsi="Times New Roman" w:cs="Times New Roman" w:eastAsia="Times New Roman" w:hint="default"/>
                <w:sz w:val="18"/>
                <w:szCs w:val="18"/>
              </w:rPr>
              <w:t>2168A&gt;G</w:t>
            </w:r>
            <w:r>
              <w:rPr>
                <w:rFonts w:ascii="宋体" w:hAnsi="宋体" w:cs="宋体" w:eastAsia="宋体" w:hint="default"/>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1095T&gt;C</w:t>
            </w:r>
            <w:r>
              <w:rPr>
                <w:rFonts w:ascii="宋体" w:hAnsi="宋体" w:cs="宋体" w:eastAsia="宋体" w:hint="default"/>
                <w:sz w:val="18"/>
                <w:szCs w:val="18"/>
              </w:rPr>
              <w:t>、</w:t>
            </w:r>
            <w:r>
              <w:rPr>
                <w:rFonts w:ascii="Times New Roman" w:hAnsi="Times New Roman" w:cs="Times New Roman" w:eastAsia="Times New Roman" w:hint="default"/>
                <w:sz w:val="18"/>
                <w:szCs w:val="18"/>
              </w:rPr>
              <w:t>1494C&gt;T</w:t>
            </w:r>
            <w:r>
              <w:rPr>
                <w:rFonts w:ascii="宋体" w:hAnsi="宋体" w:cs="宋体" w:eastAsia="宋体" w:hint="default"/>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1555A&gt;G</w:t>
            </w:r>
            <w:r>
              <w:rPr>
                <w:rFonts w:ascii="宋体" w:hAnsi="宋体" w:cs="宋体" w:eastAsia="宋体" w:hint="default"/>
                <w:sz w:val="18"/>
                <w:szCs w:val="18"/>
              </w:rPr>
              <w:t>）基因分型结果。</w:t>
            </w:r>
          </w:p>
        </w:tc>
        <w:tc>
          <w:tcPr>
            <w:tcW w:w="991"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
        </w:tc>
        <w:tc>
          <w:tcPr>
            <w:tcW w:w="1135" w:type="dxa"/>
            <w:tcBorders>
              <w:top w:val="single" w:sz="8" w:space="0" w:color="000000"/>
              <w:left w:val="single" w:sz="8" w:space="0" w:color="000000"/>
              <w:bottom w:val="single" w:sz="8" w:space="0" w:color="000000"/>
              <w:right w:val="single" w:sz="8" w:space="0" w:color="000000"/>
            </w:tcBorders>
          </w:tcPr>
          <w:p>
            <w:pPr/>
          </w:p>
        </w:tc>
      </w:tr>
      <w:tr>
        <w:trPr>
          <w:trHeight w:val="4719"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78" w:right="0"/>
              <w:jc w:val="left"/>
              <w:rPr>
                <w:rFonts w:ascii="Times New Roman" w:hAnsi="Times New Roman" w:cs="Times New Roman" w:eastAsia="Times New Roman" w:hint="default"/>
                <w:sz w:val="18"/>
                <w:szCs w:val="18"/>
              </w:rPr>
            </w:pPr>
            <w:r>
              <w:rPr>
                <w:rFonts w:ascii="Times New Roman"/>
                <w:sz w:val="18"/>
              </w:rPr>
              <w:t>97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right="163"/>
              <w:jc w:val="left"/>
              <w:rPr>
                <w:rFonts w:ascii="宋体" w:hAnsi="宋体" w:cs="宋体" w:eastAsia="宋体" w:hint="default"/>
                <w:sz w:val="18"/>
                <w:szCs w:val="18"/>
              </w:rPr>
            </w:pPr>
            <w:r>
              <w:rPr>
                <w:rFonts w:ascii="宋体" w:hAnsi="宋体" w:cs="宋体" w:eastAsia="宋体" w:hint="default"/>
                <w:sz w:val="18"/>
                <w:szCs w:val="18"/>
              </w:rPr>
              <w:t>非小细胞肺癌突变基因 分析软件</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本软件与适用的测序试剂盒配套 使用，通过对非小细胞肺癌相关 基因特定片段的有效</w:t>
            </w:r>
            <w:r>
              <w:rPr>
                <w:rFonts w:ascii="Times New Roman" w:hAnsi="Times New Roman" w:cs="Times New Roman" w:eastAsia="Times New Roman" w:hint="default"/>
                <w:sz w:val="18"/>
                <w:szCs w:val="18"/>
              </w:rPr>
              <w:t>DNA</w:t>
            </w:r>
            <w:r>
              <w:rPr>
                <w:rFonts w:ascii="宋体" w:hAnsi="宋体" w:cs="宋体" w:eastAsia="宋体" w:hint="default"/>
                <w:sz w:val="18"/>
                <w:szCs w:val="18"/>
              </w:rPr>
              <w:t>序列 数据进行计算，获得与之对应的 参考序列比对结果，得出</w:t>
            </w:r>
            <w:r>
              <w:rPr>
                <w:rFonts w:ascii="Times New Roman" w:hAnsi="Times New Roman" w:cs="Times New Roman" w:eastAsia="Times New Roman" w:hint="default"/>
                <w:sz w:val="18"/>
                <w:szCs w:val="18"/>
              </w:rPr>
              <w:t>EGFR </w:t>
            </w:r>
            <w:r>
              <w:rPr>
                <w:rFonts w:ascii="宋体" w:hAnsi="宋体" w:cs="宋体" w:eastAsia="宋体" w:hint="default"/>
                <w:sz w:val="18"/>
                <w:szCs w:val="18"/>
              </w:rPr>
              <w:t>基因</w:t>
            </w:r>
            <w:r>
              <w:rPr>
                <w:rFonts w:ascii="Times New Roman" w:hAnsi="Times New Roman" w:cs="Times New Roman" w:eastAsia="Times New Roman" w:hint="default"/>
                <w:sz w:val="18"/>
                <w:szCs w:val="18"/>
              </w:rPr>
              <w:t>G719S</w:t>
            </w:r>
            <w:r>
              <w:rPr>
                <w:rFonts w:ascii="宋体" w:hAnsi="宋体" w:cs="宋体" w:eastAsia="宋体" w:hint="default"/>
                <w:sz w:val="18"/>
                <w:szCs w:val="18"/>
              </w:rPr>
              <w:t>、</w:t>
            </w:r>
            <w:r>
              <w:rPr>
                <w:rFonts w:ascii="Times New Roman" w:hAnsi="Times New Roman" w:cs="Times New Roman" w:eastAsia="Times New Roman" w:hint="default"/>
                <w:sz w:val="18"/>
                <w:szCs w:val="18"/>
              </w:rPr>
              <w:t>T790M</w:t>
            </w:r>
            <w:r>
              <w:rPr>
                <w:rFonts w:ascii="宋体" w:hAnsi="宋体" w:cs="宋体" w:eastAsia="宋体" w:hint="default"/>
                <w:sz w:val="18"/>
                <w:szCs w:val="18"/>
              </w:rPr>
              <w:t>、</w:t>
            </w:r>
            <w:r>
              <w:rPr>
                <w:rFonts w:ascii="Times New Roman" w:hAnsi="Times New Roman" w:cs="Times New Roman" w:eastAsia="Times New Roman" w:hint="default"/>
                <w:sz w:val="18"/>
                <w:szCs w:val="18"/>
              </w:rPr>
              <w:t>L858R</w:t>
            </w:r>
            <w:r>
              <w:rPr>
                <w:rFonts w:ascii="宋体" w:hAnsi="宋体" w:cs="宋体" w:eastAsia="宋体" w:hint="default"/>
                <w:sz w:val="18"/>
                <w:szCs w:val="18"/>
              </w:rPr>
              <w:t>位</w:t>
            </w:r>
          </w:p>
          <w:p>
            <w:pPr>
              <w:pStyle w:val="TableParagraph"/>
              <w:spacing w:line="300" w:lineRule="auto" w:before="3"/>
              <w:ind w:left="2" w:right="-1"/>
              <w:jc w:val="left"/>
              <w:rPr>
                <w:rFonts w:ascii="宋体" w:hAnsi="宋体" w:cs="宋体" w:eastAsia="宋体" w:hint="default"/>
                <w:sz w:val="18"/>
                <w:szCs w:val="18"/>
              </w:rPr>
            </w:pPr>
            <w:r>
              <w:rPr>
                <w:rFonts w:ascii="宋体" w:hAnsi="宋体" w:cs="宋体" w:eastAsia="宋体" w:hint="default"/>
                <w:sz w:val="18"/>
                <w:szCs w:val="18"/>
              </w:rPr>
              <w:t>点突变及外显子</w:t>
            </w:r>
            <w:r>
              <w:rPr>
                <w:rFonts w:ascii="Times New Roman" w:hAnsi="Times New Roman" w:cs="Times New Roman" w:eastAsia="Times New Roman" w:hint="default"/>
                <w:sz w:val="18"/>
                <w:szCs w:val="18"/>
              </w:rPr>
              <w:t>19</w:t>
            </w:r>
            <w:r>
              <w:rPr>
                <w:rFonts w:ascii="宋体" w:hAnsi="宋体" w:cs="宋体" w:eastAsia="宋体" w:hint="default"/>
                <w:sz w:val="18"/>
                <w:szCs w:val="18"/>
              </w:rPr>
              <w:t>部分缺失， </w:t>
            </w:r>
            <w:r>
              <w:rPr>
                <w:rFonts w:ascii="Times New Roman" w:hAnsi="Times New Roman" w:cs="Times New Roman" w:eastAsia="Times New Roman" w:hint="default"/>
                <w:sz w:val="18"/>
                <w:szCs w:val="18"/>
              </w:rPr>
              <w:t>KRAS</w:t>
            </w:r>
            <w:r>
              <w:rPr>
                <w:rFonts w:ascii="宋体" w:hAnsi="宋体" w:cs="宋体" w:eastAsia="宋体" w:hint="default"/>
                <w:sz w:val="18"/>
                <w:szCs w:val="18"/>
              </w:rPr>
              <w:t>基因</w:t>
            </w:r>
            <w:r>
              <w:rPr>
                <w:rFonts w:ascii="Times New Roman" w:hAnsi="Times New Roman" w:cs="Times New Roman" w:eastAsia="Times New Roman" w:hint="default"/>
                <w:sz w:val="18"/>
                <w:szCs w:val="18"/>
              </w:rPr>
              <w:t>G12D</w:t>
            </w:r>
            <w:r>
              <w:rPr>
                <w:rFonts w:ascii="宋体" w:hAnsi="宋体" w:cs="宋体" w:eastAsia="宋体" w:hint="default"/>
                <w:sz w:val="18"/>
                <w:szCs w:val="18"/>
              </w:rPr>
              <w:t>、</w:t>
            </w:r>
            <w:r>
              <w:rPr>
                <w:rFonts w:ascii="Times New Roman" w:hAnsi="Times New Roman" w:cs="Times New Roman" w:eastAsia="Times New Roman" w:hint="default"/>
                <w:sz w:val="18"/>
                <w:szCs w:val="18"/>
              </w:rPr>
              <w:t>G13D</w:t>
            </w:r>
            <w:r>
              <w:rPr>
                <w:rFonts w:ascii="宋体" w:hAnsi="宋体" w:cs="宋体" w:eastAsia="宋体" w:hint="default"/>
                <w:sz w:val="18"/>
                <w:szCs w:val="18"/>
              </w:rPr>
              <w:t>位点突 变，</w:t>
            </w:r>
            <w:r>
              <w:rPr>
                <w:rFonts w:ascii="Times New Roman" w:hAnsi="Times New Roman" w:cs="Times New Roman" w:eastAsia="Times New Roman" w:hint="default"/>
                <w:sz w:val="18"/>
                <w:szCs w:val="18"/>
              </w:rPr>
              <w:t>BRAF</w:t>
            </w:r>
            <w:r>
              <w:rPr>
                <w:rFonts w:ascii="宋体" w:hAnsi="宋体" w:cs="宋体" w:eastAsia="宋体" w:hint="default"/>
                <w:sz w:val="18"/>
                <w:szCs w:val="18"/>
              </w:rPr>
              <w:t>基因</w:t>
            </w:r>
            <w:r>
              <w:rPr>
                <w:rFonts w:ascii="Times New Roman" w:hAnsi="Times New Roman" w:cs="Times New Roman" w:eastAsia="Times New Roman" w:hint="default"/>
                <w:sz w:val="18"/>
                <w:szCs w:val="18"/>
              </w:rPr>
              <w:t>V600E</w:t>
            </w:r>
            <w:r>
              <w:rPr>
                <w:rFonts w:ascii="宋体" w:hAnsi="宋体" w:cs="宋体" w:eastAsia="宋体" w:hint="default"/>
                <w:sz w:val="18"/>
                <w:szCs w:val="18"/>
              </w:rPr>
              <w:t>位点突 变，</w:t>
            </w:r>
            <w:r>
              <w:rPr>
                <w:rFonts w:ascii="Times New Roman" w:hAnsi="Times New Roman" w:cs="Times New Roman" w:eastAsia="Times New Roman" w:hint="default"/>
                <w:sz w:val="18"/>
                <w:szCs w:val="18"/>
              </w:rPr>
              <w:t>ALK</w:t>
            </w:r>
            <w:r>
              <w:rPr>
                <w:rFonts w:ascii="宋体" w:hAnsi="宋体" w:cs="宋体" w:eastAsia="宋体" w:hint="default"/>
                <w:sz w:val="18"/>
                <w:szCs w:val="18"/>
              </w:rPr>
              <w:t>基因融合（</w:t>
            </w:r>
            <w:r>
              <w:rPr>
                <w:rFonts w:ascii="Times New Roman" w:hAnsi="Times New Roman" w:cs="Times New Roman" w:eastAsia="Times New Roman" w:hint="default"/>
                <w:sz w:val="18"/>
                <w:szCs w:val="18"/>
              </w:rPr>
              <w:t>EML4-ALK</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融合），</w:t>
            </w:r>
            <w:r>
              <w:rPr>
                <w:rFonts w:ascii="Times New Roman" w:hAnsi="Times New Roman" w:cs="Times New Roman" w:eastAsia="Times New Roman" w:hint="default"/>
                <w:sz w:val="18"/>
                <w:szCs w:val="18"/>
              </w:rPr>
              <w:t>ROS1</w:t>
            </w:r>
            <w:r>
              <w:rPr>
                <w:rFonts w:ascii="宋体" w:hAnsi="宋体" w:cs="宋体" w:eastAsia="宋体" w:hint="default"/>
                <w:sz w:val="18"/>
                <w:szCs w:val="18"/>
              </w:rPr>
              <w:t>基因融合</w:t>
            </w:r>
          </w:p>
          <w:p>
            <w:pPr>
              <w:pStyle w:val="TableParagraph"/>
              <w:spacing w:line="240" w:lineRule="auto" w:before="1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SLC34A2-ROS1</w:t>
            </w:r>
            <w:r>
              <w:rPr>
                <w:rFonts w:ascii="宋体" w:hAnsi="宋体" w:cs="宋体" w:eastAsia="宋体" w:hint="default"/>
                <w:sz w:val="18"/>
                <w:szCs w:val="18"/>
              </w:rPr>
              <w:t>融合），</w:t>
            </w:r>
            <w:r>
              <w:rPr>
                <w:rFonts w:ascii="Times New Roman" w:hAnsi="Times New Roman" w:cs="Times New Roman" w:eastAsia="Times New Roman" w:hint="default"/>
                <w:sz w:val="18"/>
                <w:szCs w:val="18"/>
              </w:rPr>
              <w:t>RET</w:t>
            </w:r>
          </w:p>
          <w:p>
            <w:pPr>
              <w:pStyle w:val="TableParagraph"/>
              <w:spacing w:line="300" w:lineRule="auto" w:before="63"/>
              <w:ind w:left="2" w:right="9"/>
              <w:jc w:val="left"/>
              <w:rPr>
                <w:rFonts w:ascii="宋体" w:hAnsi="宋体" w:cs="宋体" w:eastAsia="宋体" w:hint="default"/>
                <w:sz w:val="18"/>
                <w:szCs w:val="18"/>
              </w:rPr>
            </w:pPr>
            <w:r>
              <w:rPr>
                <w:rFonts w:ascii="宋体" w:hAnsi="宋体" w:cs="宋体" w:eastAsia="宋体" w:hint="default"/>
                <w:sz w:val="18"/>
                <w:szCs w:val="18"/>
              </w:rPr>
              <w:t>基因融合（</w:t>
            </w:r>
            <w:r>
              <w:rPr>
                <w:rFonts w:ascii="Times New Roman" w:hAnsi="Times New Roman" w:cs="Times New Roman" w:eastAsia="Times New Roman" w:hint="default"/>
                <w:sz w:val="18"/>
                <w:szCs w:val="18"/>
              </w:rPr>
              <w:t>KIF5B-RET</w:t>
            </w:r>
            <w:r>
              <w:rPr>
                <w:rFonts w:ascii="宋体" w:hAnsi="宋体" w:cs="宋体" w:eastAsia="宋体" w:hint="default"/>
                <w:sz w:val="18"/>
                <w:szCs w:val="18"/>
              </w:rPr>
              <w:t>融合）和 </w:t>
            </w:r>
            <w:r>
              <w:rPr>
                <w:rFonts w:ascii="Times New Roman" w:hAnsi="Times New Roman" w:cs="Times New Roman" w:eastAsia="Times New Roman" w:hint="default"/>
                <w:sz w:val="18"/>
                <w:szCs w:val="18"/>
              </w:rPr>
              <w:t>MET</w:t>
            </w:r>
            <w:r>
              <w:rPr>
                <w:rFonts w:ascii="宋体" w:hAnsi="宋体" w:cs="宋体" w:eastAsia="宋体" w:hint="default"/>
                <w:sz w:val="18"/>
                <w:szCs w:val="18"/>
              </w:rPr>
              <w:t>基因外显子</w:t>
            </w:r>
            <w:r>
              <w:rPr>
                <w:rFonts w:ascii="Times New Roman" w:hAnsi="Times New Roman" w:cs="Times New Roman" w:eastAsia="Times New Roman" w:hint="default"/>
                <w:sz w:val="18"/>
                <w:szCs w:val="18"/>
              </w:rPr>
              <w:t>14</w:t>
            </w:r>
            <w:r>
              <w:rPr>
                <w:rFonts w:ascii="宋体" w:hAnsi="宋体" w:cs="宋体" w:eastAsia="宋体" w:hint="default"/>
                <w:sz w:val="18"/>
                <w:szCs w:val="18"/>
              </w:rPr>
              <w:t>缺失的信息 分析结果。</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2021/11/28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74"/>
              <w:jc w:val="right"/>
              <w:rPr>
                <w:rFonts w:ascii="Times New Roman" w:hAnsi="Times New Roman" w:cs="Times New Roman" w:eastAsia="Times New Roman" w:hint="default"/>
                <w:sz w:val="18"/>
                <w:szCs w:val="18"/>
              </w:rPr>
            </w:pPr>
            <w:r>
              <w:rPr>
                <w:rFonts w:ascii="Times New Roman"/>
                <w:w w:val="95"/>
                <w:sz w:val="18"/>
              </w:rPr>
              <w:t>2016/11/29</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3785"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78" w:right="0"/>
              <w:jc w:val="left"/>
              <w:rPr>
                <w:rFonts w:ascii="Times New Roman" w:hAnsi="Times New Roman" w:cs="Times New Roman" w:eastAsia="Times New Roman" w:hint="default"/>
                <w:sz w:val="18"/>
                <w:szCs w:val="18"/>
              </w:rPr>
            </w:pPr>
            <w:r>
              <w:rPr>
                <w:rFonts w:ascii="Times New Roman"/>
                <w:sz w:val="18"/>
              </w:rPr>
              <w:t>98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right="163"/>
              <w:jc w:val="left"/>
              <w:rPr>
                <w:rFonts w:ascii="宋体" w:hAnsi="宋体" w:cs="宋体" w:eastAsia="宋体" w:hint="default"/>
                <w:sz w:val="18"/>
                <w:szCs w:val="18"/>
              </w:rPr>
            </w:pPr>
            <w:r>
              <w:rPr>
                <w:rFonts w:ascii="宋体" w:hAnsi="宋体" w:cs="宋体" w:eastAsia="宋体" w:hint="default"/>
                <w:sz w:val="18"/>
                <w:szCs w:val="18"/>
              </w:rPr>
              <w:t>病原微生物基因检测软 件</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本软件与适用的测序试剂盒配套 使用，通过对临床样本（比如痰 液、肺泡灌洗液、血浆、脑脊液 等）的全部</w:t>
            </w:r>
            <w:r>
              <w:rPr>
                <w:rFonts w:ascii="Times New Roman" w:hAnsi="Times New Roman" w:cs="Times New Roman" w:eastAsia="Times New Roman" w:hint="default"/>
                <w:sz w:val="18"/>
                <w:szCs w:val="18"/>
              </w:rPr>
              <w:t>DNA</w:t>
            </w:r>
            <w:r>
              <w:rPr>
                <w:rFonts w:ascii="宋体" w:hAnsi="宋体" w:cs="宋体" w:eastAsia="宋体" w:hint="default"/>
                <w:sz w:val="18"/>
                <w:szCs w:val="18"/>
              </w:rPr>
              <w:t>测序数据进行 计算，可检测基因组序列已知的 可疑致病微生物，检测范围包括 已知</w:t>
            </w:r>
            <w:r>
              <w:rPr>
                <w:rFonts w:ascii="Times New Roman" w:hAnsi="Times New Roman" w:cs="Times New Roman" w:eastAsia="Times New Roman" w:hint="default"/>
                <w:sz w:val="18"/>
                <w:szCs w:val="18"/>
              </w:rPr>
              <w:t>355</w:t>
            </w:r>
            <w:r>
              <w:rPr>
                <w:rFonts w:ascii="宋体" w:hAnsi="宋体" w:cs="宋体" w:eastAsia="宋体" w:hint="default"/>
                <w:sz w:val="18"/>
                <w:szCs w:val="18"/>
              </w:rPr>
              <w:t>种临床重要致病细菌、</w:t>
            </w:r>
            <w:r>
              <w:rPr>
                <w:rFonts w:ascii="宋体" w:hAnsi="宋体" w:cs="宋体" w:eastAsia="宋体" w:hint="default"/>
                <w:spacing w:val="-87"/>
                <w:sz w:val="18"/>
                <w:szCs w:val="18"/>
              </w:rPr>
              <w:t> </w:t>
            </w:r>
            <w:r>
              <w:rPr>
                <w:rFonts w:ascii="宋体" w:hAnsi="宋体" w:cs="宋体" w:eastAsia="宋体" w:hint="default"/>
                <w:sz w:val="18"/>
                <w:szCs w:val="18"/>
              </w:rPr>
              <w:t>支原体、衣原体、立克次氏体、 螺旋体及</w:t>
            </w:r>
            <w:r>
              <w:rPr>
                <w:rFonts w:ascii="Times New Roman" w:hAnsi="Times New Roman" w:cs="Times New Roman" w:eastAsia="Times New Roman" w:hint="default"/>
                <w:sz w:val="18"/>
                <w:szCs w:val="18"/>
              </w:rPr>
              <w:t>133</w:t>
            </w:r>
            <w:r>
              <w:rPr>
                <w:rFonts w:ascii="宋体" w:hAnsi="宋体" w:cs="宋体" w:eastAsia="宋体" w:hint="default"/>
                <w:sz w:val="18"/>
                <w:szCs w:val="18"/>
              </w:rPr>
              <w:t>种临床重要致病病</w:t>
            </w:r>
            <w:r>
              <w:rPr>
                <w:rFonts w:ascii="宋体" w:hAnsi="宋体" w:cs="宋体" w:eastAsia="宋体" w:hint="default"/>
                <w:spacing w:val="-87"/>
                <w:sz w:val="18"/>
                <w:szCs w:val="18"/>
              </w:rPr>
              <w:t> </w:t>
            </w:r>
            <w:r>
              <w:rPr>
                <w:rFonts w:ascii="宋体" w:hAnsi="宋体" w:cs="宋体" w:eastAsia="宋体" w:hint="default"/>
                <w:sz w:val="18"/>
                <w:szCs w:val="18"/>
              </w:rPr>
              <w:t>毒，获得与之对应的参考序列比 对结果，从而鉴定样本中存在的 可疑致病微生物。</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2021/11/28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74"/>
              <w:jc w:val="right"/>
              <w:rPr>
                <w:rFonts w:ascii="Times New Roman" w:hAnsi="Times New Roman" w:cs="Times New Roman" w:eastAsia="Times New Roman" w:hint="default"/>
                <w:sz w:val="18"/>
                <w:szCs w:val="18"/>
              </w:rPr>
            </w:pPr>
            <w:r>
              <w:rPr>
                <w:rFonts w:ascii="Times New Roman"/>
                <w:w w:val="95"/>
                <w:sz w:val="18"/>
              </w:rPr>
              <w:t>2016/11/29</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3474"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78" w:right="0"/>
              <w:jc w:val="left"/>
              <w:rPr>
                <w:rFonts w:ascii="Times New Roman" w:hAnsi="Times New Roman" w:cs="Times New Roman" w:eastAsia="Times New Roman" w:hint="default"/>
                <w:sz w:val="18"/>
                <w:szCs w:val="18"/>
              </w:rPr>
            </w:pPr>
            <w:r>
              <w:rPr>
                <w:rFonts w:ascii="Times New Roman"/>
                <w:sz w:val="18"/>
              </w:rPr>
              <w:t>99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胎儿染色体非整倍体</w:t>
            </w:r>
          </w:p>
          <w:p>
            <w:pPr>
              <w:pStyle w:val="TableParagraph"/>
              <w:spacing w:line="309" w:lineRule="auto" w:before="76"/>
              <w:ind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T21</w:t>
            </w:r>
            <w:r>
              <w:rPr>
                <w:rFonts w:ascii="宋体" w:hAnsi="宋体" w:cs="宋体" w:eastAsia="宋体" w:hint="default"/>
                <w:sz w:val="18"/>
                <w:szCs w:val="18"/>
              </w:rPr>
              <w:t>、</w:t>
            </w:r>
            <w:r>
              <w:rPr>
                <w:rFonts w:ascii="Times New Roman" w:hAnsi="Times New Roman" w:cs="Times New Roman" w:eastAsia="Times New Roman" w:hint="default"/>
                <w:sz w:val="18"/>
                <w:szCs w:val="18"/>
              </w:rPr>
              <w:t>T18</w:t>
            </w:r>
            <w:r>
              <w:rPr>
                <w:rFonts w:ascii="宋体" w:hAnsi="宋体" w:cs="宋体" w:eastAsia="宋体" w:hint="default"/>
                <w:sz w:val="18"/>
                <w:szCs w:val="18"/>
              </w:rPr>
              <w:t>、</w:t>
            </w:r>
            <w:r>
              <w:rPr>
                <w:rFonts w:ascii="Times New Roman" w:hAnsi="Times New Roman" w:cs="Times New Roman" w:eastAsia="Times New Roman" w:hint="default"/>
                <w:sz w:val="18"/>
                <w:szCs w:val="18"/>
              </w:rPr>
              <w:t>T13</w:t>
            </w:r>
            <w:r>
              <w:rPr>
                <w:rFonts w:ascii="宋体" w:hAnsi="宋体" w:cs="宋体" w:eastAsia="宋体" w:hint="default"/>
                <w:sz w:val="18"/>
                <w:szCs w:val="18"/>
              </w:rPr>
              <w:t>）检测 试剂盒（联合探针锚定 聚合测序法）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III</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7" w:lineRule="auto" w:before="20"/>
              <w:ind w:left="2" w:right="7"/>
              <w:jc w:val="left"/>
              <w:rPr>
                <w:rFonts w:ascii="宋体" w:hAnsi="宋体" w:cs="宋体" w:eastAsia="宋体" w:hint="default"/>
                <w:sz w:val="18"/>
                <w:szCs w:val="18"/>
              </w:rPr>
            </w:pPr>
            <w:r>
              <w:rPr>
                <w:rFonts w:ascii="宋体" w:hAnsi="宋体" w:cs="宋体" w:eastAsia="宋体" w:hint="default"/>
                <w:sz w:val="18"/>
                <w:szCs w:val="18"/>
              </w:rPr>
              <w:t>该产品用于定性检测孕周</w:t>
            </w:r>
            <w:r>
              <w:rPr>
                <w:rFonts w:ascii="Times New Roman" w:hAnsi="Times New Roman" w:cs="Times New Roman" w:eastAsia="Times New Roman" w:hint="default"/>
                <w:sz w:val="18"/>
                <w:szCs w:val="18"/>
              </w:rPr>
              <w:t>12</w:t>
            </w:r>
            <w:r>
              <w:rPr>
                <w:rFonts w:ascii="宋体" w:hAnsi="宋体" w:cs="宋体" w:eastAsia="宋体" w:hint="default"/>
                <w:sz w:val="18"/>
                <w:szCs w:val="18"/>
              </w:rPr>
              <w:t>周以</w:t>
            </w:r>
            <w:r>
              <w:rPr>
                <w:rFonts w:ascii="宋体" w:hAnsi="宋体" w:cs="宋体" w:eastAsia="宋体" w:hint="default"/>
                <w:spacing w:val="-3"/>
                <w:sz w:val="18"/>
                <w:szCs w:val="18"/>
              </w:rPr>
              <w:t> </w:t>
            </w:r>
            <w:r>
              <w:rPr>
                <w:rFonts w:ascii="宋体" w:hAnsi="宋体" w:cs="宋体" w:eastAsia="宋体" w:hint="default"/>
                <w:sz w:val="18"/>
                <w:szCs w:val="18"/>
              </w:rPr>
              <w:t>上的高危孕妇外周血血浆中的游</w:t>
            </w:r>
            <w:r>
              <w:rPr>
                <w:rFonts w:ascii="宋体" w:hAnsi="宋体" w:cs="宋体" w:eastAsia="宋体" w:hint="default"/>
                <w:sz w:val="18"/>
                <w:szCs w:val="18"/>
              </w:rPr>
              <w:t> 离脱氧核糖核酸（</w:t>
            </w:r>
            <w:r>
              <w:rPr>
                <w:rFonts w:ascii="Times New Roman" w:hAnsi="Times New Roman" w:cs="Times New Roman" w:eastAsia="Times New Roman" w:hint="default"/>
                <w:sz w:val="18"/>
                <w:szCs w:val="18"/>
              </w:rPr>
              <w:t>DNA</w:t>
            </w:r>
            <w:r>
              <w:rPr>
                <w:rFonts w:ascii="宋体" w:hAnsi="宋体" w:cs="宋体" w:eastAsia="宋体" w:hint="default"/>
                <w:sz w:val="18"/>
                <w:szCs w:val="18"/>
              </w:rPr>
              <w:t>），通 过分析样本中胎儿游离</w:t>
            </w:r>
            <w:r>
              <w:rPr>
                <w:rFonts w:ascii="Times New Roman" w:hAnsi="Times New Roman" w:cs="Times New Roman" w:eastAsia="Times New Roman" w:hint="default"/>
                <w:sz w:val="18"/>
                <w:szCs w:val="18"/>
              </w:rPr>
              <w:t>DNA</w:t>
            </w:r>
            <w:r>
              <w:rPr>
                <w:rFonts w:ascii="宋体" w:hAnsi="宋体" w:cs="宋体" w:eastAsia="宋体" w:hint="default"/>
                <w:sz w:val="18"/>
                <w:szCs w:val="18"/>
              </w:rPr>
              <w:t>的 </w:t>
            </w:r>
            <w:r>
              <w:rPr>
                <w:rFonts w:ascii="Times New Roman" w:hAnsi="Times New Roman" w:cs="Times New Roman" w:eastAsia="Times New Roman" w:hint="default"/>
                <w:sz w:val="18"/>
                <w:szCs w:val="18"/>
              </w:rPr>
              <w:t>21</w:t>
            </w:r>
            <w:r>
              <w:rPr>
                <w:rFonts w:ascii="宋体" w:hAnsi="宋体" w:cs="宋体" w:eastAsia="宋体" w:hint="default"/>
                <w:sz w:val="18"/>
                <w:szCs w:val="18"/>
              </w:rPr>
              <w:t>号、</w:t>
            </w:r>
            <w:r>
              <w:rPr>
                <w:rFonts w:ascii="Times New Roman" w:hAnsi="Times New Roman" w:cs="Times New Roman" w:eastAsia="Times New Roman" w:hint="default"/>
                <w:sz w:val="18"/>
                <w:szCs w:val="18"/>
              </w:rPr>
              <w:t>18</w:t>
            </w:r>
            <w:r>
              <w:rPr>
                <w:rFonts w:ascii="宋体" w:hAnsi="宋体" w:cs="宋体" w:eastAsia="宋体" w:hint="default"/>
                <w:sz w:val="18"/>
                <w:szCs w:val="18"/>
              </w:rPr>
              <w:t>号及</w:t>
            </w:r>
            <w:r>
              <w:rPr>
                <w:rFonts w:ascii="Times New Roman" w:hAnsi="Times New Roman" w:cs="Times New Roman" w:eastAsia="Times New Roman" w:hint="default"/>
                <w:sz w:val="18"/>
                <w:szCs w:val="18"/>
              </w:rPr>
              <w:t>13</w:t>
            </w:r>
            <w:r>
              <w:rPr>
                <w:rFonts w:ascii="宋体" w:hAnsi="宋体" w:cs="宋体" w:eastAsia="宋体" w:hint="default"/>
                <w:sz w:val="18"/>
                <w:szCs w:val="18"/>
              </w:rPr>
              <w:t>号染色体数量的 差异，对胎儿染色体非整倍体疾 病</w:t>
            </w:r>
            <w:r>
              <w:rPr>
                <w:rFonts w:ascii="Times New Roman" w:hAnsi="Times New Roman" w:cs="Times New Roman" w:eastAsia="Times New Roman" w:hint="default"/>
                <w:sz w:val="18"/>
                <w:szCs w:val="18"/>
              </w:rPr>
              <w:t>21-</w:t>
            </w:r>
            <w:r>
              <w:rPr>
                <w:rFonts w:ascii="宋体" w:hAnsi="宋体" w:cs="宋体" w:eastAsia="宋体" w:hint="default"/>
                <w:sz w:val="18"/>
                <w:szCs w:val="18"/>
              </w:rPr>
              <w:t>三体综合征、</w:t>
            </w:r>
            <w:r>
              <w:rPr>
                <w:rFonts w:ascii="Times New Roman" w:hAnsi="Times New Roman" w:cs="Times New Roman" w:eastAsia="Times New Roman" w:hint="default"/>
                <w:sz w:val="18"/>
                <w:szCs w:val="18"/>
              </w:rPr>
              <w:t>18-</w:t>
            </w:r>
            <w:r>
              <w:rPr>
                <w:rFonts w:ascii="宋体" w:hAnsi="宋体" w:cs="宋体" w:eastAsia="宋体" w:hint="default"/>
                <w:sz w:val="18"/>
                <w:szCs w:val="18"/>
              </w:rPr>
              <w:t>三体综合 征和</w:t>
            </w:r>
            <w:r>
              <w:rPr>
                <w:rFonts w:ascii="Times New Roman" w:hAnsi="Times New Roman" w:cs="Times New Roman" w:eastAsia="Times New Roman" w:hint="default"/>
                <w:sz w:val="18"/>
                <w:szCs w:val="18"/>
              </w:rPr>
              <w:t>13-</w:t>
            </w:r>
            <w:r>
              <w:rPr>
                <w:rFonts w:ascii="宋体" w:hAnsi="宋体" w:cs="宋体" w:eastAsia="宋体" w:hint="default"/>
                <w:sz w:val="18"/>
                <w:szCs w:val="18"/>
              </w:rPr>
              <w:t>三体综合征进行产前辅 助判断。该产品用途为构建测序 文库。该产品应按照行业规范进 行使用。</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2022/01/12</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74"/>
              <w:jc w:val="right"/>
              <w:rPr>
                <w:rFonts w:ascii="Times New Roman" w:hAnsi="Times New Roman" w:cs="Times New Roman" w:eastAsia="Times New Roman" w:hint="default"/>
                <w:sz w:val="18"/>
                <w:szCs w:val="18"/>
              </w:rPr>
            </w:pPr>
            <w:r>
              <w:rPr>
                <w:rFonts w:ascii="Times New Roman"/>
                <w:w w:val="95"/>
                <w:sz w:val="18"/>
              </w:rPr>
              <w:t>2017/01/13</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19" w:right="14"/>
              <w:jc w:val="center"/>
              <w:rPr>
                <w:rFonts w:ascii="宋体" w:hAnsi="宋体" w:cs="宋体" w:eastAsia="宋体" w:hint="default"/>
                <w:sz w:val="18"/>
                <w:szCs w:val="18"/>
              </w:rPr>
            </w:pPr>
            <w:r>
              <w:rPr>
                <w:rFonts w:ascii="宋体" w:hAnsi="宋体" w:cs="宋体" w:eastAsia="宋体" w:hint="default"/>
                <w:sz w:val="18"/>
                <w:szCs w:val="18"/>
              </w:rPr>
              <w:t>增加试剂盒适 用机型</w:t>
            </w:r>
          </w:p>
          <w:p>
            <w:pPr>
              <w:pStyle w:val="TableParagraph"/>
              <w:spacing w:line="240" w:lineRule="auto" w:before="1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BGISEQ-</w:t>
            </w:r>
          </w:p>
          <w:p>
            <w:pPr>
              <w:pStyle w:val="TableParagraph"/>
              <w:spacing w:line="300" w:lineRule="auto" w:before="63"/>
              <w:ind w:left="19"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），在</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日获 取</w:t>
            </w:r>
            <w:r>
              <w:rPr>
                <w:rFonts w:ascii="Times New Roman" w:hAnsi="Times New Roman" w:cs="Times New Roman" w:eastAsia="Times New Roman" w:hint="default"/>
                <w:sz w:val="18"/>
                <w:szCs w:val="18"/>
              </w:rPr>
              <w:t>CFDA</w:t>
            </w:r>
            <w:r>
              <w:rPr>
                <w:rFonts w:ascii="宋体" w:hAnsi="宋体" w:cs="宋体" w:eastAsia="宋体" w:hint="default"/>
                <w:sz w:val="18"/>
                <w:szCs w:val="18"/>
              </w:rPr>
              <w:t>变更 批准</w:t>
            </w:r>
          </w:p>
        </w:tc>
      </w:tr>
      <w:tr>
        <w:trPr>
          <w:trHeight w:val="665"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32" w:right="0"/>
              <w:jc w:val="left"/>
              <w:rPr>
                <w:rFonts w:ascii="Times New Roman" w:hAnsi="Times New Roman" w:cs="Times New Roman" w:eastAsia="Times New Roman" w:hint="default"/>
                <w:sz w:val="18"/>
                <w:szCs w:val="18"/>
              </w:rPr>
            </w:pPr>
            <w:r>
              <w:rPr>
                <w:rFonts w:ascii="Times New Roman"/>
                <w:sz w:val="18"/>
              </w:rPr>
              <w:t>100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right="103"/>
              <w:jc w:val="left"/>
              <w:rPr>
                <w:rFonts w:ascii="宋体" w:hAnsi="宋体" w:cs="宋体" w:eastAsia="宋体" w:hint="default"/>
                <w:sz w:val="18"/>
                <w:szCs w:val="18"/>
              </w:rPr>
            </w:pPr>
            <w:r>
              <w:rPr>
                <w:rFonts w:ascii="宋体" w:hAnsi="宋体" w:cs="宋体" w:eastAsia="宋体" w:hint="default"/>
                <w:sz w:val="18"/>
                <w:szCs w:val="18"/>
              </w:rPr>
              <w:t>氨基酸和肉碱检测试剂 盒（液相色谱</w:t>
            </w:r>
            <w:r>
              <w:rPr>
                <w:rFonts w:ascii="Times New Roman" w:hAnsi="Times New Roman" w:cs="Times New Roman" w:eastAsia="Times New Roman" w:hint="default"/>
                <w:sz w:val="18"/>
                <w:szCs w:val="18"/>
              </w:rPr>
              <w:t>-</w:t>
            </w:r>
            <w:r>
              <w:rPr>
                <w:rFonts w:ascii="宋体" w:hAnsi="宋体" w:cs="宋体" w:eastAsia="宋体" w:hint="default"/>
                <w:sz w:val="18"/>
                <w:szCs w:val="18"/>
              </w:rPr>
              <w:t>串联质谱</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III</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本试剂盒可定量检测新生儿滤纸 干血片样本中</w:t>
            </w:r>
            <w:r>
              <w:rPr>
                <w:rFonts w:ascii="Times New Roman" w:hAnsi="Times New Roman" w:cs="Times New Roman" w:eastAsia="Times New Roman" w:hint="default"/>
                <w:sz w:val="18"/>
                <w:szCs w:val="18"/>
              </w:rPr>
              <w:t>8</w:t>
            </w:r>
            <w:r>
              <w:rPr>
                <w:rFonts w:ascii="宋体" w:hAnsi="宋体" w:cs="宋体" w:eastAsia="宋体" w:hint="default"/>
                <w:sz w:val="18"/>
                <w:szCs w:val="18"/>
              </w:rPr>
              <w:t>种氨基酸和</w:t>
            </w:r>
            <w:r>
              <w:rPr>
                <w:rFonts w:ascii="Times New Roman" w:hAnsi="Times New Roman" w:cs="Times New Roman" w:eastAsia="Times New Roman" w:hint="default"/>
                <w:sz w:val="18"/>
                <w:szCs w:val="18"/>
              </w:rPr>
              <w:t>16</w:t>
            </w:r>
            <w:r>
              <w:rPr>
                <w:rFonts w:ascii="宋体" w:hAnsi="宋体" w:cs="宋体" w:eastAsia="宋体" w:hint="default"/>
                <w:sz w:val="18"/>
                <w:szCs w:val="18"/>
              </w:rPr>
              <w:t>种</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2022/05/04</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74"/>
              <w:jc w:val="right"/>
              <w:rPr>
                <w:rFonts w:ascii="Times New Roman" w:hAnsi="Times New Roman" w:cs="Times New Roman" w:eastAsia="Times New Roman" w:hint="default"/>
                <w:sz w:val="18"/>
                <w:szCs w:val="18"/>
              </w:rPr>
            </w:pPr>
            <w:r>
              <w:rPr>
                <w:rFonts w:ascii="Times New Roman"/>
                <w:w w:val="95"/>
                <w:sz w:val="18"/>
              </w:rPr>
              <w:t>2017/05/05</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bl>
    <w:p>
      <w:pPr>
        <w:spacing w:after="0" w:line="240" w:lineRule="auto"/>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74" w:type="dxa"/>
        <w:tblLayout w:type="fixed"/>
        <w:tblCellMar>
          <w:top w:w="0" w:type="dxa"/>
          <w:left w:w="0" w:type="dxa"/>
          <w:bottom w:w="0" w:type="dxa"/>
          <w:right w:w="0" w:type="dxa"/>
        </w:tblCellMar>
        <w:tblLook w:val="01E0"/>
      </w:tblPr>
      <w:tblGrid>
        <w:gridCol w:w="557"/>
        <w:gridCol w:w="1985"/>
        <w:gridCol w:w="709"/>
        <w:gridCol w:w="2552"/>
        <w:gridCol w:w="991"/>
        <w:gridCol w:w="994"/>
        <w:gridCol w:w="1135"/>
      </w:tblGrid>
      <w:tr>
        <w:trPr>
          <w:trHeight w:val="977" w:hRule="exact"/>
        </w:trPr>
        <w:tc>
          <w:tcPr>
            <w:tcW w:w="557"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left"/>
              <w:rPr>
                <w:rFonts w:ascii="宋体" w:hAnsi="宋体" w:cs="宋体" w:eastAsia="宋体" w:hint="default"/>
                <w:sz w:val="18"/>
                <w:szCs w:val="18"/>
              </w:rPr>
            </w:pPr>
            <w:r>
              <w:rPr>
                <w:rFonts w:ascii="宋体" w:hAnsi="宋体" w:cs="宋体" w:eastAsia="宋体" w:hint="default"/>
                <w:sz w:val="18"/>
                <w:szCs w:val="18"/>
              </w:rPr>
              <w:t>法）</w:t>
            </w:r>
          </w:p>
        </w:tc>
        <w:tc>
          <w:tcPr>
            <w:tcW w:w="709" w:type="dxa"/>
            <w:tcBorders>
              <w:top w:val="single" w:sz="8" w:space="0" w:color="000000"/>
              <w:left w:val="single" w:sz="8" w:space="0" w:color="000000"/>
              <w:bottom w:val="single" w:sz="8" w:space="0" w:color="000000"/>
              <w:right w:val="single" w:sz="8" w:space="0" w:color="000000"/>
            </w:tcBorders>
          </w:tcPr>
          <w:p>
            <w:pP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3"/>
              <w:ind w:left="2" w:right="9"/>
              <w:jc w:val="both"/>
              <w:rPr>
                <w:rFonts w:ascii="宋体" w:hAnsi="宋体" w:cs="宋体" w:eastAsia="宋体" w:hint="default"/>
                <w:sz w:val="18"/>
                <w:szCs w:val="18"/>
              </w:rPr>
            </w:pPr>
            <w:r>
              <w:rPr>
                <w:rFonts w:ascii="宋体" w:hAnsi="宋体" w:cs="宋体" w:eastAsia="宋体" w:hint="default"/>
                <w:sz w:val="18"/>
                <w:szCs w:val="18"/>
              </w:rPr>
              <w:t>肉碱，检测结果可以辅助临床医 生诊断新生儿是否患遗传性代谢 病。</w:t>
            </w:r>
          </w:p>
        </w:tc>
        <w:tc>
          <w:tcPr>
            <w:tcW w:w="991"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
        </w:tc>
        <w:tc>
          <w:tcPr>
            <w:tcW w:w="1135" w:type="dxa"/>
            <w:tcBorders>
              <w:top w:val="single" w:sz="8" w:space="0" w:color="000000"/>
              <w:left w:val="single" w:sz="8" w:space="0" w:color="000000"/>
              <w:bottom w:val="single" w:sz="8" w:space="0" w:color="000000"/>
              <w:right w:val="single" w:sz="8" w:space="0" w:color="000000"/>
            </w:tcBorders>
          </w:tcPr>
          <w:p>
            <w:pPr/>
          </w:p>
        </w:tc>
      </w:tr>
      <w:tr>
        <w:trPr>
          <w:trHeight w:val="3159"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32" w:right="0"/>
              <w:jc w:val="left"/>
              <w:rPr>
                <w:rFonts w:ascii="Times New Roman" w:hAnsi="Times New Roman" w:cs="Times New Roman" w:eastAsia="Times New Roman" w:hint="default"/>
                <w:sz w:val="18"/>
                <w:szCs w:val="18"/>
              </w:rPr>
            </w:pPr>
            <w:r>
              <w:rPr>
                <w:rFonts w:ascii="Times New Roman"/>
                <w:sz w:val="18"/>
              </w:rPr>
              <w:t>101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right="161"/>
              <w:jc w:val="both"/>
              <w:rPr>
                <w:rFonts w:ascii="宋体" w:hAnsi="宋体" w:cs="宋体" w:eastAsia="宋体" w:hint="default"/>
                <w:sz w:val="18"/>
                <w:szCs w:val="18"/>
              </w:rPr>
            </w:pPr>
            <w:r>
              <w:rPr>
                <w:rFonts w:ascii="宋体" w:hAnsi="宋体" w:cs="宋体" w:eastAsia="宋体" w:hint="default"/>
                <w:sz w:val="18"/>
                <w:szCs w:val="18"/>
              </w:rPr>
              <w:t>人乳头瘤病毒（</w:t>
            </w:r>
            <w:r>
              <w:rPr>
                <w:rFonts w:ascii="Times New Roman" w:hAnsi="Times New Roman" w:cs="Times New Roman" w:eastAsia="Times New Roman" w:hint="default"/>
                <w:sz w:val="18"/>
                <w:szCs w:val="18"/>
              </w:rPr>
              <w:t>16</w:t>
            </w:r>
            <w:r>
              <w:rPr>
                <w:rFonts w:ascii="宋体" w:hAnsi="宋体" w:cs="宋体" w:eastAsia="宋体" w:hint="default"/>
                <w:sz w:val="18"/>
                <w:szCs w:val="18"/>
              </w:rPr>
              <w:t>种型 别）核酸分型检测试剂 盒（半导体测序法）</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III</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20"/>
              <w:ind w:left="2" w:right="7"/>
              <w:jc w:val="left"/>
              <w:rPr>
                <w:rFonts w:ascii="宋体" w:hAnsi="宋体" w:cs="宋体" w:eastAsia="宋体" w:hint="default"/>
                <w:sz w:val="18"/>
                <w:szCs w:val="18"/>
              </w:rPr>
            </w:pPr>
            <w:r>
              <w:rPr>
                <w:rFonts w:ascii="宋体" w:hAnsi="宋体" w:cs="宋体" w:eastAsia="宋体" w:hint="default"/>
                <w:sz w:val="18"/>
                <w:szCs w:val="18"/>
              </w:rPr>
              <w:t>该产品用于人乳头瘤病毒核酸分 型检测时文库的构建，与已批准 的核酸纯化试剂、测序反应通用 试剂盒（半导体测序法）、人乳 头瘤病毒核酸分型分析软件联合 使用，用于女性宫颈脱落细胞中 的</w:t>
            </w:r>
            <w:r>
              <w:rPr>
                <w:rFonts w:ascii="Times New Roman" w:hAnsi="Times New Roman" w:cs="Times New Roman" w:eastAsia="Times New Roman" w:hint="default"/>
                <w:sz w:val="18"/>
                <w:szCs w:val="18"/>
              </w:rPr>
              <w:t>16</w:t>
            </w:r>
            <w:r>
              <w:rPr>
                <w:rFonts w:ascii="宋体" w:hAnsi="宋体" w:cs="宋体" w:eastAsia="宋体" w:hint="default"/>
                <w:sz w:val="18"/>
                <w:szCs w:val="18"/>
              </w:rPr>
              <w:t>种人乳头瘤病毒（</w:t>
            </w:r>
            <w:r>
              <w:rPr>
                <w:rFonts w:ascii="Times New Roman" w:hAnsi="Times New Roman" w:cs="Times New Roman" w:eastAsia="Times New Roman" w:hint="default"/>
                <w:sz w:val="18"/>
                <w:szCs w:val="18"/>
              </w:rPr>
              <w:t>HPV6</w:t>
            </w:r>
            <w:r>
              <w:rPr>
                <w:rFonts w:ascii="宋体" w:hAnsi="宋体" w:cs="宋体" w:eastAsia="宋体" w:hint="default"/>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31</w:t>
            </w:r>
            <w:r>
              <w:rPr>
                <w:rFonts w:ascii="宋体" w:hAnsi="宋体" w:cs="宋体" w:eastAsia="宋体" w:hint="default"/>
                <w:sz w:val="18"/>
                <w:szCs w:val="18"/>
              </w:rPr>
              <w:t>、</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39</w:t>
            </w:r>
            <w:r>
              <w:rPr>
                <w:rFonts w:ascii="宋体" w:hAnsi="宋体" w:cs="宋体" w:eastAsia="宋体" w:hint="default"/>
                <w:sz w:val="18"/>
                <w:szCs w:val="18"/>
              </w:rPr>
              <w:t>、</w:t>
            </w:r>
            <w:r>
              <w:rPr>
                <w:rFonts w:ascii="Times New Roman" w:hAnsi="Times New Roman" w:cs="Times New Roman" w:eastAsia="Times New Roman" w:hint="default"/>
                <w:sz w:val="18"/>
                <w:szCs w:val="18"/>
              </w:rPr>
              <w:t>45</w:t>
            </w:r>
            <w:r>
              <w:rPr>
                <w:rFonts w:ascii="宋体" w:hAnsi="宋体" w:cs="宋体" w:eastAsia="宋体" w:hint="default"/>
                <w:sz w:val="18"/>
                <w:szCs w:val="18"/>
              </w:rPr>
              <w:t>、</w:t>
            </w:r>
          </w:p>
          <w:p>
            <w:pPr>
              <w:pStyle w:val="TableParagraph"/>
              <w:spacing w:line="300" w:lineRule="auto" w:before="1"/>
              <w:ind w:left="2"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w:t>
            </w:r>
            <w:r>
              <w:rPr>
                <w:rFonts w:ascii="Times New Roman" w:hAnsi="Times New Roman" w:cs="Times New Roman" w:eastAsia="Times New Roman" w:hint="default"/>
                <w:sz w:val="18"/>
                <w:szCs w:val="18"/>
              </w:rPr>
              <w:t>52</w:t>
            </w:r>
            <w:r>
              <w:rPr>
                <w:rFonts w:ascii="宋体" w:hAnsi="宋体" w:cs="宋体" w:eastAsia="宋体" w:hint="default"/>
                <w:sz w:val="18"/>
                <w:szCs w:val="18"/>
              </w:rPr>
              <w:t>、</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r>
              <w:rPr>
                <w:rFonts w:ascii="Times New Roman" w:hAnsi="Times New Roman" w:cs="Times New Roman" w:eastAsia="Times New Roman" w:hint="default"/>
                <w:sz w:val="18"/>
                <w:szCs w:val="18"/>
              </w:rPr>
              <w:t>58</w:t>
            </w:r>
            <w:r>
              <w:rPr>
                <w:rFonts w:ascii="宋体" w:hAnsi="宋体" w:cs="宋体" w:eastAsia="宋体" w:hint="default"/>
                <w:sz w:val="18"/>
                <w:szCs w:val="18"/>
              </w:rPr>
              <w:t>、</w:t>
            </w:r>
            <w:r>
              <w:rPr>
                <w:rFonts w:ascii="Times New Roman" w:hAnsi="Times New Roman" w:cs="Times New Roman" w:eastAsia="Times New Roman" w:hint="default"/>
                <w:sz w:val="18"/>
                <w:szCs w:val="18"/>
              </w:rPr>
              <w:t>59</w:t>
            </w:r>
            <w:r>
              <w:rPr>
                <w:rFonts w:ascii="宋体" w:hAnsi="宋体" w:cs="宋体" w:eastAsia="宋体" w:hint="default"/>
                <w:sz w:val="18"/>
                <w:szCs w:val="18"/>
              </w:rPr>
              <w:t>、</w:t>
            </w:r>
            <w:r>
              <w:rPr>
                <w:rFonts w:ascii="Times New Roman" w:hAnsi="Times New Roman" w:cs="Times New Roman" w:eastAsia="Times New Roman" w:hint="default"/>
                <w:sz w:val="18"/>
                <w:szCs w:val="18"/>
              </w:rPr>
              <w:t>66</w:t>
            </w:r>
            <w:r>
              <w:rPr>
                <w:rFonts w:ascii="宋体" w:hAnsi="宋体" w:cs="宋体" w:eastAsia="宋体" w:hint="default"/>
                <w:sz w:val="18"/>
                <w:szCs w:val="18"/>
              </w:rPr>
              <w:t>、</w:t>
            </w:r>
            <w:r>
              <w:rPr>
                <w:rFonts w:ascii="Times New Roman" w:hAnsi="Times New Roman" w:cs="Times New Roman" w:eastAsia="Times New Roman" w:hint="default"/>
                <w:sz w:val="18"/>
                <w:szCs w:val="18"/>
              </w:rPr>
              <w:t>68</w:t>
            </w:r>
            <w:r>
              <w:rPr>
                <w:rFonts w:ascii="宋体" w:hAnsi="宋体" w:cs="宋体" w:eastAsia="宋体" w:hint="default"/>
                <w:sz w:val="18"/>
                <w:szCs w:val="18"/>
              </w:rPr>
              <w:t>） 核酸的定性和分型检测。</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2022/06/07</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2017/06/08</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3161"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132" w:right="0"/>
              <w:jc w:val="left"/>
              <w:rPr>
                <w:rFonts w:ascii="Times New Roman" w:hAnsi="Times New Roman" w:cs="Times New Roman" w:eastAsia="Times New Roman" w:hint="default"/>
                <w:sz w:val="18"/>
                <w:szCs w:val="18"/>
              </w:rPr>
            </w:pPr>
            <w:r>
              <w:rPr>
                <w:rFonts w:ascii="Times New Roman"/>
                <w:sz w:val="18"/>
              </w:rPr>
              <w:t>102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2"/>
              <w:ind w:right="163"/>
              <w:jc w:val="left"/>
              <w:rPr>
                <w:rFonts w:ascii="宋体" w:hAnsi="宋体" w:cs="宋体" w:eastAsia="宋体" w:hint="default"/>
                <w:sz w:val="18"/>
                <w:szCs w:val="18"/>
              </w:rPr>
            </w:pPr>
            <w:r>
              <w:rPr>
                <w:rFonts w:ascii="宋体" w:hAnsi="宋体" w:cs="宋体" w:eastAsia="宋体" w:hint="default"/>
                <w:sz w:val="18"/>
                <w:szCs w:val="18"/>
              </w:rPr>
              <w:t>胎儿染色体非整倍体基 因检测软件</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22"/>
              <w:ind w:left="2" w:right="9"/>
              <w:jc w:val="left"/>
              <w:rPr>
                <w:rFonts w:ascii="宋体" w:hAnsi="宋体" w:cs="宋体" w:eastAsia="宋体" w:hint="default"/>
                <w:sz w:val="18"/>
                <w:szCs w:val="18"/>
              </w:rPr>
            </w:pPr>
            <w:r>
              <w:rPr>
                <w:rFonts w:ascii="宋体" w:hAnsi="宋体" w:cs="宋体" w:eastAsia="宋体" w:hint="default"/>
                <w:sz w:val="18"/>
                <w:szCs w:val="18"/>
              </w:rPr>
              <w:t>本软件与适用的测序试剂盒配套 使用，对临床样本（孕妇外周血 浆）的全部</w:t>
            </w:r>
            <w:r>
              <w:rPr>
                <w:rFonts w:ascii="Times New Roman" w:hAnsi="Times New Roman" w:cs="Times New Roman" w:eastAsia="Times New Roman" w:hint="default"/>
                <w:sz w:val="18"/>
                <w:szCs w:val="18"/>
              </w:rPr>
              <w:t>DNA</w:t>
            </w:r>
            <w:r>
              <w:rPr>
                <w:rFonts w:ascii="宋体" w:hAnsi="宋体" w:cs="宋体" w:eastAsia="宋体" w:hint="default"/>
                <w:sz w:val="18"/>
                <w:szCs w:val="18"/>
              </w:rPr>
              <w:t>测序数据进行 计算，通过分析样本中胎儿游离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21</w:t>
            </w:r>
            <w:r>
              <w:rPr>
                <w:rFonts w:ascii="宋体" w:hAnsi="宋体" w:cs="宋体" w:eastAsia="宋体" w:hint="default"/>
                <w:sz w:val="18"/>
                <w:szCs w:val="18"/>
              </w:rPr>
              <w:t>号、</w:t>
            </w:r>
            <w:r>
              <w:rPr>
                <w:rFonts w:ascii="Times New Roman" w:hAnsi="Times New Roman" w:cs="Times New Roman" w:eastAsia="Times New Roman" w:hint="default"/>
                <w:sz w:val="18"/>
                <w:szCs w:val="18"/>
              </w:rPr>
              <w:t>18</w:t>
            </w:r>
            <w:r>
              <w:rPr>
                <w:rFonts w:ascii="宋体" w:hAnsi="宋体" w:cs="宋体" w:eastAsia="宋体" w:hint="default"/>
                <w:sz w:val="18"/>
                <w:szCs w:val="18"/>
              </w:rPr>
              <w:t>号及</w:t>
            </w:r>
            <w:r>
              <w:rPr>
                <w:rFonts w:ascii="Times New Roman" w:hAnsi="Times New Roman" w:cs="Times New Roman" w:eastAsia="Times New Roman" w:hint="default"/>
                <w:sz w:val="18"/>
                <w:szCs w:val="18"/>
              </w:rPr>
              <w:t>13</w:t>
            </w:r>
            <w:r>
              <w:rPr>
                <w:rFonts w:ascii="宋体" w:hAnsi="宋体" w:cs="宋体" w:eastAsia="宋体" w:hint="default"/>
                <w:sz w:val="18"/>
                <w:szCs w:val="18"/>
              </w:rPr>
              <w:t>号染色</w:t>
            </w:r>
            <w:r>
              <w:rPr>
                <w:rFonts w:ascii="宋体" w:hAnsi="宋体" w:cs="宋体" w:eastAsia="宋体" w:hint="default"/>
                <w:spacing w:val="-88"/>
                <w:sz w:val="18"/>
                <w:szCs w:val="18"/>
              </w:rPr>
              <w:t> </w:t>
            </w:r>
            <w:r>
              <w:rPr>
                <w:rFonts w:ascii="宋体" w:hAnsi="宋体" w:cs="宋体" w:eastAsia="宋体" w:hint="default"/>
                <w:sz w:val="18"/>
                <w:szCs w:val="18"/>
              </w:rPr>
              <w:t>体数量的差异，对胎儿染色体非 整倍体疾病</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21-</w:t>
            </w:r>
            <w:r>
              <w:rPr>
                <w:rFonts w:ascii="宋体" w:hAnsi="宋体" w:cs="宋体" w:eastAsia="宋体" w:hint="default"/>
                <w:sz w:val="18"/>
                <w:szCs w:val="18"/>
              </w:rPr>
              <w:t>三体综合征、</w:t>
            </w:r>
          </w:p>
          <w:p>
            <w:pPr>
              <w:pStyle w:val="TableParagraph"/>
              <w:spacing w:line="309" w:lineRule="auto" w:before="3"/>
              <w:ind w:left="2"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三体综合征和</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三体综合 征进行产前辅助判断。产品适用 于医疗机构使用。</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2022/11/13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2017/11/14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3473"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32" w:right="0"/>
              <w:jc w:val="left"/>
              <w:rPr>
                <w:rFonts w:ascii="Times New Roman" w:hAnsi="Times New Roman" w:cs="Times New Roman" w:eastAsia="Times New Roman" w:hint="default"/>
                <w:sz w:val="18"/>
                <w:szCs w:val="18"/>
              </w:rPr>
            </w:pPr>
            <w:r>
              <w:rPr>
                <w:rFonts w:ascii="Times New Roman"/>
                <w:sz w:val="18"/>
              </w:rPr>
              <w:t>103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right="175"/>
              <w:jc w:val="left"/>
              <w:rPr>
                <w:rFonts w:ascii="宋体" w:hAnsi="宋体" w:cs="宋体" w:eastAsia="宋体" w:hint="default"/>
                <w:sz w:val="18"/>
                <w:szCs w:val="18"/>
              </w:rPr>
            </w:pPr>
            <w:r>
              <w:rPr>
                <w:rFonts w:ascii="宋体" w:hAnsi="宋体" w:cs="宋体" w:eastAsia="宋体" w:hint="default"/>
                <w:sz w:val="18"/>
                <w:szCs w:val="18"/>
              </w:rPr>
              <w:t>基因测序仪（</w:t>
            </w:r>
            <w:r>
              <w:rPr>
                <w:rFonts w:ascii="Times New Roman" w:hAnsi="Times New Roman" w:cs="Times New Roman" w:eastAsia="Times New Roman" w:hint="default"/>
                <w:sz w:val="18"/>
                <w:szCs w:val="18"/>
              </w:rPr>
              <w:t>BGISEQ-</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500</w:t>
            </w:r>
            <w:r>
              <w:rPr>
                <w:rFonts w:ascii="宋体" w:hAnsi="宋体" w:cs="宋体" w:eastAsia="宋体" w:hint="default"/>
                <w:sz w:val="18"/>
                <w:szCs w:val="18"/>
              </w:rPr>
              <w:t>）</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Ⅲ类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9"/>
              <w:jc w:val="both"/>
              <w:rPr>
                <w:rFonts w:ascii="宋体" w:hAnsi="宋体" w:cs="宋体" w:eastAsia="宋体" w:hint="default"/>
                <w:sz w:val="18"/>
                <w:szCs w:val="18"/>
              </w:rPr>
            </w:pPr>
            <w:r>
              <w:rPr>
                <w:rFonts w:ascii="宋体" w:hAnsi="宋体" w:cs="宋体" w:eastAsia="宋体" w:hint="default"/>
                <w:sz w:val="18"/>
                <w:szCs w:val="18"/>
              </w:rPr>
              <w:t>该产品采用联合探针锚定聚合测 序技术，在临床上用于对来源于 人体样本的脱氧核糖核酸</w:t>
            </w:r>
          </w:p>
          <w:p>
            <w:pPr>
              <w:pStyle w:val="TableParagraph"/>
              <w:spacing w:line="314" w:lineRule="auto" w:before="19"/>
              <w:ind w:left="2" w:right="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DNA</w:t>
            </w:r>
            <w:r>
              <w:rPr>
                <w:rFonts w:ascii="宋体" w:hAnsi="宋体" w:cs="宋体" w:eastAsia="宋体" w:hint="default"/>
                <w:sz w:val="18"/>
                <w:szCs w:val="18"/>
              </w:rPr>
              <w:t>）进行测序，以检测基 因变化，这些基因变化可能导致 存在疾病或易感性。该仪器在临 床上仅限于与国家食品药品监督 管理总局批准的体外诊断试剂以 及仪器配套随机软件配合使用， 且不用于人类全基因组的测序或 从头测序。</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2021/10/26</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2016/10/27</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r>
        <w:trPr>
          <w:trHeight w:val="3161" w:hRule="exact"/>
        </w:trPr>
        <w:tc>
          <w:tcPr>
            <w:tcW w:w="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32" w:right="0"/>
              <w:jc w:val="left"/>
              <w:rPr>
                <w:rFonts w:ascii="Times New Roman" w:hAnsi="Times New Roman" w:cs="Times New Roman" w:eastAsia="Times New Roman" w:hint="default"/>
                <w:sz w:val="18"/>
                <w:szCs w:val="18"/>
              </w:rPr>
            </w:pPr>
            <w:r>
              <w:rPr>
                <w:rFonts w:ascii="Times New Roman"/>
                <w:sz w:val="18"/>
              </w:rPr>
              <w:t>104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right="163"/>
              <w:jc w:val="left"/>
              <w:rPr>
                <w:rFonts w:ascii="宋体" w:hAnsi="宋体" w:cs="宋体" w:eastAsia="宋体" w:hint="default"/>
                <w:sz w:val="18"/>
                <w:szCs w:val="18"/>
              </w:rPr>
            </w:pPr>
            <w:r>
              <w:rPr>
                <w:rFonts w:ascii="宋体" w:hAnsi="宋体" w:cs="宋体" w:eastAsia="宋体" w:hint="default"/>
                <w:sz w:val="18"/>
                <w:szCs w:val="18"/>
              </w:rPr>
              <w:t>胎儿染色体非整倍体基 因检测软件</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类</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20"/>
              <w:ind w:left="2" w:right="7"/>
              <w:jc w:val="left"/>
              <w:rPr>
                <w:rFonts w:ascii="宋体" w:hAnsi="宋体" w:cs="宋体" w:eastAsia="宋体" w:hint="default"/>
                <w:sz w:val="18"/>
                <w:szCs w:val="18"/>
              </w:rPr>
            </w:pPr>
            <w:r>
              <w:rPr>
                <w:rFonts w:ascii="宋体" w:hAnsi="宋体" w:cs="宋体" w:eastAsia="宋体" w:hint="default"/>
                <w:sz w:val="18"/>
                <w:szCs w:val="18"/>
              </w:rPr>
              <w:t>本软件针对基因测序仪上获得的 基因组</w:t>
            </w:r>
            <w:r>
              <w:rPr>
                <w:rFonts w:ascii="Times New Roman" w:hAnsi="Times New Roman" w:cs="Times New Roman" w:eastAsia="Times New Roman" w:hint="default"/>
                <w:sz w:val="18"/>
                <w:szCs w:val="18"/>
              </w:rPr>
              <w:t>DNA</w:t>
            </w:r>
            <w:r>
              <w:rPr>
                <w:rFonts w:ascii="宋体" w:hAnsi="宋体" w:cs="宋体" w:eastAsia="宋体" w:hint="default"/>
                <w:sz w:val="18"/>
                <w:szCs w:val="18"/>
              </w:rPr>
              <w:t>序列数据进行计 算，获得分别与之对应的参考序 列比对结果，并根据阈值进行统 计和筛选达到对</w:t>
            </w:r>
            <w:r>
              <w:rPr>
                <w:rFonts w:ascii="Times New Roman" w:hAnsi="Times New Roman" w:cs="Times New Roman" w:eastAsia="Times New Roman" w:hint="default"/>
                <w:sz w:val="18"/>
                <w:szCs w:val="18"/>
              </w:rPr>
              <w:t>T13</w:t>
            </w:r>
            <w:r>
              <w:rPr>
                <w:rFonts w:ascii="宋体" w:hAnsi="宋体" w:cs="宋体" w:eastAsia="宋体" w:hint="default"/>
                <w:sz w:val="18"/>
                <w:szCs w:val="18"/>
              </w:rPr>
              <w:t>、</w:t>
            </w:r>
            <w:r>
              <w:rPr>
                <w:rFonts w:ascii="Times New Roman" w:hAnsi="Times New Roman" w:cs="Times New Roman" w:eastAsia="Times New Roman" w:hint="default"/>
                <w:sz w:val="18"/>
                <w:szCs w:val="18"/>
              </w:rPr>
              <w:t>T18</w:t>
            </w:r>
            <w:r>
              <w:rPr>
                <w:rFonts w:ascii="宋体" w:hAnsi="宋体" w:cs="宋体" w:eastAsia="宋体" w:hint="default"/>
                <w:sz w:val="18"/>
                <w:szCs w:val="18"/>
              </w:rPr>
              <w:t>、</w:t>
            </w:r>
            <w:r>
              <w:rPr>
                <w:rFonts w:ascii="Times New Roman" w:hAnsi="Times New Roman" w:cs="Times New Roman" w:eastAsia="Times New Roman" w:hint="default"/>
                <w:sz w:val="18"/>
                <w:szCs w:val="18"/>
              </w:rPr>
              <w:t>T21 </w:t>
            </w:r>
            <w:r>
              <w:rPr>
                <w:rFonts w:ascii="宋体" w:hAnsi="宋体" w:cs="宋体" w:eastAsia="宋体" w:hint="default"/>
                <w:sz w:val="18"/>
                <w:szCs w:val="18"/>
              </w:rPr>
              <w:t>的检出目的，确定样本检测结果 为阳性或阴性，可用于</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r>
              <w:rPr>
                <w:rFonts w:ascii="宋体" w:hAnsi="宋体" w:cs="宋体" w:eastAsia="宋体" w:hint="default"/>
                <w:sz w:val="18"/>
                <w:szCs w:val="18"/>
              </w:rPr>
              <w:t>常染色体的非整倍体基因检测 数据分析，从而对胎儿染色体非 整数倍体疾病</w:t>
            </w:r>
            <w:r>
              <w:rPr>
                <w:rFonts w:ascii="Times New Roman" w:hAnsi="Times New Roman" w:cs="Times New Roman" w:eastAsia="Times New Roman" w:hint="default"/>
                <w:sz w:val="18"/>
                <w:szCs w:val="18"/>
              </w:rPr>
              <w:t>21-</w:t>
            </w:r>
            <w:r>
              <w:rPr>
                <w:rFonts w:ascii="宋体" w:hAnsi="宋体" w:cs="宋体" w:eastAsia="宋体" w:hint="default"/>
                <w:sz w:val="18"/>
                <w:szCs w:val="18"/>
              </w:rPr>
              <w:t>三体综合征</w:t>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2022/03/19</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2017/3/20</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hAnsi="宋体" w:cs="宋体" w:eastAsia="宋体" w:hint="default"/>
                <w:sz w:val="18"/>
                <w:szCs w:val="18"/>
              </w:rPr>
              <w:t>首次注册</w:t>
            </w:r>
          </w:p>
        </w:tc>
      </w:tr>
    </w:tbl>
    <w:p>
      <w:pPr>
        <w:spacing w:after="0" w:line="240" w:lineRule="auto"/>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74" w:type="dxa"/>
        <w:tblLayout w:type="fixed"/>
        <w:tblCellMar>
          <w:top w:w="0" w:type="dxa"/>
          <w:left w:w="0" w:type="dxa"/>
          <w:bottom w:w="0" w:type="dxa"/>
          <w:right w:w="0" w:type="dxa"/>
        </w:tblCellMar>
        <w:tblLook w:val="01E0"/>
      </w:tblPr>
      <w:tblGrid>
        <w:gridCol w:w="557"/>
        <w:gridCol w:w="1985"/>
        <w:gridCol w:w="709"/>
        <w:gridCol w:w="2552"/>
        <w:gridCol w:w="991"/>
        <w:gridCol w:w="994"/>
        <w:gridCol w:w="1135"/>
      </w:tblGrid>
      <w:tr>
        <w:trPr>
          <w:trHeight w:val="1289" w:hRule="exact"/>
        </w:trPr>
        <w:tc>
          <w:tcPr>
            <w:tcW w:w="557"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c>
          <w:tcPr>
            <w:tcW w:w="709" w:type="dxa"/>
            <w:tcBorders>
              <w:top w:val="single" w:sz="8" w:space="0" w:color="000000"/>
              <w:left w:val="single" w:sz="8" w:space="0" w:color="000000"/>
              <w:bottom w:val="single" w:sz="8" w:space="0" w:color="000000"/>
              <w:right w:val="single" w:sz="8" w:space="0" w:color="000000"/>
            </w:tcBorders>
          </w:tcPr>
          <w:p>
            <w:pP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304" w:lineRule="auto" w:before="23"/>
              <w:ind w:left="2" w:right="9"/>
              <w:jc w:val="left"/>
              <w:rPr>
                <w:rFonts w:ascii="宋体" w:hAnsi="宋体" w:cs="宋体" w:eastAsia="宋体" w:hint="default"/>
                <w:sz w:val="18"/>
                <w:szCs w:val="18"/>
              </w:rPr>
            </w:pPr>
            <w:r>
              <w:rPr>
                <w:rFonts w:ascii="宋体" w:hAnsi="宋体" w:cs="宋体" w:eastAsia="宋体" w:hint="default"/>
                <w:sz w:val="18"/>
                <w:szCs w:val="18"/>
              </w:rPr>
              <w:t>（唐氏综合征）、</w:t>
            </w:r>
            <w:r>
              <w:rPr>
                <w:rFonts w:ascii="Times New Roman" w:hAnsi="Times New Roman" w:cs="Times New Roman" w:eastAsia="Times New Roman" w:hint="default"/>
                <w:sz w:val="18"/>
                <w:szCs w:val="18"/>
              </w:rPr>
              <w:t>18-</w:t>
            </w:r>
            <w:r>
              <w:rPr>
                <w:rFonts w:ascii="宋体" w:hAnsi="宋体" w:cs="宋体" w:eastAsia="宋体" w:hint="default"/>
                <w:sz w:val="18"/>
                <w:szCs w:val="18"/>
              </w:rPr>
              <w:t>三体综合 征（爱德华氏综合征）或</w:t>
            </w:r>
            <w:r>
              <w:rPr>
                <w:rFonts w:ascii="Times New Roman" w:hAnsi="Times New Roman" w:cs="Times New Roman" w:eastAsia="Times New Roman" w:hint="default"/>
                <w:sz w:val="18"/>
                <w:szCs w:val="18"/>
              </w:rPr>
              <w:t>13-</w:t>
            </w:r>
            <w:r>
              <w:rPr>
                <w:rFonts w:ascii="宋体" w:hAnsi="宋体" w:cs="宋体" w:eastAsia="宋体" w:hint="default"/>
                <w:sz w:val="18"/>
                <w:szCs w:val="18"/>
              </w:rPr>
              <w:t>三 体综合征（帕特氏综合征）进行 产前辅助判断。</w:t>
            </w:r>
          </w:p>
        </w:tc>
        <w:tc>
          <w:tcPr>
            <w:tcW w:w="991"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
        </w:tc>
        <w:tc>
          <w:tcPr>
            <w:tcW w:w="1135"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pStyle w:val="Heading5"/>
        <w:spacing w:line="300" w:lineRule="auto"/>
        <w:ind w:left="152" w:right="1133"/>
        <w:jc w:val="left"/>
        <w:rPr>
          <w:b w:val="0"/>
          <w:bCs w:val="0"/>
        </w:rPr>
      </w:pPr>
      <w:r>
        <w:rPr>
          <w:rFonts w:ascii="Times New Roman" w:hAnsi="Times New Roman" w:cs="Times New Roman" w:eastAsia="Times New Roman" w:hint="default"/>
          <w:w w:val="95"/>
        </w:rPr>
        <w:t>3</w:t>
      </w:r>
      <w:r>
        <w:rPr>
          <w:w w:val="95"/>
        </w:rPr>
        <w:t>、本报告期末（</w:t>
      </w: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日）及上年同期期末（</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日）的医疗器械注册证的数量，以及报告期内的新增与  </w:t>
      </w:r>
      <w:r>
        <w:rPr>
          <w:spacing w:val="17"/>
          <w:w w:val="95"/>
        </w:rPr>
        <w:t> </w:t>
      </w:r>
      <w:r>
        <w:rPr>
          <w:spacing w:val="17"/>
          <w:w w:val="95"/>
        </w:rPr>
      </w:r>
      <w:r>
        <w:rPr/>
        <w:t>失效数量</w:t>
      </w:r>
      <w:r>
        <w:rPr>
          <w:b w:val="0"/>
          <w:bCs w:val="0"/>
        </w:rPr>
      </w:r>
    </w:p>
    <w:p>
      <w:pPr>
        <w:spacing w:line="240" w:lineRule="auto" w:before="7"/>
        <w:rPr>
          <w:rFonts w:ascii="宋体" w:hAnsi="宋体" w:cs="宋体" w:eastAsia="宋体" w:hint="default"/>
          <w:b/>
          <w:bCs/>
          <w:sz w:val="6"/>
          <w:szCs w:val="6"/>
        </w:rPr>
      </w:pPr>
    </w:p>
    <w:tbl>
      <w:tblPr>
        <w:tblW w:w="0" w:type="auto"/>
        <w:jc w:val="left"/>
        <w:tblInd w:w="174" w:type="dxa"/>
        <w:tblLayout w:type="fixed"/>
        <w:tblCellMar>
          <w:top w:w="0" w:type="dxa"/>
          <w:left w:w="0" w:type="dxa"/>
          <w:bottom w:w="0" w:type="dxa"/>
          <w:right w:w="0" w:type="dxa"/>
        </w:tblCellMar>
        <w:tblLook w:val="01E0"/>
      </w:tblPr>
      <w:tblGrid>
        <w:gridCol w:w="567"/>
        <w:gridCol w:w="3121"/>
        <w:gridCol w:w="1832"/>
        <w:gridCol w:w="1985"/>
        <w:gridCol w:w="992"/>
        <w:gridCol w:w="1135"/>
      </w:tblGrid>
      <w:tr>
        <w:trPr>
          <w:trHeight w:val="903" w:hRule="exact"/>
        </w:trPr>
        <w:tc>
          <w:tcPr>
            <w:tcW w:w="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83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0"/>
              <w:ind w:left="67" w:right="1" w:hanging="65"/>
              <w:jc w:val="left"/>
              <w:rPr>
                <w:rFonts w:ascii="宋体" w:hAnsi="宋体" w:cs="宋体" w:eastAsia="宋体" w:hint="default"/>
                <w:sz w:val="18"/>
                <w:szCs w:val="18"/>
              </w:rPr>
            </w:pPr>
            <w:r>
              <w:rPr>
                <w:rFonts w:ascii="宋体" w:hAnsi="宋体" w:cs="宋体" w:eastAsia="宋体" w:hint="default"/>
                <w:b/>
                <w:bCs/>
                <w:sz w:val="18"/>
                <w:szCs w:val="18"/>
              </w:rPr>
              <w:t>本报告期末医疗器械注</w:t>
            </w:r>
            <w:r>
              <w:rPr>
                <w:rFonts w:ascii="宋体" w:hAnsi="宋体" w:cs="宋体" w:eastAsia="宋体" w:hint="default"/>
                <w:b/>
                <w:bCs/>
                <w:w w:val="99"/>
                <w:sz w:val="18"/>
                <w:szCs w:val="18"/>
              </w:rPr>
              <w:t> </w:t>
            </w:r>
            <w:r>
              <w:rPr>
                <w:rFonts w:ascii="宋体" w:hAnsi="宋体" w:cs="宋体" w:eastAsia="宋体" w:hint="default"/>
                <w:b/>
                <w:bCs/>
                <w:sz w:val="18"/>
                <w:szCs w:val="18"/>
              </w:rPr>
              <w:t>册证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备案凭证的数量</w:t>
            </w:r>
            <w:r>
              <w:rPr>
                <w:rFonts w:ascii="宋体" w:hAnsi="宋体" w:cs="宋体" w:eastAsia="宋体" w:hint="default"/>
                <w:sz w:val="18"/>
                <w:szCs w:val="18"/>
              </w:rPr>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0"/>
              <w:ind w:left="144" w:right="77" w:hanging="65"/>
              <w:jc w:val="left"/>
              <w:rPr>
                <w:rFonts w:ascii="宋体" w:hAnsi="宋体" w:cs="宋体" w:eastAsia="宋体" w:hint="default"/>
                <w:sz w:val="18"/>
                <w:szCs w:val="18"/>
              </w:rPr>
            </w:pPr>
            <w:r>
              <w:rPr>
                <w:rFonts w:ascii="宋体" w:hAnsi="宋体" w:cs="宋体" w:eastAsia="宋体" w:hint="default"/>
                <w:b/>
                <w:bCs/>
                <w:sz w:val="18"/>
                <w:szCs w:val="18"/>
              </w:rPr>
              <w:t>上年同期的医疗器械注</w:t>
            </w:r>
            <w:r>
              <w:rPr>
                <w:rFonts w:ascii="宋体" w:hAnsi="宋体" w:cs="宋体" w:eastAsia="宋体" w:hint="default"/>
                <w:b/>
                <w:bCs/>
                <w:w w:val="99"/>
                <w:sz w:val="18"/>
                <w:szCs w:val="18"/>
              </w:rPr>
              <w:t> </w:t>
            </w:r>
            <w:r>
              <w:rPr>
                <w:rFonts w:ascii="宋体" w:hAnsi="宋体" w:cs="宋体" w:eastAsia="宋体" w:hint="default"/>
                <w:b/>
                <w:bCs/>
                <w:sz w:val="18"/>
                <w:szCs w:val="18"/>
              </w:rPr>
              <w:t>册证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备案凭证的数量</w:t>
            </w:r>
            <w:r>
              <w:rPr>
                <w:rFonts w:ascii="宋体" w:hAnsi="宋体" w:cs="宋体" w:eastAsia="宋体" w:hint="default"/>
                <w:sz w:val="18"/>
                <w:szCs w:val="18"/>
              </w:rPr>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0"/>
              <w:ind w:left="124" w:right="34" w:hanging="92"/>
              <w:jc w:val="left"/>
              <w:rPr>
                <w:rFonts w:ascii="宋体" w:hAnsi="宋体" w:cs="宋体" w:eastAsia="宋体" w:hint="default"/>
                <w:sz w:val="18"/>
                <w:szCs w:val="18"/>
              </w:rPr>
            </w:pPr>
            <w:r>
              <w:rPr>
                <w:rFonts w:ascii="宋体" w:hAnsi="宋体" w:cs="宋体" w:eastAsia="宋体" w:hint="default"/>
                <w:b/>
                <w:bCs/>
                <w:sz w:val="18"/>
                <w:szCs w:val="18"/>
              </w:rPr>
              <w:t>报告期内的</w:t>
            </w:r>
            <w:r>
              <w:rPr>
                <w:rFonts w:ascii="宋体" w:hAnsi="宋体" w:cs="宋体" w:eastAsia="宋体" w:hint="default"/>
                <w:b/>
                <w:bCs/>
                <w:w w:val="99"/>
                <w:sz w:val="18"/>
                <w:szCs w:val="18"/>
              </w:rPr>
              <w:t> </w:t>
            </w:r>
            <w:r>
              <w:rPr>
                <w:rFonts w:ascii="宋体" w:hAnsi="宋体" w:cs="宋体" w:eastAsia="宋体" w:hint="default"/>
                <w:b/>
                <w:bCs/>
                <w:sz w:val="18"/>
                <w:szCs w:val="18"/>
              </w:rPr>
              <w:t>新增数量</w:t>
            </w:r>
            <w:r>
              <w:rPr>
                <w:rFonts w:ascii="宋体" w:hAnsi="宋体" w:cs="宋体" w:eastAsia="宋体" w:hint="default"/>
                <w:sz w:val="18"/>
                <w:szCs w:val="18"/>
              </w:rPr>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0"/>
              <w:ind w:left="288" w:right="12" w:hanging="272"/>
              <w:jc w:val="left"/>
              <w:rPr>
                <w:rFonts w:ascii="宋体" w:hAnsi="宋体" w:cs="宋体" w:eastAsia="宋体" w:hint="default"/>
                <w:sz w:val="18"/>
                <w:szCs w:val="18"/>
              </w:rPr>
            </w:pPr>
            <w:r>
              <w:rPr>
                <w:rFonts w:ascii="宋体" w:hAnsi="宋体" w:cs="宋体" w:eastAsia="宋体" w:hint="default"/>
                <w:b/>
                <w:bCs/>
                <w:sz w:val="18"/>
                <w:szCs w:val="18"/>
              </w:rPr>
              <w:t>报告期内的失</w:t>
            </w:r>
            <w:r>
              <w:rPr>
                <w:rFonts w:ascii="宋体" w:hAnsi="宋体" w:cs="宋体" w:eastAsia="宋体" w:hint="default"/>
                <w:b/>
                <w:bCs/>
                <w:w w:val="99"/>
                <w:sz w:val="18"/>
                <w:szCs w:val="18"/>
              </w:rPr>
              <w:t> </w:t>
            </w:r>
            <w:r>
              <w:rPr>
                <w:rFonts w:ascii="宋体" w:hAnsi="宋体" w:cs="宋体" w:eastAsia="宋体" w:hint="default"/>
                <w:b/>
                <w:bCs/>
                <w:sz w:val="18"/>
                <w:szCs w:val="18"/>
              </w:rPr>
              <w:t>效数量</w:t>
            </w:r>
            <w:r>
              <w:rPr>
                <w:rFonts w:ascii="宋体" w:hAnsi="宋体" w:cs="宋体" w:eastAsia="宋体" w:hint="default"/>
                <w:sz w:val="18"/>
                <w:szCs w:val="18"/>
              </w:rPr>
            </w:r>
          </w:p>
        </w:tc>
      </w:tr>
      <w:tr>
        <w:trPr>
          <w:trHeight w:val="593" w:hRule="exact"/>
        </w:trPr>
        <w:tc>
          <w:tcPr>
            <w:tcW w:w="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left="1" w:right="0"/>
              <w:jc w:val="center"/>
              <w:rPr>
                <w:rFonts w:ascii="宋体" w:hAnsi="宋体" w:cs="宋体" w:eastAsia="宋体" w:hint="default"/>
                <w:sz w:val="18"/>
                <w:szCs w:val="18"/>
              </w:rPr>
            </w:pPr>
            <w:r>
              <w:rPr>
                <w:rFonts w:ascii="宋体" w:hAnsi="宋体" w:cs="宋体" w:eastAsia="宋体" w:hint="default"/>
                <w:sz w:val="18"/>
                <w:szCs w:val="18"/>
              </w:rPr>
              <w:t>北京华大吉比爱生物技术有限公司</w:t>
            </w:r>
          </w:p>
        </w:tc>
        <w:tc>
          <w:tcPr>
            <w:tcW w:w="18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813"/>
              <w:jc w:val="right"/>
              <w:rPr>
                <w:rFonts w:ascii="Times New Roman" w:hAnsi="Times New Roman" w:cs="Times New Roman" w:eastAsia="Times New Roman" w:hint="default"/>
                <w:sz w:val="18"/>
                <w:szCs w:val="18"/>
              </w:rPr>
            </w:pPr>
            <w:r>
              <w:rPr>
                <w:rFonts w:ascii="Times New Roman"/>
                <w:sz w:val="18"/>
              </w:rPr>
              <w:t>83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79</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0</w:t>
            </w:r>
          </w:p>
        </w:tc>
      </w:tr>
      <w:tr>
        <w:trPr>
          <w:trHeight w:val="593" w:hRule="exact"/>
        </w:trPr>
        <w:tc>
          <w:tcPr>
            <w:tcW w:w="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华大基因生物科技（深圳）有限公司</w:t>
            </w:r>
          </w:p>
        </w:tc>
        <w:tc>
          <w:tcPr>
            <w:tcW w:w="18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861"/>
              <w:jc w:val="right"/>
              <w:rPr>
                <w:rFonts w:ascii="Times New Roman" w:hAnsi="Times New Roman" w:cs="Times New Roman" w:eastAsia="Times New Roman" w:hint="default"/>
                <w:sz w:val="18"/>
                <w:szCs w:val="18"/>
              </w:rPr>
            </w:pPr>
            <w:r>
              <w:rPr>
                <w:rFonts w:ascii="Times New Roman"/>
                <w:sz w:val="18"/>
              </w:rPr>
              <w:t>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5</w:t>
            </w:r>
          </w:p>
        </w:tc>
      </w:tr>
      <w:tr>
        <w:trPr>
          <w:trHeight w:val="590" w:hRule="exact"/>
        </w:trPr>
        <w:tc>
          <w:tcPr>
            <w:tcW w:w="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深圳华大基因生物医学工程有限公司</w:t>
            </w:r>
          </w:p>
        </w:tc>
        <w:tc>
          <w:tcPr>
            <w:tcW w:w="18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861"/>
              <w:jc w:val="right"/>
              <w:rPr>
                <w:rFonts w:ascii="Times New Roman" w:hAnsi="Times New Roman" w:cs="Times New Roman" w:eastAsia="Times New Roman" w:hint="default"/>
                <w:sz w:val="18"/>
                <w:szCs w:val="18"/>
              </w:rPr>
            </w:pPr>
            <w:r>
              <w:rPr>
                <w:rFonts w:ascii="Times New Roman"/>
                <w:sz w:val="18"/>
              </w:rPr>
              <w:t>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0</w:t>
            </w:r>
          </w:p>
        </w:tc>
      </w:tr>
      <w:tr>
        <w:trPr>
          <w:trHeight w:val="593" w:hRule="exact"/>
        </w:trPr>
        <w:tc>
          <w:tcPr>
            <w:tcW w:w="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华大生物科技（武汉）有限公司</w:t>
            </w:r>
          </w:p>
        </w:tc>
        <w:tc>
          <w:tcPr>
            <w:tcW w:w="18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813"/>
              <w:jc w:val="right"/>
              <w:rPr>
                <w:rFonts w:ascii="Times New Roman" w:hAnsi="Times New Roman" w:cs="Times New Roman" w:eastAsia="Times New Roman" w:hint="default"/>
                <w:sz w:val="18"/>
                <w:szCs w:val="18"/>
              </w:rPr>
            </w:pPr>
            <w:r>
              <w:rPr>
                <w:rFonts w:ascii="Times New Roman"/>
                <w:sz w:val="18"/>
              </w:rPr>
              <w:t>18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0</w:t>
            </w:r>
          </w:p>
        </w:tc>
      </w:tr>
      <w:tr>
        <w:trPr>
          <w:trHeight w:val="593" w:hRule="exact"/>
        </w:trPr>
        <w:tc>
          <w:tcPr>
            <w:tcW w:w="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3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武汉华大基因生物医学工程有限公司</w:t>
            </w:r>
          </w:p>
        </w:tc>
        <w:tc>
          <w:tcPr>
            <w:tcW w:w="18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861"/>
              <w:jc w:val="right"/>
              <w:rPr>
                <w:rFonts w:ascii="Times New Roman" w:hAnsi="Times New Roman" w:cs="Times New Roman" w:eastAsia="Times New Roman" w:hint="default"/>
                <w:sz w:val="18"/>
                <w:szCs w:val="18"/>
              </w:rPr>
            </w:pPr>
            <w:r>
              <w:rPr>
                <w:rFonts w:ascii="Times New Roman"/>
                <w:sz w:val="18"/>
              </w:rPr>
              <w:t>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518"/>
        <w:gridCol w:w="2266"/>
        <w:gridCol w:w="2393"/>
        <w:gridCol w:w="2391"/>
      </w:tblGrid>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2,238,816,388.43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1,945,096,186.58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15.10%</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2,224,129,061.76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1,701,435,758.60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30.72%</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14,687,326.67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243,660,427.98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-93.97%</w:t>
            </w:r>
          </w:p>
        </w:tc>
      </w:tr>
      <w:tr>
        <w:trPr>
          <w:trHeight w:val="404"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5,320,321,095.16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5,753,801,272.75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-7.53%</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4,818,322,986.24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6,163,657,457.78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-21.83%</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501,998,108.92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-409,856,185.03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222.48%</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502,195,200.00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488,161,948.86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129,646,289.75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276.53%</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-488,161,948.86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372,548,910.25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-231.03%</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44,222,438.30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198,001,778.14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-77.67%</w:t>
            </w:r>
          </w:p>
        </w:tc>
      </w:tr>
    </w:tbl>
    <w:p>
      <w:pPr>
        <w:pStyle w:val="BodyText"/>
        <w:spacing w:line="240" w:lineRule="auto" w:before="51"/>
        <w:ind w:right="1133"/>
        <w:jc w:val="left"/>
      </w:pPr>
      <w:r>
        <w:rPr/>
        <w:t>相关数据同比发生重大变动的主要影响因素说明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4"/>
        <w:ind w:right="1181" w:firstLine="288"/>
        <w:jc w:val="left"/>
      </w:pPr>
      <w:r>
        <w:rPr>
          <w:rFonts w:ascii="Times New Roman" w:hAnsi="Times New Roman" w:cs="Times New Roman" w:eastAsia="Times New Roman" w:hint="default"/>
        </w:rPr>
        <w:t>1</w:t>
      </w:r>
      <w:r>
        <w:rPr/>
        <w:t>、经营活动产生的现金流量净额较上年同期减少</w:t>
      </w:r>
      <w:r>
        <w:rPr>
          <w:rFonts w:ascii="Times New Roman" w:hAnsi="Times New Roman" w:cs="Times New Roman" w:eastAsia="Times New Roman" w:hint="default"/>
        </w:rPr>
        <w:t>93.97%</w:t>
      </w:r>
      <w:r>
        <w:rPr/>
        <w:t>，主要系报告期发放工资、奖金、支付的税费等增加及产量增 长导致原材料采购增加致现金流量净额减少。</w:t>
      </w:r>
    </w:p>
    <w:p>
      <w:pPr>
        <w:spacing w:after="0" w:line="30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451" w:firstLine="288"/>
        <w:jc w:val="left"/>
      </w:pPr>
      <w:r>
        <w:rPr>
          <w:rFonts w:ascii="Times New Roman" w:hAnsi="Times New Roman" w:cs="Times New Roman" w:eastAsia="Times New Roman" w:hint="default"/>
        </w:rPr>
        <w:t>2</w:t>
      </w:r>
      <w:r>
        <w:rPr/>
        <w:t>、投资活动产生的现金流量净额较上年同期增加</w:t>
      </w:r>
      <w:r>
        <w:rPr>
          <w:rFonts w:ascii="Times New Roman" w:hAnsi="Times New Roman" w:cs="Times New Roman" w:eastAsia="Times New Roman" w:hint="default"/>
        </w:rPr>
        <w:t>222.48%</w:t>
      </w:r>
      <w:r>
        <w:rPr/>
        <w:t>，主要系报告期公司赎回理财产品增加致现金流量净额增 加。</w:t>
      </w:r>
    </w:p>
    <w:p>
      <w:pPr>
        <w:pStyle w:val="BodyText"/>
        <w:spacing w:line="300" w:lineRule="auto" w:before="31"/>
        <w:ind w:right="1271" w:firstLine="288"/>
        <w:jc w:val="left"/>
      </w:pPr>
      <w:r>
        <w:rPr>
          <w:rFonts w:ascii="Times New Roman" w:hAnsi="Times New Roman" w:cs="Times New Roman" w:eastAsia="Times New Roman" w:hint="default"/>
        </w:rPr>
        <w:t>3</w:t>
      </w:r>
      <w:r>
        <w:rPr/>
        <w:t>、筹资活动产生的现金流量净额较上年同期下降</w:t>
      </w:r>
      <w:r>
        <w:rPr>
          <w:rFonts w:ascii="Times New Roman" w:hAnsi="Times New Roman" w:cs="Times New Roman" w:eastAsia="Times New Roman" w:hint="default"/>
        </w:rPr>
        <w:t>231.03%</w:t>
      </w:r>
      <w:r>
        <w:rPr/>
        <w:t>，主要系公司上年同期收到募集资金款项，且报告期分配股 利增加以及购买少数股权致现金流量净额增加。</w:t>
      </w:r>
    </w:p>
    <w:p>
      <w:pPr>
        <w:pStyle w:val="BodyText"/>
        <w:spacing w:line="240" w:lineRule="auto" w:before="72"/>
        <w:ind w:right="1133"/>
        <w:jc w:val="left"/>
      </w:pPr>
      <w:r>
        <w:rPr/>
        <w:t>报告期内公司经营活动产生的现金净流量与本年度净利润存在重大差异的原因说明</w:t>
      </w:r>
    </w:p>
    <w:p>
      <w:pPr>
        <w:pStyle w:val="BodyText"/>
        <w:spacing w:line="340" w:lineRule="auto" w:before="115"/>
        <w:ind w:left="441" w:right="1205"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本报告期经营活动产生的现金净流量为</w:t>
      </w:r>
      <w:r>
        <w:rPr>
          <w:rFonts w:ascii="Times New Roman" w:hAnsi="Times New Roman" w:cs="Times New Roman" w:eastAsia="Times New Roman" w:hint="default"/>
        </w:rPr>
        <w:t>14,687,326.67</w:t>
      </w:r>
      <w:r>
        <w:rPr/>
        <w:t>元，净利润为</w:t>
      </w:r>
      <w:r>
        <w:rPr>
          <w:rFonts w:ascii="Times New Roman" w:hAnsi="Times New Roman" w:cs="Times New Roman" w:eastAsia="Times New Roman" w:hint="default"/>
        </w:rPr>
        <w:t>407,844,229.24</w:t>
      </w:r>
      <w:r>
        <w:rPr/>
        <w:t>元，差异原因详见</w:t>
      </w:r>
      <w:r>
        <w:rPr>
          <w:rFonts w:ascii="Times New Roman" w:hAnsi="Times New Roman" w:cs="Times New Roman" w:eastAsia="Times New Roman" w:hint="default"/>
        </w:rPr>
        <w:t>“</w:t>
      </w:r>
      <w:r>
        <w:rPr/>
        <w:t>第十一节财务报告</w:t>
      </w:r>
    </w:p>
    <w:p>
      <w:pPr>
        <w:pStyle w:val="BodyText"/>
        <w:spacing w:line="228" w:lineRule="exact"/>
        <w:ind w:right="1133"/>
        <w:jc w:val="left"/>
      </w:pPr>
      <w:r>
        <w:rPr/>
        <w:t>现金流量表补充资料</w:t>
      </w:r>
      <w:r>
        <w:rPr>
          <w:rFonts w:ascii="Times New Roman" w:hAnsi="Times New Roman" w:cs="Times New Roman" w:eastAsia="Times New Roman" w:hint="default"/>
        </w:rPr>
        <w:t>”</w:t>
      </w:r>
      <w:r>
        <w:rPr/>
        <w:t>附注。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22"/>
        <w:gridCol w:w="1918"/>
        <w:gridCol w:w="1622"/>
        <w:gridCol w:w="2165"/>
        <w:gridCol w:w="2341"/>
      </w:tblGrid>
      <w:tr>
        <w:trPr>
          <w:trHeight w:val="40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50,468,816.19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10.63%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主要是理财产品收益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87,917,194.32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18.51%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主要是应收账款及其他应 收款的减值损失</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1,714,757.31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49"/>
              <w:jc w:val="left"/>
              <w:rPr>
                <w:rFonts w:ascii="宋体" w:hAnsi="宋体" w:cs="宋体" w:eastAsia="宋体" w:hint="default"/>
                <w:sz w:val="18"/>
                <w:szCs w:val="18"/>
              </w:rPr>
            </w:pPr>
            <w:r>
              <w:rPr>
                <w:rFonts w:ascii="宋体" w:hAnsi="宋体" w:cs="宋体" w:eastAsia="宋体" w:hint="default"/>
                <w:sz w:val="18"/>
                <w:szCs w:val="18"/>
              </w:rPr>
              <w:t>主要是与日常活动无关的 政府补助</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5,215,321.02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主要是捐赠、固定资产报 废损失</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38,068,878.65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49"/>
              <w:jc w:val="left"/>
              <w:rPr>
                <w:rFonts w:ascii="宋体" w:hAnsi="宋体" w:cs="宋体" w:eastAsia="宋体" w:hint="default"/>
                <w:sz w:val="18"/>
                <w:szCs w:val="18"/>
              </w:rPr>
            </w:pPr>
            <w:r>
              <w:rPr>
                <w:rFonts w:ascii="宋体" w:hAnsi="宋体" w:cs="宋体" w:eastAsia="宋体" w:hint="default"/>
                <w:sz w:val="18"/>
                <w:szCs w:val="18"/>
              </w:rPr>
              <w:t>主要是与日常活动有关的 政府补助</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资产处置损益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246,439.86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主要是固定资产处置收益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pStyle w:val="Heading2"/>
        <w:spacing w:line="240" w:lineRule="auto" w:before="26"/>
        <w:ind w:right="1133"/>
        <w:jc w:val="left"/>
        <w:rPr>
          <w:b w:val="0"/>
          <w:bCs w:val="0"/>
        </w:rPr>
      </w:pPr>
      <w:r>
        <w:rPr/>
        <w:t>四、资产及负债状况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102"/>
        <w:gridCol w:w="1561"/>
        <w:gridCol w:w="1133"/>
        <w:gridCol w:w="1416"/>
        <w:gridCol w:w="994"/>
        <w:gridCol w:w="850"/>
        <w:gridCol w:w="2516"/>
      </w:tblGrid>
      <w:tr>
        <w:trPr>
          <w:trHeight w:val="383" w:hRule="exact"/>
        </w:trPr>
        <w:tc>
          <w:tcPr>
            <w:tcW w:w="1102" w:type="dxa"/>
            <w:vMerge w:val="restart"/>
            <w:tcBorders>
              <w:top w:val="single" w:sz="4" w:space="0" w:color="000000"/>
              <w:left w:val="single" w:sz="4" w:space="0" w:color="000000"/>
              <w:right w:val="single" w:sz="4" w:space="0" w:color="000000"/>
            </w:tcBorders>
            <w:shd w:val="clear" w:color="auto" w:fill="D2D2D2"/>
          </w:tcPr>
          <w:p>
            <w:pP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5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3" w:hRule="exact"/>
        </w:trPr>
        <w:tc>
          <w:tcPr>
            <w:tcW w:w="1102" w:type="dxa"/>
            <w:vMerge/>
            <w:tcBorders>
              <w:left w:val="single" w:sz="4" w:space="0" w:color="000000"/>
              <w:right w:val="single" w:sz="4" w:space="0" w:color="000000"/>
            </w:tcBorders>
            <w:shd w:val="clear" w:color="auto" w:fill="D2D2D2"/>
          </w:tcPr>
          <w:p>
            <w:pP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472" w:right="108"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403" w:right="38"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50" w:type="dxa"/>
            <w:vMerge/>
            <w:tcBorders>
              <w:left w:val="single" w:sz="4" w:space="0" w:color="000000"/>
              <w:right w:val="single" w:sz="4" w:space="0" w:color="000000"/>
            </w:tcBorders>
            <w:shd w:val="clear" w:color="auto" w:fill="D2D2D2"/>
          </w:tcPr>
          <w:p>
            <w:pPr/>
          </w:p>
        </w:tc>
        <w:tc>
          <w:tcPr>
            <w:tcW w:w="25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7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0" w:hRule="exact"/>
        </w:trPr>
        <w:tc>
          <w:tcPr>
            <w:tcW w:w="1102"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25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1,070,060,809.23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946,644,902.62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1.86%</w:t>
            </w:r>
          </w:p>
        </w:tc>
        <w:tc>
          <w:tcPr>
            <w:tcW w:w="25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1,250,386,007.63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23.81%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811,563,548.75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7.93%</w:t>
            </w:r>
          </w:p>
        </w:tc>
        <w:tc>
          <w:tcPr>
            <w:tcW w:w="25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241,906,313.90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138,582,155.50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1.90%</w:t>
            </w:r>
          </w:p>
        </w:tc>
        <w:tc>
          <w:tcPr>
            <w:tcW w:w="25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6"/>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27,637,625.24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11,357,993.68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25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1,065,603,948.96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20.29%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724,701,471.93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14.18%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2"/>
                <w:sz w:val="18"/>
              </w:rPr>
              <w:t>6.11%</w:t>
            </w:r>
          </w:p>
        </w:tc>
        <w:tc>
          <w:tcPr>
            <w:tcW w:w="25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102"/>
        <w:gridCol w:w="1561"/>
        <w:gridCol w:w="1133"/>
        <w:gridCol w:w="1416"/>
        <w:gridCol w:w="994"/>
        <w:gridCol w:w="850"/>
        <w:gridCol w:w="2516"/>
      </w:tblGrid>
      <w:tr>
        <w:trPr>
          <w:trHeight w:val="401"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86,917,656.56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14,737,276.69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1.37%</w:t>
            </w:r>
          </w:p>
        </w:tc>
        <w:tc>
          <w:tcPr>
            <w:tcW w:w="25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-0.16%</w:t>
            </w:r>
          </w:p>
        </w:tc>
        <w:tc>
          <w:tcPr>
            <w:tcW w:w="25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79,074,552.41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47,410,365.24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0.58%</w:t>
            </w:r>
          </w:p>
        </w:tc>
        <w:tc>
          <w:tcPr>
            <w:tcW w:w="25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32,004,604.56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14,869,394.16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0.32%</w:t>
            </w:r>
          </w:p>
        </w:tc>
        <w:tc>
          <w:tcPr>
            <w:tcW w:w="25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6"/>
              <w:jc w:val="left"/>
              <w:rPr>
                <w:rFonts w:ascii="宋体" w:hAnsi="宋体" w:cs="宋体" w:eastAsia="宋体" w:hint="default"/>
                <w:sz w:val="18"/>
                <w:szCs w:val="18"/>
              </w:rPr>
            </w:pPr>
            <w:r>
              <w:rPr>
                <w:rFonts w:ascii="宋体" w:hAnsi="宋体" w:cs="宋体" w:eastAsia="宋体" w:hint="default"/>
                <w:sz w:val="18"/>
                <w:szCs w:val="18"/>
              </w:rPr>
              <w:t>其他流动资 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594,180,740.54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1,856,459,579.61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-25.01%</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0"/>
              <w:jc w:val="left"/>
              <w:rPr>
                <w:rFonts w:ascii="宋体" w:hAnsi="宋体" w:cs="宋体" w:eastAsia="宋体" w:hint="default"/>
                <w:sz w:val="18"/>
                <w:szCs w:val="18"/>
              </w:rPr>
            </w:pPr>
            <w:r>
              <w:rPr>
                <w:rFonts w:ascii="宋体" w:hAnsi="宋体" w:cs="宋体" w:eastAsia="宋体" w:hint="default"/>
                <w:sz w:val="18"/>
                <w:szCs w:val="18"/>
              </w:rPr>
              <w:t>主要系一年内到期的银行理财 产品及利息减少所致。</w:t>
            </w:r>
          </w:p>
        </w:tc>
      </w:tr>
      <w:tr>
        <w:trPr>
          <w:trHeight w:val="71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66"/>
              <w:jc w:val="left"/>
              <w:rPr>
                <w:rFonts w:ascii="宋体" w:hAnsi="宋体" w:cs="宋体" w:eastAsia="宋体" w:hint="default"/>
                <w:sz w:val="18"/>
                <w:szCs w:val="18"/>
              </w:rPr>
            </w:pPr>
            <w:r>
              <w:rPr>
                <w:rFonts w:ascii="宋体" w:hAnsi="宋体" w:cs="宋体" w:eastAsia="宋体" w:hint="default"/>
                <w:sz w:val="18"/>
                <w:szCs w:val="18"/>
              </w:rPr>
              <w:t>其他非流动 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188,332,216.22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37,369,521.61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w:t>
            </w:r>
          </w:p>
        </w:tc>
        <w:tc>
          <w:tcPr>
            <w:tcW w:w="25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486"/>
        <w:gridCol w:w="1155"/>
        <w:gridCol w:w="1296"/>
        <w:gridCol w:w="1133"/>
        <w:gridCol w:w="1035"/>
        <w:gridCol w:w="1154"/>
        <w:gridCol w:w="1153"/>
        <w:gridCol w:w="1154"/>
      </w:tblGrid>
      <w:tr>
        <w:trPr>
          <w:trHeight w:val="1027"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3" w:right="10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108"/>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1" w:right="60"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956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6"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 产</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74,818,425.48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-28,713,036.36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11,861,317.66</w:t>
            </w:r>
          </w:p>
        </w:tc>
        <w:tc>
          <w:tcPr>
            <w:tcW w:w="103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46,105,389.12</w:t>
            </w:r>
          </w:p>
        </w:tc>
      </w:tr>
      <w:tr>
        <w:trPr>
          <w:trHeight w:val="401"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74,818,425.48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-28,713,036.36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11,861,317.66</w:t>
            </w:r>
          </w:p>
        </w:tc>
        <w:tc>
          <w:tcPr>
            <w:tcW w:w="103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46,105,389.12</w:t>
            </w:r>
          </w:p>
        </w:tc>
      </w:tr>
      <w:tr>
        <w:trPr>
          <w:trHeight w:val="403"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74,818,425.48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-28,713,036.36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11,861,317.66</w:t>
            </w:r>
          </w:p>
        </w:tc>
        <w:tc>
          <w:tcPr>
            <w:tcW w:w="103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46,105,389.12</w:t>
            </w:r>
          </w:p>
        </w:tc>
      </w:tr>
      <w:tr>
        <w:trPr>
          <w:trHeight w:val="401"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1"/>
        <w:ind w:right="1133"/>
        <w:jc w:val="left"/>
      </w:pPr>
      <w:r>
        <w:rPr/>
        <w:t>报告期内公司主要资产计量属性是否发生重大变化</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tbl>
      <w:tblPr>
        <w:tblW w:w="0" w:type="auto"/>
        <w:jc w:val="left"/>
        <w:tblInd w:w="232" w:type="dxa"/>
        <w:tblLayout w:type="fixed"/>
        <w:tblCellMar>
          <w:top w:w="0" w:type="dxa"/>
          <w:left w:w="0" w:type="dxa"/>
          <w:bottom w:w="0" w:type="dxa"/>
          <w:right w:w="0" w:type="dxa"/>
        </w:tblCellMar>
        <w:tblLook w:val="01E0"/>
      </w:tblPr>
      <w:tblGrid>
        <w:gridCol w:w="3176"/>
        <w:gridCol w:w="3190"/>
        <w:gridCol w:w="3188"/>
      </w:tblGrid>
      <w:tr>
        <w:trPr>
          <w:trHeight w:val="335" w:hRule="exact"/>
        </w:trPr>
        <w:tc>
          <w:tcPr>
            <w:tcW w:w="31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348" w:hRule="exact"/>
        </w:trPr>
        <w:tc>
          <w:tcPr>
            <w:tcW w:w="31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保证金（注）</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79,388,168.31</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194,700.00</w:t>
            </w:r>
          </w:p>
        </w:tc>
      </w:tr>
      <w:tr>
        <w:trPr>
          <w:trHeight w:val="346" w:hRule="exact"/>
        </w:trPr>
        <w:tc>
          <w:tcPr>
            <w:tcW w:w="31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预付设备购买款</w:t>
            </w:r>
          </w:p>
        </w:tc>
        <w:tc>
          <w:tcPr>
            <w:tcW w:w="3190" w:type="dxa"/>
            <w:tcBorders>
              <w:top w:val="single" w:sz="6" w:space="0" w:color="000000"/>
              <w:left w:val="single" w:sz="6" w:space="0" w:color="000000"/>
              <w:bottom w:val="single" w:sz="6" w:space="0" w:color="000000"/>
              <w:right w:val="single" w:sz="6" w:space="0" w:color="000000"/>
            </w:tcBorders>
          </w:tcPr>
          <w:p>
            <w:pP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28,750,480.00</w:t>
            </w:r>
          </w:p>
        </w:tc>
      </w:tr>
      <w:tr>
        <w:trPr>
          <w:trHeight w:val="348" w:hRule="exact"/>
        </w:trPr>
        <w:tc>
          <w:tcPr>
            <w:tcW w:w="31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79,388,168.31</w:t>
            </w:r>
          </w:p>
        </w:tc>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28,945,180.00</w:t>
            </w:r>
          </w:p>
        </w:tc>
      </w:tr>
    </w:tbl>
    <w:p>
      <w:pPr>
        <w:spacing w:line="240" w:lineRule="auto" w:before="8"/>
        <w:rPr>
          <w:rFonts w:ascii="宋体" w:hAnsi="宋体" w:cs="宋体" w:eastAsia="宋体" w:hint="default"/>
          <w:sz w:val="6"/>
          <w:szCs w:val="6"/>
        </w:rPr>
      </w:pPr>
    </w:p>
    <w:p>
      <w:pPr>
        <w:pStyle w:val="BodyText"/>
        <w:spacing w:line="240" w:lineRule="auto" w:before="44"/>
        <w:ind w:left="513" w:right="1133"/>
        <w:jc w:val="left"/>
      </w:pPr>
      <w:r>
        <w:rPr/>
        <w:t>注：</w:t>
      </w:r>
    </w:p>
    <w:p>
      <w:pPr>
        <w:spacing w:line="240" w:lineRule="auto" w:before="0"/>
        <w:rPr>
          <w:rFonts w:ascii="宋体" w:hAnsi="宋体" w:cs="宋体" w:eastAsia="宋体" w:hint="default"/>
          <w:sz w:val="15"/>
          <w:szCs w:val="15"/>
        </w:rPr>
      </w:pPr>
    </w:p>
    <w:p>
      <w:pPr>
        <w:pStyle w:val="BodyText"/>
        <w:spacing w:line="300" w:lineRule="auto"/>
        <w:ind w:right="1133" w:firstLine="360"/>
        <w:jc w:val="left"/>
      </w:pPr>
      <w:r>
        <w:rPr>
          <w:rFonts w:ascii="Times New Roman" w:hAnsi="Times New Roman" w:cs="Times New Roman" w:eastAsia="Times New Roman" w:hint="default"/>
          <w:spacing w:val="-2"/>
        </w:rPr>
        <w:t>(1)</w:t>
      </w: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日，账面价值为人民币</w:t>
      </w:r>
      <w:r>
        <w:rPr>
          <w:rFonts w:ascii="Times New Roman" w:hAnsi="Times New Roman" w:cs="Times New Roman" w:eastAsia="Times New Roman" w:hint="default"/>
          <w:spacing w:val="-2"/>
        </w:rPr>
        <w:t>78,091,395.65</w:t>
      </w:r>
      <w:r>
        <w:rPr>
          <w:spacing w:val="-2"/>
        </w:rPr>
        <w:t>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日：无）用于支付融资性保函的保证金，利息</w:t>
      </w:r>
      <w:r>
        <w:rPr>
          <w:w w:val="99"/>
        </w:rPr>
        <w:t> </w:t>
      </w:r>
      <w:r>
        <w:rPr/>
        <w:t>收入人民币</w:t>
      </w:r>
      <w:r>
        <w:rPr>
          <w:rFonts w:ascii="Times New Roman" w:hAnsi="Times New Roman" w:cs="Times New Roman" w:eastAsia="Times New Roman" w:hint="default"/>
        </w:rPr>
        <w:t>12,703.36</w:t>
      </w:r>
      <w:r>
        <w:rPr/>
        <w:t>元；</w:t>
      </w:r>
    </w:p>
    <w:p>
      <w:pPr>
        <w:pStyle w:val="BodyText"/>
        <w:spacing w:line="300" w:lineRule="auto" w:before="133"/>
        <w:ind w:right="986" w:firstLine="360"/>
        <w:jc w:val="left"/>
      </w:pPr>
      <w:r>
        <w:rPr>
          <w:rFonts w:ascii="Times New Roman" w:hAnsi="Times New Roman" w:cs="Times New Roman" w:eastAsia="Times New Roman" w:hint="default"/>
          <w:spacing w:val="-2"/>
        </w:rPr>
        <w:t>(2)</w:t>
      </w: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日，账面价值为人民币</w:t>
      </w:r>
      <w:r>
        <w:rPr>
          <w:rFonts w:ascii="Times New Roman" w:hAnsi="Times New Roman" w:cs="Times New Roman" w:eastAsia="Times New Roman" w:hint="default"/>
          <w:spacing w:val="-2"/>
        </w:rPr>
        <w:t>194,700.00</w:t>
      </w:r>
      <w:r>
        <w:rPr>
          <w:spacing w:val="-2"/>
        </w:rPr>
        <w:t>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日：人民币</w:t>
      </w:r>
      <w:r>
        <w:rPr>
          <w:rFonts w:ascii="Times New Roman" w:hAnsi="Times New Roman" w:cs="Times New Roman" w:eastAsia="Times New Roman" w:hint="default"/>
          <w:spacing w:val="-2"/>
        </w:rPr>
        <w:t>194,700.00</w:t>
      </w:r>
      <w:r>
        <w:rPr>
          <w:spacing w:val="-2"/>
        </w:rPr>
        <w:t>元）用于支付履约保函的保</w:t>
      </w:r>
      <w:r>
        <w:rPr>
          <w:w w:val="99"/>
        </w:rPr>
        <w:t> </w:t>
      </w:r>
      <w:r>
        <w:rPr/>
        <w:t>证金；</w:t>
      </w:r>
    </w:p>
    <w:p>
      <w:pPr>
        <w:spacing w:after="0" w:line="30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3" w:firstLine="360"/>
        <w:jc w:val="left"/>
      </w:pPr>
      <w:r>
        <w:rPr>
          <w:rFonts w:ascii="Times New Roman" w:hAnsi="Times New Roman" w:cs="Times New Roman" w:eastAsia="Times New Roman" w:hint="default"/>
          <w:spacing w:val="-1"/>
        </w:rPr>
        <w:t>(3)</w:t>
      </w:r>
      <w:r>
        <w:rPr>
          <w:spacing w:val="-1"/>
        </w:rPr>
        <w:t>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日，账面价值为人民币</w:t>
      </w:r>
      <w:r>
        <w:rPr>
          <w:rFonts w:ascii="Times New Roman" w:hAnsi="Times New Roman" w:cs="Times New Roman" w:eastAsia="Times New Roman" w:hint="default"/>
          <w:spacing w:val="-1"/>
        </w:rPr>
        <w:t>890,000.00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日：无）用于支付预付款退款保函的保证金，利</w:t>
      </w:r>
      <w:r>
        <w:rPr>
          <w:w w:val="99"/>
        </w:rPr>
        <w:t> </w:t>
      </w:r>
      <w:r>
        <w:rPr/>
        <w:t>息收入人民币</w:t>
      </w:r>
      <w:r>
        <w:rPr>
          <w:rFonts w:ascii="Times New Roman" w:hAnsi="Times New Roman" w:cs="Times New Roman" w:eastAsia="Times New Roman" w:hint="default"/>
        </w:rPr>
        <w:t>17.31</w:t>
      </w:r>
      <w:r>
        <w:rPr/>
        <w:t>元；</w:t>
      </w:r>
    </w:p>
    <w:p>
      <w:pPr>
        <w:pStyle w:val="BodyText"/>
        <w:spacing w:line="240" w:lineRule="auto" w:before="133"/>
        <w:ind w:left="513" w:right="1133"/>
        <w:jc w:val="left"/>
      </w:pPr>
      <w:r>
        <w:rPr>
          <w:rFonts w:ascii="Times New Roman" w:hAnsi="Times New Roman" w:cs="Times New Roman" w:eastAsia="Times New Roman" w:hint="default"/>
        </w:rPr>
        <w:t>(4)</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199,351.99</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日：无）用于支付信用证保证金。</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0" w:right="0"/>
              <w:jc w:val="left"/>
              <w:rPr>
                <w:rFonts w:ascii="Times New Roman" w:hAnsi="Times New Roman" w:cs="Times New Roman" w:eastAsia="Times New Roman" w:hint="default"/>
                <w:sz w:val="18"/>
                <w:szCs w:val="18"/>
              </w:rPr>
            </w:pPr>
            <w:r>
              <w:rPr>
                <w:rFonts w:ascii="Times New Roman"/>
                <w:sz w:val="18"/>
              </w:rPr>
              <w:t>305,794,141.45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3" w:right="0"/>
              <w:jc w:val="left"/>
              <w:rPr>
                <w:rFonts w:ascii="Times New Roman" w:hAnsi="Times New Roman" w:cs="Times New Roman" w:eastAsia="Times New Roman" w:hint="default"/>
                <w:sz w:val="18"/>
                <w:szCs w:val="18"/>
              </w:rPr>
            </w:pPr>
            <w:r>
              <w:rPr>
                <w:rFonts w:ascii="Times New Roman"/>
                <w:sz w:val="18"/>
              </w:rPr>
              <w:t>266,969,369.16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14.54%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694"/>
        <w:gridCol w:w="694"/>
        <w:gridCol w:w="662"/>
        <w:gridCol w:w="661"/>
        <w:gridCol w:w="662"/>
        <w:gridCol w:w="564"/>
        <w:gridCol w:w="1275"/>
        <w:gridCol w:w="569"/>
        <w:gridCol w:w="566"/>
        <w:gridCol w:w="425"/>
        <w:gridCol w:w="566"/>
        <w:gridCol w:w="428"/>
        <w:gridCol w:w="850"/>
        <w:gridCol w:w="950"/>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7" w:right="51"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0" w:right="9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7"/>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59"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6"/>
              <w:ind w:left="110"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352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北京吉 因加科 技有限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17"/>
              <w:jc w:val="both"/>
              <w:rPr>
                <w:rFonts w:ascii="宋体" w:hAnsi="宋体" w:cs="宋体" w:eastAsia="宋体" w:hint="default"/>
                <w:sz w:val="18"/>
                <w:szCs w:val="18"/>
              </w:rPr>
            </w:pPr>
            <w:r>
              <w:rPr>
                <w:rFonts w:ascii="宋体" w:hAnsi="宋体" w:cs="宋体" w:eastAsia="宋体" w:hint="default"/>
                <w:sz w:val="18"/>
                <w:szCs w:val="18"/>
              </w:rPr>
              <w:t>肿瘤领 域基因 检测产 品的研 发、销 售</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增资</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7.51%</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 w:right="168"/>
              <w:jc w:val="left"/>
              <w:rPr>
                <w:rFonts w:ascii="宋体" w:hAnsi="宋体" w:cs="宋体" w:eastAsia="宋体" w:hint="default"/>
                <w:sz w:val="18"/>
                <w:szCs w:val="18"/>
              </w:rPr>
            </w:pPr>
            <w:r>
              <w:rPr>
                <w:rFonts w:ascii="宋体" w:hAnsi="宋体" w:cs="宋体" w:eastAsia="宋体" w:hint="default"/>
                <w:sz w:val="18"/>
                <w:szCs w:val="18"/>
              </w:rPr>
              <w:t>自用 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59"/>
              <w:jc w:val="left"/>
              <w:rPr>
                <w:rFonts w:ascii="宋体" w:hAnsi="宋体" w:cs="宋体" w:eastAsia="宋体" w:hint="default"/>
                <w:sz w:val="18"/>
                <w:szCs w:val="18"/>
              </w:rPr>
            </w:pPr>
            <w:r>
              <w:rPr>
                <w:rFonts w:ascii="宋体" w:hAnsi="宋体" w:cs="宋体" w:eastAsia="宋体" w:hint="default"/>
                <w:sz w:val="18"/>
                <w:szCs w:val="18"/>
              </w:rPr>
              <w:t>北京吉因家股 权投资企业</w:t>
            </w:r>
          </w:p>
          <w:p>
            <w:pPr>
              <w:pStyle w:val="TableParagraph"/>
              <w:spacing w:line="316" w:lineRule="auto" w:before="19"/>
              <w:ind w:left="23" w:right="70"/>
              <w:jc w:val="left"/>
              <w:rPr>
                <w:rFonts w:ascii="宋体" w:hAnsi="宋体" w:cs="宋体" w:eastAsia="宋体" w:hint="default"/>
                <w:sz w:val="18"/>
                <w:szCs w:val="18"/>
              </w:rPr>
            </w:pPr>
            <w:r>
              <w:rPr>
                <w:rFonts w:ascii="宋体" w:hAnsi="宋体" w:cs="宋体" w:eastAsia="宋体" w:hint="default"/>
                <w:spacing w:val="-14"/>
                <w:sz w:val="18"/>
                <w:szCs w:val="18"/>
              </w:rPr>
              <w:t>（有限合伙）、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深圳吉因加投 资有限公司、 宁波梅山保税 港区博源卓星 投资合伙企业</w:t>
            </w:r>
          </w:p>
          <w:p>
            <w:pPr>
              <w:pStyle w:val="TableParagraph"/>
              <w:spacing w:line="316" w:lineRule="auto" w:before="19"/>
              <w:ind w:left="23" w:right="159"/>
              <w:jc w:val="left"/>
              <w:rPr>
                <w:rFonts w:ascii="宋体" w:hAnsi="宋体" w:cs="宋体" w:eastAsia="宋体" w:hint="default"/>
                <w:sz w:val="18"/>
                <w:szCs w:val="18"/>
              </w:rPr>
            </w:pPr>
            <w:r>
              <w:rPr>
                <w:rFonts w:ascii="宋体" w:hAnsi="宋体" w:cs="宋体" w:eastAsia="宋体" w:hint="default"/>
                <w:sz w:val="18"/>
                <w:szCs w:val="18"/>
              </w:rPr>
              <w:t>（有限合伙） 等</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6" w:right="170"/>
              <w:jc w:val="left"/>
              <w:rPr>
                <w:rFonts w:ascii="宋体" w:hAnsi="宋体" w:cs="宋体" w:eastAsia="宋体" w:hint="default"/>
                <w:sz w:val="18"/>
                <w:szCs w:val="18"/>
              </w:rPr>
            </w:pPr>
            <w:r>
              <w:rPr>
                <w:rFonts w:ascii="宋体" w:hAnsi="宋体" w:cs="宋体" w:eastAsia="宋体" w:hint="default"/>
                <w:sz w:val="18"/>
                <w:szCs w:val="18"/>
              </w:rPr>
              <w:t>不适 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股权</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94"/>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40" w:lineRule="auto" w:before="17"/>
              <w:ind w:left="24" w:right="9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www.cni</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z w:val="18"/>
                <w:szCs w:val="18"/>
              </w:rPr>
              <w:t>nfo.com):</w:t>
            </w:r>
          </w:p>
          <w:p>
            <w:pPr>
              <w:pStyle w:val="TableParagraph"/>
              <w:spacing w:line="215" w:lineRule="exact"/>
              <w:ind w:left="24" w:right="0"/>
              <w:jc w:val="left"/>
              <w:rPr>
                <w:rFonts w:ascii="宋体" w:hAnsi="宋体" w:cs="宋体" w:eastAsia="宋体" w:hint="default"/>
                <w:sz w:val="18"/>
                <w:szCs w:val="18"/>
              </w:rPr>
            </w:pPr>
            <w:r>
              <w:rPr>
                <w:rFonts w:ascii="宋体" w:hAnsi="宋体" w:cs="宋体" w:eastAsia="宋体" w:hint="default"/>
                <w:sz w:val="18"/>
                <w:szCs w:val="18"/>
              </w:rPr>
              <w:t>《关于对</w:t>
            </w:r>
          </w:p>
          <w:p>
            <w:pPr>
              <w:pStyle w:val="TableParagraph"/>
              <w:spacing w:line="316" w:lineRule="auto" w:before="76"/>
              <w:ind w:left="24" w:right="43"/>
              <w:jc w:val="left"/>
              <w:rPr>
                <w:rFonts w:ascii="宋体" w:hAnsi="宋体" w:cs="宋体" w:eastAsia="宋体" w:hint="default"/>
                <w:sz w:val="18"/>
                <w:szCs w:val="18"/>
              </w:rPr>
            </w:pPr>
            <w:r>
              <w:rPr>
                <w:rFonts w:ascii="宋体" w:hAnsi="宋体" w:cs="宋体" w:eastAsia="宋体" w:hint="default"/>
                <w:sz w:val="18"/>
                <w:szCs w:val="18"/>
              </w:rPr>
              <w:t>参股公司 增资暨关 联交易的 </w:t>
            </w:r>
            <w:r>
              <w:rPr>
                <w:rFonts w:ascii="宋体" w:hAnsi="宋体" w:cs="宋体" w:eastAsia="宋体" w:hint="default"/>
                <w:spacing w:val="-19"/>
                <w:sz w:val="18"/>
                <w:szCs w:val="18"/>
              </w:rPr>
              <w:t>公告》（公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Times New Roman" w:hAnsi="Times New Roman" w:cs="Times New Roman" w:eastAsia="Times New Roman" w:hint="default"/>
                <w:sz w:val="18"/>
                <w:szCs w:val="18"/>
              </w:rPr>
              <w:t>2018-096</w:t>
            </w:r>
            <w:r>
              <w:rPr>
                <w:rFonts w:ascii="宋体" w:hAnsi="宋体" w:cs="宋体" w:eastAsia="宋体" w:hint="default"/>
                <w:sz w:val="18"/>
                <w:szCs w:val="18"/>
              </w:rPr>
              <w:t>）</w:t>
            </w:r>
          </w:p>
        </w:tc>
      </w:tr>
      <w:tr>
        <w:trPr>
          <w:trHeight w:val="713"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1"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0.00</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960"/>
        <w:gridCol w:w="1322"/>
        <w:gridCol w:w="1229"/>
        <w:gridCol w:w="1133"/>
        <w:gridCol w:w="1100"/>
        <w:gridCol w:w="955"/>
        <w:gridCol w:w="780"/>
        <w:gridCol w:w="1133"/>
        <w:gridCol w:w="955"/>
      </w:tblGrid>
      <w:tr>
        <w:trPr>
          <w:trHeight w:val="401"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9" w:right="0"/>
              <w:jc w:val="left"/>
              <w:rPr>
                <w:rFonts w:ascii="宋体" w:hAnsi="宋体" w:cs="宋体" w:eastAsia="宋体" w:hint="default"/>
                <w:sz w:val="18"/>
                <w:szCs w:val="18"/>
              </w:rPr>
            </w:pPr>
            <w:r>
              <w:rPr>
                <w:rFonts w:ascii="宋体" w:hAnsi="宋体" w:cs="宋体" w:eastAsia="宋体" w:hint="default"/>
                <w:sz w:val="18"/>
                <w:szCs w:val="18"/>
              </w:rPr>
              <w:t>本期公允价值</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2" w:right="0"/>
              <w:jc w:val="left"/>
              <w:rPr>
                <w:rFonts w:ascii="宋体" w:hAnsi="宋体" w:cs="宋体" w:eastAsia="宋体" w:hint="default"/>
                <w:sz w:val="18"/>
                <w:szCs w:val="18"/>
              </w:rPr>
            </w:pPr>
            <w:r>
              <w:rPr>
                <w:rFonts w:ascii="宋体" w:hAnsi="宋体" w:cs="宋体" w:eastAsia="宋体" w:hint="default"/>
                <w:sz w:val="18"/>
                <w:szCs w:val="18"/>
              </w:rPr>
              <w:t>计入权益的</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5" w:right="0"/>
              <w:jc w:val="left"/>
              <w:rPr>
                <w:rFonts w:ascii="宋体" w:hAnsi="宋体" w:cs="宋体" w:eastAsia="宋体" w:hint="default"/>
                <w:sz w:val="18"/>
                <w:szCs w:val="18"/>
              </w:rPr>
            </w:pPr>
            <w:r>
              <w:rPr>
                <w:rFonts w:ascii="宋体" w:hAnsi="宋体" w:cs="宋体" w:eastAsia="宋体" w:hint="default"/>
                <w:sz w:val="18"/>
                <w:szCs w:val="18"/>
              </w:rPr>
              <w:t>报告期内购</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报告期内售</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8" w:right="0"/>
              <w:jc w:val="left"/>
              <w:rPr>
                <w:rFonts w:ascii="宋体" w:hAnsi="宋体" w:cs="宋体" w:eastAsia="宋体" w:hint="default"/>
                <w:sz w:val="18"/>
                <w:szCs w:val="18"/>
              </w:rPr>
            </w:pPr>
            <w:r>
              <w:rPr>
                <w:rFonts w:ascii="宋体" w:hAnsi="宋体" w:cs="宋体" w:eastAsia="宋体" w:hint="default"/>
                <w:sz w:val="18"/>
                <w:szCs w:val="18"/>
              </w:rPr>
              <w:t>累计投资</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960"/>
        <w:gridCol w:w="1322"/>
        <w:gridCol w:w="1229"/>
        <w:gridCol w:w="1133"/>
        <w:gridCol w:w="1100"/>
        <w:gridCol w:w="955"/>
        <w:gridCol w:w="780"/>
        <w:gridCol w:w="1133"/>
        <w:gridCol w:w="955"/>
      </w:tblGrid>
      <w:tr>
        <w:trPr>
          <w:trHeight w:val="675"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变动损益</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92" w:right="108"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5" w:right="0"/>
              <w:jc w:val="left"/>
              <w:rPr>
                <w:rFonts w:ascii="宋体" w:hAnsi="宋体" w:cs="宋体" w:eastAsia="宋体" w:hint="default"/>
                <w:sz w:val="18"/>
                <w:szCs w:val="18"/>
              </w:rPr>
            </w:pPr>
            <w:r>
              <w:rPr>
                <w:rFonts w:ascii="宋体" w:hAnsi="宋体" w:cs="宋体" w:eastAsia="宋体" w:hint="default"/>
                <w:sz w:val="18"/>
                <w:szCs w:val="18"/>
              </w:rPr>
              <w:t>入金额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4" w:right="0"/>
              <w:jc w:val="left"/>
              <w:rPr>
                <w:rFonts w:ascii="宋体" w:hAnsi="宋体" w:cs="宋体" w:eastAsia="宋体" w:hint="default"/>
                <w:sz w:val="18"/>
                <w:szCs w:val="18"/>
              </w:rPr>
            </w:pPr>
            <w:r>
              <w:rPr>
                <w:rFonts w:ascii="宋体" w:hAnsi="宋体" w:cs="宋体" w:eastAsia="宋体" w:hint="default"/>
                <w:sz w:val="18"/>
                <w:szCs w:val="18"/>
              </w:rPr>
              <w:t>出金额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8"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34,244,071.46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center"/>
              <w:rPr>
                <w:rFonts w:ascii="Times New Roman" w:hAnsi="Times New Roman" w:cs="Times New Roman" w:eastAsia="Times New Roman" w:hint="default"/>
                <w:sz w:val="18"/>
                <w:szCs w:val="18"/>
              </w:rPr>
            </w:pPr>
            <w:r>
              <w:rPr>
                <w:rFonts w:ascii="Times New Roman"/>
                <w:sz w:val="18"/>
              </w:rPr>
              <w:t>-28,713,036.36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11,861,317.66</w:t>
            </w:r>
          </w:p>
        </w:tc>
        <w:tc>
          <w:tcPr>
            <w:tcW w:w="110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46,105,389.12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34,244,071.46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center"/>
              <w:rPr>
                <w:rFonts w:ascii="Times New Roman" w:hAnsi="Times New Roman" w:cs="Times New Roman" w:eastAsia="Times New Roman" w:hint="default"/>
                <w:sz w:val="18"/>
                <w:szCs w:val="18"/>
              </w:rPr>
            </w:pPr>
            <w:r>
              <w:rPr>
                <w:rFonts w:ascii="Times New Roman"/>
                <w:sz w:val="18"/>
              </w:rPr>
              <w:t>-28,713,036.36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11,861,317.66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9"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46,105,389.12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864"/>
        <w:gridCol w:w="871"/>
        <w:gridCol w:w="869"/>
        <w:gridCol w:w="872"/>
        <w:gridCol w:w="869"/>
        <w:gridCol w:w="869"/>
        <w:gridCol w:w="871"/>
        <w:gridCol w:w="869"/>
        <w:gridCol w:w="872"/>
        <w:gridCol w:w="869"/>
        <w:gridCol w:w="869"/>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 w:right="71"/>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71"/>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70"/>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48,386.13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21,175.78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39,939.95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8,446.18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3"/>
              <w:jc w:val="left"/>
              <w:rPr>
                <w:rFonts w:ascii="宋体" w:hAnsi="宋体" w:cs="宋体" w:eastAsia="宋体" w:hint="default"/>
                <w:sz w:val="18"/>
                <w:szCs w:val="18"/>
              </w:rPr>
            </w:pPr>
            <w:r>
              <w:rPr>
                <w:rFonts w:ascii="宋体" w:hAnsi="宋体" w:cs="宋体" w:eastAsia="宋体" w:hint="default"/>
                <w:sz w:val="18"/>
                <w:szCs w:val="18"/>
              </w:rPr>
              <w:t>募集资金 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48,386.13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21,175.78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39,939.95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1" w:right="0"/>
              <w:jc w:val="left"/>
              <w:rPr>
                <w:rFonts w:ascii="Times New Roman" w:hAnsi="Times New Roman" w:cs="Times New Roman" w:eastAsia="Times New Roman" w:hint="default"/>
                <w:sz w:val="18"/>
                <w:szCs w:val="18"/>
              </w:rPr>
            </w:pPr>
            <w:r>
              <w:rPr>
                <w:rFonts w:ascii="Times New Roman"/>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95"/>
                <w:sz w:val="18"/>
              </w:rPr>
              <w:t>8,446.18</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9"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月，公司首次公开发行股票募集资金总额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546,964,000.00 </w:t>
            </w:r>
            <w:r>
              <w:rPr>
                <w:rFonts w:ascii="宋体" w:hAnsi="宋体" w:cs="宋体" w:eastAsia="宋体" w:hint="default"/>
                <w:sz w:val="18"/>
                <w:szCs w:val="18"/>
              </w:rPr>
              <w:t>元，扣除发行费用后，实际募集资金净额为</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483,861,339.62 </w:t>
            </w:r>
            <w:r>
              <w:rPr>
                <w:rFonts w:ascii="宋体" w:hAnsi="宋体" w:cs="宋体" w:eastAsia="宋体" w:hint="default"/>
                <w:sz w:val="18"/>
                <w:szCs w:val="18"/>
              </w:rPr>
              <w:t>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年使用募集资金人民币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211,757,786.69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元，累计使用募集资金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总额人民币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62</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t>，尚未使用的募集资金总额为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元（不含银行</w:t>
            </w:r>
            <w:r>
              <w:rPr>
                <w:rFonts w:ascii="宋体" w:hAnsi="宋体" w:cs="宋体" w:eastAsia="宋体" w:hint="default"/>
                <w:spacing w:val="-3"/>
                <w:sz w:val="18"/>
                <w:szCs w:val="18"/>
              </w:rPr>
              <w:t>利</w:t>
            </w:r>
            <w:r>
              <w:rPr>
                <w:rFonts w:ascii="宋体" w:hAnsi="宋体" w:cs="宋体" w:eastAsia="宋体" w:hint="default"/>
                <w:sz w:val="18"/>
                <w:szCs w:val="18"/>
              </w:rPr>
              <w:t>息</w:t>
            </w:r>
            <w:r>
              <w:rPr>
                <w:rFonts w:ascii="宋体" w:hAnsi="宋体" w:cs="宋体" w:eastAsia="宋体" w:hint="default"/>
                <w:spacing w:val="-92"/>
                <w:sz w:val="18"/>
                <w:szCs w:val="18"/>
              </w:rPr>
              <w:t>）</w:t>
            </w:r>
            <w:r>
              <w:rPr>
                <w:rFonts w:ascii="宋体" w:hAnsi="宋体" w:cs="宋体" w:eastAsia="宋体" w:hint="default"/>
                <w:sz w:val="18"/>
                <w:szCs w:val="18"/>
              </w:rPr>
              <w:t>。尚未使用募集资金余额人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84,461,877.01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元以及收到的银行利息收入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3,533,255.07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87,995,132.08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元存放于募集资金专户中。</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2"/>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635"/>
        <w:gridCol w:w="600"/>
        <w:gridCol w:w="843"/>
        <w:gridCol w:w="1001"/>
        <w:gridCol w:w="852"/>
        <w:gridCol w:w="850"/>
        <w:gridCol w:w="708"/>
        <w:gridCol w:w="710"/>
        <w:gridCol w:w="709"/>
        <w:gridCol w:w="708"/>
        <w:gridCol w:w="425"/>
        <w:gridCol w:w="533"/>
      </w:tblGrid>
      <w:tr>
        <w:trPr>
          <w:trHeight w:val="227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362" w:right="93"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7" w:right="5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1" w:right="43"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59" w:right="60"/>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9" w:right="5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4" w:right="6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9"/>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7"/>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79"/>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59"/>
              <w:jc w:val="left"/>
              <w:rPr>
                <w:rFonts w:ascii="宋体" w:hAnsi="宋体" w:cs="宋体" w:eastAsia="宋体" w:hint="default"/>
                <w:sz w:val="18"/>
                <w:szCs w:val="18"/>
              </w:rPr>
            </w:pPr>
            <w:r>
              <w:rPr>
                <w:rFonts w:ascii="宋体" w:hAnsi="宋体" w:cs="宋体" w:eastAsia="宋体" w:hint="default"/>
                <w:sz w:val="18"/>
                <w:szCs w:val="18"/>
              </w:rPr>
              <w:t>一、医学检验解决 方案平台升级项目</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21,648.48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21,648.48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8,819.54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21,697.35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100.23%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9"/>
              <w:jc w:val="left"/>
              <w:rPr>
                <w:rFonts w:ascii="宋体" w:hAnsi="宋体" w:cs="宋体" w:eastAsia="宋体" w:hint="default"/>
                <w:sz w:val="18"/>
                <w:szCs w:val="18"/>
              </w:rPr>
            </w:pPr>
            <w:r>
              <w:rPr>
                <w:rFonts w:ascii="宋体" w:hAnsi="宋体" w:cs="宋体" w:eastAsia="宋体" w:hint="default"/>
                <w:sz w:val="18"/>
                <w:szCs w:val="18"/>
              </w:rPr>
              <w:t>不适 用</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720"/>
        <w:gridCol w:w="914"/>
        <w:gridCol w:w="600"/>
        <w:gridCol w:w="843"/>
        <w:gridCol w:w="1001"/>
        <w:gridCol w:w="852"/>
        <w:gridCol w:w="850"/>
        <w:gridCol w:w="708"/>
        <w:gridCol w:w="710"/>
        <w:gridCol w:w="709"/>
        <w:gridCol w:w="708"/>
        <w:gridCol w:w="425"/>
        <w:gridCol w:w="533"/>
      </w:tblGrid>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二、基因组学研究 中心建设项目</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10,741.35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10,741.35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5,381.77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10,787.66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不适 用</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159"/>
              <w:jc w:val="left"/>
              <w:rPr>
                <w:rFonts w:ascii="宋体" w:hAnsi="宋体" w:cs="宋体" w:eastAsia="宋体" w:hint="default"/>
                <w:sz w:val="18"/>
                <w:szCs w:val="18"/>
              </w:rPr>
            </w:pPr>
            <w:r>
              <w:rPr>
                <w:rFonts w:ascii="宋体" w:hAnsi="宋体" w:cs="宋体" w:eastAsia="宋体" w:hint="default"/>
                <w:sz w:val="18"/>
                <w:szCs w:val="18"/>
              </w:rPr>
              <w:t>三、信息系统建设 项目</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15,996.3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15,996.3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6,974.47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7,454.94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46.60%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29"/>
              <w:jc w:val="left"/>
              <w:rPr>
                <w:rFonts w:ascii="宋体" w:hAnsi="宋体" w:cs="宋体" w:eastAsia="宋体" w:hint="default"/>
                <w:sz w:val="18"/>
                <w:szCs w:val="18"/>
              </w:rPr>
            </w:pPr>
            <w:r>
              <w:rPr>
                <w:rFonts w:ascii="宋体" w:hAnsi="宋体" w:cs="宋体" w:eastAsia="宋体" w:hint="default"/>
                <w:sz w:val="18"/>
                <w:szCs w:val="18"/>
              </w:rPr>
              <w:t>不适 用</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33"/>
              <w:jc w:val="right"/>
              <w:rPr>
                <w:rFonts w:ascii="Times New Roman" w:hAnsi="Times New Roman" w:cs="Times New Roman" w:eastAsia="Times New Roman" w:hint="default"/>
                <w:sz w:val="18"/>
                <w:szCs w:val="18"/>
              </w:rPr>
            </w:pPr>
            <w:r>
              <w:rPr>
                <w:rFonts w:ascii="Times New Roman"/>
                <w:sz w:val="18"/>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48,386.13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48,386.13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21,175.78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39,939.95</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90" w:right="0"/>
              <w:jc w:val="lef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99"/>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0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33"/>
              <w:jc w:val="right"/>
              <w:rPr>
                <w:rFonts w:ascii="Times New Roman" w:hAnsi="Times New Roman" w:cs="Times New Roman" w:eastAsia="Times New Roman" w:hint="default"/>
                <w:sz w:val="18"/>
                <w:szCs w:val="18"/>
              </w:rPr>
            </w:pPr>
            <w:r>
              <w:rPr>
                <w:rFonts w:ascii="Times New Roman"/>
                <w:sz w:val="18"/>
              </w:rPr>
              <w:t>--</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48,386.13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48,386.13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21,175.78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39,939.95</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0" w:right="0"/>
              <w:jc w:val="lef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9"/>
              <w:jc w:val="right"/>
              <w:rPr>
                <w:rFonts w:ascii="Times New Roman" w:hAnsi="Times New Roman" w:cs="Times New Roman" w:eastAsia="Times New Roman" w:hint="default"/>
                <w:sz w:val="18"/>
                <w:szCs w:val="18"/>
              </w:rPr>
            </w:pPr>
            <w:r>
              <w:rPr>
                <w:rFonts w:ascii="Times New Roman"/>
                <w:sz w:val="18"/>
              </w:rPr>
              <w:t>--</w:t>
            </w:r>
          </w:p>
        </w:tc>
      </w:tr>
      <w:tr>
        <w:trPr>
          <w:trHeight w:val="1337"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 目）</w:t>
            </w:r>
          </w:p>
        </w:tc>
        <w:tc>
          <w:tcPr>
            <w:tcW w:w="79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5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超募资金的金额、 用途及使用进展情 况</w:t>
            </w:r>
          </w:p>
        </w:tc>
        <w:tc>
          <w:tcPr>
            <w:tcW w:w="79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4"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5"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9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公司以自筹资金预先投入医学检验解决方案平台升级项目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8,605.60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基因组学研究中心建设项目</w:t>
            </w:r>
          </w:p>
          <w:p>
            <w:pPr>
              <w:pStyle w:val="TableParagraph"/>
              <w:spacing w:line="307" w:lineRule="auto" w:before="63"/>
              <w:ind w:left="23"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4,694.92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信息系统建设项目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207.39 </w:t>
            </w:r>
            <w:r>
              <w:rPr>
                <w:rFonts w:ascii="宋体" w:hAnsi="宋体" w:cs="宋体" w:eastAsia="宋体" w:hint="default"/>
                <w:sz w:val="18"/>
                <w:szCs w:val="18"/>
              </w:rPr>
              <w:t>万元。安永华明会计师事务所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对公司以自筹 资金预先投入募投项目情况进行了专项审核，并出具了《深圳华大基因股份有限公司募集资金置换 </w:t>
            </w:r>
            <w:r>
              <w:rPr>
                <w:rFonts w:ascii="宋体" w:hAnsi="宋体" w:cs="宋体" w:eastAsia="宋体" w:hint="default"/>
                <w:spacing w:val="-5"/>
                <w:sz w:val="18"/>
                <w:szCs w:val="18"/>
              </w:rPr>
              <w:t>专项鉴证报告》（安永华明</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专字第</w:t>
            </w:r>
            <w:r>
              <w:rPr>
                <w:rFonts w:ascii="宋体" w:hAnsi="宋体" w:cs="宋体" w:eastAsia="宋体" w:hint="default"/>
                <w:spacing w:val="-39"/>
                <w:sz w:val="18"/>
                <w:szCs w:val="18"/>
              </w:rPr>
              <w:t> </w:t>
            </w:r>
            <w:r>
              <w:rPr>
                <w:rFonts w:ascii="Times New Roman" w:hAnsi="Times New Roman" w:cs="Times New Roman" w:eastAsia="Times New Roman" w:hint="default"/>
                <w:spacing w:val="-1"/>
                <w:w w:val="99"/>
                <w:sz w:val="18"/>
                <w:szCs w:val="18"/>
              </w:rPr>
              <w:t>61098952_H08</w:t>
            </w:r>
            <w:r>
              <w:rPr>
                <w:rFonts w:ascii="Times New Roman" w:hAnsi="Times New Roman" w:cs="Times New Roman" w:eastAsia="Times New Roman" w:hint="default"/>
                <w:spacing w:val="9"/>
                <w:w w:val="99"/>
                <w:sz w:val="18"/>
                <w:szCs w:val="18"/>
              </w:rPr>
              <w:t> </w:t>
            </w:r>
            <w:r>
              <w:rPr>
                <w:rFonts w:ascii="宋体" w:hAnsi="宋体" w:cs="宋体" w:eastAsia="宋体" w:hint="default"/>
                <w:spacing w:val="-5"/>
                <w:sz w:val="18"/>
                <w:szCs w:val="18"/>
              </w:rPr>
              <w:t>号），对募集资金投资项目预先投入自筹资金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的情况进行了核验和确认。</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日，公司第一届董事会第十四次会议审议通过了《关于使 </w:t>
            </w:r>
            <w:r>
              <w:rPr>
                <w:rFonts w:ascii="宋体" w:hAnsi="宋体" w:cs="宋体" w:eastAsia="宋体" w:hint="default"/>
                <w:spacing w:val="-3"/>
                <w:sz w:val="18"/>
                <w:szCs w:val="18"/>
              </w:rPr>
              <w:t>用募集资金置换预先已投入募投项目自筹资金的议案》。同意公司以募集资金置换预先投入的自筹资</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金总额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135,079,068.28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元。公司已完成置换预先投入的自筹资金。公司监事会、独立董事及保荐机构 均对该事项发表了明确同意意见。</w:t>
            </w:r>
          </w:p>
        </w:tc>
      </w:tr>
      <w:tr>
        <w:trPr>
          <w:trHeight w:val="1027"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6"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9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医学检验解决方案平台升级项目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募集资金结余金额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24.06 </w:t>
            </w:r>
            <w:r>
              <w:rPr>
                <w:rFonts w:ascii="宋体" w:hAnsi="宋体" w:cs="宋体" w:eastAsia="宋体" w:hint="default"/>
                <w:sz w:val="18"/>
                <w:szCs w:val="18"/>
              </w:rPr>
              <w:t>万元，主要为募集账户的剩余银行利息收 入。</w:t>
            </w:r>
          </w:p>
        </w:tc>
      </w:tr>
      <w:tr>
        <w:trPr>
          <w:trHeight w:val="362"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w:t>
            </w:r>
          </w:p>
        </w:tc>
        <w:tc>
          <w:tcPr>
            <w:tcW w:w="79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日第一届董事会第十三次会议决议，审议通过了《关于使用暂时闲置募集资</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1635"/>
        <w:gridCol w:w="7938"/>
      </w:tblGrid>
      <w:tr>
        <w:trPr>
          <w:trHeight w:val="254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金用途及去向</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both"/>
              <w:rPr>
                <w:rFonts w:ascii="宋体" w:hAnsi="宋体" w:cs="宋体" w:eastAsia="宋体" w:hint="default"/>
                <w:sz w:val="18"/>
                <w:szCs w:val="18"/>
              </w:rPr>
            </w:pPr>
            <w:r>
              <w:rPr>
                <w:rFonts w:ascii="宋体" w:hAnsi="宋体" w:cs="宋体" w:eastAsia="宋体" w:hint="default"/>
                <w:sz w:val="18"/>
                <w:szCs w:val="18"/>
              </w:rPr>
              <w:t>金进行现金管理的的议案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公</w:t>
            </w:r>
            <w:r>
              <w:rPr>
                <w:rFonts w:ascii="宋体" w:hAnsi="宋体" w:cs="宋体" w:eastAsia="宋体" w:hint="default"/>
                <w:sz w:val="18"/>
                <w:szCs w:val="18"/>
              </w:rPr>
              <w:t>司董事会决定使用额度不超过人民币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亿元的暂时闲置募</w:t>
            </w:r>
            <w:r>
              <w:rPr>
                <w:rFonts w:ascii="宋体" w:hAnsi="宋体" w:cs="宋体" w:eastAsia="宋体" w:hint="default"/>
                <w:spacing w:val="-3"/>
                <w:sz w:val="18"/>
                <w:szCs w:val="18"/>
              </w:rPr>
              <w:t>集</w:t>
            </w:r>
            <w:r>
              <w:rPr>
                <w:rFonts w:ascii="宋体" w:hAnsi="宋体" w:cs="宋体" w:eastAsia="宋体" w:hint="default"/>
                <w:sz w:val="18"/>
                <w:szCs w:val="18"/>
              </w:rPr>
              <w:t>资金进行</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现金管理，购买安全性高的银行保本型理财产品。为配合募集资金项目建设，公司于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日召开了第一届董事会第十九次会议，审议通过了《关于使用暂时闲置募集资金进行现金管理的</w:t>
            </w:r>
          </w:p>
          <w:p>
            <w:pPr>
              <w:pStyle w:val="TableParagraph"/>
              <w:spacing w:line="309" w:lineRule="auto" w:before="63"/>
              <w:ind w:left="23" w:right="158"/>
              <w:jc w:val="both"/>
              <w:rPr>
                <w:rFonts w:ascii="宋体" w:hAnsi="宋体" w:cs="宋体" w:eastAsia="宋体" w:hint="default"/>
                <w:sz w:val="18"/>
                <w:szCs w:val="18"/>
              </w:rPr>
            </w:pPr>
            <w:r>
              <w:rPr>
                <w:rFonts w:ascii="宋体" w:hAnsi="宋体" w:cs="宋体" w:eastAsia="宋体" w:hint="default"/>
                <w:spacing w:val="-3"/>
                <w:sz w:val="18"/>
                <w:szCs w:val="18"/>
              </w:rPr>
              <w:t>议案》，公司董事会决定闲置募集资金现金管理使用额度调整为不超过人民币</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pacing w:val="-1"/>
                <w:sz w:val="18"/>
                <w:szCs w:val="18"/>
              </w:rPr>
              <w:t>亿元，该额度在董</w:t>
            </w:r>
            <w:r>
              <w:rPr>
                <w:rFonts w:ascii="宋体" w:hAnsi="宋体" w:cs="宋体" w:eastAsia="宋体" w:hint="default"/>
                <w:sz w:val="18"/>
                <w:szCs w:val="18"/>
              </w:rPr>
              <w:t> 事会审议通过之日起一年内可循环滚动使用，购买安全性高的银行保本型理财产品，在授权期限及 额度范围内，资金可以滚动使用。</w:t>
            </w:r>
            <w:r>
              <w:rPr>
                <w:rFonts w:ascii="宋体" w:hAnsi="宋体" w:cs="宋体" w:eastAsia="宋体" w:hint="default"/>
                <w:spacing w:val="-1"/>
                <w:sz w:val="18"/>
                <w:szCs w:val="18"/>
              </w:rPr>
              <w:t> </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日，尚未使用的募集资金总额为</w:t>
            </w:r>
          </w:p>
          <w:p>
            <w:pPr>
              <w:pStyle w:val="TableParagraph"/>
              <w:spacing w:line="240" w:lineRule="auto" w:before="5"/>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84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元（不含银行</w:t>
            </w:r>
            <w:r>
              <w:rPr>
                <w:rFonts w:ascii="宋体" w:hAnsi="宋体" w:cs="宋体" w:eastAsia="宋体" w:hint="default"/>
                <w:spacing w:val="-3"/>
                <w:sz w:val="18"/>
                <w:szCs w:val="18"/>
              </w:rPr>
              <w:t>利</w:t>
            </w:r>
            <w:r>
              <w:rPr>
                <w:rFonts w:ascii="宋体" w:hAnsi="宋体" w:cs="宋体" w:eastAsia="宋体" w:hint="default"/>
                <w:sz w:val="18"/>
                <w:szCs w:val="18"/>
              </w:rPr>
              <w:t>息</w:t>
            </w:r>
            <w:r>
              <w:rPr>
                <w:rFonts w:ascii="宋体" w:hAnsi="宋体" w:cs="宋体" w:eastAsia="宋体" w:hint="default"/>
                <w:spacing w:val="-92"/>
                <w:sz w:val="18"/>
                <w:szCs w:val="18"/>
              </w:rPr>
              <w:t>）</w:t>
            </w:r>
            <w:r>
              <w:rPr>
                <w:rFonts w:ascii="宋体" w:hAnsi="宋体" w:cs="宋体" w:eastAsia="宋体" w:hint="default"/>
                <w:sz w:val="18"/>
                <w:szCs w:val="18"/>
              </w:rPr>
              <w:t>，尚未使用募集资金余额</w:t>
            </w:r>
            <w:r>
              <w:rPr>
                <w:rFonts w:ascii="宋体" w:hAnsi="宋体" w:cs="宋体" w:eastAsia="宋体" w:hint="default"/>
                <w:spacing w:val="2"/>
                <w:sz w:val="18"/>
                <w:szCs w:val="18"/>
              </w:rPr>
              <w:t>人</w:t>
            </w:r>
            <w:r>
              <w:rPr>
                <w:rFonts w:ascii="宋体" w:hAnsi="宋体" w:cs="宋体" w:eastAsia="宋体" w:hint="default"/>
                <w:sz w:val="18"/>
                <w:szCs w:val="18"/>
              </w:rPr>
              <w:t>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元以及收</w:t>
            </w:r>
            <w:r>
              <w:rPr>
                <w:rFonts w:ascii="宋体" w:hAnsi="宋体" w:cs="宋体" w:eastAsia="宋体" w:hint="default"/>
                <w:spacing w:val="-3"/>
                <w:sz w:val="18"/>
                <w:szCs w:val="18"/>
              </w:rPr>
              <w:t>到</w:t>
            </w:r>
            <w:r>
              <w:rPr>
                <w:rFonts w:ascii="宋体" w:hAnsi="宋体" w:cs="宋体" w:eastAsia="宋体" w:hint="default"/>
                <w:sz w:val="18"/>
                <w:szCs w:val="18"/>
              </w:rPr>
              <w:t>的银行利</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息收入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3,533,255.07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87,995,132.08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元存放于募集资金专户中。</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5"/>
          <w:szCs w:val="15"/>
        </w:rPr>
      </w:pPr>
    </w:p>
    <w:p>
      <w:pPr>
        <w:pStyle w:val="Heading2"/>
        <w:spacing w:line="240" w:lineRule="auto" w:before="26"/>
        <w:ind w:left="140"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21"/>
          <w:footerReference w:type="default" r:id="rId22"/>
          <w:pgSz w:w="16840" w:h="11910" w:orient="landscape"/>
          <w:pgMar w:header="870" w:footer="975" w:top="1060" w:bottom="1160" w:left="1300" w:right="1300"/>
          <w:pgNumType w:start="70"/>
        </w:sectPr>
      </w:pPr>
    </w:p>
    <w:p>
      <w:pPr>
        <w:pStyle w:val="BodyText"/>
        <w:spacing w:line="240" w:lineRule="auto" w:before="44"/>
        <w:ind w:left="140"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140"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40" w:right="0"/>
        <w:jc w:val="left"/>
      </w:pPr>
      <w:r>
        <w:rPr/>
        <w:t>单位：元</w:t>
      </w:r>
    </w:p>
    <w:p>
      <w:pPr>
        <w:spacing w:after="0" w:line="240" w:lineRule="auto"/>
        <w:jc w:val="left"/>
        <w:sectPr>
          <w:type w:val="continuous"/>
          <w:pgSz w:w="16840" w:h="11910" w:orient="landscape"/>
          <w:pgMar w:top="1060" w:bottom="1160" w:left="1300" w:right="1300"/>
          <w:cols w:num="2" w:equalWidth="0">
            <w:col w:w="4838" w:space="8403"/>
            <w:col w:w="999"/>
          </w:cols>
        </w:sectPr>
      </w:pPr>
    </w:p>
    <w:p>
      <w:pPr>
        <w:spacing w:line="240" w:lineRule="auto" w:before="1"/>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608"/>
        <w:gridCol w:w="317"/>
        <w:gridCol w:w="5847"/>
        <w:gridCol w:w="1109"/>
        <w:gridCol w:w="1315"/>
        <w:gridCol w:w="1184"/>
        <w:gridCol w:w="1181"/>
        <w:gridCol w:w="1181"/>
        <w:gridCol w:w="1181"/>
      </w:tblGrid>
      <w:tr>
        <w:trPr>
          <w:trHeight w:val="1339" w:hRule="exact"/>
        </w:trPr>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06" w:right="29" w:hanging="181"/>
              <w:jc w:val="left"/>
              <w:rPr>
                <w:rFonts w:ascii="宋体" w:hAnsi="宋体" w:cs="宋体" w:eastAsia="宋体" w:hint="default"/>
                <w:sz w:val="18"/>
                <w:szCs w:val="18"/>
              </w:rPr>
            </w:pPr>
            <w:r>
              <w:rPr>
                <w:rFonts w:ascii="宋体" w:hAnsi="宋体" w:cs="宋体" w:eastAsia="宋体" w:hint="default"/>
                <w:sz w:val="18"/>
                <w:szCs w:val="18"/>
              </w:rPr>
              <w:t>公司名 称</w:t>
            </w:r>
          </w:p>
        </w:tc>
        <w:tc>
          <w:tcPr>
            <w:tcW w:w="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2" w:right="62"/>
              <w:jc w:val="both"/>
              <w:rPr>
                <w:rFonts w:ascii="宋体" w:hAnsi="宋体" w:cs="宋体" w:eastAsia="宋体" w:hint="default"/>
                <w:sz w:val="18"/>
                <w:szCs w:val="18"/>
              </w:rPr>
            </w:pPr>
            <w:r>
              <w:rPr>
                <w:rFonts w:ascii="宋体" w:hAnsi="宋体" w:cs="宋体" w:eastAsia="宋体" w:hint="default"/>
                <w:sz w:val="18"/>
                <w:szCs w:val="18"/>
              </w:rPr>
              <w:t>公 司 类 型</w:t>
            </w:r>
          </w:p>
        </w:tc>
        <w:tc>
          <w:tcPr>
            <w:tcW w:w="5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649" w:hRule="exact"/>
        </w:trPr>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 w:right="34"/>
              <w:jc w:val="both"/>
              <w:rPr>
                <w:rFonts w:ascii="宋体" w:hAnsi="宋体" w:cs="宋体" w:eastAsia="宋体" w:hint="default"/>
                <w:sz w:val="18"/>
                <w:szCs w:val="18"/>
              </w:rPr>
            </w:pPr>
            <w:r>
              <w:rPr>
                <w:rFonts w:ascii="宋体" w:hAnsi="宋体" w:cs="宋体" w:eastAsia="宋体" w:hint="default"/>
                <w:sz w:val="18"/>
                <w:szCs w:val="18"/>
              </w:rPr>
              <w:t>深圳华 大临床 检验中 心</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01"/>
              <w:jc w:val="both"/>
              <w:rPr>
                <w:rFonts w:ascii="宋体" w:hAnsi="宋体" w:cs="宋体" w:eastAsia="宋体" w:hint="default"/>
                <w:sz w:val="18"/>
                <w:szCs w:val="18"/>
              </w:rPr>
            </w:pPr>
            <w:r>
              <w:rPr>
                <w:rFonts w:ascii="宋体" w:hAnsi="宋体" w:cs="宋体" w:eastAsia="宋体" w:hint="default"/>
                <w:sz w:val="18"/>
                <w:szCs w:val="18"/>
              </w:rPr>
              <w:t>子 公 司</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52"/>
              <w:jc w:val="left"/>
              <w:rPr>
                <w:rFonts w:ascii="宋体" w:hAnsi="宋体" w:cs="宋体" w:eastAsia="宋体" w:hint="default"/>
                <w:sz w:val="18"/>
                <w:szCs w:val="18"/>
              </w:rPr>
            </w:pPr>
            <w:r>
              <w:rPr>
                <w:rFonts w:ascii="宋体" w:hAnsi="宋体" w:cs="宋体" w:eastAsia="宋体" w:hint="default"/>
                <w:sz w:val="18"/>
                <w:szCs w:val="18"/>
              </w:rPr>
              <w:t>一般经营项目：生物技术研发、生物技术服务、技术转让与技术咨询（不 </w:t>
            </w:r>
            <w:r>
              <w:rPr>
                <w:rFonts w:ascii="宋体" w:hAnsi="宋体" w:cs="宋体" w:eastAsia="宋体" w:hint="default"/>
                <w:spacing w:val="-3"/>
                <w:sz w:val="18"/>
                <w:szCs w:val="18"/>
              </w:rPr>
              <w:t>含外商投资限制、禁止类目录）；经营货物及技术进出口业务（不含进口</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分销、国家专营专控商品）；试剂的购买与销售（科技服务类）；计算机软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件、信息系统软件的开发和软件信息服务；贸易经纪与代理。许可经营项 目：医疗用品及器械批发、零售；医学研究和试验发展；临床检验服务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1,636,431,947.47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300,851,200.65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716,450,544.76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133,206,450.85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112,532,698.41</w:t>
            </w:r>
          </w:p>
        </w:tc>
      </w:tr>
      <w:tr>
        <w:trPr>
          <w:trHeight w:val="3524" w:hRule="exact"/>
        </w:trPr>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 w:right="34"/>
              <w:jc w:val="both"/>
              <w:rPr>
                <w:rFonts w:ascii="宋体" w:hAnsi="宋体" w:cs="宋体" w:eastAsia="宋体" w:hint="default"/>
                <w:sz w:val="18"/>
                <w:szCs w:val="18"/>
              </w:rPr>
            </w:pPr>
            <w:r>
              <w:rPr>
                <w:rFonts w:ascii="宋体" w:hAnsi="宋体" w:cs="宋体" w:eastAsia="宋体" w:hint="default"/>
                <w:sz w:val="18"/>
                <w:szCs w:val="18"/>
              </w:rPr>
              <w:t>武汉华 大医学 检验所 有限公 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01"/>
              <w:jc w:val="both"/>
              <w:rPr>
                <w:rFonts w:ascii="宋体" w:hAnsi="宋体" w:cs="宋体" w:eastAsia="宋体" w:hint="default"/>
                <w:sz w:val="18"/>
                <w:szCs w:val="18"/>
              </w:rPr>
            </w:pPr>
            <w:r>
              <w:rPr>
                <w:rFonts w:ascii="宋体" w:hAnsi="宋体" w:cs="宋体" w:eastAsia="宋体" w:hint="default"/>
                <w:sz w:val="18"/>
                <w:szCs w:val="18"/>
              </w:rPr>
              <w:t>子 公 司</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1" w:right="52"/>
              <w:jc w:val="left"/>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个一级诊疗科目）医学检验科（临床免疫、血清学专业，临床细胞 </w:t>
            </w:r>
            <w:r>
              <w:rPr>
                <w:rFonts w:ascii="宋体" w:hAnsi="宋体" w:cs="宋体" w:eastAsia="宋体" w:hint="default"/>
                <w:spacing w:val="-9"/>
                <w:sz w:val="18"/>
                <w:szCs w:val="18"/>
              </w:rPr>
              <w:t>分子遗传学专业）；经营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III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类：医疗器械</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6840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临床检验分析仪器（含体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外诊断试剂）（凭许可证在核定期限内经营）。房屋租赁、设备租赁；货物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进出口、代理进出口、技术进出口（不含国家禁止进出口的货物及技 </w:t>
            </w:r>
            <w:r>
              <w:rPr>
                <w:rFonts w:ascii="宋体" w:hAnsi="宋体" w:cs="宋体" w:eastAsia="宋体" w:hint="default"/>
                <w:spacing w:val="-3"/>
                <w:sz w:val="18"/>
                <w:szCs w:val="18"/>
              </w:rPr>
              <w:t>术）；二类医疗器械：</w:t>
            </w:r>
            <w:r>
              <w:rPr>
                <w:rFonts w:ascii="Times New Roman" w:hAnsi="Times New Roman" w:cs="Times New Roman" w:eastAsia="Times New Roman" w:hint="default"/>
                <w:spacing w:val="-3"/>
                <w:sz w:val="18"/>
                <w:szCs w:val="18"/>
              </w:rPr>
              <w:t>6801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6802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6803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6804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6805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6806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6807</w:t>
            </w:r>
            <w:r>
              <w:rPr>
                <w:rFonts w:ascii="宋体" w:hAnsi="宋体" w:cs="宋体" w:eastAsia="宋体" w:hint="default"/>
                <w:spacing w:val="-3"/>
                <w:sz w:val="18"/>
                <w:szCs w:val="18"/>
              </w:rPr>
              <w:t>、</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6808</w:t>
            </w:r>
            <w:r>
              <w:rPr>
                <w:rFonts w:ascii="宋体" w:hAnsi="宋体" w:cs="宋体" w:eastAsia="宋体" w:hint="default"/>
                <w:sz w:val="18"/>
                <w:szCs w:val="18"/>
              </w:rPr>
              <w:t>、</w:t>
            </w:r>
            <w:r>
              <w:rPr>
                <w:rFonts w:ascii="Times New Roman" w:hAnsi="Times New Roman" w:cs="Times New Roman" w:eastAsia="Times New Roman" w:hint="default"/>
                <w:sz w:val="18"/>
                <w:szCs w:val="18"/>
              </w:rPr>
              <w:t>6809</w:t>
            </w:r>
            <w:r>
              <w:rPr>
                <w:rFonts w:ascii="宋体" w:hAnsi="宋体" w:cs="宋体" w:eastAsia="宋体" w:hint="default"/>
                <w:sz w:val="18"/>
                <w:szCs w:val="18"/>
              </w:rPr>
              <w:t>、</w:t>
            </w:r>
            <w:r>
              <w:rPr>
                <w:rFonts w:ascii="Times New Roman" w:hAnsi="Times New Roman" w:cs="Times New Roman" w:eastAsia="Times New Roman" w:hint="default"/>
                <w:sz w:val="18"/>
                <w:szCs w:val="18"/>
              </w:rPr>
              <w:t>6810</w:t>
            </w:r>
            <w:r>
              <w:rPr>
                <w:rFonts w:ascii="宋体" w:hAnsi="宋体" w:cs="宋体" w:eastAsia="宋体" w:hint="default"/>
                <w:sz w:val="18"/>
                <w:szCs w:val="18"/>
              </w:rPr>
              <w:t>、</w:t>
            </w:r>
            <w:r>
              <w:rPr>
                <w:rFonts w:ascii="Times New Roman" w:hAnsi="Times New Roman" w:cs="Times New Roman" w:eastAsia="Times New Roman" w:hint="default"/>
                <w:sz w:val="18"/>
                <w:szCs w:val="18"/>
              </w:rPr>
              <w:t>6812</w:t>
            </w:r>
            <w:r>
              <w:rPr>
                <w:rFonts w:ascii="宋体" w:hAnsi="宋体" w:cs="宋体" w:eastAsia="宋体" w:hint="default"/>
                <w:sz w:val="18"/>
                <w:szCs w:val="18"/>
              </w:rPr>
              <w:t>、</w:t>
            </w:r>
            <w:r>
              <w:rPr>
                <w:rFonts w:ascii="Times New Roman" w:hAnsi="Times New Roman" w:cs="Times New Roman" w:eastAsia="Times New Roman" w:hint="default"/>
                <w:sz w:val="18"/>
                <w:szCs w:val="18"/>
              </w:rPr>
              <w:t>6813</w:t>
            </w:r>
            <w:r>
              <w:rPr>
                <w:rFonts w:ascii="宋体" w:hAnsi="宋体" w:cs="宋体" w:eastAsia="宋体" w:hint="default"/>
                <w:sz w:val="18"/>
                <w:szCs w:val="18"/>
              </w:rPr>
              <w:t>、</w:t>
            </w:r>
            <w:r>
              <w:rPr>
                <w:rFonts w:ascii="Times New Roman" w:hAnsi="Times New Roman" w:cs="Times New Roman" w:eastAsia="Times New Roman" w:hint="default"/>
                <w:sz w:val="18"/>
                <w:szCs w:val="18"/>
              </w:rPr>
              <w:t>6815</w:t>
            </w:r>
            <w:r>
              <w:rPr>
                <w:rFonts w:ascii="宋体" w:hAnsi="宋体" w:cs="宋体" w:eastAsia="宋体" w:hint="default"/>
                <w:sz w:val="18"/>
                <w:szCs w:val="18"/>
              </w:rPr>
              <w:t>、</w:t>
            </w:r>
            <w:r>
              <w:rPr>
                <w:rFonts w:ascii="Times New Roman" w:hAnsi="Times New Roman" w:cs="Times New Roman" w:eastAsia="Times New Roman" w:hint="default"/>
                <w:sz w:val="18"/>
                <w:szCs w:val="18"/>
              </w:rPr>
              <w:t>6816</w:t>
            </w:r>
            <w:r>
              <w:rPr>
                <w:rFonts w:ascii="宋体" w:hAnsi="宋体" w:cs="宋体" w:eastAsia="宋体" w:hint="default"/>
                <w:sz w:val="18"/>
                <w:szCs w:val="18"/>
              </w:rPr>
              <w:t>、</w:t>
            </w:r>
            <w:r>
              <w:rPr>
                <w:rFonts w:ascii="Times New Roman" w:hAnsi="Times New Roman" w:cs="Times New Roman" w:eastAsia="Times New Roman" w:hint="default"/>
                <w:sz w:val="18"/>
                <w:szCs w:val="18"/>
              </w:rPr>
              <w:t>6820</w:t>
            </w:r>
            <w:r>
              <w:rPr>
                <w:rFonts w:ascii="宋体" w:hAnsi="宋体" w:cs="宋体" w:eastAsia="宋体" w:hint="default"/>
                <w:sz w:val="18"/>
                <w:szCs w:val="18"/>
              </w:rPr>
              <w:t>、</w:t>
            </w:r>
            <w:r>
              <w:rPr>
                <w:rFonts w:ascii="Times New Roman" w:hAnsi="Times New Roman" w:cs="Times New Roman" w:eastAsia="Times New Roman" w:hint="default"/>
                <w:sz w:val="18"/>
                <w:szCs w:val="18"/>
              </w:rPr>
              <w:t>6821</w:t>
            </w:r>
            <w:r>
              <w:rPr>
                <w:rFonts w:ascii="宋体" w:hAnsi="宋体" w:cs="宋体" w:eastAsia="宋体" w:hint="default"/>
                <w:sz w:val="18"/>
                <w:szCs w:val="18"/>
              </w:rPr>
              <w:t>、</w:t>
            </w:r>
            <w:r>
              <w:rPr>
                <w:rFonts w:ascii="Times New Roman" w:hAnsi="Times New Roman" w:cs="Times New Roman" w:eastAsia="Times New Roman" w:hint="default"/>
                <w:sz w:val="18"/>
                <w:szCs w:val="18"/>
              </w:rPr>
              <w:t>6822</w:t>
            </w:r>
            <w:r>
              <w:rPr>
                <w:rFonts w:ascii="宋体" w:hAnsi="宋体" w:cs="宋体" w:eastAsia="宋体" w:hint="default"/>
                <w:sz w:val="18"/>
                <w:szCs w:val="18"/>
              </w:rPr>
              <w:t>、</w:t>
            </w:r>
          </w:p>
          <w:p>
            <w:pPr>
              <w:pStyle w:val="TableParagraph"/>
              <w:spacing w:line="240" w:lineRule="auto" w:before="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6823</w:t>
            </w:r>
            <w:r>
              <w:rPr>
                <w:rFonts w:ascii="宋体" w:hAnsi="宋体" w:cs="宋体" w:eastAsia="宋体" w:hint="default"/>
                <w:sz w:val="18"/>
                <w:szCs w:val="18"/>
              </w:rPr>
              <w:t>、</w:t>
            </w:r>
            <w:r>
              <w:rPr>
                <w:rFonts w:ascii="Times New Roman" w:hAnsi="Times New Roman" w:cs="Times New Roman" w:eastAsia="Times New Roman" w:hint="default"/>
                <w:sz w:val="18"/>
                <w:szCs w:val="18"/>
              </w:rPr>
              <w:t>6824</w:t>
            </w:r>
            <w:r>
              <w:rPr>
                <w:rFonts w:ascii="宋体" w:hAnsi="宋体" w:cs="宋体" w:eastAsia="宋体" w:hint="default"/>
                <w:sz w:val="18"/>
                <w:szCs w:val="18"/>
              </w:rPr>
              <w:t>、</w:t>
            </w:r>
            <w:r>
              <w:rPr>
                <w:rFonts w:ascii="Times New Roman" w:hAnsi="Times New Roman" w:cs="Times New Roman" w:eastAsia="Times New Roman" w:hint="default"/>
                <w:sz w:val="18"/>
                <w:szCs w:val="18"/>
              </w:rPr>
              <w:t>6825</w:t>
            </w:r>
            <w:r>
              <w:rPr>
                <w:rFonts w:ascii="宋体" w:hAnsi="宋体" w:cs="宋体" w:eastAsia="宋体" w:hint="default"/>
                <w:sz w:val="18"/>
                <w:szCs w:val="18"/>
              </w:rPr>
              <w:t>、</w:t>
            </w:r>
            <w:r>
              <w:rPr>
                <w:rFonts w:ascii="Times New Roman" w:hAnsi="Times New Roman" w:cs="Times New Roman" w:eastAsia="Times New Roman" w:hint="default"/>
                <w:sz w:val="18"/>
                <w:szCs w:val="18"/>
              </w:rPr>
              <w:t>6826</w:t>
            </w:r>
            <w:r>
              <w:rPr>
                <w:rFonts w:ascii="宋体" w:hAnsi="宋体" w:cs="宋体" w:eastAsia="宋体" w:hint="default"/>
                <w:sz w:val="18"/>
                <w:szCs w:val="18"/>
              </w:rPr>
              <w:t>、</w:t>
            </w:r>
            <w:r>
              <w:rPr>
                <w:rFonts w:ascii="Times New Roman" w:hAnsi="Times New Roman" w:cs="Times New Roman" w:eastAsia="Times New Roman" w:hint="default"/>
                <w:sz w:val="18"/>
                <w:szCs w:val="18"/>
              </w:rPr>
              <w:t>6827</w:t>
            </w:r>
            <w:r>
              <w:rPr>
                <w:rFonts w:ascii="宋体" w:hAnsi="宋体" w:cs="宋体" w:eastAsia="宋体" w:hint="default"/>
                <w:sz w:val="18"/>
                <w:szCs w:val="18"/>
              </w:rPr>
              <w:t>、</w:t>
            </w:r>
            <w:r>
              <w:rPr>
                <w:rFonts w:ascii="Times New Roman" w:hAnsi="Times New Roman" w:cs="Times New Roman" w:eastAsia="Times New Roman" w:hint="default"/>
                <w:sz w:val="18"/>
                <w:szCs w:val="18"/>
              </w:rPr>
              <w:t>6828</w:t>
            </w:r>
            <w:r>
              <w:rPr>
                <w:rFonts w:ascii="宋体" w:hAnsi="宋体" w:cs="宋体" w:eastAsia="宋体" w:hint="default"/>
                <w:sz w:val="18"/>
                <w:szCs w:val="18"/>
              </w:rPr>
              <w:t>、</w:t>
            </w:r>
            <w:r>
              <w:rPr>
                <w:rFonts w:ascii="Times New Roman" w:hAnsi="Times New Roman" w:cs="Times New Roman" w:eastAsia="Times New Roman" w:hint="default"/>
                <w:sz w:val="18"/>
                <w:szCs w:val="18"/>
              </w:rPr>
              <w:t>6830</w:t>
            </w:r>
            <w:r>
              <w:rPr>
                <w:rFonts w:ascii="宋体" w:hAnsi="宋体" w:cs="宋体" w:eastAsia="宋体" w:hint="default"/>
                <w:sz w:val="18"/>
                <w:szCs w:val="18"/>
              </w:rPr>
              <w:t>、</w:t>
            </w:r>
            <w:r>
              <w:rPr>
                <w:rFonts w:ascii="Times New Roman" w:hAnsi="Times New Roman" w:cs="Times New Roman" w:eastAsia="Times New Roman" w:hint="default"/>
                <w:sz w:val="18"/>
                <w:szCs w:val="18"/>
              </w:rPr>
              <w:t>6831</w:t>
            </w:r>
            <w:r>
              <w:rPr>
                <w:rFonts w:ascii="宋体" w:hAnsi="宋体" w:cs="宋体" w:eastAsia="宋体" w:hint="default"/>
                <w:sz w:val="18"/>
                <w:szCs w:val="18"/>
              </w:rPr>
              <w:t>、</w:t>
            </w:r>
            <w:r>
              <w:rPr>
                <w:rFonts w:ascii="Times New Roman" w:hAnsi="Times New Roman" w:cs="Times New Roman" w:eastAsia="Times New Roman" w:hint="default"/>
                <w:sz w:val="18"/>
                <w:szCs w:val="18"/>
              </w:rPr>
              <w:t>6832</w:t>
            </w:r>
            <w:r>
              <w:rPr>
                <w:rFonts w:ascii="宋体" w:hAnsi="宋体" w:cs="宋体" w:eastAsia="宋体" w:hint="default"/>
                <w:sz w:val="18"/>
                <w:szCs w:val="18"/>
              </w:rPr>
              <w:t>、</w:t>
            </w:r>
            <w:r>
              <w:rPr>
                <w:rFonts w:ascii="Times New Roman" w:hAnsi="Times New Roman" w:cs="Times New Roman" w:eastAsia="Times New Roman" w:hint="default"/>
                <w:sz w:val="18"/>
                <w:szCs w:val="18"/>
              </w:rPr>
              <w:t>6833</w:t>
            </w:r>
            <w:r>
              <w:rPr>
                <w:rFonts w:ascii="宋体" w:hAnsi="宋体" w:cs="宋体" w:eastAsia="宋体" w:hint="default"/>
                <w:sz w:val="18"/>
                <w:szCs w:val="18"/>
              </w:rPr>
              <w:t>、</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6834</w:t>
            </w:r>
            <w:r>
              <w:rPr>
                <w:rFonts w:ascii="宋体" w:hAnsi="宋体" w:cs="宋体" w:eastAsia="宋体" w:hint="default"/>
                <w:sz w:val="18"/>
                <w:szCs w:val="18"/>
              </w:rPr>
              <w:t>、</w:t>
            </w:r>
            <w:r>
              <w:rPr>
                <w:rFonts w:ascii="Times New Roman" w:hAnsi="Times New Roman" w:cs="Times New Roman" w:eastAsia="Times New Roman" w:hint="default"/>
                <w:sz w:val="18"/>
                <w:szCs w:val="18"/>
              </w:rPr>
              <w:t>6840</w:t>
            </w:r>
            <w:r>
              <w:rPr>
                <w:rFonts w:ascii="宋体" w:hAnsi="宋体" w:cs="宋体" w:eastAsia="宋体" w:hint="default"/>
                <w:sz w:val="18"/>
                <w:szCs w:val="18"/>
              </w:rPr>
              <w:t>、</w:t>
            </w:r>
            <w:r>
              <w:rPr>
                <w:rFonts w:ascii="Times New Roman" w:hAnsi="Times New Roman" w:cs="Times New Roman" w:eastAsia="Times New Roman" w:hint="default"/>
                <w:sz w:val="18"/>
                <w:szCs w:val="18"/>
              </w:rPr>
              <w:t>6841</w:t>
            </w:r>
            <w:r>
              <w:rPr>
                <w:rFonts w:ascii="宋体" w:hAnsi="宋体" w:cs="宋体" w:eastAsia="宋体" w:hint="default"/>
                <w:sz w:val="18"/>
                <w:szCs w:val="18"/>
              </w:rPr>
              <w:t>、</w:t>
            </w:r>
            <w:r>
              <w:rPr>
                <w:rFonts w:ascii="Times New Roman" w:hAnsi="Times New Roman" w:cs="Times New Roman" w:eastAsia="Times New Roman" w:hint="default"/>
                <w:sz w:val="18"/>
                <w:szCs w:val="18"/>
              </w:rPr>
              <w:t>6845</w:t>
            </w:r>
            <w:r>
              <w:rPr>
                <w:rFonts w:ascii="宋体" w:hAnsi="宋体" w:cs="宋体" w:eastAsia="宋体" w:hint="default"/>
                <w:sz w:val="18"/>
                <w:szCs w:val="18"/>
              </w:rPr>
              <w:t>、</w:t>
            </w:r>
            <w:r>
              <w:rPr>
                <w:rFonts w:ascii="Times New Roman" w:hAnsi="Times New Roman" w:cs="Times New Roman" w:eastAsia="Times New Roman" w:hint="default"/>
                <w:sz w:val="18"/>
                <w:szCs w:val="18"/>
              </w:rPr>
              <w:t>6846</w:t>
            </w:r>
            <w:r>
              <w:rPr>
                <w:rFonts w:ascii="宋体" w:hAnsi="宋体" w:cs="宋体" w:eastAsia="宋体" w:hint="default"/>
                <w:sz w:val="18"/>
                <w:szCs w:val="18"/>
              </w:rPr>
              <w:t>、</w:t>
            </w:r>
            <w:r>
              <w:rPr>
                <w:rFonts w:ascii="Times New Roman" w:hAnsi="Times New Roman" w:cs="Times New Roman" w:eastAsia="Times New Roman" w:hint="default"/>
                <w:sz w:val="18"/>
                <w:szCs w:val="18"/>
              </w:rPr>
              <w:t>6854</w:t>
            </w:r>
            <w:r>
              <w:rPr>
                <w:rFonts w:ascii="宋体" w:hAnsi="宋体" w:cs="宋体" w:eastAsia="宋体" w:hint="default"/>
                <w:sz w:val="18"/>
                <w:szCs w:val="18"/>
              </w:rPr>
              <w:t>、</w:t>
            </w:r>
            <w:r>
              <w:rPr>
                <w:rFonts w:ascii="Times New Roman" w:hAnsi="Times New Roman" w:cs="Times New Roman" w:eastAsia="Times New Roman" w:hint="default"/>
                <w:sz w:val="18"/>
                <w:szCs w:val="18"/>
              </w:rPr>
              <w:t>6855</w:t>
            </w:r>
            <w:r>
              <w:rPr>
                <w:rFonts w:ascii="宋体" w:hAnsi="宋体" w:cs="宋体" w:eastAsia="宋体" w:hint="default"/>
                <w:sz w:val="18"/>
                <w:szCs w:val="18"/>
              </w:rPr>
              <w:t>、</w:t>
            </w:r>
            <w:r>
              <w:rPr>
                <w:rFonts w:ascii="Times New Roman" w:hAnsi="Times New Roman" w:cs="Times New Roman" w:eastAsia="Times New Roman" w:hint="default"/>
                <w:sz w:val="18"/>
                <w:szCs w:val="18"/>
              </w:rPr>
              <w:t>6856</w:t>
            </w:r>
            <w:r>
              <w:rPr>
                <w:rFonts w:ascii="宋体" w:hAnsi="宋体" w:cs="宋体" w:eastAsia="宋体" w:hint="default"/>
                <w:sz w:val="18"/>
                <w:szCs w:val="18"/>
              </w:rPr>
              <w:t>、</w:t>
            </w:r>
            <w:r>
              <w:rPr>
                <w:rFonts w:ascii="Times New Roman" w:hAnsi="Times New Roman" w:cs="Times New Roman" w:eastAsia="Times New Roman" w:hint="default"/>
                <w:sz w:val="18"/>
                <w:szCs w:val="18"/>
              </w:rPr>
              <w:t>6857</w:t>
            </w:r>
            <w:r>
              <w:rPr>
                <w:rFonts w:ascii="宋体" w:hAnsi="宋体" w:cs="宋体" w:eastAsia="宋体" w:hint="default"/>
                <w:sz w:val="18"/>
                <w:szCs w:val="18"/>
              </w:rPr>
              <w:t>、</w:t>
            </w:r>
            <w:r>
              <w:rPr>
                <w:rFonts w:ascii="Times New Roman" w:hAnsi="Times New Roman" w:cs="Times New Roman" w:eastAsia="Times New Roman" w:hint="default"/>
                <w:sz w:val="18"/>
                <w:szCs w:val="18"/>
              </w:rPr>
              <w:t>6858</w:t>
            </w:r>
            <w:r>
              <w:rPr>
                <w:rFonts w:ascii="宋体" w:hAnsi="宋体" w:cs="宋体" w:eastAsia="宋体" w:hint="default"/>
                <w:sz w:val="18"/>
                <w:szCs w:val="18"/>
              </w:rPr>
              <w:t>、</w:t>
            </w:r>
          </w:p>
          <w:p>
            <w:pPr>
              <w:pStyle w:val="TableParagraph"/>
              <w:spacing w:line="309" w:lineRule="auto" w:before="63"/>
              <w:ind w:left="21" w:right="143"/>
              <w:jc w:val="both"/>
              <w:rPr>
                <w:rFonts w:ascii="宋体" w:hAnsi="宋体" w:cs="宋体" w:eastAsia="宋体" w:hint="default"/>
                <w:sz w:val="18"/>
                <w:szCs w:val="18"/>
              </w:rPr>
            </w:pPr>
            <w:r>
              <w:rPr>
                <w:rFonts w:ascii="Times New Roman" w:hAnsi="Times New Roman" w:cs="Times New Roman" w:eastAsia="Times New Roman" w:hint="default"/>
                <w:sz w:val="18"/>
                <w:szCs w:val="18"/>
              </w:rPr>
              <w:t>6863</w:t>
            </w:r>
            <w:r>
              <w:rPr>
                <w:rFonts w:ascii="宋体" w:hAnsi="宋体" w:cs="宋体" w:eastAsia="宋体" w:hint="default"/>
                <w:sz w:val="18"/>
                <w:szCs w:val="18"/>
              </w:rPr>
              <w:t>、</w:t>
            </w:r>
            <w:r>
              <w:rPr>
                <w:rFonts w:ascii="Times New Roman" w:hAnsi="Times New Roman" w:cs="Times New Roman" w:eastAsia="Times New Roman" w:hint="default"/>
                <w:sz w:val="18"/>
                <w:szCs w:val="18"/>
              </w:rPr>
              <w:t>6864</w:t>
            </w:r>
            <w:r>
              <w:rPr>
                <w:rFonts w:ascii="宋体" w:hAnsi="宋体" w:cs="宋体" w:eastAsia="宋体" w:hint="default"/>
                <w:sz w:val="18"/>
                <w:szCs w:val="18"/>
              </w:rPr>
              <w:t>、</w:t>
            </w:r>
            <w:r>
              <w:rPr>
                <w:rFonts w:ascii="Times New Roman" w:hAnsi="Times New Roman" w:cs="Times New Roman" w:eastAsia="Times New Roman" w:hint="default"/>
                <w:sz w:val="18"/>
                <w:szCs w:val="18"/>
              </w:rPr>
              <w:t>6865</w:t>
            </w:r>
            <w:r>
              <w:rPr>
                <w:rFonts w:ascii="宋体" w:hAnsi="宋体" w:cs="宋体" w:eastAsia="宋体" w:hint="default"/>
                <w:sz w:val="18"/>
                <w:szCs w:val="18"/>
              </w:rPr>
              <w:t>、</w:t>
            </w:r>
            <w:r>
              <w:rPr>
                <w:rFonts w:ascii="Times New Roman" w:hAnsi="Times New Roman" w:cs="Times New Roman" w:eastAsia="Times New Roman" w:hint="default"/>
                <w:sz w:val="18"/>
                <w:szCs w:val="18"/>
              </w:rPr>
              <w:t>6866</w:t>
            </w:r>
            <w:r>
              <w:rPr>
                <w:rFonts w:ascii="宋体" w:hAnsi="宋体" w:cs="宋体" w:eastAsia="宋体" w:hint="default"/>
                <w:sz w:val="18"/>
                <w:szCs w:val="18"/>
              </w:rPr>
              <w:t>、</w:t>
            </w:r>
            <w:r>
              <w:rPr>
                <w:rFonts w:ascii="Times New Roman" w:hAnsi="Times New Roman" w:cs="Times New Roman" w:eastAsia="Times New Roman" w:hint="default"/>
                <w:sz w:val="18"/>
                <w:szCs w:val="18"/>
              </w:rPr>
              <w:t>6870</w:t>
            </w:r>
            <w:r>
              <w:rPr>
                <w:rFonts w:ascii="宋体" w:hAnsi="宋体" w:cs="宋体" w:eastAsia="宋体" w:hint="default"/>
                <w:sz w:val="18"/>
                <w:szCs w:val="18"/>
              </w:rPr>
              <w:t>、</w:t>
            </w:r>
            <w:r>
              <w:rPr>
                <w:rFonts w:ascii="Times New Roman" w:hAnsi="Times New Roman" w:cs="Times New Roman" w:eastAsia="Times New Roman" w:hint="default"/>
                <w:sz w:val="18"/>
                <w:szCs w:val="18"/>
              </w:rPr>
              <w:t>6877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的销售；生命科学及生物技术研 </w:t>
            </w:r>
            <w:r>
              <w:rPr>
                <w:rFonts w:ascii="宋体" w:hAnsi="宋体" w:cs="宋体" w:eastAsia="宋体" w:hint="default"/>
                <w:spacing w:val="-3"/>
                <w:sz w:val="18"/>
                <w:szCs w:val="18"/>
              </w:rPr>
              <w:t>发、技术服务、技术转让、技术咨询。（依法须经批准的项目、经相关部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门批准后方可开展经营活动）</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1,940,179,159.03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583,384,853.36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972,831,489.40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202,797,836.03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170,632,795.21</w:t>
            </w:r>
          </w:p>
        </w:tc>
      </w:tr>
      <w:tr>
        <w:trPr>
          <w:trHeight w:val="1027" w:hRule="exact"/>
        </w:trPr>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1" w:right="34"/>
              <w:jc w:val="both"/>
              <w:rPr>
                <w:rFonts w:ascii="宋体" w:hAnsi="宋体" w:cs="宋体" w:eastAsia="宋体" w:hint="default"/>
                <w:sz w:val="18"/>
                <w:szCs w:val="18"/>
              </w:rPr>
            </w:pPr>
            <w:r>
              <w:rPr>
                <w:rFonts w:ascii="宋体" w:hAnsi="宋体" w:cs="宋体" w:eastAsia="宋体" w:hint="default"/>
                <w:sz w:val="18"/>
                <w:szCs w:val="18"/>
              </w:rPr>
              <w:t>天津华 大医学 检验所</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1"/>
              <w:jc w:val="both"/>
              <w:rPr>
                <w:rFonts w:ascii="宋体" w:hAnsi="宋体" w:cs="宋体" w:eastAsia="宋体" w:hint="default"/>
                <w:sz w:val="18"/>
                <w:szCs w:val="18"/>
              </w:rPr>
            </w:pPr>
            <w:r>
              <w:rPr>
                <w:rFonts w:ascii="宋体" w:hAnsi="宋体" w:cs="宋体" w:eastAsia="宋体" w:hint="default"/>
                <w:sz w:val="18"/>
                <w:szCs w:val="18"/>
              </w:rPr>
              <w:t>子 公 司</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1" w:right="54"/>
              <w:jc w:val="left"/>
              <w:rPr>
                <w:rFonts w:ascii="宋体" w:hAnsi="宋体" w:cs="宋体" w:eastAsia="宋体" w:hint="default"/>
                <w:sz w:val="18"/>
                <w:szCs w:val="18"/>
              </w:rPr>
            </w:pPr>
            <w:r>
              <w:rPr>
                <w:rFonts w:ascii="宋体" w:hAnsi="宋体" w:cs="宋体" w:eastAsia="宋体" w:hint="default"/>
                <w:spacing w:val="-3"/>
                <w:sz w:val="18"/>
                <w:szCs w:val="18"/>
              </w:rPr>
              <w:t>医学检验所（临床免疫、血清学专业、临床细胞分子遗传学专业）；医学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研究和试验发展；国际贸易及相关简单加工；自营和代理货物及技术的进 出口；生命科学及生物技术开发、生物技术服务、技术转让与技术咨询；</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564,000,664.15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275,935,492.12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199,153,119.05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52,663,321.19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48,604,873.65</w:t>
            </w:r>
          </w:p>
        </w:tc>
      </w:tr>
    </w:tbl>
    <w:p>
      <w:pPr>
        <w:spacing w:after="0" w:line="240" w:lineRule="auto"/>
        <w:jc w:val="center"/>
        <w:rPr>
          <w:rFonts w:ascii="Times New Roman" w:hAnsi="Times New Roman" w:cs="Times New Roman" w:eastAsia="Times New Roman" w:hint="default"/>
          <w:sz w:val="18"/>
          <w:szCs w:val="18"/>
        </w:rPr>
        <w:sectPr>
          <w:type w:val="continuous"/>
          <w:pgSz w:w="16840" w:h="11910" w:orient="landscape"/>
          <w:pgMar w:top="1060" w:bottom="1160" w:left="1300" w:right="1300"/>
        </w:sectPr>
      </w:pPr>
    </w:p>
    <w:p>
      <w:pPr>
        <w:spacing w:line="240" w:lineRule="auto" w:before="8"/>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608"/>
        <w:gridCol w:w="317"/>
        <w:gridCol w:w="5847"/>
        <w:gridCol w:w="1109"/>
        <w:gridCol w:w="1315"/>
        <w:gridCol w:w="1184"/>
        <w:gridCol w:w="1181"/>
        <w:gridCol w:w="1181"/>
        <w:gridCol w:w="1181"/>
      </w:tblGrid>
      <w:tr>
        <w:trPr>
          <w:trHeight w:val="689" w:hRule="exact"/>
        </w:trPr>
        <w:tc>
          <w:tcPr>
            <w:tcW w:w="608"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3"/>
              <w:ind w:left="21" w:right="34"/>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317" w:type="dxa"/>
            <w:tcBorders>
              <w:top w:val="single" w:sz="15" w:space="0" w:color="000000"/>
              <w:left w:val="single" w:sz="4" w:space="0" w:color="000000"/>
              <w:bottom w:val="single" w:sz="4" w:space="0" w:color="000000"/>
              <w:right w:val="single" w:sz="4" w:space="0" w:color="000000"/>
            </w:tcBorders>
          </w:tcPr>
          <w:p>
            <w:pPr/>
          </w:p>
        </w:tc>
        <w:tc>
          <w:tcPr>
            <w:tcW w:w="5847"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3"/>
              <w:ind w:left="21" w:right="54"/>
              <w:jc w:val="left"/>
              <w:rPr>
                <w:rFonts w:ascii="宋体" w:hAnsi="宋体" w:cs="宋体" w:eastAsia="宋体" w:hint="default"/>
                <w:sz w:val="18"/>
                <w:szCs w:val="18"/>
              </w:rPr>
            </w:pPr>
            <w:r>
              <w:rPr>
                <w:rFonts w:ascii="宋体" w:hAnsi="宋体" w:cs="宋体" w:eastAsia="宋体" w:hint="default"/>
                <w:sz w:val="18"/>
                <w:szCs w:val="18"/>
              </w:rPr>
              <w:t>实验室仪器设备及化学试剂、计算机软硬件及外围设备的销售（依法须经 </w:t>
            </w:r>
            <w:r>
              <w:rPr>
                <w:rFonts w:ascii="宋体" w:hAnsi="宋体" w:cs="宋体" w:eastAsia="宋体" w:hint="default"/>
                <w:spacing w:val="-4"/>
                <w:sz w:val="18"/>
                <w:szCs w:val="18"/>
              </w:rPr>
              <w:t>批准的项目，经相关部门批准后方可开展经营活动）。</w:t>
            </w:r>
          </w:p>
        </w:tc>
        <w:tc>
          <w:tcPr>
            <w:tcW w:w="1109"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
        </w:tc>
        <w:tc>
          <w:tcPr>
            <w:tcW w:w="1184"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r>
      <w:tr>
        <w:trPr>
          <w:trHeight w:val="3212" w:hRule="exact"/>
        </w:trPr>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 w:right="34"/>
              <w:jc w:val="both"/>
              <w:rPr>
                <w:rFonts w:ascii="宋体" w:hAnsi="宋体" w:cs="宋体" w:eastAsia="宋体" w:hint="default"/>
                <w:sz w:val="18"/>
                <w:szCs w:val="18"/>
              </w:rPr>
            </w:pPr>
            <w:r>
              <w:rPr>
                <w:rFonts w:ascii="宋体" w:hAnsi="宋体" w:cs="宋体" w:eastAsia="宋体" w:hint="default"/>
                <w:sz w:val="18"/>
                <w:szCs w:val="18"/>
              </w:rPr>
              <w:t>北京华 大吉比 爱生物 技术有 限公司</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子 公 司</w:t>
            </w:r>
          </w:p>
        </w:tc>
        <w:tc>
          <w:tcPr>
            <w:tcW w:w="5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提供技术开发、技术培训、技术咨询、技术服务、技术转让；化学试剂</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（不含危险化学品）的批发；货物进出口、技术进出口；销售化工产品</w:t>
            </w:r>
          </w:p>
          <w:p>
            <w:pPr>
              <w:pStyle w:val="TableParagraph"/>
              <w:spacing w:line="300" w:lineRule="auto" w:before="76"/>
              <w:ind w:left="21" w:right="69"/>
              <w:jc w:val="left"/>
              <w:rPr>
                <w:rFonts w:ascii="宋体" w:hAnsi="宋体" w:cs="宋体" w:eastAsia="宋体" w:hint="default"/>
                <w:sz w:val="18"/>
                <w:szCs w:val="18"/>
              </w:rPr>
            </w:pPr>
            <w:r>
              <w:rPr>
                <w:rFonts w:ascii="宋体" w:hAnsi="宋体" w:cs="宋体" w:eastAsia="宋体" w:hint="default"/>
                <w:spacing w:val="-3"/>
                <w:sz w:val="18"/>
                <w:szCs w:val="18"/>
              </w:rPr>
              <w:t>（不含危险化学品及一类易制毒化学品）、食用农产品；生产医疗器械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类、</w:t>
            </w:r>
            <w:r>
              <w:rPr>
                <w:rFonts w:ascii="Times New Roman" w:hAnsi="Times New Roman" w:cs="Times New Roman" w:eastAsia="Times New Roman" w:hint="default"/>
                <w:sz w:val="18"/>
                <w:szCs w:val="18"/>
              </w:rPr>
              <w:t>III </w:t>
            </w:r>
            <w:r>
              <w:rPr>
                <w:rFonts w:ascii="宋体" w:hAnsi="宋体" w:cs="宋体" w:eastAsia="宋体" w:hint="default"/>
                <w:sz w:val="18"/>
                <w:szCs w:val="18"/>
              </w:rPr>
              <w:t>类</w:t>
            </w:r>
            <w:r>
              <w:rPr>
                <w:rFonts w:ascii="Times New Roman" w:hAnsi="Times New Roman" w:cs="Times New Roman" w:eastAsia="Times New Roman" w:hint="default"/>
                <w:sz w:val="18"/>
                <w:szCs w:val="18"/>
              </w:rPr>
              <w:t>(</w:t>
            </w:r>
            <w:r>
              <w:rPr>
                <w:rFonts w:ascii="宋体" w:hAnsi="宋体" w:cs="宋体" w:eastAsia="宋体" w:hint="default"/>
                <w:sz w:val="18"/>
                <w:szCs w:val="18"/>
              </w:rPr>
              <w:t>以医疗器械生产许可证核定的范围为准</w:t>
            </w:r>
            <w:r>
              <w:rPr>
                <w:rFonts w:ascii="Times New Roman" w:hAnsi="Times New Roman" w:cs="Times New Roman" w:eastAsia="Times New Roman" w:hint="default"/>
                <w:sz w:val="18"/>
                <w:szCs w:val="18"/>
              </w:rPr>
              <w:t>)</w:t>
            </w:r>
            <w:r>
              <w:rPr>
                <w:rFonts w:ascii="宋体" w:hAnsi="宋体" w:cs="宋体" w:eastAsia="宋体" w:hint="default"/>
                <w:sz w:val="18"/>
                <w:szCs w:val="18"/>
              </w:rPr>
              <w:t>（生产许可证有效期至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日）；销售医疗器械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III </w:t>
            </w:r>
            <w:r>
              <w:rPr>
                <w:rFonts w:ascii="宋体" w:hAnsi="宋体" w:cs="宋体" w:eastAsia="宋体" w:hint="default"/>
                <w:sz w:val="18"/>
                <w:szCs w:val="18"/>
              </w:rPr>
              <w:t>类（以医疗器械经营企业许可证</w:t>
            </w:r>
          </w:p>
          <w:p>
            <w:pPr>
              <w:pStyle w:val="TableParagraph"/>
              <w:spacing w:line="309" w:lineRule="auto" w:before="13"/>
              <w:ind w:left="21" w:right="53"/>
              <w:jc w:val="left"/>
              <w:rPr>
                <w:rFonts w:ascii="宋体" w:hAnsi="宋体" w:cs="宋体" w:eastAsia="宋体" w:hint="default"/>
                <w:sz w:val="18"/>
                <w:szCs w:val="18"/>
              </w:rPr>
            </w:pPr>
            <w:r>
              <w:rPr>
                <w:rFonts w:ascii="宋体" w:hAnsi="宋体" w:cs="宋体" w:eastAsia="宋体" w:hint="default"/>
                <w:spacing w:val="-5"/>
                <w:sz w:val="18"/>
                <w:szCs w:val="18"/>
              </w:rPr>
              <w:t>核定的范围为准）（医疗器械经营许可证有效期至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31"/>
                <w:sz w:val="18"/>
                <w:szCs w:val="18"/>
              </w:rPr>
              <w:t>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预包装食品销售，含冷藏冷冻食品；特殊食品销售，限保健食品（食品经 营许可证有效期至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日）。（企业依法自主选择经营项目，</w:t>
            </w:r>
            <w:r>
              <w:rPr>
                <w:rFonts w:ascii="宋体" w:hAnsi="宋体" w:cs="宋体" w:eastAsia="宋体" w:hint="default"/>
                <w:sz w:val="18"/>
                <w:szCs w:val="18"/>
              </w:rPr>
              <w:t> 开展经营活动；依法须经批准的项目，经相关部门批准后依批准的内容开 </w:t>
            </w:r>
            <w:r>
              <w:rPr>
                <w:rFonts w:ascii="宋体" w:hAnsi="宋体" w:cs="宋体" w:eastAsia="宋体" w:hint="default"/>
                <w:spacing w:val="-3"/>
                <w:sz w:val="18"/>
                <w:szCs w:val="18"/>
              </w:rPr>
              <w:t>展经营活动；不得从事本市产业政策禁止和限制类项目的经营活动。）</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292,532,404.21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154,921,099.59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257,583,067.57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69,857,314.12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60,577,440.80</w:t>
            </w:r>
          </w:p>
        </w:tc>
      </w:tr>
    </w:tbl>
    <w:p>
      <w:pPr>
        <w:pStyle w:val="BodyText"/>
        <w:spacing w:line="240" w:lineRule="auto" w:before="51"/>
        <w:ind w:left="100" w:right="175"/>
        <w:jc w:val="left"/>
      </w:pPr>
      <w:r>
        <w:rPr/>
        <w:t>报告期内取得和处置子公司的情况</w:t>
      </w:r>
    </w:p>
    <w:p>
      <w:pPr>
        <w:pStyle w:val="BodyText"/>
        <w:spacing w:line="340" w:lineRule="auto" w:before="115"/>
        <w:ind w:left="100" w:right="118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pStyle w:val="BodyText"/>
        <w:spacing w:line="240" w:lineRule="auto" w:before="42"/>
        <w:ind w:left="100" w:right="175"/>
        <w:jc w:val="left"/>
      </w:pPr>
      <w:r>
        <w:rPr/>
        <w:t>北京华大吉比爱生物技术有限公司于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日完成工商登记变更，注册资本由</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万元人民币变更为</w:t>
      </w:r>
      <w:r>
        <w:rPr>
          <w:spacing w:val="-46"/>
        </w:rPr>
        <w:t> </w:t>
      </w:r>
      <w:r>
        <w:rPr>
          <w:rFonts w:ascii="Times New Roman" w:hAnsi="Times New Roman" w:cs="Times New Roman" w:eastAsia="Times New Roman" w:hint="default"/>
          <w:spacing w:val="-2"/>
        </w:rPr>
        <w:t>11,000</w:t>
      </w:r>
      <w:r>
        <w:rPr>
          <w:rFonts w:ascii="Times New Roman" w:hAnsi="Times New Roman" w:cs="Times New Roman" w:eastAsia="Times New Roman" w:hint="default"/>
          <w:spacing w:val="1"/>
        </w:rPr>
        <w:t> </w:t>
      </w:r>
      <w:r>
        <w:rPr/>
        <w:t>万元人民币。</w:t>
      </w:r>
    </w:p>
    <w:p>
      <w:pPr>
        <w:spacing w:after="0" w:line="240" w:lineRule="auto"/>
        <w:jc w:val="left"/>
        <w:sectPr>
          <w:pgSz w:w="16840" w:h="11910" w:orient="landscape"/>
          <w:pgMar w:header="870" w:footer="975" w:top="1060" w:bottom="1160" w:left="1340" w:right="1320"/>
        </w:sectPr>
      </w:pPr>
    </w:p>
    <w:p>
      <w:pPr>
        <w:spacing w:line="240" w:lineRule="auto" w:before="12"/>
        <w:rPr>
          <w:rFonts w:ascii="宋体" w:hAnsi="宋体" w:cs="宋体" w:eastAsia="宋体" w:hint="default"/>
          <w:sz w:val="19"/>
          <w:szCs w:val="19"/>
        </w:rPr>
      </w:pPr>
    </w:p>
    <w:p>
      <w:pPr>
        <w:pStyle w:val="Heading2"/>
        <w:spacing w:line="240" w:lineRule="auto" w:before="26"/>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430" w:lineRule="atLeast" w:before="152"/>
        <w:ind w:left="513" w:right="1213" w:hanging="104"/>
        <w:jc w:val="left"/>
        <w:rPr>
          <w:rFonts w:ascii="宋体" w:hAnsi="宋体" w:cs="宋体" w:eastAsia="宋体" w:hint="default"/>
          <w:sz w:val="18"/>
          <w:szCs w:val="18"/>
        </w:rPr>
      </w:pPr>
      <w:r>
        <w:rPr>
          <w:rFonts w:ascii="宋体" w:hAnsi="宋体" w:cs="宋体" w:eastAsia="宋体" w:hint="default"/>
          <w:b/>
          <w:bCs/>
          <w:sz w:val="18"/>
          <w:szCs w:val="18"/>
        </w:rPr>
        <w:t>（一）公司未来的发展规划与发展目标</w:t>
      </w:r>
      <w:r>
        <w:rPr>
          <w:rFonts w:ascii="宋体" w:hAnsi="宋体" w:cs="宋体" w:eastAsia="宋体" w:hint="default"/>
          <w:b/>
          <w:bCs/>
          <w:w w:val="99"/>
          <w:sz w:val="18"/>
          <w:szCs w:val="18"/>
        </w:rPr>
        <w:t> </w:t>
      </w:r>
      <w:r>
        <w:rPr>
          <w:rFonts w:ascii="宋体" w:hAnsi="宋体" w:cs="宋体" w:eastAsia="宋体" w:hint="default"/>
          <w:sz w:val="18"/>
          <w:szCs w:val="18"/>
        </w:rPr>
        <w:t>结合公司的现有科研、技术、市场、资源优势，利用覆盖贯穿组学的多技术和大数据平台，进一步扩张并深化全球市</w:t>
      </w:r>
    </w:p>
    <w:p>
      <w:pPr>
        <w:pStyle w:val="BodyText"/>
        <w:spacing w:line="316" w:lineRule="auto" w:before="76"/>
        <w:ind w:right="1214"/>
        <w:jc w:val="left"/>
      </w:pPr>
      <w:r>
        <w:rPr/>
        <w:t>场布局，通过多渠道整合完善多组学应用全产业链条，以测序技术、质谱技术等平台支撑的科研服务和临床服务为核心， 确立全球基因大数据中心、全球科技服务和精准医学服务行业引领者地位。</w:t>
      </w:r>
    </w:p>
    <w:p>
      <w:pPr>
        <w:pStyle w:val="BodyText"/>
        <w:spacing w:line="432" w:lineRule="exact" w:before="4"/>
        <w:ind w:left="513" w:right="1213"/>
        <w:jc w:val="left"/>
      </w:pPr>
      <w:r>
        <w:rPr>
          <w:rFonts w:ascii="Times New Roman" w:hAnsi="Times New Roman" w:cs="Times New Roman" w:eastAsia="Times New Roman" w:hint="default"/>
        </w:rPr>
        <w:t>1</w:t>
      </w:r>
      <w:r>
        <w:rPr/>
        <w:t>、建设生命科学数据库 建成世界领先的生命科学数据库、新型疾病控制服务平台，提高公司的核心竞争力，成为基因科技应用领域的行业领</w:t>
      </w:r>
    </w:p>
    <w:p>
      <w:pPr>
        <w:pStyle w:val="BodyText"/>
        <w:spacing w:line="240" w:lineRule="auto" w:before="15"/>
        <w:ind w:right="0"/>
        <w:jc w:val="both"/>
      </w:pPr>
      <w:r>
        <w:rPr/>
        <w:t>导者。</w:t>
      </w:r>
    </w:p>
    <w:p>
      <w:pPr>
        <w:pStyle w:val="BodyText"/>
        <w:spacing w:line="420" w:lineRule="atLeast" w:before="25"/>
        <w:ind w:left="513" w:right="1213"/>
        <w:jc w:val="left"/>
      </w:pPr>
      <w:r>
        <w:rPr>
          <w:rFonts w:ascii="Times New Roman" w:hAnsi="Times New Roman" w:cs="Times New Roman" w:eastAsia="Times New Roman" w:hint="default"/>
        </w:rPr>
        <w:t>2</w:t>
      </w:r>
      <w:r>
        <w:rPr/>
        <w:t>、产业链延伸 在现有多组学大数据和基因诊断业务的基础上，加强优势资源整合，加速利用多组学应用为大数据开发、生物智能、</w:t>
      </w:r>
    </w:p>
    <w:p>
      <w:pPr>
        <w:pStyle w:val="BodyText"/>
        <w:spacing w:line="316" w:lineRule="auto" w:before="76"/>
        <w:ind w:right="1214"/>
        <w:jc w:val="left"/>
      </w:pPr>
      <w:r>
        <w:rPr/>
        <w:t>全基因组诊断、肿瘤早筛、基因治疗、细胞治疗、免疫治疗、新药研发、合成生物学等领域积极赋能，不断提升公司自主 产品在生命科学应用领域的覆盖度，在生命科学产业大潮即将到来之际确立先发优势。</w:t>
      </w:r>
    </w:p>
    <w:p>
      <w:pPr>
        <w:pStyle w:val="BodyText"/>
        <w:spacing w:line="432" w:lineRule="exact" w:before="3"/>
        <w:ind w:left="513" w:right="1213"/>
        <w:jc w:val="left"/>
      </w:pPr>
      <w:r>
        <w:rPr>
          <w:rFonts w:ascii="Times New Roman" w:hAnsi="Times New Roman" w:cs="Times New Roman" w:eastAsia="Times New Roman" w:hint="default"/>
        </w:rPr>
        <w:t>3</w:t>
      </w:r>
      <w:r>
        <w:rPr/>
        <w:t>、深化全球布局 公司目前在中国内地、亚太、欧洲及美洲均设有分支机构，服务网络覆盖全球一百多个国家和地区。未来三年内，公</w:t>
      </w:r>
    </w:p>
    <w:p>
      <w:pPr>
        <w:pStyle w:val="BodyText"/>
        <w:spacing w:line="316" w:lineRule="auto" w:before="15"/>
        <w:ind w:right="1214"/>
        <w:jc w:val="left"/>
      </w:pPr>
      <w:r>
        <w:rPr/>
        <w:t>司将进一步巩固现有市场地位，完善研发、生产、营销、物流网络建设，不断深化全球合作，完成全球战略布局，提高品 牌知名度和国际影响力。</w:t>
      </w:r>
    </w:p>
    <w:p>
      <w:pPr>
        <w:pStyle w:val="BodyText"/>
        <w:spacing w:line="432" w:lineRule="exact" w:before="3"/>
        <w:ind w:left="513" w:right="1213"/>
        <w:jc w:val="left"/>
      </w:pPr>
      <w:r>
        <w:rPr>
          <w:rFonts w:ascii="Times New Roman" w:hAnsi="Times New Roman" w:cs="Times New Roman" w:eastAsia="Times New Roman" w:hint="default"/>
        </w:rPr>
        <w:t>4</w:t>
      </w:r>
      <w:r>
        <w:rPr/>
        <w:t>、通过并购重组，发挥协同效应 公司未来计划通过境内外并购等多种资本运作方式，深化公司的全球产业布局，发挥资产和业务之间的协同效应，快</w:t>
      </w:r>
    </w:p>
    <w:p>
      <w:pPr>
        <w:pStyle w:val="BodyText"/>
        <w:spacing w:line="240" w:lineRule="auto" w:before="15"/>
        <w:ind w:right="0"/>
        <w:jc w:val="both"/>
      </w:pPr>
      <w:r>
        <w:rPr/>
        <w:t>速实现战略目标。</w:t>
      </w:r>
    </w:p>
    <w:p>
      <w:pPr>
        <w:pStyle w:val="BodyText"/>
        <w:spacing w:line="420" w:lineRule="atLeast" w:before="25"/>
        <w:ind w:left="513" w:right="1213"/>
        <w:jc w:val="left"/>
      </w:pPr>
      <w:r>
        <w:rPr>
          <w:rFonts w:ascii="Times New Roman" w:hAnsi="Times New Roman" w:cs="Times New Roman" w:eastAsia="Times New Roman" w:hint="default"/>
        </w:rPr>
        <w:t>5</w:t>
      </w:r>
      <w:r>
        <w:rPr/>
        <w:t>、平台、技术全面提升 未来三年内，公司将建成全球领先的高通量、低成本组学大平台，掌握基因测序、质谱关键技术和生物数据分析核心</w:t>
      </w:r>
    </w:p>
    <w:p>
      <w:pPr>
        <w:pStyle w:val="BodyText"/>
        <w:spacing w:line="316" w:lineRule="auto" w:before="76"/>
        <w:ind w:right="1214"/>
        <w:jc w:val="left"/>
      </w:pPr>
      <w:r>
        <w:rPr/>
        <w:t>算法，依靠标志性科研成果保持世界领先的多组学大数据服务和应用研发能力，推动技术创新，树立行业标准，为全球客 户提供卓越的多组学大数据服务和医学检测服务。</w:t>
      </w:r>
    </w:p>
    <w:p>
      <w:pPr>
        <w:pStyle w:val="BodyText"/>
        <w:spacing w:line="432" w:lineRule="exact" w:before="4"/>
        <w:ind w:left="513" w:right="1213"/>
        <w:jc w:val="left"/>
      </w:pPr>
      <w:r>
        <w:rPr>
          <w:rFonts w:ascii="Times New Roman" w:hAnsi="Times New Roman" w:cs="Times New Roman" w:eastAsia="Times New Roman" w:hint="default"/>
        </w:rPr>
        <w:t>6</w:t>
      </w:r>
      <w:r>
        <w:rPr/>
        <w:t>、产品结构优化升级 以现有产品为起点，不断优化产品性能和质量，进一步做大做强现有的生育、肿瘤和感染等方向的临床检测产品，同</w:t>
      </w:r>
    </w:p>
    <w:p>
      <w:pPr>
        <w:pStyle w:val="BodyText"/>
        <w:spacing w:line="316" w:lineRule="auto" w:before="15"/>
        <w:ind w:right="1231"/>
        <w:jc w:val="both"/>
      </w:pPr>
      <w:r>
        <w:rPr/>
        <w:t>时加快科学研究成果向产业应用的转化，并推出更多临床应用基因检测产品，强化竞争优势。公司希望发掘更多的并购机 会来获取更多新的技术和能力；还将开发咨询服务，主要包括提供研发设计建议、复杂研发难题的解决方案等；公司还致 力于增加仪器多样性，以此增加客户吸引力，降低对供应商的依赖性，从而提供不受限于供应商的更多产品；公司将继续 建设云计算平台，提升生物信息学数据分析能力，计划与世界领先的云计算公司合作建立数据分析、存储以及传输的云平 台，实现各项业务进一步增长。</w:t>
      </w:r>
    </w:p>
    <w:p>
      <w:pPr>
        <w:pStyle w:val="BodyText"/>
        <w:spacing w:line="415" w:lineRule="auto" w:before="139"/>
        <w:ind w:left="513" w:right="1753"/>
        <w:jc w:val="left"/>
      </w:pPr>
      <w:r>
        <w:rPr>
          <w:rFonts w:ascii="Times New Roman" w:hAnsi="Times New Roman" w:cs="Times New Roman" w:eastAsia="Times New Roman" w:hint="default"/>
        </w:rPr>
        <w:t>7</w:t>
      </w:r>
      <w:r>
        <w:rPr/>
        <w:t>、人力资源发展提升 培养和引进多学科、多层次的技术与产业人才，完善人才培训和管理体系，构建国际水平的研发、市场团队。</w:t>
      </w:r>
    </w:p>
    <w:p>
      <w:pPr>
        <w:spacing w:after="0" w:line="415" w:lineRule="auto"/>
        <w:jc w:val="left"/>
        <w:sectPr>
          <w:headerReference w:type="default" r:id="rId23"/>
          <w:footerReference w:type="default" r:id="rId24"/>
          <w:pgSz w:w="11910" w:h="16840"/>
          <w:pgMar w:header="880" w:footer="974" w:top="1100" w:bottom="1160" w:left="980" w:right="0"/>
          <w:pgNumType w:start="72"/>
        </w:sectPr>
      </w:pPr>
    </w:p>
    <w:p>
      <w:pPr>
        <w:spacing w:line="240" w:lineRule="auto" w:before="0"/>
        <w:rPr>
          <w:rFonts w:ascii="宋体" w:hAnsi="宋体" w:cs="宋体" w:eastAsia="宋体" w:hint="default"/>
          <w:sz w:val="22"/>
          <w:szCs w:val="22"/>
        </w:rPr>
      </w:pPr>
    </w:p>
    <w:p>
      <w:pPr>
        <w:pStyle w:val="Heading5"/>
        <w:spacing w:line="240" w:lineRule="auto"/>
        <w:ind w:left="424" w:right="1133"/>
        <w:jc w:val="left"/>
        <w:rPr>
          <w:b w:val="0"/>
          <w:bCs w:val="0"/>
        </w:rPr>
      </w:pPr>
      <w:r>
        <w:rPr/>
        <w:t>（二）</w:t>
      </w:r>
      <w:r>
        <w:rPr>
          <w:rFonts w:ascii="Times New Roman" w:hAnsi="Times New Roman" w:cs="Times New Roman" w:eastAsia="Times New Roman" w:hint="default"/>
        </w:rPr>
        <w:t>2019</w:t>
      </w:r>
      <w:r>
        <w:rPr/>
        <w:t>年度经营计划</w:t>
      </w:r>
      <w:r>
        <w:rPr>
          <w:b w:val="0"/>
          <w:bCs w:val="0"/>
        </w:rPr>
      </w:r>
    </w:p>
    <w:p>
      <w:pPr>
        <w:spacing w:line="240" w:lineRule="auto" w:before="13"/>
        <w:rPr>
          <w:rFonts w:ascii="宋体" w:hAnsi="宋体" w:cs="宋体" w:eastAsia="宋体" w:hint="default"/>
          <w:b/>
          <w:bCs/>
          <w:sz w:val="13"/>
          <w:szCs w:val="13"/>
        </w:rPr>
      </w:pPr>
    </w:p>
    <w:p>
      <w:pPr>
        <w:pStyle w:val="BodyText"/>
        <w:spacing w:line="314" w:lineRule="auto"/>
        <w:ind w:right="1129" w:firstLine="360"/>
        <w:jc w:val="both"/>
      </w:pPr>
      <w:r>
        <w:rPr>
          <w:rFonts w:ascii="Times New Roman" w:hAnsi="Times New Roman" w:cs="Times New Roman" w:eastAsia="Times New Roman" w:hint="default"/>
          <w:spacing w:val="-2"/>
        </w:rPr>
        <w:t>2019</w:t>
      </w:r>
      <w:r>
        <w:rPr>
          <w:spacing w:val="-2"/>
        </w:rPr>
        <w:t>年度，公司将坚持</w:t>
      </w:r>
      <w:r>
        <w:rPr>
          <w:rFonts w:ascii="Times New Roman" w:hAnsi="Times New Roman" w:cs="Times New Roman" w:eastAsia="Times New Roman" w:hint="default"/>
          <w:spacing w:val="-2"/>
        </w:rPr>
        <w:t>“</w:t>
      </w:r>
      <w:r>
        <w:rPr>
          <w:spacing w:val="-2"/>
        </w:rPr>
        <w:t>大目标造福</w:t>
      </w:r>
      <w:r>
        <w:rPr>
          <w:rFonts w:ascii="Times New Roman" w:hAnsi="Times New Roman" w:cs="Times New Roman" w:eastAsia="Times New Roman" w:hint="default"/>
          <w:spacing w:val="-2"/>
        </w:rPr>
        <w:t>”</w:t>
      </w:r>
      <w:r>
        <w:rPr>
          <w:spacing w:val="-2"/>
        </w:rPr>
        <w:t>宗旨，结合政府工作方针指示，及行业与市场发展的特点，密切关注资本市场的动</w:t>
      </w:r>
      <w:r>
        <w:rPr/>
        <w:t> </w:t>
      </w:r>
      <w:r>
        <w:rPr>
          <w:spacing w:val="-5"/>
        </w:rPr>
        <w:t>向，允许人才队伍结构合理优化，更富有前瞻性的战略调整，以及行业生态的有效构建，以确保业绩达到预期目标。特别是，</w:t>
      </w:r>
      <w:r>
        <w:rPr>
          <w:spacing w:val="-80"/>
        </w:rPr>
        <w:t> </w:t>
      </w:r>
      <w:r>
        <w:rPr>
          <w:spacing w:val="-80"/>
        </w:rPr>
      </w:r>
      <w:r>
        <w:rPr>
          <w:spacing w:val="-2"/>
        </w:rPr>
        <w:t>公司将继续加大在大数据能力方面的投入，在现有平台基础上开发生命大数据操作系统，不断升级、优化各类数据库，探索</w:t>
      </w:r>
      <w:r>
        <w:rPr>
          <w:spacing w:val="-64"/>
        </w:rPr>
        <w:t> </w:t>
      </w:r>
      <w:r>
        <w:rPr>
          <w:spacing w:val="-64"/>
        </w:rPr>
      </w:r>
      <w:r>
        <w:rPr>
          <w:spacing w:val="-2"/>
        </w:rPr>
        <w:t>大数据在产品升级、新产品开发等方面的应用，并进一步制定、完善相关管理制度。公司管理层针对全年经营业务开展提出</w:t>
      </w:r>
      <w:r>
        <w:rPr>
          <w:spacing w:val="-64"/>
        </w:rPr>
        <w:t> </w:t>
      </w:r>
      <w:r>
        <w:rPr>
          <w:spacing w:val="-64"/>
        </w:rPr>
      </w:r>
      <w:r>
        <w:rPr/>
        <w:t>关键任务与工作方向，并根据每项任务确定相应经营目标：</w:t>
      </w:r>
    </w:p>
    <w:p>
      <w:pPr>
        <w:pStyle w:val="BodyText"/>
        <w:spacing w:line="415" w:lineRule="auto" w:before="140"/>
        <w:ind w:left="513" w:right="1133"/>
        <w:jc w:val="left"/>
      </w:pPr>
      <w:r>
        <w:rPr>
          <w:rFonts w:ascii="Times New Roman" w:hAnsi="Times New Roman" w:cs="Times New Roman" w:eastAsia="Times New Roman" w:hint="default"/>
        </w:rPr>
        <w:t>1</w:t>
      </w:r>
      <w:r>
        <w:rPr/>
        <w:t>、坚守出生缺陷防控阵线 无创产前基因检测继续保持强劲增长的势头，公司探索进一步将无创产前检测由染色体提升到单基因病水平满足临床</w:t>
      </w:r>
    </w:p>
    <w:p>
      <w:pPr>
        <w:pStyle w:val="BodyText"/>
        <w:spacing w:line="194" w:lineRule="exact"/>
        <w:ind w:right="986"/>
        <w:jc w:val="left"/>
        <w:rPr>
          <w:rFonts w:ascii="Times New Roman" w:hAnsi="Times New Roman" w:cs="Times New Roman" w:eastAsia="Times New Roman" w:hint="default"/>
        </w:rPr>
      </w:pPr>
      <w:r>
        <w:rPr/>
        <w:t>对于无创检测的进一步需求，并确保产品在市场中的绝对竞争力；地贫检测产品进一步升级，拟将</w:t>
      </w:r>
      <w:r>
        <w:rPr>
          <w:rFonts w:ascii="Times New Roman" w:hAnsi="Times New Roman" w:cs="Times New Roman" w:eastAsia="Times New Roman" w:hint="default"/>
        </w:rPr>
        <w:t>301</w:t>
      </w:r>
      <w:r>
        <w:rPr/>
        <w:t>个检测位点升级至</w:t>
      </w:r>
      <w:r>
        <w:rPr>
          <w:rFonts w:ascii="Times New Roman" w:hAnsi="Times New Roman" w:cs="Times New Roman" w:eastAsia="Times New Roman" w:hint="default"/>
        </w:rPr>
        <w:t>500</w:t>
      </w:r>
    </w:p>
    <w:p>
      <w:pPr>
        <w:pStyle w:val="BodyText"/>
        <w:spacing w:line="307" w:lineRule="auto" w:before="63"/>
        <w:ind w:right="1133"/>
        <w:jc w:val="both"/>
      </w:pPr>
      <w:r>
        <w:rPr/>
        <w:t>个位点左右，进一步提高产品检出率；推出开展羊水全外显子</w:t>
      </w:r>
      <w:r>
        <w:rPr>
          <w:rFonts w:ascii="Times New Roman" w:hAnsi="Times New Roman" w:cs="Times New Roman" w:eastAsia="Times New Roman" w:hint="default"/>
        </w:rPr>
        <w:t>/</w:t>
      </w:r>
      <w:r>
        <w:rPr/>
        <w:t>全基因组检测产品，在染色体检测基础上增加单基因疾病检</w:t>
      </w:r>
      <w:r>
        <w:rPr>
          <w:spacing w:val="-48"/>
        </w:rPr>
        <w:t> </w:t>
      </w:r>
      <w:r>
        <w:rPr>
          <w:spacing w:val="-48"/>
        </w:rPr>
      </w:r>
      <w:r>
        <w:rPr>
          <w:spacing w:val="-2"/>
        </w:rPr>
        <w:t>测；推出定位辅助诊断的临床全基因组检测产品及定位筛查的新生儿全基因组产品，对于单基因病的诊断与防控具有重要意</w:t>
      </w:r>
      <w:r>
        <w:rPr>
          <w:spacing w:val="-64"/>
        </w:rPr>
        <w:t> </w:t>
      </w:r>
      <w:r>
        <w:rPr>
          <w:spacing w:val="-64"/>
        </w:rPr>
      </w:r>
      <w:r>
        <w:rPr>
          <w:spacing w:val="-2"/>
        </w:rPr>
        <w:t>义。新生儿遗传代谢病检测，计划在现有</w:t>
      </w:r>
      <w:r>
        <w:rPr>
          <w:rFonts w:ascii="Times New Roman" w:hAnsi="Times New Roman" w:cs="Times New Roman" w:eastAsia="Times New Roman" w:hint="default"/>
          <w:spacing w:val="-2"/>
        </w:rPr>
        <w:t>48</w:t>
      </w:r>
      <w:r>
        <w:rPr>
          <w:spacing w:val="-2"/>
        </w:rPr>
        <w:t>种疾病基础上添加糖类、激素类疾病，逐步丰富筛查病种，可打破长期垄断市场</w:t>
      </w:r>
      <w:r>
        <w:rPr>
          <w:spacing w:val="-66"/>
        </w:rPr>
        <w:t> </w:t>
      </w:r>
      <w:r>
        <w:rPr>
          <w:spacing w:val="-66"/>
        </w:rPr>
      </w:r>
      <w:r>
        <w:rPr/>
        <w:t>的氨基酸和肉碱基本产品形态，从而提高公司新筛产品竞争力。</w:t>
      </w:r>
    </w:p>
    <w:p>
      <w:pPr>
        <w:pStyle w:val="BodyText"/>
        <w:spacing w:line="415" w:lineRule="auto" w:before="146"/>
        <w:ind w:left="513" w:right="986"/>
        <w:jc w:val="left"/>
      </w:pPr>
      <w:r>
        <w:rPr>
          <w:rFonts w:ascii="Times New Roman" w:hAnsi="Times New Roman" w:cs="Times New Roman" w:eastAsia="Times New Roman" w:hint="default"/>
        </w:rPr>
        <w:t>2</w:t>
      </w:r>
      <w:r>
        <w:rPr/>
        <w:t>、落实肿瘤精准防控路线 </w:t>
      </w:r>
      <w:r>
        <w:rPr>
          <w:spacing w:val="-2"/>
        </w:rPr>
        <w:t>围绕肿瘤早筛早诊、治疗指导、预后管理全面发力，继续开发肿瘤早筛和泛癌种多基因检测产品，进一步推进癌症筛查</w:t>
      </w:r>
    </w:p>
    <w:p>
      <w:pPr>
        <w:pStyle w:val="BodyText"/>
        <w:spacing w:line="194" w:lineRule="exact"/>
        <w:ind w:right="986"/>
        <w:jc w:val="left"/>
      </w:pPr>
      <w:r>
        <w:rPr/>
        <w:t>普及，申报肿瘤检测</w:t>
      </w:r>
      <w:r>
        <w:rPr>
          <w:rFonts w:ascii="Times New Roman" w:hAnsi="Times New Roman" w:cs="Times New Roman" w:eastAsia="Times New Roman" w:hint="default"/>
        </w:rPr>
        <w:t>NMPA</w:t>
      </w:r>
      <w:r>
        <w:rPr/>
        <w:t>认证，扩大</w:t>
      </w:r>
      <w:r>
        <w:rPr>
          <w:rFonts w:ascii="Times New Roman" w:hAnsi="Times New Roman" w:cs="Times New Roman" w:eastAsia="Times New Roman" w:hint="default"/>
        </w:rPr>
        <w:t>IVD</w:t>
      </w:r>
      <w:r>
        <w:rPr/>
        <w:t>测序仪的市场推广，加快肿瘤高通量测序实验室建设及稳定运营，保持肿瘤临床</w:t>
      </w:r>
    </w:p>
    <w:p>
      <w:pPr>
        <w:pStyle w:val="BodyText"/>
        <w:spacing w:line="316" w:lineRule="auto" w:before="63"/>
        <w:ind w:right="986"/>
        <w:jc w:val="left"/>
      </w:pPr>
      <w:r>
        <w:rPr>
          <w:spacing w:val="-2"/>
        </w:rPr>
        <w:t>检测服务稳步增长，加速构建中国人的肿瘤基因变异数据库和解读数据库，助力肿瘤的精准诊疗，将继续为更多的肿瘤患者</w:t>
      </w:r>
      <w:r>
        <w:rPr>
          <w:spacing w:val="-63"/>
        </w:rPr>
        <w:t> </w:t>
      </w:r>
      <w:r>
        <w:rPr>
          <w:spacing w:val="-63"/>
        </w:rPr>
      </w:r>
      <w:r>
        <w:rPr/>
        <w:t>或高危人群提供各类精准筛查、诊断指导及预后监测，积极推动肿瘤民生产业联动模式。</w:t>
      </w:r>
    </w:p>
    <w:p>
      <w:pPr>
        <w:pStyle w:val="BodyText"/>
        <w:spacing w:line="432" w:lineRule="exact" w:before="3"/>
        <w:ind w:left="513" w:right="1118"/>
        <w:jc w:val="left"/>
      </w:pPr>
      <w:r>
        <w:rPr>
          <w:rFonts w:ascii="Times New Roman" w:hAnsi="Times New Roman" w:cs="Times New Roman" w:eastAsia="Times New Roman" w:hint="default"/>
        </w:rPr>
        <w:t>3</w:t>
      </w:r>
      <w:r>
        <w:rPr/>
        <w:t>、传感染防控双管齐下 </w:t>
      </w:r>
      <w:r>
        <w:rPr>
          <w:spacing w:val="-5"/>
        </w:rPr>
        <w:t>公司将专注感染防控相关研究及业务推广，打响传感染攻坚战，集中力量攻克传感染防控诊断难关。在产品研发投入上，</w:t>
      </w:r>
    </w:p>
    <w:p>
      <w:pPr>
        <w:pStyle w:val="BodyText"/>
        <w:spacing w:line="314" w:lineRule="auto" w:before="15"/>
        <w:ind w:right="1042"/>
        <w:jc w:val="left"/>
      </w:pPr>
      <w:r>
        <w:rPr>
          <w:spacing w:val="-2"/>
        </w:rPr>
        <w:t>将基于宏基因组高通量测序技术的病原检测产品精细化，提高检测精度，拓宽检测广度，并推出基于宏基因组高通量测序的</w:t>
      </w:r>
      <w:r>
        <w:rPr>
          <w:spacing w:val="-65"/>
        </w:rPr>
        <w:t> </w:t>
      </w:r>
      <w:r>
        <w:rPr>
          <w:spacing w:val="-65"/>
        </w:rPr>
      </w:r>
      <w:r>
        <w:rPr>
          <w:rFonts w:ascii="Times New Roman" w:hAnsi="Times New Roman" w:cs="Times New Roman" w:eastAsia="Times New Roman" w:hint="default"/>
        </w:rPr>
        <w:t>PMseq-plus</w:t>
      </w:r>
      <w:r>
        <w:rPr/>
        <w:t>系列产品，实现重点关注</w:t>
      </w:r>
      <w:r>
        <w:rPr>
          <w:rFonts w:ascii="Times New Roman" w:hAnsi="Times New Roman" w:cs="Times New Roman" w:eastAsia="Times New Roman" w:hint="default"/>
        </w:rPr>
        <w:t>RNA</w:t>
      </w:r>
      <w:r>
        <w:rPr/>
        <w:t>病毒、特定耐药基因的精准鉴定，为临床诊断及用药提供有利指导，降低抗生素滥 用风险。同时，引入新技术平台，以丰富病原检测产品结构，还将进一步加大临床推广力度，实现临床样本量跨越式增长，</w:t>
      </w:r>
      <w:r>
        <w:rPr>
          <w:spacing w:val="-83"/>
        </w:rPr>
        <w:t> </w:t>
      </w:r>
      <w:r>
        <w:rPr>
          <w:spacing w:val="-83"/>
        </w:rPr>
      </w:r>
      <w:r>
        <w:rPr>
          <w:spacing w:val="-2"/>
        </w:rPr>
        <w:t>促进宏基因组学技术立足临床，助力精准医疗。在传染病方面，继续推动区域民生合作，在结核分枝杆菌等重大传染病专项</w:t>
      </w:r>
      <w:r>
        <w:rPr>
          <w:spacing w:val="-64"/>
        </w:rPr>
        <w:t> </w:t>
      </w:r>
      <w:r>
        <w:rPr>
          <w:spacing w:val="-64"/>
        </w:rPr>
      </w:r>
      <w:r>
        <w:rPr/>
        <w:t>及包虫检测等产品研发注册上取得重要突破。</w:t>
      </w:r>
    </w:p>
    <w:p>
      <w:pPr>
        <w:pStyle w:val="BodyText"/>
        <w:spacing w:line="415" w:lineRule="auto" w:before="140"/>
        <w:ind w:left="513" w:right="986"/>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w:t>
      </w:r>
      <w:r>
        <w:rPr/>
        <w:t>前移</w:t>
      </w:r>
      <w:r>
        <w:rPr>
          <w:rFonts w:ascii="Times New Roman" w:hAnsi="Times New Roman" w:cs="Times New Roman" w:eastAsia="Times New Roman" w:hint="default"/>
        </w:rPr>
        <w:t>”</w:t>
      </w:r>
      <w:r>
        <w:rPr/>
        <w:t>提升服务品质，数据公司模式探索 </w:t>
      </w:r>
      <w:r>
        <w:rPr>
          <w:spacing w:val="-2"/>
        </w:rPr>
        <w:t>继续立足于自主开发的测序分析交付平台，在原有更佳质量、更长读长、更快交付、更低样品起始量、更低价格的超高</w:t>
      </w:r>
    </w:p>
    <w:p>
      <w:pPr>
        <w:pStyle w:val="BodyText"/>
        <w:spacing w:line="194" w:lineRule="exact"/>
        <w:ind w:right="986"/>
        <w:jc w:val="left"/>
      </w:pPr>
      <w:r>
        <w:rPr/>
        <w:t>性价比优势的基础上，再应用</w:t>
      </w:r>
      <w:r>
        <w:rPr>
          <w:rFonts w:ascii="Times New Roman" w:hAnsi="Times New Roman" w:cs="Times New Roman" w:eastAsia="Times New Roman" w:hint="default"/>
        </w:rPr>
        <w:t>stLFR</w:t>
      </w:r>
      <w:r>
        <w:rPr/>
        <w:t>等尖端技术，实现多组学大数据服务全球市场份额领先。为了加快交付速度，优化客户</w:t>
      </w:r>
    </w:p>
    <w:p>
      <w:pPr>
        <w:pStyle w:val="BodyText"/>
        <w:spacing w:line="316" w:lineRule="auto" w:before="63"/>
        <w:ind w:right="1133"/>
        <w:jc w:val="left"/>
      </w:pPr>
      <w:r>
        <w:rPr>
          <w:spacing w:val="-2"/>
        </w:rPr>
        <w:t>体验，在北京布局营销中心，加密销售、技术支持和分析人员，并在天津建设数据分中心，还计划在苏州布局研发和数据中</w:t>
      </w:r>
      <w:r>
        <w:rPr>
          <w:spacing w:val="-67"/>
        </w:rPr>
        <w:t> </w:t>
      </w:r>
      <w:r>
        <w:rPr>
          <w:spacing w:val="-67"/>
        </w:rPr>
      </w:r>
      <w:r>
        <w:rPr/>
        <w:t>心。建立独立的蛋白组学和代谢组学营销和产品团队，攻坚质谱科技服务市场。</w:t>
      </w:r>
    </w:p>
    <w:p>
      <w:pPr>
        <w:pStyle w:val="BodyText"/>
        <w:spacing w:line="309" w:lineRule="auto" w:before="139"/>
        <w:ind w:right="1130" w:firstLine="360"/>
        <w:jc w:val="both"/>
      </w:pPr>
      <w:r>
        <w:rPr/>
        <w:t>加速建设交互式数据系统</w:t>
      </w:r>
      <w:r>
        <w:rPr>
          <w:rFonts w:ascii="Times New Roman" w:hAnsi="Times New Roman" w:cs="Times New Roman" w:eastAsia="Times New Roman" w:hint="default"/>
        </w:rPr>
        <w:t>“Dr.Tom”II</w:t>
      </w:r>
      <w:r>
        <w:rPr/>
        <w:t>期建设，实现所有产品的交互系统化分析和挖掘。重点推出</w:t>
      </w:r>
      <w:r>
        <w:rPr>
          <w:rFonts w:ascii="宋体" w:hAnsi="宋体" w:cs="宋体" w:eastAsia="宋体" w:hint="default"/>
        </w:rPr>
        <w:t>1-2</w:t>
      </w:r>
      <w:r>
        <w:rPr/>
        <w:t>个市场领先的物种</w:t>
      </w:r>
      <w:r>
        <w:rPr>
          <w:w w:val="99"/>
        </w:rPr>
        <w:t> </w:t>
      </w:r>
      <w:r>
        <w:rPr>
          <w:spacing w:val="-2"/>
        </w:rPr>
        <w:t>数据库产品，并牵头开展玉米或大豆的作物分布式数据中心合作。将强大测序能力、营销能力与研发能力整合起来，持续为</w:t>
      </w:r>
      <w:r>
        <w:rPr>
          <w:spacing w:val="-64"/>
        </w:rPr>
        <w:t> </w:t>
      </w:r>
      <w:r>
        <w:rPr>
          <w:spacing w:val="-64"/>
        </w:rPr>
      </w:r>
      <w:r>
        <w:rPr/>
        <w:t>客户提供一站式的多组学解决方案，稳固行业领先地位。</w:t>
      </w:r>
    </w:p>
    <w:p>
      <w:pPr>
        <w:pStyle w:val="BodyText"/>
        <w:spacing w:line="432" w:lineRule="exact" w:before="9"/>
        <w:ind w:left="513" w:right="986"/>
        <w:jc w:val="left"/>
      </w:pPr>
      <w:r>
        <w:rPr>
          <w:rFonts w:ascii="Times New Roman" w:hAnsi="Times New Roman" w:cs="Times New Roman" w:eastAsia="Times New Roman" w:hint="default"/>
        </w:rPr>
        <w:t>5</w:t>
      </w:r>
      <w:r>
        <w:rPr/>
        <w:t>、延续海外合作优势 </w:t>
      </w:r>
      <w:r>
        <w:rPr>
          <w:spacing w:val="-2"/>
        </w:rPr>
        <w:t>继续扩大海外优势市场的市场份额，依靠产品设计，销售和生产交付的贯穿优势，实现经营业绩的稳定增长。在临床市</w:t>
      </w:r>
    </w:p>
    <w:p>
      <w:pPr>
        <w:pStyle w:val="BodyText"/>
        <w:spacing w:line="316" w:lineRule="auto" w:before="15"/>
        <w:ind w:right="986"/>
        <w:jc w:val="left"/>
      </w:pPr>
      <w:r>
        <w:rPr>
          <w:spacing w:val="-2"/>
        </w:rPr>
        <w:t>场，除了维护好传统渠道之外，会加大资本投入来整合当地的重要渠道和网络；而多组学大数据服务市场，会密切关注重要</w:t>
      </w:r>
      <w:r>
        <w:rPr>
          <w:spacing w:val="-65"/>
        </w:rPr>
        <w:t> </w:t>
      </w:r>
      <w:r>
        <w:rPr>
          <w:spacing w:val="-65"/>
        </w:rPr>
      </w:r>
      <w:r>
        <w:rPr/>
        <w:t>的国别基因组项目。在药厂业务方面，考虑引入资本和建立更加开放的服务平台。</w:t>
      </w:r>
    </w:p>
    <w:p>
      <w:pPr>
        <w:pStyle w:val="BodyText"/>
        <w:spacing w:line="415" w:lineRule="auto" w:before="139"/>
        <w:ind w:left="513" w:right="1133"/>
        <w:jc w:val="left"/>
      </w:pPr>
      <w:r>
        <w:rPr>
          <w:rFonts w:ascii="Times New Roman" w:hAnsi="Times New Roman" w:cs="Times New Roman" w:eastAsia="Times New Roman" w:hint="default"/>
        </w:rPr>
        <w:t>6</w:t>
      </w:r>
      <w:r>
        <w:rPr/>
        <w:t>、民生宗旨贯穿始终 </w:t>
      </w:r>
      <w:r>
        <w:rPr>
          <w:spacing w:val="-2"/>
        </w:rPr>
        <w:t>为了更好的实现基因科技助力</w:t>
      </w:r>
      <w:r>
        <w:rPr>
          <w:rFonts w:ascii="Times New Roman" w:hAnsi="Times New Roman" w:cs="Times New Roman" w:eastAsia="Times New Roman" w:hint="default"/>
          <w:spacing w:val="-2"/>
        </w:rPr>
        <w:t>“</w:t>
      </w:r>
      <w:r>
        <w:rPr>
          <w:spacing w:val="-2"/>
        </w:rPr>
        <w:t>健康中国</w:t>
      </w:r>
      <w:r>
        <w:rPr>
          <w:rFonts w:ascii="Times New Roman" w:hAnsi="Times New Roman" w:cs="Times New Roman" w:eastAsia="Times New Roman" w:hint="default"/>
          <w:spacing w:val="-2"/>
        </w:rPr>
        <w:t>”</w:t>
      </w:r>
      <w:r>
        <w:rPr>
          <w:spacing w:val="-2"/>
        </w:rPr>
        <w:t>国家战略，</w:t>
      </w:r>
      <w:r>
        <w:rPr>
          <w:rFonts w:ascii="Times New Roman" w:hAnsi="Times New Roman" w:cs="Times New Roman" w:eastAsia="Times New Roman" w:hint="default"/>
          <w:spacing w:val="-2"/>
        </w:rPr>
        <w:t>2019</w:t>
      </w:r>
      <w:r>
        <w:rPr>
          <w:spacing w:val="-2"/>
        </w:rPr>
        <w:t>年公司将继续增加民生筛查人次；继续完成贯穿生命全周期的</w:t>
      </w:r>
    </w:p>
    <w:p>
      <w:pPr>
        <w:spacing w:after="0" w:line="415" w:lineRule="auto"/>
        <w:jc w:val="left"/>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16" w:lineRule="auto" w:before="44"/>
        <w:ind w:right="1133"/>
        <w:jc w:val="both"/>
      </w:pPr>
      <w:r>
        <w:rPr>
          <w:spacing w:val="-2"/>
        </w:rPr>
        <w:t>民生实施方案，完善出生缺陷防控、肿瘤防控、传感染病的防控实施方案；继续完善民生信息化系统，为当地政府实现民生</w:t>
      </w:r>
      <w:r>
        <w:rPr>
          <w:spacing w:val="-66"/>
        </w:rPr>
        <w:t> </w:t>
      </w:r>
      <w:r>
        <w:rPr>
          <w:spacing w:val="-66"/>
        </w:rPr>
      </w:r>
      <w:r>
        <w:rPr/>
        <w:t>带动科研，初步探索民生带动产业发展路径贡献力量；参与国家、地方</w:t>
      </w:r>
      <w:r>
        <w:rPr>
          <w:rFonts w:ascii="Times New Roman" w:hAnsi="Times New Roman" w:cs="Times New Roman" w:eastAsia="Times New Roman" w:hint="default"/>
        </w:rPr>
        <w:t>“</w:t>
      </w:r>
      <w:r>
        <w:rPr/>
        <w:t>惠民工程</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精准扶贫工程</w:t>
      </w:r>
      <w:r>
        <w:rPr>
          <w:rFonts w:ascii="Times New Roman" w:hAnsi="Times New Roman" w:cs="Times New Roman" w:eastAsia="Times New Roman" w:hint="default"/>
        </w:rPr>
        <w:t>”</w:t>
      </w:r>
      <w:r>
        <w:rPr/>
        <w:t>。</w:t>
      </w:r>
    </w:p>
    <w:p>
      <w:pPr>
        <w:pStyle w:val="BodyText"/>
        <w:spacing w:line="240" w:lineRule="auto" w:before="119"/>
        <w:ind w:left="513" w:right="1133"/>
        <w:jc w:val="left"/>
      </w:pPr>
      <w:r>
        <w:rPr>
          <w:rFonts w:ascii="Times New Roman" w:hAnsi="Times New Roman" w:cs="Times New Roman" w:eastAsia="Times New Roman" w:hint="default"/>
        </w:rPr>
        <w:t>7</w:t>
      </w:r>
      <w:r>
        <w:rPr/>
        <w:t>、持续加大研发投入，聚焦产品升级与资质布局</w:t>
      </w:r>
    </w:p>
    <w:p>
      <w:pPr>
        <w:spacing w:line="240" w:lineRule="auto" w:before="13"/>
        <w:rPr>
          <w:rFonts w:ascii="宋体" w:hAnsi="宋体" w:cs="宋体" w:eastAsia="宋体" w:hint="default"/>
          <w:sz w:val="13"/>
          <w:szCs w:val="13"/>
        </w:rPr>
      </w:pPr>
    </w:p>
    <w:p>
      <w:pPr>
        <w:pStyle w:val="BodyText"/>
        <w:spacing w:line="314" w:lineRule="auto"/>
        <w:ind w:right="1132" w:firstLine="360"/>
        <w:jc w:val="both"/>
      </w:pPr>
      <w:r>
        <w:rPr>
          <w:spacing w:val="-2"/>
        </w:rPr>
        <w:t>秉承</w:t>
      </w:r>
      <w:r>
        <w:rPr>
          <w:rFonts w:ascii="Times New Roman" w:hAnsi="Times New Roman" w:cs="Times New Roman" w:eastAsia="Times New Roman" w:hint="default"/>
          <w:spacing w:val="-2"/>
        </w:rPr>
        <w:t>“</w:t>
      </w:r>
      <w:r>
        <w:rPr>
          <w:spacing w:val="-2"/>
        </w:rPr>
        <w:t>基因科技造福人类</w:t>
      </w:r>
      <w:r>
        <w:rPr>
          <w:rFonts w:ascii="Times New Roman" w:hAnsi="Times New Roman" w:cs="Times New Roman" w:eastAsia="Times New Roman" w:hint="default"/>
          <w:spacing w:val="-2"/>
        </w:rPr>
        <w:t>”</w:t>
      </w:r>
      <w:r>
        <w:rPr>
          <w:spacing w:val="-2"/>
        </w:rPr>
        <w:t>的愿景，以推动生命科学研究进展和提高全球医疗健康水平为出发点，基于基因领域研究成果</w:t>
      </w:r>
      <w:r>
        <w:rPr/>
        <w:t> </w:t>
      </w:r>
      <w:r>
        <w:rPr>
          <w:spacing w:val="-2"/>
        </w:rPr>
        <w:t>及生物技术在民生健康方面的应用，进行科研和产业布局。主要包括产品检测试剂盒申报、产品工艺体系优化；同时形成以</w:t>
      </w:r>
      <w:r>
        <w:rPr>
          <w:spacing w:val="-66"/>
        </w:rPr>
        <w:t> </w:t>
      </w:r>
      <w:r>
        <w:rPr>
          <w:spacing w:val="-66"/>
        </w:rPr>
      </w:r>
      <w:r>
        <w:rPr/>
        <w:t>产品带动大人群生育健康保障的大数据积累与疾病数据库建设的阶段性成果。肿瘤致力于遗传性肿瘤突变检测试剂盒与靶</w:t>
      </w:r>
      <w:r>
        <w:rPr>
          <w:spacing w:val="-11"/>
        </w:rPr>
        <w:t> </w:t>
      </w:r>
      <w:r>
        <w:rPr>
          <w:spacing w:val="-11"/>
        </w:rPr>
      </w:r>
      <w:r>
        <w:rPr>
          <w:spacing w:val="-2"/>
        </w:rPr>
        <w:t>向治疗基因检测试剂盒及其配套软件的资质申报，构建完善的肿瘤解读与应用数据库与一体机；同时持续完善与升级产品性</w:t>
      </w:r>
      <w:r>
        <w:rPr>
          <w:spacing w:val="-63"/>
        </w:rPr>
        <w:t> </w:t>
      </w:r>
      <w:r>
        <w:rPr>
          <w:spacing w:val="-63"/>
        </w:rPr>
      </w:r>
      <w:r>
        <w:rPr>
          <w:spacing w:val="-2"/>
        </w:rPr>
        <w:t>能与工艺体系；另外，作为新业务突破口，在早筛早诊上启动产业模式应用。感染完成高中低配的产品布局，持续进行关键</w:t>
      </w:r>
      <w:r>
        <w:rPr>
          <w:spacing w:val="-67"/>
        </w:rPr>
        <w:t> </w:t>
      </w:r>
      <w:r>
        <w:rPr>
          <w:spacing w:val="-67"/>
        </w:rPr>
      </w:r>
      <w:r>
        <w:rPr/>
        <w:t>病原体核酸检测试剂盒的资质申报。</w:t>
      </w:r>
    </w:p>
    <w:p>
      <w:pPr>
        <w:pStyle w:val="BodyText"/>
        <w:spacing w:line="417" w:lineRule="auto" w:before="140"/>
        <w:ind w:left="513" w:right="986"/>
        <w:jc w:val="left"/>
      </w:pPr>
      <w:r>
        <w:rPr>
          <w:rFonts w:ascii="Times New Roman" w:hAnsi="Times New Roman" w:cs="Times New Roman" w:eastAsia="Times New Roman" w:hint="default"/>
        </w:rPr>
        <w:t>8</w:t>
      </w:r>
      <w:r>
        <w:rPr/>
        <w:t>、打造一流执行力交付中心 </w:t>
      </w:r>
      <w:r>
        <w:rPr>
          <w:spacing w:val="-2"/>
        </w:rPr>
        <w:t>公司首先将深化管理模式变革，通过结构性调整，与研发和市场充分联动，以达到更高效满足客户需求目标。其次将进</w:t>
      </w:r>
    </w:p>
    <w:p>
      <w:pPr>
        <w:pStyle w:val="BodyText"/>
        <w:spacing w:line="192" w:lineRule="exact"/>
        <w:ind w:right="0"/>
        <w:jc w:val="both"/>
      </w:pPr>
      <w:r>
        <w:rPr/>
        <w:t>一步完善和落实</w:t>
      </w:r>
      <w:r>
        <w:rPr>
          <w:rFonts w:ascii="Times New Roman" w:hAnsi="Times New Roman" w:cs="Times New Roman" w:eastAsia="Times New Roman" w:hint="default"/>
        </w:rPr>
        <w:t>GLMS</w:t>
      </w:r>
      <w:r>
        <w:rPr/>
        <w:t>（</w:t>
      </w:r>
      <w:r>
        <w:rPr>
          <w:rFonts w:ascii="Times New Roman" w:hAnsi="Times New Roman" w:cs="Times New Roman" w:eastAsia="Times New Roman" w:hint="default"/>
        </w:rPr>
        <w:t>Genomics</w:t>
      </w:r>
      <w:r>
        <w:rPr>
          <w:rFonts w:ascii="Times New Roman" w:hAnsi="Times New Roman" w:cs="Times New Roman" w:eastAsia="Times New Roman" w:hint="default"/>
          <w:spacing w:val="-10"/>
        </w:rPr>
        <w:t> </w:t>
      </w:r>
      <w:r>
        <w:rPr>
          <w:rFonts w:ascii="Times New Roman" w:hAnsi="Times New Roman" w:cs="Times New Roman" w:eastAsia="Times New Roman" w:hint="default"/>
        </w:rPr>
        <w:t>Laboratory</w:t>
      </w:r>
      <w:r>
        <w:rPr>
          <w:rFonts w:ascii="Times New Roman" w:hAnsi="Times New Roman" w:cs="Times New Roman" w:eastAsia="Times New Roman" w:hint="default"/>
          <w:spacing w:val="-15"/>
        </w:rPr>
        <w:t> </w:t>
      </w:r>
      <w:r>
        <w:rPr>
          <w:rFonts w:ascii="Times New Roman" w:hAnsi="Times New Roman" w:cs="Times New Roman" w:eastAsia="Times New Roman" w:hint="default"/>
        </w:rPr>
        <w:t>Management</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3"/>
        </w:rPr>
        <w:t>System</w:t>
      </w:r>
      <w:r>
        <w:rPr>
          <w:spacing w:val="-3"/>
        </w:rPr>
        <w:t>）基因检测实验室管理体系，在质量、效率、供应链、产能</w:t>
      </w:r>
    </w:p>
    <w:p>
      <w:pPr>
        <w:pStyle w:val="BodyText"/>
        <w:spacing w:line="316" w:lineRule="auto" w:before="63"/>
        <w:ind w:right="1130"/>
        <w:jc w:val="both"/>
      </w:pPr>
      <w:r>
        <w:rPr>
          <w:spacing w:val="-2"/>
        </w:rPr>
        <w:t>配置等方面，加强旗下中心实验室、医检所和联合实验室管理。同时为了满足日益增长的联合实验室和自主平台产能布局需</w:t>
      </w:r>
      <w:r>
        <w:rPr>
          <w:spacing w:val="-63"/>
        </w:rPr>
        <w:t> </w:t>
      </w:r>
      <w:r>
        <w:rPr>
          <w:spacing w:val="-63"/>
        </w:rPr>
      </w:r>
      <w:r>
        <w:rPr/>
        <w:t>求，将整合和完善自主平台支撑能力，进一步提高客户满意度同时促进自主平台大数据产出效率。</w:t>
      </w:r>
    </w:p>
    <w:p>
      <w:pPr>
        <w:pStyle w:val="BodyText"/>
        <w:spacing w:line="432" w:lineRule="exact" w:before="3"/>
        <w:ind w:left="513" w:right="986"/>
        <w:jc w:val="left"/>
      </w:pPr>
      <w:r>
        <w:rPr>
          <w:rFonts w:ascii="Times New Roman" w:hAnsi="Times New Roman" w:cs="Times New Roman" w:eastAsia="Times New Roman" w:hint="default"/>
        </w:rPr>
        <w:t>9</w:t>
      </w:r>
      <w:r>
        <w:rPr/>
        <w:t>、聚焦管理水平提升 </w:t>
      </w:r>
      <w:r>
        <w:rPr>
          <w:spacing w:val="-2"/>
        </w:rPr>
        <w:t>公司将建立以责任结果为导向的价值评价分配体系，人才激励分配向价值贡献优异、绩优者倾斜；加强管理人员领导力</w:t>
      </w:r>
    </w:p>
    <w:p>
      <w:pPr>
        <w:pStyle w:val="BodyText"/>
        <w:spacing w:line="240" w:lineRule="auto" w:before="15"/>
        <w:ind w:right="0"/>
        <w:jc w:val="both"/>
      </w:pPr>
      <w:r>
        <w:rPr/>
        <w:t>建设，提升管理能力，实现精细化管理，不断提高人工效率，促进各项战略业绩目标达成。</w:t>
      </w:r>
    </w:p>
    <w:p>
      <w:pPr>
        <w:pStyle w:val="BodyText"/>
        <w:spacing w:line="420" w:lineRule="atLeast" w:before="25"/>
        <w:ind w:left="513" w:right="986"/>
        <w:jc w:val="left"/>
      </w:pPr>
      <w:r>
        <w:rPr>
          <w:rFonts w:ascii="Times New Roman" w:hAnsi="Times New Roman" w:cs="Times New Roman" w:eastAsia="Times New Roman" w:hint="default"/>
        </w:rPr>
        <w:t>10</w:t>
      </w:r>
      <w:r>
        <w:rPr/>
        <w:t>、财务有效支撑业务运营 </w:t>
      </w:r>
      <w:r>
        <w:rPr>
          <w:spacing w:val="-2"/>
        </w:rPr>
        <w:t>财务方面将更加重视业务财务一体化，参与业务模式、订单、交付、研发、销售等业务全流程管理，为业务运营提供更</w:t>
      </w:r>
    </w:p>
    <w:p>
      <w:pPr>
        <w:pStyle w:val="BodyText"/>
        <w:spacing w:line="316" w:lineRule="auto" w:before="76"/>
        <w:ind w:right="1133"/>
        <w:jc w:val="both"/>
      </w:pPr>
      <w:r>
        <w:rPr>
          <w:spacing w:val="-2"/>
        </w:rPr>
        <w:t>加全面有效的财务支撑服务。通过建立大商务中心的管理模式，对客户、合同、订单、销售、应收账款、回款进行统一的商</w:t>
      </w:r>
      <w:r>
        <w:rPr>
          <w:spacing w:val="-71"/>
        </w:rPr>
        <w:t> </w:t>
      </w:r>
      <w:r>
        <w:rPr>
          <w:spacing w:val="-71"/>
        </w:rPr>
      </w:r>
      <w:r>
        <w:rPr/>
        <w:t>务流程管理，加强销售体系管理与应收账款的控制，提高应收账款周转率。结合投资与融资筹划，保障资金运营与管控。</w:t>
      </w:r>
    </w:p>
    <w:p>
      <w:pPr>
        <w:pStyle w:val="BodyText"/>
        <w:spacing w:line="432" w:lineRule="exact" w:before="3"/>
        <w:ind w:left="513" w:right="986"/>
        <w:jc w:val="left"/>
      </w:pPr>
      <w:r>
        <w:rPr>
          <w:rFonts w:ascii="Times New Roman" w:hAnsi="Times New Roman" w:cs="Times New Roman" w:eastAsia="Times New Roman" w:hint="default"/>
        </w:rPr>
        <w:t>11</w:t>
      </w:r>
      <w:r>
        <w:rPr/>
        <w:t>、强化风险意识，加强控制力度 </w:t>
      </w:r>
      <w:r>
        <w:rPr>
          <w:spacing w:val="-2"/>
        </w:rPr>
        <w:t>进一步完善内部控制管理流程及制度，强化内部控制流程的执行方面。通过近几年来内部控制审计发现的缺陷，在制订</w:t>
      </w:r>
    </w:p>
    <w:p>
      <w:pPr>
        <w:pStyle w:val="BodyText"/>
        <w:spacing w:line="316" w:lineRule="auto" w:before="15"/>
        <w:ind w:right="1129"/>
        <w:jc w:val="both"/>
      </w:pPr>
      <w:r>
        <w:rPr>
          <w:spacing w:val="-2"/>
        </w:rPr>
        <w:t>整改措施的同时，加强内部控制知识培训和举办廉洁诚信主题活动，逐步提升公司员工的风险意识和自控意识；完成内部控</w:t>
      </w:r>
      <w:r>
        <w:rPr>
          <w:spacing w:val="-62"/>
        </w:rPr>
        <w:t> </w:t>
      </w:r>
      <w:r>
        <w:rPr>
          <w:spacing w:val="-62"/>
        </w:rPr>
      </w:r>
      <w:r>
        <w:rPr>
          <w:spacing w:val="-2"/>
        </w:rPr>
        <w:t>制评价工作，使内部控制管理工作步入自我检查、自我改进、不断完善阶段，并开展关键业务专项监督，借鉴同业的先进经</w:t>
      </w:r>
      <w:r>
        <w:rPr>
          <w:spacing w:val="-67"/>
        </w:rPr>
        <w:t> </w:t>
      </w:r>
      <w:r>
        <w:rPr>
          <w:spacing w:val="-67"/>
        </w:rPr>
      </w:r>
      <w:r>
        <w:rPr>
          <w:spacing w:val="-2"/>
        </w:rPr>
        <w:t>验，对比业务内部控制设计与实际运行的情况，重点审视业务关键控制点，进一步建立和完善覆盖业务全流程的风险监控和</w:t>
      </w:r>
      <w:r>
        <w:rPr>
          <w:spacing w:val="-63"/>
        </w:rPr>
        <w:t> </w:t>
      </w:r>
      <w:r>
        <w:rPr>
          <w:spacing w:val="-63"/>
        </w:rPr>
      </w:r>
      <w:r>
        <w:rPr/>
        <w:t>评价系统。</w:t>
      </w:r>
    </w:p>
    <w:p>
      <w:pPr>
        <w:pStyle w:val="BodyText"/>
        <w:spacing w:line="240" w:lineRule="auto" w:before="139"/>
        <w:ind w:left="513" w:right="1133"/>
        <w:jc w:val="left"/>
      </w:pPr>
      <w:r>
        <w:rPr>
          <w:rFonts w:ascii="Times New Roman" w:hAnsi="Times New Roman" w:cs="Times New Roman" w:eastAsia="Times New Roman" w:hint="default"/>
        </w:rPr>
        <w:t>12</w:t>
      </w:r>
      <w:r>
        <w:rPr/>
        <w:t>、丰富科普样态，扩大公益声量</w:t>
      </w:r>
    </w:p>
    <w:p>
      <w:pPr>
        <w:spacing w:line="240" w:lineRule="auto" w:before="0"/>
        <w:rPr>
          <w:rFonts w:ascii="宋体" w:hAnsi="宋体" w:cs="宋体" w:eastAsia="宋体" w:hint="default"/>
          <w:sz w:val="14"/>
          <w:szCs w:val="14"/>
        </w:rPr>
      </w:pPr>
    </w:p>
    <w:p>
      <w:pPr>
        <w:pStyle w:val="BodyText"/>
        <w:spacing w:line="309" w:lineRule="auto"/>
        <w:ind w:right="1134" w:firstLine="360"/>
        <w:jc w:val="both"/>
      </w:pPr>
      <w:r>
        <w:rPr>
          <w:rFonts w:ascii="Times New Roman" w:hAnsi="Times New Roman" w:cs="Times New Roman" w:eastAsia="Times New Roman" w:hint="default"/>
          <w:spacing w:val="-2"/>
        </w:rPr>
        <w:t>2019</w:t>
      </w:r>
      <w:r>
        <w:rPr>
          <w:spacing w:val="-2"/>
        </w:rPr>
        <w:t>年的科普工作规划，将在持续推进音频、视频和图文科普内容创作的同时，针对不同受众，打造多样态、多渠道的</w:t>
      </w:r>
      <w:r>
        <w:rPr/>
        <w:t> </w:t>
      </w:r>
      <w:r>
        <w:rPr>
          <w:spacing w:val="-2"/>
        </w:rPr>
        <w:t>传播矩阵，稳步提升科普影响力。同时，也将依托科普，策划并落地执行线下活动，真正实现线上线下联动，为广大科普爱</w:t>
      </w:r>
      <w:r>
        <w:rPr>
          <w:spacing w:val="-70"/>
        </w:rPr>
        <w:t> </w:t>
      </w:r>
      <w:r>
        <w:rPr>
          <w:spacing w:val="-70"/>
        </w:rPr>
      </w:r>
      <w:r>
        <w:rPr/>
        <w:t>好者与普通民众，搭建获取、交流真科学知识的具备公信力的平台，同时丰富公司在社会责任领域的践行。</w:t>
      </w:r>
    </w:p>
    <w:p>
      <w:pPr>
        <w:pStyle w:val="BodyText"/>
        <w:spacing w:line="316" w:lineRule="auto" w:before="144"/>
        <w:ind w:right="1130" w:firstLine="360"/>
        <w:jc w:val="both"/>
      </w:pPr>
      <w:r>
        <w:rPr>
          <w:spacing w:val="-2"/>
        </w:rPr>
        <w:t>公益方面，华基金和光基金依旧在坚守公益承诺的同时继续扩大公益救助的范围，持续探索、开发可切实帮助罕见病患</w:t>
      </w:r>
      <w:r>
        <w:rPr/>
        <w:t> </w:t>
      </w:r>
      <w:r>
        <w:rPr>
          <w:spacing w:val="-2"/>
        </w:rPr>
        <w:t>者的新公益项目，同时积极介入具有典型性的个案救助。寻求合适的机会，扩大公益声量，通过媒体报道、公益合作、公益</w:t>
      </w:r>
      <w:r>
        <w:rPr>
          <w:spacing w:val="-67"/>
        </w:rPr>
        <w:t> </w:t>
      </w:r>
      <w:r>
        <w:rPr>
          <w:spacing w:val="-67"/>
        </w:rPr>
      </w:r>
      <w:r>
        <w:rPr/>
        <w:t>品牌输出等方式，提升公益基金的社会影响力、品牌认知度，让更多民众关注罕见病，为罕见病群体贡献爱心。</w:t>
      </w:r>
    </w:p>
    <w:p>
      <w:pPr>
        <w:pStyle w:val="Heading5"/>
        <w:spacing w:line="240" w:lineRule="auto" w:before="139"/>
        <w:ind w:left="424" w:right="1133"/>
        <w:jc w:val="left"/>
        <w:rPr>
          <w:b w:val="0"/>
          <w:bCs w:val="0"/>
        </w:rPr>
      </w:pPr>
      <w:r>
        <w:rPr/>
        <w:t>（三）可能面对的风险</w:t>
      </w:r>
      <w:r>
        <w:rPr>
          <w:b w:val="0"/>
          <w:bCs w:val="0"/>
        </w:rPr>
      </w:r>
    </w:p>
    <w:p>
      <w:pPr>
        <w:spacing w:line="430" w:lineRule="atLeast" w:before="15"/>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、因技术和工艺固有局限导致的公司运营风险</w:t>
      </w:r>
      <w:r>
        <w:rPr>
          <w:rFonts w:ascii="宋体" w:hAnsi="宋体" w:cs="宋体" w:eastAsia="宋体" w:hint="default"/>
          <w:b/>
          <w:bCs/>
          <w:w w:val="99"/>
          <w:sz w:val="18"/>
          <w:szCs w:val="18"/>
        </w:rPr>
        <w:t> </w:t>
      </w:r>
      <w:r>
        <w:rPr>
          <w:rFonts w:ascii="宋体" w:hAnsi="宋体" w:cs="宋体" w:eastAsia="宋体" w:hint="default"/>
          <w:sz w:val="18"/>
          <w:szCs w:val="18"/>
        </w:rPr>
        <w:t>由于高通量测序技术和生物信息学分析手段存在一定局限性，难以达到</w:t>
      </w:r>
      <w:r>
        <w:rPr>
          <w:rFonts w:ascii="Times New Roman" w:hAnsi="Times New Roman" w:cs="Times New Roman" w:eastAsia="Times New Roman" w:hint="default"/>
          <w:sz w:val="18"/>
          <w:szCs w:val="18"/>
        </w:rPr>
        <w:t>100%</w:t>
      </w:r>
      <w:r>
        <w:rPr>
          <w:rFonts w:ascii="宋体" w:hAnsi="宋体" w:cs="宋体" w:eastAsia="宋体" w:hint="default"/>
          <w:sz w:val="18"/>
          <w:szCs w:val="18"/>
        </w:rPr>
        <w:t>的准确度。公司主营业务之一的无创产前</w:t>
      </w:r>
    </w:p>
    <w:p>
      <w:pPr>
        <w:pStyle w:val="BodyText"/>
        <w:spacing w:line="240" w:lineRule="auto" w:before="63"/>
        <w:ind w:right="0"/>
        <w:jc w:val="both"/>
      </w:pPr>
      <w:r>
        <w:rPr/>
        <w:t>基因检测作为针对</w:t>
      </w:r>
      <w:r>
        <w:rPr>
          <w:rFonts w:ascii="Times New Roman" w:hAnsi="Times New Roman" w:cs="Times New Roman" w:eastAsia="Times New Roman" w:hint="default"/>
        </w:rPr>
        <w:t>21</w:t>
      </w:r>
      <w:r>
        <w:rPr/>
        <w:t>号染色体、</w:t>
      </w:r>
      <w:r>
        <w:rPr>
          <w:rFonts w:ascii="Times New Roman" w:hAnsi="Times New Roman" w:cs="Times New Roman" w:eastAsia="Times New Roman" w:hint="default"/>
        </w:rPr>
        <w:t>18</w:t>
      </w:r>
      <w:r>
        <w:rPr/>
        <w:t>号染色体和</w:t>
      </w:r>
      <w:r>
        <w:rPr>
          <w:rFonts w:ascii="Times New Roman" w:hAnsi="Times New Roman" w:cs="Times New Roman" w:eastAsia="Times New Roman" w:hint="default"/>
        </w:rPr>
        <w:t>13</w:t>
      </w:r>
      <w:r>
        <w:rPr/>
        <w:t>号染色体非整倍体异常的筛查手段，存在适用范围和技术局限性，可能出现</w:t>
      </w:r>
    </w:p>
    <w:p>
      <w:pPr>
        <w:spacing w:after="0" w:line="240" w:lineRule="auto"/>
        <w:jc w:val="both"/>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16" w:lineRule="auto" w:before="44"/>
        <w:ind w:right="1130"/>
        <w:jc w:val="both"/>
      </w:pPr>
      <w:r>
        <w:rPr>
          <w:spacing w:val="-2"/>
        </w:rPr>
        <w:t>假阳性和假阴性。虽然公司已与保险公司签订合作协议书，并出资为无创产前基因检测的受检者进行投保，最大可能地降低</w:t>
      </w:r>
      <w:r>
        <w:rPr>
          <w:spacing w:val="-63"/>
        </w:rPr>
        <w:t> </w:t>
      </w:r>
      <w:r>
        <w:rPr>
          <w:spacing w:val="-63"/>
        </w:rPr>
      </w:r>
      <w:r>
        <w:rPr/>
        <w:t>了相关产品检测范围内因技术固有局限导致的公司运营风险，如果公司因生产工艺的技术限制导致在诊断或研究服务中提</w:t>
      </w:r>
      <w:r>
        <w:rPr>
          <w:spacing w:val="-11"/>
        </w:rPr>
        <w:t> </w:t>
      </w:r>
      <w:r>
        <w:rPr>
          <w:spacing w:val="-11"/>
        </w:rPr>
      </w:r>
      <w:r>
        <w:rPr/>
        <w:t>供了错误的结果，给诊断或研究服务的使用人带来较为严重的后果，公司或将面临承担赔偿责任的风险。</w:t>
      </w:r>
    </w:p>
    <w:p>
      <w:pPr>
        <w:pStyle w:val="BodyText"/>
        <w:spacing w:line="316" w:lineRule="auto" w:before="139"/>
        <w:ind w:right="1131" w:firstLine="360"/>
        <w:jc w:val="both"/>
      </w:pPr>
      <w:r>
        <w:rPr>
          <w:spacing w:val="-2"/>
        </w:rPr>
        <w:t>公司将强化技术布局，不断加大对新产品研发投入力度，提升高通量测序技术的准确度，在检测量加大的基础上，加强</w:t>
      </w:r>
      <w:r>
        <w:rPr/>
        <w:t> </w:t>
      </w:r>
      <w:r>
        <w:rPr>
          <w:spacing w:val="-2"/>
        </w:rPr>
        <w:t>检测报告信息分析的敏感度，尽最大可能降低因技术固有局限导致的公司运营风险。同时通过多种形式和渠道加强与医疗机</w:t>
      </w:r>
      <w:r>
        <w:rPr>
          <w:spacing w:val="-64"/>
        </w:rPr>
        <w:t> </w:t>
      </w:r>
      <w:r>
        <w:rPr>
          <w:spacing w:val="-64"/>
        </w:rPr>
      </w:r>
      <w:r>
        <w:rPr>
          <w:spacing w:val="-2"/>
        </w:rPr>
        <w:t>构、医生之间的培训与交流，通过对知情同意的充分告知，让受检者了解基因检测的技术优势和技术局限，形成客观的科学</w:t>
      </w:r>
      <w:r>
        <w:rPr>
          <w:spacing w:val="-64"/>
        </w:rPr>
        <w:t> </w:t>
      </w:r>
      <w:r>
        <w:rPr>
          <w:spacing w:val="-64"/>
        </w:rPr>
      </w:r>
      <w:r>
        <w:rPr/>
        <w:t>认知。</w:t>
      </w:r>
    </w:p>
    <w:p>
      <w:pPr>
        <w:spacing w:line="432" w:lineRule="exact" w:before="3"/>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、行业监管政策变化的风险</w:t>
      </w:r>
      <w:r>
        <w:rPr>
          <w:rFonts w:ascii="宋体" w:hAnsi="宋体" w:cs="宋体" w:eastAsia="宋体" w:hint="default"/>
          <w:b/>
          <w:bCs/>
          <w:w w:val="99"/>
          <w:sz w:val="18"/>
          <w:szCs w:val="18"/>
        </w:rPr>
        <w:t> </w:t>
      </w:r>
      <w:r>
        <w:rPr>
          <w:rFonts w:ascii="宋体" w:hAnsi="宋体" w:cs="宋体" w:eastAsia="宋体" w:hint="default"/>
          <w:spacing w:val="-2"/>
          <w:sz w:val="18"/>
          <w:szCs w:val="18"/>
        </w:rPr>
        <w:t>近年来我国医疗卫生体制和社会保障体制改革不断深入，相应的配套行业监管政策也在不断调整完善。公司提供的基因</w:t>
      </w:r>
    </w:p>
    <w:p>
      <w:pPr>
        <w:pStyle w:val="BodyText"/>
        <w:spacing w:line="319" w:lineRule="auto" w:before="15"/>
        <w:ind w:right="1034"/>
        <w:jc w:val="left"/>
      </w:pPr>
      <w:r>
        <w:rPr/>
        <w:t>检测服务和产品涉及特定医疗器械的生产和使用，须接受国家和地方各级卫生健康委员会、国家药品监督管理局的管理监</w:t>
      </w:r>
      <w:r>
        <w:rPr>
          <w:spacing w:val="-11"/>
        </w:rPr>
        <w:t> </w:t>
      </w:r>
      <w:r>
        <w:rPr>
          <w:spacing w:val="-11"/>
        </w:rPr>
      </w:r>
      <w:r>
        <w:rPr/>
        <w:t>督。近年来，国家陆续出台了一系列行业监管措施，对基于高通量测序技术的基因检测服务行业监管法规进行调整和完善。</w:t>
      </w:r>
      <w:r>
        <w:rPr>
          <w:spacing w:val="-83"/>
        </w:rPr>
        <w:t> </w:t>
      </w:r>
      <w:r>
        <w:rPr>
          <w:spacing w:val="-83"/>
        </w:rPr>
      </w:r>
      <w:r>
        <w:rPr>
          <w:spacing w:val="-2"/>
        </w:rPr>
        <w:t>如果未来国家监管政策以及相关行业准入、技术标准发生不利于公司主营业务的变化，可能会给公司的生产经营带来不利的</w:t>
      </w:r>
      <w:r>
        <w:rPr>
          <w:spacing w:val="-64"/>
        </w:rPr>
        <w:t> </w:t>
      </w:r>
      <w:r>
        <w:rPr>
          <w:spacing w:val="-64"/>
        </w:rPr>
      </w:r>
      <w:r>
        <w:rPr/>
        <w:t>影响。</w:t>
      </w:r>
    </w:p>
    <w:p>
      <w:pPr>
        <w:pStyle w:val="BodyText"/>
        <w:spacing w:line="316" w:lineRule="auto" w:before="137"/>
        <w:ind w:right="1130" w:firstLine="360"/>
        <w:jc w:val="both"/>
      </w:pPr>
      <w:r>
        <w:rPr>
          <w:spacing w:val="-2"/>
        </w:rPr>
        <w:t>公司在生产经营过程中将严格遵守国家及行业相关监管法规与政策，密切关注行业监管政策的变化，主要包括资质申报</w:t>
      </w:r>
      <w:r>
        <w:rPr/>
        <w:t> </w:t>
      </w:r>
      <w:r>
        <w:rPr>
          <w:spacing w:val="-2"/>
        </w:rPr>
        <w:t>与审查、生产经营和执业许可等方面。通过及时掌握市场及行业监管政策的变化，主动积极应对监管政策的不确定性变化风</w:t>
      </w:r>
      <w:r>
        <w:rPr>
          <w:spacing w:val="-63"/>
        </w:rPr>
        <w:t> </w:t>
      </w:r>
      <w:r>
        <w:rPr>
          <w:spacing w:val="-63"/>
        </w:rPr>
      </w:r>
      <w:r>
        <w:rPr/>
        <w:t>险。</w:t>
      </w:r>
    </w:p>
    <w:p>
      <w:pPr>
        <w:pStyle w:val="BodyText"/>
        <w:spacing w:line="432" w:lineRule="exact" w:before="3"/>
        <w:ind w:left="513" w:right="986"/>
        <w:jc w:val="left"/>
      </w:pPr>
      <w:r>
        <w:rPr>
          <w:rFonts w:ascii="Times New Roman" w:hAnsi="Times New Roman" w:cs="Times New Roman" w:eastAsia="Times New Roman" w:hint="default"/>
          <w:b/>
          <w:bCs/>
        </w:rPr>
        <w:t>3</w:t>
      </w:r>
      <w:r>
        <w:rPr>
          <w:rFonts w:ascii="宋体" w:hAnsi="宋体" w:cs="宋体" w:eastAsia="宋体" w:hint="default"/>
          <w:b/>
          <w:bCs/>
        </w:rPr>
        <w:t>、市场竞争加剧的风险</w:t>
      </w:r>
      <w:r>
        <w:rPr>
          <w:rFonts w:ascii="宋体" w:hAnsi="宋体" w:cs="宋体" w:eastAsia="宋体" w:hint="default"/>
          <w:b/>
          <w:bCs/>
          <w:w w:val="99"/>
        </w:rPr>
        <w:t> </w:t>
      </w:r>
      <w:r>
        <w:rPr>
          <w:spacing w:val="-2"/>
        </w:rPr>
        <w:t>公司所处的基因组学应用行业处于快速成长阶段。随着测序技术的发展，人们生活水平的提高和保健意识的增强，社会</w:t>
      </w:r>
    </w:p>
    <w:p>
      <w:pPr>
        <w:pStyle w:val="BodyText"/>
        <w:spacing w:line="319" w:lineRule="auto" w:before="15"/>
        <w:ind w:right="1128"/>
        <w:jc w:val="both"/>
      </w:pPr>
      <w:r>
        <w:rPr>
          <w:spacing w:val="-2"/>
        </w:rPr>
        <w:t>对基因组学应用行业的关注度和接受程度越来越高。市场环境的日趋成熟，国家政策的逐步放开，国内更多企业加入到基因</w:t>
      </w:r>
      <w:r>
        <w:rPr>
          <w:spacing w:val="-63"/>
        </w:rPr>
        <w:t> </w:t>
      </w:r>
      <w:r>
        <w:rPr>
          <w:spacing w:val="-63"/>
        </w:rPr>
      </w:r>
      <w:r>
        <w:rPr>
          <w:spacing w:val="-2"/>
        </w:rPr>
        <w:t>测序行业，基因测序行业中基于国内成熟产品和服务的竞争变得愈发激烈。如果公司在产品和技术方面不能持续创新，在服</w:t>
      </w:r>
      <w:r>
        <w:rPr>
          <w:spacing w:val="-61"/>
        </w:rPr>
        <w:t> </w:t>
      </w:r>
      <w:r>
        <w:rPr>
          <w:spacing w:val="-61"/>
        </w:rPr>
      </w:r>
      <w:r>
        <w:rPr/>
        <w:t>务质量、研发能力、管理模式、营销渠道、人才培养等方面不能持续提升，未来面临的竞争压力将会日益加大。</w:t>
      </w:r>
    </w:p>
    <w:p>
      <w:pPr>
        <w:pStyle w:val="BodyText"/>
        <w:spacing w:line="316" w:lineRule="auto" w:before="137"/>
        <w:ind w:right="1133" w:firstLine="360"/>
        <w:jc w:val="both"/>
      </w:pPr>
      <w:r>
        <w:rPr>
          <w:spacing w:val="-2"/>
        </w:rPr>
        <w:t>公司将继续聚焦主营业务，坚持技术创新，积极拓展产品线布局，推进主营产品的升级迭代；利用大数据和自主平台优</w:t>
      </w:r>
      <w:r>
        <w:rPr/>
        <w:t> </w:t>
      </w:r>
      <w:r>
        <w:rPr>
          <w:spacing w:val="-2"/>
        </w:rPr>
        <w:t>势，降低测序成本，提高产品附加值与服务质量，提升行业综合竞争力，以应对产品价格变动、需求变动等市场竞争风险所</w:t>
      </w:r>
      <w:r>
        <w:rPr>
          <w:spacing w:val="-67"/>
        </w:rPr>
        <w:t> </w:t>
      </w:r>
      <w:r>
        <w:rPr>
          <w:spacing w:val="-67"/>
        </w:rPr>
      </w:r>
      <w:r>
        <w:rPr/>
        <w:t>带来的影响。</w:t>
      </w:r>
    </w:p>
    <w:p>
      <w:pPr>
        <w:pStyle w:val="BodyText"/>
        <w:spacing w:line="432" w:lineRule="exact" w:before="3"/>
        <w:ind w:left="513" w:right="1033"/>
        <w:jc w:val="left"/>
      </w:pPr>
      <w:r>
        <w:rPr>
          <w:rFonts w:ascii="Times New Roman" w:hAnsi="Times New Roman" w:cs="Times New Roman" w:eastAsia="Times New Roman" w:hint="default"/>
          <w:b/>
          <w:bCs/>
        </w:rPr>
        <w:t>4</w:t>
      </w:r>
      <w:r>
        <w:rPr>
          <w:rFonts w:ascii="宋体" w:hAnsi="宋体" w:cs="宋体" w:eastAsia="宋体" w:hint="default"/>
          <w:b/>
          <w:bCs/>
        </w:rPr>
        <w:t>、新产品研发失败风险</w:t>
      </w:r>
      <w:r>
        <w:rPr>
          <w:rFonts w:ascii="宋体" w:hAnsi="宋体" w:cs="宋体" w:eastAsia="宋体" w:hint="default"/>
          <w:b/>
          <w:bCs/>
          <w:w w:val="99"/>
        </w:rPr>
        <w:t> </w:t>
      </w:r>
      <w:r>
        <w:rPr/>
        <w:t>为巩固和提升核心竞争能力，公司一直重视研究开发新的服务种类。公司在遗传性耳聋、孕前遗传病、无创产前检测、</w:t>
      </w:r>
    </w:p>
    <w:p>
      <w:pPr>
        <w:pStyle w:val="BodyText"/>
        <w:spacing w:line="319" w:lineRule="auto" w:before="15"/>
        <w:ind w:right="1129"/>
        <w:jc w:val="both"/>
      </w:pPr>
      <w:r>
        <w:rPr>
          <w:spacing w:val="-2"/>
        </w:rPr>
        <w:t>肿瘤、病原感染等多个检测服务领域，以及多组学大数据服务领域都有大量研发项目布局。基因组学应用行业研发项目具有</w:t>
      </w:r>
      <w:r>
        <w:rPr>
          <w:spacing w:val="-62"/>
        </w:rPr>
        <w:t> </w:t>
      </w:r>
      <w:r>
        <w:rPr>
          <w:spacing w:val="-62"/>
        </w:rPr>
      </w:r>
      <w:r>
        <w:rPr>
          <w:spacing w:val="-2"/>
        </w:rPr>
        <w:t>技术水平高，发展变化快、资质报证周期较长的特点，项目在开展过程中易受行业政策、市场变化等不可控因素的影响，在</w:t>
      </w:r>
      <w:r>
        <w:rPr>
          <w:spacing w:val="-67"/>
        </w:rPr>
        <w:t> </w:t>
      </w:r>
      <w:r>
        <w:rPr>
          <w:spacing w:val="-67"/>
        </w:rPr>
      </w:r>
      <w:r>
        <w:rPr>
          <w:spacing w:val="-2"/>
        </w:rPr>
        <w:t>研发过程中，研发团队、管理水平、技术路线选择都会影响产品研发的成败。如果公司在投入大量研发经费后，无法在预期</w:t>
      </w:r>
      <w:r>
        <w:rPr>
          <w:spacing w:val="-67"/>
        </w:rPr>
        <w:t> </w:t>
      </w:r>
      <w:r>
        <w:rPr>
          <w:spacing w:val="-67"/>
        </w:rPr>
      </w:r>
      <w:r>
        <w:rPr/>
        <w:t>时间内研发出具有商业价值且符合市场需求的产品，将对公司的盈利能力产生不利影响。</w:t>
      </w:r>
    </w:p>
    <w:p>
      <w:pPr>
        <w:pStyle w:val="BodyText"/>
        <w:spacing w:line="316" w:lineRule="auto" w:before="137"/>
        <w:ind w:right="1125" w:firstLine="360"/>
        <w:jc w:val="both"/>
      </w:pPr>
      <w:r>
        <w:rPr/>
        <w:t>公司将在技术研发领域强化前瞻性战略布局，不断加大对新产品研发和并购的投入力度，结合临床试点经验与市场需</w:t>
      </w:r>
      <w:r>
        <w:rPr>
          <w:spacing w:val="2"/>
        </w:rPr>
        <w:t> </w:t>
      </w:r>
      <w:r>
        <w:rPr>
          <w:spacing w:val="-2"/>
        </w:rPr>
        <w:t>求，加快基因组学产品技术的升级换代，促进基因测序技术在个性化医疗、肿瘤和遗传病、微生物、农业研究、器官移植等</w:t>
      </w:r>
      <w:r>
        <w:rPr>
          <w:spacing w:val="-69"/>
        </w:rPr>
        <w:t> </w:t>
      </w:r>
      <w:r>
        <w:rPr>
          <w:spacing w:val="-69"/>
        </w:rPr>
      </w:r>
      <w:r>
        <w:rPr/>
        <w:t>方面的应用与发展。</w:t>
      </w:r>
    </w:p>
    <w:p>
      <w:pPr>
        <w:pStyle w:val="BodyText"/>
        <w:spacing w:line="432" w:lineRule="exact" w:before="3"/>
        <w:ind w:left="513" w:right="1033"/>
        <w:jc w:val="left"/>
      </w:pPr>
      <w:r>
        <w:rPr>
          <w:rFonts w:ascii="Times New Roman" w:hAnsi="Times New Roman" w:cs="Times New Roman" w:eastAsia="Times New Roman" w:hint="default"/>
          <w:b/>
          <w:bCs/>
        </w:rPr>
        <w:t>5</w:t>
      </w:r>
      <w:r>
        <w:rPr>
          <w:rFonts w:ascii="宋体" w:hAnsi="宋体" w:cs="宋体" w:eastAsia="宋体" w:hint="default"/>
          <w:b/>
          <w:bCs/>
        </w:rPr>
        <w:t>、舆情风险</w:t>
      </w:r>
      <w:r>
        <w:rPr>
          <w:rFonts w:ascii="宋体" w:hAnsi="宋体" w:cs="宋体" w:eastAsia="宋体" w:hint="default"/>
          <w:b/>
          <w:bCs/>
          <w:w w:val="99"/>
        </w:rPr>
        <w:t> </w:t>
      </w:r>
      <w:r>
        <w:rPr/>
        <w:t>公司作为基因测序行业的代表性上市公司，由于基因测序行业的新兴产业属性，尽管公司已在积极推动行业科普工作，</w:t>
      </w:r>
    </w:p>
    <w:p>
      <w:pPr>
        <w:pStyle w:val="BodyText"/>
        <w:spacing w:line="316" w:lineRule="auto" w:before="15"/>
        <w:ind w:right="1131"/>
        <w:jc w:val="both"/>
      </w:pPr>
      <w:r>
        <w:rPr>
          <w:spacing w:val="-2"/>
        </w:rPr>
        <w:t>但大众需要一定时间来更深入全面地认知基因测序技术的作用与局限。此外，新媒体出现后，媒体逐渐从专业化机构，变成</w:t>
      </w:r>
      <w:r>
        <w:rPr>
          <w:spacing w:val="-66"/>
        </w:rPr>
        <w:t> </w:t>
      </w:r>
      <w:r>
        <w:rPr>
          <w:spacing w:val="-66"/>
        </w:rPr>
      </w:r>
      <w:r>
        <w:rPr>
          <w:spacing w:val="-2"/>
        </w:rPr>
        <w:t>未来越多网民可以直接发布信息、传播信息的平台。少数个人，为追求点击量，在未经调查求证的情况下，罔顾事实、武断</w:t>
      </w:r>
      <w:r>
        <w:rPr>
          <w:spacing w:val="-66"/>
        </w:rPr>
        <w:t> </w:t>
      </w:r>
      <w:r>
        <w:rPr>
          <w:spacing w:val="-66"/>
        </w:rPr>
      </w:r>
      <w:r>
        <w:rPr/>
        <w:t>发布与实际不符的文章，恶意传播虚假信息，损害企业商誉及品牌形象。</w:t>
      </w:r>
    </w:p>
    <w:p>
      <w:pPr>
        <w:pStyle w:val="BodyText"/>
        <w:spacing w:line="240" w:lineRule="auto" w:before="139"/>
        <w:ind w:left="513" w:right="986"/>
        <w:jc w:val="left"/>
      </w:pPr>
      <w:r>
        <w:rPr/>
        <w:t>报告期内，公司经历了对无创产前基因检测技术相关业务的质疑、控股股东及关联公司网络传闻的质疑、公司发布的科</w:t>
      </w:r>
    </w:p>
    <w:p>
      <w:pPr>
        <w:spacing w:after="0" w:line="240" w:lineRule="auto"/>
        <w:jc w:val="left"/>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16" w:lineRule="auto" w:before="44"/>
        <w:ind w:right="986"/>
        <w:jc w:val="left"/>
      </w:pPr>
      <w:r>
        <w:rPr>
          <w:spacing w:val="-2"/>
        </w:rPr>
        <w:t>研合作项目成果是否存在数据的外泄等敏感舆情事件。公司虽已通过澄清公告、致客户的信函、媒体发布会等多种渠道进行</w:t>
      </w:r>
      <w:r>
        <w:rPr>
          <w:spacing w:val="-63"/>
        </w:rPr>
        <w:t> </w:t>
      </w:r>
      <w:r>
        <w:rPr>
          <w:spacing w:val="-63"/>
        </w:rPr>
      </w:r>
      <w:r>
        <w:rPr/>
        <w:t>申述说明，向社会公众客观传递事件的真实信息，然而上述负面舆情依然对公司声誉及品牌形象造成了较大的负面影响。</w:t>
      </w:r>
    </w:p>
    <w:p>
      <w:pPr>
        <w:pStyle w:val="BodyText"/>
        <w:spacing w:line="314" w:lineRule="auto" w:before="139"/>
        <w:ind w:right="1034" w:firstLine="360"/>
        <w:jc w:val="left"/>
      </w:pPr>
      <w:r>
        <w:rPr/>
        <w:t>针对舆情风险，首先，公司继续坚持合规经营，做好主业，始终不忘</w:t>
      </w:r>
      <w:r>
        <w:rPr>
          <w:rFonts w:ascii="Times New Roman" w:hAnsi="Times New Roman" w:cs="Times New Roman" w:eastAsia="Times New Roman" w:hint="default"/>
        </w:rPr>
        <w:t>“</w:t>
      </w:r>
      <w:r>
        <w:rPr/>
        <w:t>基因科技造福人类</w:t>
      </w:r>
      <w:r>
        <w:rPr>
          <w:rFonts w:ascii="Times New Roman" w:hAnsi="Times New Roman" w:cs="Times New Roman" w:eastAsia="Times New Roman" w:hint="default"/>
        </w:rPr>
        <w:t>”</w:t>
      </w:r>
      <w:r>
        <w:rPr/>
        <w:t>的初心，扎实经营，以普惠的 </w:t>
      </w:r>
      <w:r>
        <w:rPr>
          <w:spacing w:val="-2"/>
        </w:rPr>
        <w:t>基因检测价格回馈社会；其次，做好媒体舆情管理与信息披露工作有效衔接。面对重大舆情事件，公司会第一时间通过公告</w:t>
      </w:r>
      <w:r>
        <w:rPr>
          <w:spacing w:val="-65"/>
        </w:rPr>
        <w:t> </w:t>
      </w:r>
      <w:r>
        <w:rPr>
          <w:spacing w:val="-65"/>
        </w:rPr>
      </w:r>
      <w:r>
        <w:rPr/>
        <w:t>形式在法定信息披露媒体发布，同时通过官方新闻等多渠道客观真实地向投资者传递事件真实信息，帮助投资者理性判断；</w:t>
      </w:r>
      <w:r>
        <w:rPr>
          <w:spacing w:val="-83"/>
        </w:rPr>
        <w:t> </w:t>
      </w:r>
      <w:r>
        <w:rPr>
          <w:spacing w:val="-83"/>
        </w:rPr>
      </w:r>
      <w:r>
        <w:rPr>
          <w:spacing w:val="-2"/>
        </w:rPr>
        <w:t>此外，对于个别媒体在没有对事实进行认真求证的前提下，通过恶意手段，煽动公众情绪的行为，公司将坚决通过法律手段</w:t>
      </w:r>
      <w:r>
        <w:rPr>
          <w:spacing w:val="-65"/>
        </w:rPr>
        <w:t> </w:t>
      </w:r>
      <w:r>
        <w:rPr>
          <w:spacing w:val="-65"/>
        </w:rPr>
      </w:r>
      <w:r>
        <w:rPr/>
        <w:t>维护自身合法权益。</w:t>
      </w:r>
    </w:p>
    <w:p>
      <w:pPr>
        <w:spacing w:line="240" w:lineRule="auto" w:before="13"/>
        <w:rPr>
          <w:rFonts w:ascii="宋体" w:hAnsi="宋体" w:cs="宋体" w:eastAsia="宋体" w:hint="default"/>
          <w:sz w:val="20"/>
          <w:szCs w:val="20"/>
        </w:rPr>
      </w:pPr>
    </w:p>
    <w:p>
      <w:pPr>
        <w:pStyle w:val="Heading2"/>
        <w:spacing w:line="240" w:lineRule="auto"/>
        <w:ind w:right="1133"/>
        <w:jc w:val="left"/>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177"/>
        <w:gridCol w:w="2177"/>
        <w:gridCol w:w="2177"/>
        <w:gridCol w:w="3039"/>
      </w:tblGrid>
      <w:tr>
        <w:trPr>
          <w:trHeight w:val="401" w:hRule="exact"/>
        </w:trPr>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0"/>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5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）披露的</w:t>
            </w:r>
          </w:p>
          <w:p>
            <w:pPr>
              <w:pStyle w:val="TableParagraph"/>
              <w:spacing w:line="300" w:lineRule="auto" w:before="63"/>
              <w:ind w:left="26" w:right="167"/>
              <w:jc w:val="left"/>
              <w:rPr>
                <w:rFonts w:ascii="宋体" w:hAnsi="宋体" w:cs="宋体" w:eastAsia="宋体" w:hint="default"/>
                <w:sz w:val="18"/>
                <w:szCs w:val="18"/>
              </w:rPr>
            </w:pPr>
            <w:r>
              <w:rPr>
                <w:rFonts w:ascii="宋体" w:hAnsi="宋体" w:cs="宋体" w:eastAsia="宋体" w:hint="default"/>
                <w:sz w:val="18"/>
                <w:szCs w:val="18"/>
              </w:rPr>
              <w:t>《华大基因：</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 者关系活动记录表》</w:t>
            </w:r>
          </w:p>
        </w:tc>
      </w:tr>
      <w:tr>
        <w:trPr>
          <w:trHeight w:val="1337"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5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）披露的</w:t>
            </w:r>
          </w:p>
          <w:p>
            <w:pPr>
              <w:pStyle w:val="TableParagraph"/>
              <w:spacing w:line="300" w:lineRule="auto" w:before="63"/>
              <w:ind w:left="26" w:right="74"/>
              <w:jc w:val="left"/>
              <w:rPr>
                <w:rFonts w:ascii="宋体" w:hAnsi="宋体" w:cs="宋体" w:eastAsia="宋体" w:hint="default"/>
                <w:sz w:val="18"/>
                <w:szCs w:val="18"/>
              </w:rPr>
            </w:pPr>
            <w:r>
              <w:rPr>
                <w:rFonts w:ascii="宋体" w:hAnsi="宋体" w:cs="宋体" w:eastAsia="宋体" w:hint="default"/>
                <w:sz w:val="18"/>
                <w:szCs w:val="18"/>
              </w:rPr>
              <w:t>《华大基因：</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日投资者 关系活动记录表》</w:t>
            </w:r>
          </w:p>
        </w:tc>
      </w:tr>
      <w:tr>
        <w:trPr>
          <w:trHeight w:val="1339"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5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）披露的</w:t>
            </w:r>
          </w:p>
          <w:p>
            <w:pPr>
              <w:pStyle w:val="TableParagraph"/>
              <w:spacing w:line="300" w:lineRule="auto" w:before="63"/>
              <w:ind w:left="26" w:right="167"/>
              <w:jc w:val="left"/>
              <w:rPr>
                <w:rFonts w:ascii="宋体" w:hAnsi="宋体" w:cs="宋体" w:eastAsia="宋体" w:hint="default"/>
                <w:sz w:val="18"/>
                <w:szCs w:val="18"/>
              </w:rPr>
            </w:pPr>
            <w:r>
              <w:rPr>
                <w:rFonts w:ascii="宋体" w:hAnsi="宋体" w:cs="宋体" w:eastAsia="宋体" w:hint="default"/>
                <w:sz w:val="18"/>
                <w:szCs w:val="18"/>
              </w:rPr>
              <w:t>《华大基因：</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 者关系活动记录表》</w:t>
            </w:r>
          </w:p>
        </w:tc>
      </w:tr>
      <w:tr>
        <w:trPr>
          <w:trHeight w:val="1337"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5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）披露的</w:t>
            </w:r>
          </w:p>
          <w:p>
            <w:pPr>
              <w:pStyle w:val="TableParagraph"/>
              <w:spacing w:line="300" w:lineRule="auto" w:before="63"/>
              <w:ind w:left="26" w:right="74"/>
              <w:jc w:val="left"/>
              <w:rPr>
                <w:rFonts w:ascii="宋体" w:hAnsi="宋体" w:cs="宋体" w:eastAsia="宋体" w:hint="default"/>
                <w:sz w:val="18"/>
                <w:szCs w:val="18"/>
              </w:rPr>
            </w:pPr>
            <w:r>
              <w:rPr>
                <w:rFonts w:ascii="宋体" w:hAnsi="宋体" w:cs="宋体" w:eastAsia="宋体" w:hint="default"/>
                <w:sz w:val="18"/>
                <w:szCs w:val="18"/>
              </w:rPr>
              <w:t>《华大基因：</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日投资者 关系活动记录表》</w:t>
            </w:r>
          </w:p>
        </w:tc>
      </w:tr>
      <w:tr>
        <w:trPr>
          <w:trHeight w:val="1340"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65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）披露的</w:t>
            </w:r>
          </w:p>
          <w:p>
            <w:pPr>
              <w:pStyle w:val="TableParagraph"/>
              <w:spacing w:line="300" w:lineRule="auto" w:before="63"/>
              <w:ind w:left="26" w:right="167"/>
              <w:jc w:val="left"/>
              <w:rPr>
                <w:rFonts w:ascii="宋体" w:hAnsi="宋体" w:cs="宋体" w:eastAsia="宋体" w:hint="default"/>
                <w:sz w:val="18"/>
                <w:szCs w:val="18"/>
              </w:rPr>
            </w:pPr>
            <w:r>
              <w:rPr>
                <w:rFonts w:ascii="宋体" w:hAnsi="宋体" w:cs="宋体" w:eastAsia="宋体" w:hint="default"/>
                <w:sz w:val="18"/>
                <w:szCs w:val="18"/>
              </w:rPr>
              <w:t>《华大基因：</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 者关系活动记录表》</w:t>
            </w:r>
          </w:p>
        </w:tc>
      </w:tr>
      <w:tr>
        <w:trPr>
          <w:trHeight w:val="1337"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6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）披露的</w:t>
            </w:r>
          </w:p>
          <w:p>
            <w:pPr>
              <w:pStyle w:val="TableParagraph"/>
              <w:spacing w:line="300" w:lineRule="auto" w:before="63"/>
              <w:ind w:left="26" w:right="170"/>
              <w:jc w:val="left"/>
              <w:rPr>
                <w:rFonts w:ascii="宋体" w:hAnsi="宋体" w:cs="宋体" w:eastAsia="宋体" w:hint="default"/>
                <w:sz w:val="18"/>
                <w:szCs w:val="18"/>
              </w:rPr>
            </w:pPr>
            <w:r>
              <w:rPr>
                <w:rFonts w:ascii="宋体" w:hAnsi="宋体" w:cs="宋体" w:eastAsia="宋体" w:hint="default"/>
                <w:sz w:val="18"/>
                <w:szCs w:val="18"/>
              </w:rPr>
              <w:t>《华大基因：</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 者关系活动记录表》</w:t>
            </w:r>
          </w:p>
        </w:tc>
      </w:tr>
    </w:tbl>
    <w:p>
      <w:pPr>
        <w:spacing w:after="0" w:line="300"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1110"/>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415" w:lineRule="auto" w:before="117"/>
        <w:ind w:left="513" w:right="64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按照《公司章程》规定，公司的利润分配政策为：</w:t>
      </w:r>
    </w:p>
    <w:p>
      <w:pPr>
        <w:pStyle w:val="BodyText"/>
        <w:spacing w:line="240" w:lineRule="auto" w:before="65"/>
        <w:ind w:left="513" w:right="1133"/>
        <w:jc w:val="left"/>
      </w:pPr>
      <w:r>
        <w:rPr/>
        <w:t>（一）利润分配原则</w:t>
      </w:r>
    </w:p>
    <w:p>
      <w:pPr>
        <w:spacing w:line="240" w:lineRule="auto" w:before="1"/>
        <w:rPr>
          <w:rFonts w:ascii="宋体" w:hAnsi="宋体" w:cs="宋体" w:eastAsia="宋体" w:hint="default"/>
          <w:sz w:val="15"/>
          <w:szCs w:val="15"/>
        </w:rPr>
      </w:pPr>
    </w:p>
    <w:p>
      <w:pPr>
        <w:pStyle w:val="BodyText"/>
        <w:spacing w:line="316" w:lineRule="auto"/>
        <w:ind w:right="1119" w:firstLine="360"/>
        <w:jc w:val="left"/>
      </w:pPr>
      <w:r>
        <w:rPr>
          <w:spacing w:val="-5"/>
        </w:rPr>
        <w:t>公司实行连续、稳定的利润分配政策，具体利润分配方式应结合公司利润实现状况、现金流量状况和股本规模进行决定。</w:t>
      </w:r>
      <w:r>
        <w:rPr/>
        <w:t> 公司董事会和股东大会在利润分配政策的决策和论证过程中应当充分考虑独立董事和公众投资者的意见。</w:t>
      </w:r>
    </w:p>
    <w:p>
      <w:pPr>
        <w:pStyle w:val="BodyText"/>
        <w:spacing w:line="432" w:lineRule="exact" w:before="3"/>
        <w:ind w:left="513" w:right="986"/>
        <w:jc w:val="left"/>
      </w:pPr>
      <w:r>
        <w:rPr/>
        <w:t>（二）利润分配的形式 </w:t>
      </w:r>
      <w:r>
        <w:rPr>
          <w:spacing w:val="-2"/>
        </w:rPr>
        <w:t>公司采取现金、股票或者现金与股票相结合的方式分配股利。凡具备现金分红条件的，公司优先采取现金分红的利润分</w:t>
      </w:r>
    </w:p>
    <w:p>
      <w:pPr>
        <w:pStyle w:val="BodyText"/>
        <w:spacing w:line="316" w:lineRule="auto" w:before="15"/>
        <w:ind w:right="986"/>
        <w:jc w:val="left"/>
      </w:pPr>
      <w:r>
        <w:rPr>
          <w:spacing w:val="-2"/>
        </w:rPr>
        <w:t>配方式；在公司有重大投资计划或重大现金支出等事项发生或者出现其他需满足公司正常生产经营的资金需求情况时，公司</w:t>
      </w:r>
      <w:r>
        <w:rPr>
          <w:spacing w:val="-64"/>
        </w:rPr>
        <w:t> </w:t>
      </w:r>
      <w:r>
        <w:rPr>
          <w:spacing w:val="-64"/>
        </w:rPr>
      </w:r>
      <w:r>
        <w:rPr/>
        <w:t>可以采取股票方式分配股利。</w:t>
      </w:r>
    </w:p>
    <w:p>
      <w:pPr>
        <w:pStyle w:val="BodyText"/>
        <w:spacing w:line="439" w:lineRule="auto" w:before="139"/>
        <w:ind w:left="513" w:right="1033"/>
        <w:jc w:val="left"/>
      </w:pPr>
      <w:r>
        <w:rPr/>
        <w:t>（三）现金分配的条件 满足以下条件的，公司应该进行现金分配，在不满足以下条件的情况下，公司可根据实际情况确定是否进行现金分配：</w:t>
      </w:r>
      <w:r>
        <w:rPr>
          <w:spacing w:val="-85"/>
        </w:rPr>
        <w:t> </w:t>
      </w:r>
      <w:r>
        <w:rPr>
          <w:spacing w:val="-85"/>
        </w:rPr>
      </w:r>
      <w:r>
        <w:rPr>
          <w:rFonts w:ascii="Times New Roman" w:hAnsi="Times New Roman" w:cs="Times New Roman" w:eastAsia="Times New Roman" w:hint="default"/>
        </w:rPr>
        <w:t>1</w:t>
      </w:r>
      <w:r>
        <w:rPr/>
        <w:t>、公司该年度实现的可分配利润（即公司弥补亏损、提取公积金后所余的税后利润）为正值；</w:t>
      </w:r>
    </w:p>
    <w:p>
      <w:pPr>
        <w:pStyle w:val="BodyText"/>
        <w:spacing w:line="240" w:lineRule="auto" w:before="17"/>
        <w:ind w:left="513" w:right="1133"/>
        <w:jc w:val="left"/>
      </w:pPr>
      <w:r>
        <w:rPr>
          <w:rFonts w:ascii="Times New Roman" w:hAnsi="Times New Roman" w:cs="Times New Roman" w:eastAsia="Times New Roman" w:hint="default"/>
        </w:rPr>
        <w:t>2</w:t>
      </w:r>
      <w:r>
        <w:rPr/>
        <w:t>、审计机构对公司的该年度财务报告出具标准无保留意见的审计报告；</w:t>
      </w:r>
    </w:p>
    <w:p>
      <w:pPr>
        <w:spacing w:line="240" w:lineRule="auto" w:before="13"/>
        <w:rPr>
          <w:rFonts w:ascii="宋体" w:hAnsi="宋体" w:cs="宋体" w:eastAsia="宋体" w:hint="default"/>
          <w:sz w:val="13"/>
          <w:szCs w:val="13"/>
        </w:rPr>
      </w:pPr>
    </w:p>
    <w:p>
      <w:pPr>
        <w:pStyle w:val="BodyText"/>
        <w:spacing w:line="415" w:lineRule="auto"/>
        <w:ind w:left="513" w:right="4363"/>
        <w:jc w:val="left"/>
      </w:pPr>
      <w:r>
        <w:rPr>
          <w:rFonts w:ascii="Times New Roman" w:hAnsi="Times New Roman" w:cs="Times New Roman" w:eastAsia="Times New Roman" w:hint="default"/>
        </w:rPr>
        <w:t>3</w:t>
      </w:r>
      <w:r>
        <w:rPr/>
        <w:t>、公司无重大投资计划或重大现金支出等事项发生（募集资金项目除外）。 重大投资计划或重大现金支出是指：</w:t>
      </w:r>
    </w:p>
    <w:p>
      <w:pPr>
        <w:pStyle w:val="BodyText"/>
        <w:spacing w:line="300" w:lineRule="auto" w:before="65"/>
        <w:ind w:right="1124" w:firstLine="360"/>
        <w:jc w:val="left"/>
      </w:pPr>
      <w:r>
        <w:rPr>
          <w:rFonts w:ascii="Times New Roman" w:hAnsi="Times New Roman" w:cs="Times New Roman" w:eastAsia="Times New Roman" w:hint="default"/>
        </w:rPr>
        <w:t>1</w:t>
      </w:r>
      <w:r>
        <w:rPr/>
        <w:t>、公司未来十二个月内拟对外资本投资、实业投资、收购资产或者购买设备的累计支出达到或者超过公司最近一期经 审计净资产的</w:t>
      </w:r>
      <w:r>
        <w:rPr>
          <w:rFonts w:ascii="Times New Roman" w:hAnsi="Times New Roman" w:cs="Times New Roman" w:eastAsia="Times New Roman" w:hint="default"/>
        </w:rPr>
        <w:t>20%</w:t>
      </w:r>
      <w:r>
        <w:rPr/>
        <w:t>，且超过</w:t>
      </w:r>
      <w:r>
        <w:rPr>
          <w:rFonts w:ascii="Times New Roman" w:hAnsi="Times New Roman" w:cs="Times New Roman" w:eastAsia="Times New Roman" w:hint="default"/>
        </w:rPr>
        <w:t>5,000</w:t>
      </w:r>
      <w:r>
        <w:rPr/>
        <w:t>万元人民币；</w:t>
      </w:r>
    </w:p>
    <w:p>
      <w:pPr>
        <w:pStyle w:val="BodyText"/>
        <w:spacing w:line="300" w:lineRule="auto" w:before="133"/>
        <w:ind w:right="1119" w:firstLine="360"/>
        <w:jc w:val="left"/>
      </w:pPr>
      <w:r>
        <w:rPr>
          <w:rFonts w:ascii="Times New Roman" w:hAnsi="Times New Roman" w:cs="Times New Roman" w:eastAsia="Times New Roman" w:hint="default"/>
        </w:rPr>
        <w:t>2</w:t>
      </w:r>
      <w:r>
        <w:rPr/>
        <w:t>、</w:t>
      </w:r>
      <w:r>
        <w:rPr>
          <w:spacing w:val="-35"/>
        </w:rPr>
        <w:t> </w:t>
      </w:r>
      <w:r>
        <w:rPr>
          <w:spacing w:val="-1"/>
        </w:rPr>
        <w:t>公司未来十二个月内拟对外资本投资、实业投资、收购资产或者购买设备的累计支出达到或者超过公司最近一期经</w:t>
      </w:r>
      <w:r>
        <w:rPr/>
        <w:t> 审计总资产的</w:t>
      </w:r>
      <w:r>
        <w:rPr>
          <w:rFonts w:ascii="Times New Roman" w:hAnsi="Times New Roman" w:cs="Times New Roman" w:eastAsia="Times New Roman" w:hint="default"/>
        </w:rPr>
        <w:t>10%</w:t>
      </w:r>
      <w:r>
        <w:rPr/>
        <w:t>。</w:t>
      </w:r>
    </w:p>
    <w:p>
      <w:pPr>
        <w:pStyle w:val="BodyText"/>
        <w:spacing w:line="439" w:lineRule="auto" w:before="133"/>
        <w:ind w:left="513" w:right="1393"/>
        <w:jc w:val="left"/>
      </w:pPr>
      <w:r>
        <w:rPr/>
        <w:t>（四）利润分配的时间间隔 公司原则进行年度利润分配，在有条件的情况下，公司董事会可以根据公司经营状况提议公司进行中期利润分配。</w:t>
      </w:r>
    </w:p>
    <w:p>
      <w:pPr>
        <w:pStyle w:val="BodyText"/>
        <w:spacing w:line="240" w:lineRule="auto" w:before="47"/>
        <w:ind w:left="513" w:right="1133"/>
        <w:jc w:val="left"/>
      </w:pPr>
      <w:r>
        <w:rPr/>
        <w:t>（五）利润分配的比例</w:t>
      </w:r>
    </w:p>
    <w:p>
      <w:pPr>
        <w:spacing w:line="240" w:lineRule="auto" w:before="0"/>
        <w:rPr>
          <w:rFonts w:ascii="宋体" w:hAnsi="宋体" w:cs="宋体" w:eastAsia="宋体" w:hint="default"/>
          <w:sz w:val="15"/>
          <w:szCs w:val="15"/>
        </w:rPr>
      </w:pPr>
    </w:p>
    <w:p>
      <w:pPr>
        <w:pStyle w:val="BodyText"/>
        <w:spacing w:line="316" w:lineRule="auto"/>
        <w:ind w:right="986" w:firstLine="360"/>
        <w:jc w:val="left"/>
      </w:pPr>
      <w:r>
        <w:rPr>
          <w:spacing w:val="-2"/>
        </w:rPr>
        <w:t>公司董事会应当综合考虑所处行业特点、发展阶段、自身经营模式、盈利水平以及是否有重大资金支出安排等因素，区</w:t>
      </w:r>
      <w:r>
        <w:rPr/>
        <w:t> 分下列情形，并按照公司章程规定的程序，提出差异化的现金分红政策：</w:t>
      </w:r>
    </w:p>
    <w:p>
      <w:pPr>
        <w:pStyle w:val="BodyText"/>
        <w:spacing w:line="300" w:lineRule="auto" w:before="139"/>
        <w:ind w:right="1119" w:firstLine="360"/>
        <w:jc w:val="left"/>
      </w:pPr>
      <w:r>
        <w:rPr>
          <w:rFonts w:ascii="Times New Roman" w:hAnsi="Times New Roman" w:cs="Times New Roman" w:eastAsia="Times New Roman" w:hint="default"/>
        </w:rPr>
        <w:t>1</w:t>
      </w:r>
      <w:r>
        <w:rPr/>
        <w:t>、</w:t>
      </w:r>
      <w:r>
        <w:rPr>
          <w:spacing w:val="-35"/>
        </w:rPr>
        <w:t> </w:t>
      </w:r>
      <w:r>
        <w:rPr>
          <w:spacing w:val="-1"/>
        </w:rPr>
        <w:t>公司发展阶段属成熟期且无重大资金支出安排的，进行利润分配时，现金分红在本次利润分配中所占比例最低应达</w:t>
      </w:r>
      <w:r>
        <w:rPr/>
        <w:t> 到</w:t>
      </w:r>
      <w:r>
        <w:rPr>
          <w:rFonts w:ascii="Times New Roman" w:hAnsi="Times New Roman" w:cs="Times New Roman" w:eastAsia="Times New Roman" w:hint="default"/>
        </w:rPr>
        <w:t>80%</w:t>
      </w:r>
      <w:r>
        <w:rPr/>
        <w:t>；</w:t>
      </w:r>
    </w:p>
    <w:p>
      <w:pPr>
        <w:pStyle w:val="BodyText"/>
        <w:spacing w:line="300" w:lineRule="auto" w:before="133"/>
        <w:ind w:right="1124" w:firstLine="360"/>
        <w:jc w:val="left"/>
      </w:pP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、公司发展阶段属成熟期且有重大资金支出安排的，进行利润分配时，现金分红在本次利润分配中所占比例最低应达 到</w:t>
      </w:r>
      <w:r>
        <w:rPr>
          <w:rFonts w:ascii="Times New Roman" w:hAnsi="Times New Roman" w:cs="Times New Roman" w:eastAsia="Times New Roman" w:hint="default"/>
        </w:rPr>
        <w:t>40%</w:t>
      </w:r>
      <w:r>
        <w:rPr/>
        <w:t>；</w:t>
      </w:r>
    </w:p>
    <w:p>
      <w:pPr>
        <w:pStyle w:val="BodyText"/>
        <w:spacing w:line="240" w:lineRule="auto" w:before="133"/>
        <w:ind w:left="513" w:right="986"/>
        <w:jc w:val="left"/>
      </w:pP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、公司发展阶段属成长期且有重大资金支出安排的，进行利润分配时，现金分红在本次利润分配中所占比例最低应达</w:t>
      </w:r>
    </w:p>
    <w:p>
      <w:pPr>
        <w:spacing w:after="0" w:line="240" w:lineRule="auto"/>
        <w:jc w:val="left"/>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240" w:lineRule="auto" w:before="44"/>
        <w:ind w:right="1133"/>
        <w:jc w:val="left"/>
      </w:pPr>
      <w:r>
        <w:rPr/>
        <w:t>到</w:t>
      </w:r>
      <w:r>
        <w:rPr>
          <w:rFonts w:ascii="Times New Roman" w:hAnsi="Times New Roman" w:cs="Times New Roman" w:eastAsia="Times New Roman" w:hint="default"/>
        </w:rPr>
        <w:t>20%</w:t>
      </w:r>
      <w:r>
        <w:rPr/>
        <w:t>。</w:t>
      </w:r>
    </w:p>
    <w:p>
      <w:pPr>
        <w:spacing w:line="240" w:lineRule="auto" w:before="13"/>
        <w:rPr>
          <w:rFonts w:ascii="宋体" w:hAnsi="宋体" w:cs="宋体" w:eastAsia="宋体" w:hint="default"/>
          <w:sz w:val="13"/>
          <w:szCs w:val="13"/>
        </w:rPr>
      </w:pPr>
    </w:p>
    <w:p>
      <w:pPr>
        <w:pStyle w:val="BodyText"/>
        <w:spacing w:line="240" w:lineRule="auto"/>
        <w:ind w:left="513" w:right="1133"/>
        <w:jc w:val="left"/>
      </w:pPr>
      <w:r>
        <w:rPr/>
        <w:t>公司发展阶段不易区分但有重大资金支出安排的，可以按照前项规定处理。</w:t>
      </w:r>
    </w:p>
    <w:p>
      <w:pPr>
        <w:spacing w:line="240" w:lineRule="auto" w:before="0"/>
        <w:rPr>
          <w:rFonts w:ascii="宋体" w:hAnsi="宋体" w:cs="宋体" w:eastAsia="宋体" w:hint="default"/>
          <w:sz w:val="15"/>
          <w:szCs w:val="15"/>
        </w:rPr>
      </w:pPr>
    </w:p>
    <w:p>
      <w:pPr>
        <w:pStyle w:val="BodyText"/>
        <w:spacing w:line="240" w:lineRule="auto"/>
        <w:ind w:left="513" w:right="1133"/>
        <w:jc w:val="left"/>
      </w:pPr>
      <w:r>
        <w:rPr/>
        <w:t>（六）利润分配方案的决策程序和机制</w:t>
      </w:r>
    </w:p>
    <w:p>
      <w:pPr>
        <w:spacing w:line="240" w:lineRule="auto" w:before="0"/>
        <w:rPr>
          <w:rFonts w:ascii="宋体" w:hAnsi="宋体" w:cs="宋体" w:eastAsia="宋体" w:hint="default"/>
          <w:sz w:val="15"/>
          <w:szCs w:val="15"/>
        </w:rPr>
      </w:pPr>
    </w:p>
    <w:p>
      <w:pPr>
        <w:pStyle w:val="BodyText"/>
        <w:spacing w:line="309" w:lineRule="auto"/>
        <w:ind w:right="1135" w:firstLine="360"/>
        <w:jc w:val="both"/>
      </w:pPr>
      <w:r>
        <w:rPr>
          <w:rFonts w:ascii="Times New Roman" w:hAnsi="Times New Roman" w:cs="Times New Roman" w:eastAsia="Times New Roman" w:hint="default"/>
        </w:rPr>
        <w:t>1</w:t>
      </w:r>
      <w:r>
        <w:rPr/>
        <w:t>、公司董事会应根据所处行业特点、发展阶段和自身经营模式、盈利水平、资金需求等因素，研究和论证公司现金分 </w:t>
      </w:r>
      <w:r>
        <w:rPr>
          <w:spacing w:val="-2"/>
        </w:rPr>
        <w:t>红的时机、条件和最低比例、调整的条件及其决策程序要求等事宜，拟定利润分配预案，独立董事发表明确意见后，提交股</w:t>
      </w:r>
      <w:r>
        <w:rPr>
          <w:spacing w:val="-67"/>
        </w:rPr>
        <w:t> </w:t>
      </w:r>
      <w:r>
        <w:rPr>
          <w:spacing w:val="-67"/>
        </w:rPr>
      </w:r>
      <w:r>
        <w:rPr/>
        <w:t>东大会审议。独立董事可以征集中小股东的意见，提出分红提案，并直接提交董事会审议。</w:t>
      </w:r>
    </w:p>
    <w:p>
      <w:pPr>
        <w:pStyle w:val="BodyText"/>
        <w:spacing w:line="300" w:lineRule="auto" w:before="144"/>
        <w:ind w:right="1135" w:firstLine="360"/>
        <w:jc w:val="both"/>
      </w:pPr>
      <w:r>
        <w:rPr>
          <w:rFonts w:ascii="Times New Roman" w:hAnsi="Times New Roman" w:cs="Times New Roman" w:eastAsia="Times New Roman" w:hint="default"/>
        </w:rPr>
        <w:t>2</w:t>
      </w:r>
      <w:r>
        <w:rPr/>
        <w:t>、股东大会审议利润分配方案前，应通过多种渠道主动与股东特别是中小股东进行沟通和交流，充分听取中小股东的 意见和诉求，及时答复中小股东关心的问题。</w:t>
      </w:r>
    </w:p>
    <w:p>
      <w:pPr>
        <w:pStyle w:val="BodyText"/>
        <w:spacing w:line="300" w:lineRule="auto" w:before="151"/>
        <w:ind w:right="1134" w:firstLine="360"/>
        <w:jc w:val="both"/>
      </w:pPr>
      <w:r>
        <w:rPr>
          <w:rFonts w:ascii="Times New Roman" w:hAnsi="Times New Roman" w:cs="Times New Roman" w:eastAsia="Times New Roman" w:hint="default"/>
        </w:rPr>
        <w:t>3</w:t>
      </w:r>
      <w:r>
        <w:rPr/>
        <w:t>、公司因特殊情况无法按照既定的现金分红政策或最低现金分红比例确定当年利润分配方案时，应当披露具体原因以 及独立董事的明确意见。</w:t>
      </w:r>
    </w:p>
    <w:p>
      <w:pPr>
        <w:pStyle w:val="BodyText"/>
        <w:spacing w:line="300" w:lineRule="auto" w:before="151"/>
        <w:ind w:right="1135" w:firstLine="360"/>
        <w:jc w:val="both"/>
      </w:pPr>
      <w:r>
        <w:rPr>
          <w:rFonts w:ascii="Times New Roman" w:hAnsi="Times New Roman" w:cs="Times New Roman" w:eastAsia="Times New Roman" w:hint="default"/>
        </w:rPr>
        <w:t>4</w:t>
      </w:r>
      <w:r>
        <w:rPr/>
        <w:t>、如对本章程确定的现金分红政策进行调整或者变更的，应当经过详细论证后履行相应的决策程序，并经出席股东大 会的股东所持表决权的</w:t>
      </w:r>
      <w:r>
        <w:rPr>
          <w:rFonts w:ascii="Times New Roman" w:hAnsi="Times New Roman" w:cs="Times New Roman" w:eastAsia="Times New Roman" w:hint="default"/>
        </w:rPr>
        <w:t>2/3</w:t>
      </w:r>
      <w:r>
        <w:rPr/>
        <w:t>以上通过。</w:t>
      </w:r>
    </w:p>
    <w:p>
      <w:pPr>
        <w:spacing w:line="240" w:lineRule="auto" w:before="0"/>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1133"/>
        <w:jc w:val="left"/>
      </w:pPr>
      <w:r>
        <w:rPr/>
        <w:t>公司报告期利润分配预案及资本公积金转增股本预案与公司章程和分红管理办法等的相关规定一致</w:t>
      </w:r>
    </w:p>
    <w:p>
      <w:pPr>
        <w:pStyle w:val="BodyText"/>
        <w:spacing w:line="348"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3719"/>
        <w:gridCol w:w="5850"/>
      </w:tblGrid>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400,100,000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40,010,000.00</w:t>
            </w:r>
          </w:p>
        </w:tc>
      </w:tr>
      <w:tr>
        <w:trPr>
          <w:trHeight w:val="714"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40,010,000.00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174,447,643.81</w:t>
            </w:r>
          </w:p>
        </w:tc>
      </w:tr>
      <w:tr>
        <w:trPr>
          <w:trHeight w:val="716"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9568"/>
      </w:tblGrid>
      <w:tr>
        <w:trPr>
          <w:trHeight w:val="401" w:hRule="exact"/>
        </w:trPr>
        <w:tc>
          <w:tcPr>
            <w:tcW w:w="9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5"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72" w:firstLine="36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 到</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979"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21" w:firstLine="362"/>
              <w:jc w:val="both"/>
              <w:rPr>
                <w:rFonts w:ascii="Times New Roman" w:hAnsi="Times New Roman" w:cs="Times New Roman" w:eastAsia="Times New Roman" w:hint="default"/>
                <w:sz w:val="18"/>
                <w:szCs w:val="18"/>
              </w:rPr>
            </w:pPr>
            <w:r>
              <w:rPr>
                <w:rFonts w:ascii="宋体" w:hAnsi="宋体" w:cs="宋体" w:eastAsia="宋体" w:hint="default"/>
                <w:sz w:val="18"/>
                <w:szCs w:val="18"/>
              </w:rPr>
              <w:t>经安永华明会计师事务所（特殊普通合伙）审计， 深圳华大基因股份有限公司（以下简称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年度母公司 实现净利润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282,191,957.52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元。根据《公司法》和《公司章程》的有关规定，以母公司净利润数为基数提取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的法定盈 余公积金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28,219,195.75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元后，加上母公司年初未分配利润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120,524,882.04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元，减去</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年分红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120,030,000.00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年半年度分红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80,020,000.00 </w:t>
            </w: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日，母公司实际可供股东分配的利润为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174,447,643.81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38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年度利润分配预案为：公司拟以截至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p>
          <w:p>
            <w:pPr>
              <w:pStyle w:val="TableParagraph"/>
              <w:spacing w:line="300" w:lineRule="auto" w:before="63"/>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股派发现金股利</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元（含税），共分配现金股利</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40,010,000.00</w:t>
            </w:r>
            <w:r>
              <w:rPr>
                <w:rFonts w:ascii="Times New Roman" w:hAnsi="Times New Roman" w:cs="Times New Roman" w:eastAsia="Times New Roman" w:hint="default"/>
                <w:spacing w:val="8"/>
                <w:sz w:val="18"/>
                <w:szCs w:val="18"/>
              </w:rPr>
              <w:t> </w:t>
            </w:r>
            <w:r>
              <w:rPr>
                <w:rFonts w:ascii="宋体" w:hAnsi="宋体" w:cs="宋体" w:eastAsia="宋体" w:hint="default"/>
                <w:spacing w:val="-8"/>
                <w:sz w:val="18"/>
                <w:szCs w:val="18"/>
              </w:rPr>
              <w:t>元（含税），剩余未分配利润</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134,437,643.81</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元结转以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后年度分配。</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年度公司不实施以资本公积转增股本，不送红股。</w:t>
            </w:r>
          </w:p>
          <w:p>
            <w:pPr>
              <w:pStyle w:val="TableParagraph"/>
              <w:spacing w:line="316" w:lineRule="auto" w:before="53"/>
              <w:ind w:left="24" w:right="172" w:firstLine="360"/>
              <w:jc w:val="left"/>
              <w:rPr>
                <w:rFonts w:ascii="宋体" w:hAnsi="宋体" w:cs="宋体" w:eastAsia="宋体" w:hint="default"/>
                <w:sz w:val="18"/>
                <w:szCs w:val="18"/>
              </w:rPr>
            </w:pPr>
            <w:r>
              <w:rPr>
                <w:rFonts w:ascii="宋体" w:hAnsi="宋体" w:cs="宋体" w:eastAsia="宋体" w:hint="default"/>
                <w:sz w:val="18"/>
                <w:szCs w:val="18"/>
              </w:rPr>
              <w:t>在分配方案披露至实施期间，公司股本总额若因新增股份上市、股权激励授予行权、可转债转股、股份回购等事项 发生变化，将按照现金分红总额不变的原则对分配比例进行相应调整。</w:t>
            </w:r>
          </w:p>
        </w:tc>
      </w:tr>
    </w:tbl>
    <w:p>
      <w:pPr>
        <w:pStyle w:val="BodyText"/>
        <w:spacing w:line="240" w:lineRule="auto" w:before="51"/>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3"/>
        <w:ind w:right="1286" w:firstLine="288"/>
        <w:jc w:val="left"/>
      </w:pPr>
      <w:r>
        <w:rPr>
          <w:rFonts w:ascii="Times New Roman" w:hAnsi="Times New Roman" w:cs="Times New Roman" w:eastAsia="Times New Roman" w:hint="default"/>
        </w:rPr>
        <w:t>2016</w:t>
      </w:r>
      <w:r>
        <w:rPr/>
        <w:t>年度公司利润分配方案：以截至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日的公司总股本</w:t>
      </w:r>
      <w:r>
        <w:rPr>
          <w:rFonts w:ascii="Times New Roman" w:hAnsi="Times New Roman" w:cs="Times New Roman" w:eastAsia="Times New Roman" w:hint="default"/>
        </w:rPr>
        <w:t>360,000,000</w:t>
      </w:r>
      <w:r>
        <w:rPr/>
        <w:t>股为基数，向全体股东每</w:t>
      </w:r>
      <w:r>
        <w:rPr>
          <w:rFonts w:ascii="Times New Roman" w:hAnsi="Times New Roman" w:cs="Times New Roman" w:eastAsia="Times New Roman" w:hint="default"/>
        </w:rPr>
        <w:t>10</w:t>
      </w:r>
      <w:r>
        <w:rPr/>
        <w:t>股派发现金 股利</w:t>
      </w:r>
      <w:r>
        <w:rPr>
          <w:rFonts w:ascii="Times New Roman" w:hAnsi="Times New Roman" w:cs="Times New Roman" w:eastAsia="Times New Roman" w:hint="default"/>
        </w:rPr>
        <w:t>3.00</w:t>
      </w:r>
      <w:r>
        <w:rPr/>
        <w:t>元人民币（含税），共分配现金股利</w:t>
      </w:r>
      <w:r>
        <w:rPr>
          <w:rFonts w:ascii="Times New Roman" w:hAnsi="Times New Roman" w:cs="Times New Roman" w:eastAsia="Times New Roman" w:hint="default"/>
        </w:rPr>
        <w:t>108,000,000.00</w:t>
      </w:r>
      <w:r>
        <w:rPr/>
        <w:t>元（含税）。</w:t>
      </w:r>
    </w:p>
    <w:p>
      <w:pPr>
        <w:pStyle w:val="BodyText"/>
        <w:spacing w:line="300" w:lineRule="auto" w:before="13"/>
        <w:ind w:right="1286" w:firstLine="288"/>
        <w:jc w:val="left"/>
      </w:pPr>
      <w:r>
        <w:rPr>
          <w:rFonts w:ascii="Times New Roman" w:hAnsi="Times New Roman" w:cs="Times New Roman" w:eastAsia="Times New Roman" w:hint="default"/>
        </w:rPr>
        <w:t>2017</w:t>
      </w:r>
      <w:r>
        <w:rPr/>
        <w:t>年度公司利润分配方案：以截至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400,100,000</w:t>
      </w:r>
      <w:r>
        <w:rPr/>
        <w:t>股为基数，向全体股东每</w:t>
      </w:r>
      <w:r>
        <w:rPr>
          <w:rFonts w:ascii="Times New Roman" w:hAnsi="Times New Roman" w:cs="Times New Roman" w:eastAsia="Times New Roman" w:hint="default"/>
        </w:rPr>
        <w:t>10</w:t>
      </w:r>
      <w:r>
        <w:rPr/>
        <w:t>股派发现金股 利</w:t>
      </w:r>
      <w:r>
        <w:rPr>
          <w:rFonts w:ascii="Times New Roman" w:hAnsi="Times New Roman" w:cs="Times New Roman" w:eastAsia="Times New Roman" w:hint="default"/>
        </w:rPr>
        <w:t>3.00</w:t>
      </w:r>
      <w:r>
        <w:rPr/>
        <w:t>元人民币（含税），共分配现金股利</w:t>
      </w:r>
      <w:r>
        <w:rPr>
          <w:rFonts w:ascii="Times New Roman" w:hAnsi="Times New Roman" w:cs="Times New Roman" w:eastAsia="Times New Roman" w:hint="default"/>
        </w:rPr>
        <w:t>120,030,000.00</w:t>
      </w:r>
      <w:r>
        <w:rPr/>
        <w:t>元（含税）。</w:t>
      </w:r>
    </w:p>
    <w:p>
      <w:pPr>
        <w:pStyle w:val="BodyText"/>
        <w:spacing w:line="300" w:lineRule="auto" w:before="13"/>
        <w:ind w:right="1196" w:firstLine="288"/>
        <w:jc w:val="left"/>
      </w:pPr>
      <w:r>
        <w:rPr>
          <w:rFonts w:ascii="Times New Roman" w:hAnsi="Times New Roman" w:cs="Times New Roman" w:eastAsia="Times New Roman" w:hint="default"/>
        </w:rPr>
        <w:t>2018</w:t>
      </w:r>
      <w:r>
        <w:rPr/>
        <w:t>年半年度公司利润分配方案：以截至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日的公司总股本</w:t>
      </w:r>
      <w:r>
        <w:rPr>
          <w:rFonts w:ascii="Times New Roman" w:hAnsi="Times New Roman" w:cs="Times New Roman" w:eastAsia="Times New Roman" w:hint="default"/>
        </w:rPr>
        <w:t>400,100,000</w:t>
      </w:r>
      <w:r>
        <w:rPr/>
        <w:t>股为基数，向全体股东每</w:t>
      </w:r>
      <w:r>
        <w:rPr>
          <w:rFonts w:ascii="Times New Roman" w:hAnsi="Times New Roman" w:cs="Times New Roman" w:eastAsia="Times New Roman" w:hint="default"/>
        </w:rPr>
        <w:t>10</w:t>
      </w:r>
      <w:r>
        <w:rPr/>
        <w:t>股派发现 金股利</w:t>
      </w:r>
      <w:r>
        <w:rPr>
          <w:rFonts w:ascii="Times New Roman" w:hAnsi="Times New Roman" w:cs="Times New Roman" w:eastAsia="Times New Roman" w:hint="default"/>
        </w:rPr>
        <w:t>2.00</w:t>
      </w:r>
      <w:r>
        <w:rPr/>
        <w:t>元人民币（含税），共分配现金股利</w:t>
      </w:r>
      <w:r>
        <w:rPr>
          <w:rFonts w:ascii="Times New Roman" w:hAnsi="Times New Roman" w:cs="Times New Roman" w:eastAsia="Times New Roman" w:hint="default"/>
        </w:rPr>
        <w:t>80,020,000.00</w:t>
      </w:r>
      <w:r>
        <w:rPr/>
        <w:t>元（含税）。</w:t>
      </w:r>
    </w:p>
    <w:p>
      <w:pPr>
        <w:pStyle w:val="BodyText"/>
        <w:spacing w:line="300" w:lineRule="auto" w:before="13"/>
        <w:ind w:right="1124" w:firstLine="288"/>
        <w:jc w:val="left"/>
      </w:pPr>
      <w:r>
        <w:rPr>
          <w:rFonts w:ascii="Times New Roman" w:hAnsi="Times New Roman" w:cs="Times New Roman" w:eastAsia="Times New Roman" w:hint="default"/>
        </w:rPr>
        <w:t>2018</w:t>
      </w:r>
      <w:r>
        <w:rPr/>
        <w:t>年度公司利润分配预案：以截至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400,100,000</w:t>
      </w:r>
      <w:r>
        <w:rPr/>
        <w:t>股为基数，向全体股东每</w:t>
      </w:r>
      <w:r>
        <w:rPr>
          <w:rFonts w:ascii="Times New Roman" w:hAnsi="Times New Roman" w:cs="Times New Roman" w:eastAsia="Times New Roman" w:hint="default"/>
        </w:rPr>
        <w:t>10</w:t>
      </w:r>
      <w:r>
        <w:rPr/>
        <w:t>股派发现金股 利</w:t>
      </w:r>
      <w:r>
        <w:rPr>
          <w:rFonts w:ascii="Times New Roman" w:hAnsi="Times New Roman" w:cs="Times New Roman" w:eastAsia="Times New Roman" w:hint="default"/>
        </w:rPr>
        <w:t>1.00</w:t>
      </w:r>
      <w:r>
        <w:rPr/>
        <w:t>元人民币（含税），共分配现金股利</w:t>
      </w:r>
      <w:r>
        <w:rPr>
          <w:rFonts w:ascii="Times New Roman" w:hAnsi="Times New Roman" w:cs="Times New Roman" w:eastAsia="Times New Roman" w:hint="default"/>
        </w:rPr>
        <w:t>40,010,000.00</w:t>
      </w:r>
      <w:r>
        <w:rPr/>
        <w:t>元（含税）。上述利润分配预案尚需提交</w:t>
      </w:r>
      <w:r>
        <w:rPr>
          <w:rFonts w:ascii="Times New Roman" w:hAnsi="Times New Roman" w:cs="Times New Roman" w:eastAsia="Times New Roman" w:hint="default"/>
        </w:rPr>
        <w:t>2018</w:t>
      </w:r>
      <w:r>
        <w:rPr/>
        <w:t>年度股东大会审议通 过后方可实施。</w:t>
      </w:r>
    </w:p>
    <w:p>
      <w:pPr>
        <w:pStyle w:val="BodyText"/>
        <w:spacing w:line="240" w:lineRule="auto" w:before="72"/>
        <w:ind w:right="1133"/>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198"/>
        <w:gridCol w:w="1193"/>
        <w:gridCol w:w="1198"/>
        <w:gridCol w:w="1195"/>
        <w:gridCol w:w="1196"/>
        <w:gridCol w:w="1198"/>
        <w:gridCol w:w="1196"/>
        <w:gridCol w:w="1195"/>
      </w:tblGrid>
      <w:tr>
        <w:trPr>
          <w:trHeight w:val="227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55"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51"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5"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2" w:right="50"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120,030,000.00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386,645,517.08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120,030,000.00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31.04%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120,030,000.00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398,091,510.29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120,030,000.00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30.15%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108,000,000.00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332,690,944.77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32.46%</w:t>
            </w:r>
          </w:p>
        </w:tc>
      </w:tr>
    </w:tbl>
    <w:p>
      <w:pPr>
        <w:pStyle w:val="BodyText"/>
        <w:spacing w:line="240" w:lineRule="auto" w:before="51"/>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0" w:footer="974" w:top="1100" w:bottom="1160" w:left="980" w:right="0"/>
        </w:sectPr>
      </w:pPr>
    </w:p>
    <w:p>
      <w:pPr>
        <w:spacing w:line="240" w:lineRule="auto" w:before="12"/>
        <w:rPr>
          <w:rFonts w:ascii="宋体" w:hAnsi="宋体" w:cs="宋体" w:eastAsia="宋体" w:hint="default"/>
          <w:sz w:val="19"/>
          <w:szCs w:val="19"/>
        </w:rPr>
      </w:pPr>
    </w:p>
    <w:p>
      <w:pPr>
        <w:pStyle w:val="Heading2"/>
        <w:spacing w:line="240" w:lineRule="auto" w:before="26"/>
        <w:ind w:right="1133"/>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6"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1"/>
      </w:tblGrid>
      <w:tr>
        <w:trPr>
          <w:trHeight w:val="403"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5"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29"/>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7578" w:hRule="exact"/>
        </w:trPr>
        <w:tc>
          <w:tcPr>
            <w:tcW w:w="12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深圳华大基因 科技有限公司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、自华大基因股票在深圳证券交易所上市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个月内，不转让或者委托他人管 理在上市之前持有的华大基因的股份，也不 由华大基因回购该部分股份。若因公司进行 权益分派等导致其持有的公司股份发生变化 的，其仍将遵守上述承诺。</w:t>
            </w:r>
            <w:r>
              <w:rPr>
                <w:rFonts w:ascii="Times New Roman" w:hAnsi="Times New Roman" w:cs="Times New Roman" w:eastAsia="Times New Roman" w:hint="default"/>
                <w:sz w:val="18"/>
                <w:szCs w:val="18"/>
              </w:rPr>
              <w:t>2</w:t>
            </w:r>
            <w:r>
              <w:rPr>
                <w:rFonts w:ascii="宋体" w:hAnsi="宋体" w:cs="宋体" w:eastAsia="宋体" w:hint="default"/>
                <w:sz w:val="18"/>
                <w:szCs w:val="18"/>
              </w:rPr>
              <w:t>、若本公司所 持华大基因股票在锁定期满后两年内减持 的，该等股票的减持价格将不低于发行价； 华大基因上市后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个月内如华大基因股票连</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个交易日的收盘价均低于发行价，或</w:t>
            </w:r>
          </w:p>
          <w:p>
            <w:pPr>
              <w:pStyle w:val="TableParagraph"/>
              <w:spacing w:line="312" w:lineRule="auto" w:before="63"/>
              <w:ind w:left="23" w:right="87"/>
              <w:jc w:val="left"/>
              <w:rPr>
                <w:rFonts w:ascii="宋体" w:hAnsi="宋体" w:cs="宋体" w:eastAsia="宋体" w:hint="default"/>
                <w:sz w:val="18"/>
                <w:szCs w:val="18"/>
              </w:rPr>
            </w:pPr>
            <w:r>
              <w:rPr>
                <w:rFonts w:ascii="宋体" w:hAnsi="宋体" w:cs="宋体" w:eastAsia="宋体" w:hint="default"/>
                <w:sz w:val="18"/>
                <w:szCs w:val="18"/>
              </w:rPr>
              <w:t>者上市后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个月期末收盘价低于发行价的， 其直接或间接持有华大基因股票的锁定期限 自动延长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个月。期间华大基因如有派发股 利、送股、转增股本等除权除息事项，上述 价格相应调整。</w:t>
            </w:r>
            <w:r>
              <w:rPr>
                <w:rFonts w:ascii="Times New Roman" w:hAnsi="Times New Roman" w:cs="Times New Roman" w:eastAsia="Times New Roman" w:hint="default"/>
                <w:sz w:val="18"/>
                <w:szCs w:val="18"/>
              </w:rPr>
              <w:t>3</w:t>
            </w:r>
            <w:r>
              <w:rPr>
                <w:rFonts w:ascii="宋体" w:hAnsi="宋体" w:cs="宋体" w:eastAsia="宋体" w:hint="default"/>
                <w:sz w:val="18"/>
                <w:szCs w:val="18"/>
              </w:rPr>
              <w:t>、若不履行本承诺所约定 的义务和责任，本公司将承担华大基因、华 大基因其他股东或利益相关方因此所受到的 任何损失，违规减持华大基因股票的收益将 归华大基因所有。</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、本公司将遵守中国证 监会《上市公司股东、董监高减持股份的若 </w:t>
            </w:r>
            <w:r>
              <w:rPr>
                <w:rFonts w:ascii="宋体" w:hAnsi="宋体" w:cs="宋体" w:eastAsia="宋体" w:hint="default"/>
                <w:spacing w:val="-5"/>
                <w:sz w:val="18"/>
                <w:szCs w:val="18"/>
              </w:rPr>
              <w:t>干规定》，深圳证券交易所《股票上市规</w:t>
            </w:r>
            <w:r>
              <w:rPr>
                <w:rFonts w:ascii="宋体" w:hAnsi="宋体" w:cs="宋体" w:eastAsia="宋体" w:hint="default"/>
                <w:sz w:val="18"/>
                <w:szCs w:val="18"/>
              </w:rPr>
              <w:t> </w:t>
            </w:r>
            <w:r>
              <w:rPr>
                <w:rFonts w:ascii="宋体" w:hAnsi="宋体" w:cs="宋体" w:eastAsia="宋体" w:hint="default"/>
                <w:spacing w:val="-10"/>
                <w:sz w:val="18"/>
                <w:szCs w:val="18"/>
              </w:rPr>
              <w:t>则》、《深圳证券交易所上市公司股东及董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事、监事、高级管理人员减持股份实施细 则》的相关规定。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235"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3" w:right="158"/>
              <w:jc w:val="both"/>
              <w:rPr>
                <w:rFonts w:ascii="宋体" w:hAnsi="宋体" w:cs="宋体" w:eastAsia="宋体" w:hint="default"/>
                <w:sz w:val="18"/>
                <w:szCs w:val="18"/>
              </w:rPr>
            </w:pPr>
            <w:r>
              <w:rPr>
                <w:rFonts w:ascii="宋体" w:hAnsi="宋体" w:cs="宋体" w:eastAsia="宋体" w:hint="default"/>
                <w:sz w:val="18"/>
                <w:szCs w:val="18"/>
              </w:rPr>
              <w:t>深圳华大三生 园科技有限公 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、自华大基因股票在深圳证券交易所上市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个月内，其不转让或者委托他人 管理在上市之前持有的华大基因的股份，也 不由华大基因回购该部分股份。若因公司进 行权益分派等导致其持有的公司股份发生变 化的，其仍将遵守上述承诺。</w:t>
            </w:r>
            <w:r>
              <w:rPr>
                <w:rFonts w:ascii="Times New Roman" w:hAnsi="Times New Roman" w:cs="Times New Roman" w:eastAsia="Times New Roman" w:hint="default"/>
                <w:sz w:val="18"/>
                <w:szCs w:val="18"/>
              </w:rPr>
              <w:t>2</w:t>
            </w:r>
            <w:r>
              <w:rPr>
                <w:rFonts w:ascii="宋体" w:hAnsi="宋体" w:cs="宋体" w:eastAsia="宋体" w:hint="default"/>
                <w:sz w:val="18"/>
                <w:szCs w:val="18"/>
              </w:rPr>
              <w:t>、若本公司 所持华大基因股票在锁定期满后两年内减持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1.75pt;height:769.45pt;mso-position-horizontal-relative:page;mso-position-vertical-relative:page;z-index:-1397704" coordorigin="1171,1450" coordsize="1235,15389">
            <v:group style="position:absolute;left:1171;top:1450;width:1235;height:5346" coordorigin="1171,1450" coordsize="1235,5346">
              <v:shape style="position:absolute;left:1171;top:1450;width:1235;height:5346" coordorigin="1171,1450" coordsize="1235,5346" path="m1171,6795l2405,6795,2405,1450,1171,1450,1171,6795xe" filled="true" fillcolor="#d2d2d2" stroked="false">
                <v:path arrowok="t"/>
                <v:fill type="solid"/>
              </v:shape>
            </v:group>
            <v:group style="position:absolute;left:1171;top:6795;width:1235;height:10044" coordorigin="1171,6795" coordsize="1235,10044">
              <v:shape style="position:absolute;left:1171;top:6795;width:1235;height:10044" coordorigin="1171,6795" coordsize="1235,10044" path="m2405,16838l2405,6795,1171,6795,1171,16838,2405,16838xe" filled="true" fillcolor="#d2d2d2" stroked="false">
                <v:path arrowok="t"/>
                <v:fill type="solid"/>
              </v:shape>
            </v:group>
            <w10:wrap type="none"/>
          </v:group>
        </w:pict>
      </w:r>
      <w:r>
        <w:rPr/>
        <w:pict>
          <v:shape style="position:absolute;margin-left:535.634705pt;margin-top:806.72052pt;width:59.493346pt;height:26.794713pt;mso-position-horizontal-relative:page;mso-position-vertical-relative:page;z-index:1600"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4"/>
      </w:tblGrid>
      <w:tr>
        <w:trPr>
          <w:trHeight w:val="5355"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87"/>
              <w:jc w:val="left"/>
              <w:rPr>
                <w:rFonts w:ascii="宋体" w:hAnsi="宋体" w:cs="宋体" w:eastAsia="宋体" w:hint="default"/>
                <w:sz w:val="18"/>
                <w:szCs w:val="18"/>
              </w:rPr>
            </w:pPr>
            <w:r>
              <w:rPr>
                <w:rFonts w:ascii="宋体" w:hAnsi="宋体" w:cs="宋体" w:eastAsia="宋体" w:hint="default"/>
                <w:sz w:val="18"/>
                <w:szCs w:val="18"/>
              </w:rPr>
              <w:t>的，该等股票的减持价格将不低于发行价； 华大基因上市后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个月内如华大基因股票连</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个交易日的收盘价均低于发行价，或</w:t>
            </w:r>
          </w:p>
          <w:p>
            <w:pPr>
              <w:pStyle w:val="TableParagraph"/>
              <w:spacing w:line="312" w:lineRule="auto" w:before="63"/>
              <w:ind w:left="23" w:right="87"/>
              <w:jc w:val="left"/>
              <w:rPr>
                <w:rFonts w:ascii="宋体" w:hAnsi="宋体" w:cs="宋体" w:eastAsia="宋体" w:hint="default"/>
                <w:sz w:val="18"/>
                <w:szCs w:val="18"/>
              </w:rPr>
            </w:pPr>
            <w:r>
              <w:rPr>
                <w:rFonts w:ascii="宋体" w:hAnsi="宋体" w:cs="宋体" w:eastAsia="宋体" w:hint="default"/>
                <w:sz w:val="18"/>
                <w:szCs w:val="18"/>
              </w:rPr>
              <w:t>者上市后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个月期末收盘价低于发行价的， 其直接或间接持有华大基因股票的锁定期限 自动延长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个月。期间华大基因如有派发股 利、送股、转增股本等除权除息事项，上述 价格相应调整。</w:t>
            </w:r>
            <w:r>
              <w:rPr>
                <w:rFonts w:ascii="Times New Roman" w:hAnsi="Times New Roman" w:cs="Times New Roman" w:eastAsia="Times New Roman" w:hint="default"/>
                <w:sz w:val="18"/>
                <w:szCs w:val="18"/>
              </w:rPr>
              <w:t>3</w:t>
            </w:r>
            <w:r>
              <w:rPr>
                <w:rFonts w:ascii="宋体" w:hAnsi="宋体" w:cs="宋体" w:eastAsia="宋体" w:hint="default"/>
                <w:sz w:val="18"/>
                <w:szCs w:val="18"/>
              </w:rPr>
              <w:t>、若不履行本承诺所约定 的义务和责任，华大三生园将承担华大基 因、华大基因其他股东或利益相关方因此所 受到的任何损失，违规减持华大基因股票的 收益将归华大基因所有。</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、本公司将遵守 中国证监会《上市公司股东、董监高减持股 </w:t>
            </w:r>
            <w:r>
              <w:rPr>
                <w:rFonts w:ascii="宋体" w:hAnsi="宋体" w:cs="宋体" w:eastAsia="宋体" w:hint="default"/>
                <w:spacing w:val="-5"/>
                <w:sz w:val="18"/>
                <w:szCs w:val="18"/>
              </w:rPr>
              <w:t>份的若干规定》，深圳证券交易所《股票上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市规则》、《深圳证券交易所上市公司股东及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董事、监事、高级管理人员减持股份实施细 则》的相关规定。</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8476"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4"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、自公司股票在深圳证券交易所上市之日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个月内，本人不转让或者委托他人管 理在上市之前直接或间接持有的公司股份， 也不由公司回购该部分股份。若因公司进行 权益分派等导致本人直接或间接持有的公司 股份发生变化的，本人仍将遵守上述承诺。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、本人在公司担任董事期间，每年转让的 公司的股份不超过本人直接或间接持有的公 司股份总数的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；在卖出后六个月再行买 入公司股份，或买入后六个月内再行卖出公 司股份的，则所得收益归公司所有。</w:t>
            </w:r>
            <w:r>
              <w:rPr>
                <w:rFonts w:ascii="Times New Roman" w:hAnsi="Times New Roman" w:cs="Times New Roman" w:eastAsia="Times New Roman" w:hint="default"/>
                <w:sz w:val="18"/>
                <w:szCs w:val="18"/>
              </w:rPr>
              <w:t>3</w:t>
            </w:r>
            <w:r>
              <w:rPr>
                <w:rFonts w:ascii="宋体" w:hAnsi="宋体" w:cs="宋体" w:eastAsia="宋体" w:hint="default"/>
                <w:sz w:val="18"/>
                <w:szCs w:val="18"/>
              </w:rPr>
              <w:t>、若 本人直接或间接所持公司股票在锁定期满后 两年内减持的，该等股票的减持价格将不低 于发行价；公司上市后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个月内如公司股票</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个交易日的收盘价均低于发行价，</w:t>
            </w:r>
          </w:p>
          <w:p>
            <w:pPr>
              <w:pStyle w:val="TableParagraph"/>
              <w:spacing w:line="312" w:lineRule="auto" w:before="63"/>
              <w:ind w:left="23" w:right="87"/>
              <w:jc w:val="left"/>
              <w:rPr>
                <w:rFonts w:ascii="宋体" w:hAnsi="宋体" w:cs="宋体" w:eastAsia="宋体" w:hint="default"/>
                <w:sz w:val="18"/>
                <w:szCs w:val="18"/>
              </w:rPr>
            </w:pPr>
            <w:r>
              <w:rPr>
                <w:rFonts w:ascii="宋体" w:hAnsi="宋体" w:cs="宋体" w:eastAsia="宋体" w:hint="default"/>
                <w:sz w:val="18"/>
                <w:szCs w:val="18"/>
              </w:rPr>
              <w:t>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个月期末收盘价低于发行价 的，本人直接或间接持有公司股票的锁定期 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个月。期间公司如有派发股 利、送股、转增股本等除权除息事项，上述 价格相应调整。</w:t>
            </w:r>
            <w:r>
              <w:rPr>
                <w:rFonts w:ascii="Times New Roman" w:hAnsi="Times New Roman" w:cs="Times New Roman" w:eastAsia="Times New Roman" w:hint="default"/>
                <w:sz w:val="18"/>
                <w:szCs w:val="18"/>
              </w:rPr>
              <w:t>4</w:t>
            </w:r>
            <w:r>
              <w:rPr>
                <w:rFonts w:ascii="宋体" w:hAnsi="宋体" w:cs="宋体" w:eastAsia="宋体" w:hint="default"/>
                <w:sz w:val="18"/>
                <w:szCs w:val="18"/>
              </w:rPr>
              <w:t>、若不履行本承诺所约定 的义务和责任，本人将承担公司、公司其他 股东或利益相关方因此所受到的任何损失， 违规减持公司股票的收益将归公司所有。如 本人未上缴上述出售股票所获收益，公司可 扣减本人以后年度现金分红或扣减发放的薪 酬</w:t>
            </w:r>
            <w:r>
              <w:rPr>
                <w:rFonts w:ascii="Times New Roman" w:hAnsi="Times New Roman" w:cs="Times New Roman" w:eastAsia="Times New Roman" w:hint="default"/>
                <w:sz w:val="18"/>
                <w:szCs w:val="18"/>
              </w:rPr>
              <w:t>/</w:t>
            </w:r>
            <w:r>
              <w:rPr>
                <w:rFonts w:ascii="宋体" w:hAnsi="宋体" w:cs="宋体" w:eastAsia="宋体" w:hint="default"/>
                <w:sz w:val="18"/>
                <w:szCs w:val="18"/>
              </w:rPr>
              <w:t>津贴直至履行上缴上述收益的承诺。</w:t>
            </w:r>
            <w:r>
              <w:rPr>
                <w:rFonts w:ascii="Times New Roman" w:hAnsi="Times New Roman" w:cs="Times New Roman" w:eastAsia="Times New Roman" w:hint="default"/>
                <w:sz w:val="18"/>
                <w:szCs w:val="18"/>
              </w:rPr>
              <w:t>5</w:t>
            </w:r>
            <w:r>
              <w:rPr>
                <w:rFonts w:ascii="宋体" w:hAnsi="宋体" w:cs="宋体" w:eastAsia="宋体" w:hint="default"/>
                <w:sz w:val="18"/>
                <w:szCs w:val="18"/>
              </w:rPr>
              <w:t>、 本人将遵守中国证监会《上市公司股东、董</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footerReference w:type="default" r:id="rId25"/>
          <w:pgSz w:w="11910" w:h="16840"/>
          <w:pgMar w:footer="974" w:header="880" w:top="1100" w:bottom="1160" w:left="980" w:right="0"/>
          <w:pgNumType w:start="81"/>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1.75pt;height:769.45pt;mso-position-horizontal-relative:page;mso-position-vertical-relative:page;z-index:-1397656" coordorigin="1171,1450" coordsize="1235,15389">
            <v:group style="position:absolute;left:1171;top:1450;width:1235;height:1290" coordorigin="1171,1450" coordsize="1235,1290">
              <v:shape style="position:absolute;left:1171;top:1450;width:1235;height:1290" coordorigin="1171,1450" coordsize="1235,1290" path="m1171,2739l2405,2739,2405,1450,1171,1450,1171,2739xe" filled="true" fillcolor="#d2d2d2" stroked="false">
                <v:path arrowok="t"/>
                <v:fill type="solid"/>
              </v:shape>
            </v:group>
            <v:group style="position:absolute;left:1171;top:2739;width:1235;height:7266" coordorigin="1171,2739" coordsize="1235,7266">
              <v:shape style="position:absolute;left:1171;top:2739;width:1235;height:7266" coordorigin="1171,2739" coordsize="1235,7266" path="m1171,10005l2405,10005,2405,2739,1171,2739,1171,10005xe" filled="true" fillcolor="#d2d2d2" stroked="false">
                <v:path arrowok="t"/>
                <v:fill type="solid"/>
              </v:shape>
            </v:group>
            <v:group style="position:absolute;left:1171;top:10005;width:1235;height:6834" coordorigin="1171,10005" coordsize="1235,6834">
              <v:shape style="position:absolute;left:1171;top:10005;width:1235;height:6834" coordorigin="1171,10005" coordsize="1235,6834" path="m2405,16838l2405,10005,1171,10005,1171,16838,2405,16838xe" filled="true" fillcolor="#d2d2d2" stroked="false">
                <v:path arrowok="t"/>
                <v:fill type="solid"/>
              </v:shape>
            </v:group>
            <w10:wrap type="none"/>
          </v:group>
        </w:pict>
      </w:r>
      <w:r>
        <w:rPr/>
        <w:pict>
          <v:shape style="position:absolute;margin-left:535.634705pt;margin-top:806.72052pt;width:59.493346pt;height:26.794713pt;mso-position-horizontal-relative:page;mso-position-vertical-relative:page;z-index:1648"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4"/>
      </w:tblGrid>
      <w:tr>
        <w:trPr>
          <w:trHeight w:val="1299"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87"/>
              <w:jc w:val="left"/>
              <w:rPr>
                <w:rFonts w:ascii="宋体" w:hAnsi="宋体" w:cs="宋体" w:eastAsia="宋体" w:hint="default"/>
                <w:sz w:val="18"/>
                <w:szCs w:val="18"/>
              </w:rPr>
            </w:pPr>
            <w:r>
              <w:rPr>
                <w:rFonts w:ascii="宋体" w:hAnsi="宋体" w:cs="宋体" w:eastAsia="宋体" w:hint="default"/>
                <w:spacing w:val="-5"/>
                <w:sz w:val="18"/>
                <w:szCs w:val="18"/>
              </w:rPr>
              <w:t>监高减持股份的若干规定》，深圳证券交易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所《股票上市规则》、《深圳证券交易所上市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公司股东及董事、监事、高级管理人员减持 股份实施细则》的相关规定。</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124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深圳前海华大 基因投资企业</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8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、自公司股票在深圳证券交易所上市之日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个月内，不转让或者委托他人管理在 上市之前持有的公司股份，也不由公司回购 该部分股份。若因公司进行权益分派等导致 其持有的公司股份发生变化的，其仍将遵守 上述承诺。</w:t>
            </w:r>
            <w:r>
              <w:rPr>
                <w:rFonts w:ascii="Times New Roman" w:hAnsi="Times New Roman" w:cs="Times New Roman" w:eastAsia="Times New Roman" w:hint="default"/>
                <w:sz w:val="18"/>
                <w:szCs w:val="18"/>
              </w:rPr>
              <w:t>2</w:t>
            </w:r>
            <w:r>
              <w:rPr>
                <w:rFonts w:ascii="宋体" w:hAnsi="宋体" w:cs="宋体" w:eastAsia="宋体" w:hint="default"/>
                <w:sz w:val="18"/>
                <w:szCs w:val="18"/>
              </w:rPr>
              <w:t>、若本公司所持华大基因股票 在锁定期满后两年内减持的，该等股票的减 持价格将不低于发行价；华大基因上市后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个月内如华大基因股票连续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w:t>
            </w:r>
          </w:p>
          <w:p>
            <w:pPr>
              <w:pStyle w:val="TableParagraph"/>
              <w:spacing w:line="312" w:lineRule="auto" w:before="63"/>
              <w:ind w:left="23" w:right="84"/>
              <w:jc w:val="left"/>
              <w:rPr>
                <w:rFonts w:ascii="宋体" w:hAnsi="宋体" w:cs="宋体" w:eastAsia="宋体" w:hint="default"/>
                <w:sz w:val="18"/>
                <w:szCs w:val="18"/>
              </w:rPr>
            </w:pPr>
            <w:r>
              <w:rPr>
                <w:rFonts w:ascii="宋体" w:hAnsi="宋体" w:cs="宋体" w:eastAsia="宋体" w:hint="default"/>
                <w:sz w:val="18"/>
                <w:szCs w:val="18"/>
              </w:rPr>
              <w:t>收盘价均低于发行价，或者上市后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 末收盘价低于发行价的，其直接或间接持有 华大基因股票的锁定期限自动延长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期间华大基因如有派发股利、送股、转增股 本等除权除息事项，上述价格相应调整。 </w:t>
            </w:r>
            <w:r>
              <w:rPr>
                <w:rFonts w:ascii="Times New Roman" w:hAnsi="Times New Roman" w:cs="Times New Roman" w:eastAsia="Times New Roman" w:hint="default"/>
                <w:sz w:val="18"/>
                <w:szCs w:val="18"/>
              </w:rPr>
              <w:t>3</w:t>
            </w:r>
            <w:r>
              <w:rPr>
                <w:rFonts w:ascii="宋体" w:hAnsi="宋体" w:cs="宋体" w:eastAsia="宋体" w:hint="default"/>
                <w:sz w:val="18"/>
                <w:szCs w:val="18"/>
              </w:rPr>
              <w:t>、本企业将遵守中国证监会《上市公司股 </w:t>
            </w:r>
            <w:r>
              <w:rPr>
                <w:rFonts w:ascii="宋体" w:hAnsi="宋体" w:cs="宋体" w:eastAsia="宋体" w:hint="default"/>
                <w:spacing w:val="-5"/>
                <w:sz w:val="18"/>
                <w:szCs w:val="18"/>
              </w:rPr>
              <w:t>东、董监高减持股份的若干规定》，深圳证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券交易所《股票上市规则》、《深圳证券交易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所上市公司股东及董事、监事、高级管理人 员减持股份实施细则》的相关规定。</w:t>
            </w:r>
            <w:r>
              <w:rPr>
                <w:rFonts w:ascii="Times New Roman" w:hAnsi="Times New Roman" w:cs="Times New Roman" w:eastAsia="Times New Roman" w:hint="default"/>
                <w:sz w:val="18"/>
                <w:szCs w:val="18"/>
              </w:rPr>
              <w:t>4</w:t>
            </w:r>
            <w:r>
              <w:rPr>
                <w:rFonts w:ascii="宋体" w:hAnsi="宋体" w:cs="宋体" w:eastAsia="宋体" w:hint="default"/>
                <w:sz w:val="18"/>
                <w:szCs w:val="18"/>
              </w:rPr>
              <w:t>、若 不履行本承诺所赋予的义务和责任，本企业 将承担公司、公司其他股东或利益相关方因 此所受到的任何损失，违规减持公司股票的 收益将归公司所有。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9" w:lineRule="auto" w:before="63"/>
              <w:ind w:left="23" w:right="5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已履行完 毕</w:t>
            </w:r>
          </w:p>
        </w:tc>
      </w:tr>
      <w:tr>
        <w:trPr>
          <w:trHeight w:val="5355"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3" w:right="158"/>
              <w:jc w:val="both"/>
              <w:rPr>
                <w:rFonts w:ascii="宋体" w:hAnsi="宋体" w:cs="宋体" w:eastAsia="宋体" w:hint="default"/>
                <w:sz w:val="18"/>
                <w:szCs w:val="18"/>
              </w:rPr>
            </w:pPr>
            <w:r>
              <w:rPr>
                <w:rFonts w:ascii="宋体" w:hAnsi="宋体" w:cs="宋体" w:eastAsia="宋体" w:hint="default"/>
                <w:sz w:val="18"/>
                <w:szCs w:val="18"/>
              </w:rPr>
              <w:t>王俊、尹烨、 李英睿、孙英 俊、李松岗、 王威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、自公司股票在深圳证券交易所上市之日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个月内，本人不转让或者委托他人管 理在上市之前直接和间接持有的公司股份， 也不由公司回购该部分股份。若因公司进行 权益分派等导致本人直接或间接持有的公司 股份发生变化的</w:t>
            </w:r>
            <w:r>
              <w:rPr>
                <w:rFonts w:ascii="Times New Roman" w:hAnsi="Times New Roman" w:cs="Times New Roman" w:eastAsia="Times New Roman" w:hint="default"/>
                <w:sz w:val="18"/>
                <w:szCs w:val="18"/>
              </w:rPr>
              <w:t>,</w:t>
            </w:r>
            <w:r>
              <w:rPr>
                <w:rFonts w:ascii="宋体" w:hAnsi="宋体" w:cs="宋体" w:eastAsia="宋体" w:hint="default"/>
                <w:sz w:val="18"/>
                <w:szCs w:val="18"/>
              </w:rPr>
              <w:t>本人仍将遵守上述承诺。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、本人在公司担任董事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高级管理人员 期间，每年转让的公司的股份不超过本人直 接和间接持有的公司股份总数的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；在卖 出后六个月再行买入公司股份，或买入后六 个月内再行卖出公司股份的，则所得收益归 公司所有。</w:t>
            </w:r>
            <w:r>
              <w:rPr>
                <w:rFonts w:ascii="Times New Roman" w:hAnsi="Times New Roman" w:cs="Times New Roman" w:eastAsia="Times New Roman" w:hint="default"/>
                <w:sz w:val="18"/>
                <w:szCs w:val="18"/>
              </w:rPr>
              <w:t>3</w:t>
            </w:r>
            <w:r>
              <w:rPr>
                <w:rFonts w:ascii="宋体" w:hAnsi="宋体" w:cs="宋体" w:eastAsia="宋体" w:hint="default"/>
                <w:sz w:val="18"/>
                <w:szCs w:val="18"/>
              </w:rPr>
              <w:t>、若本人所持公司股票在锁定 期满后两年内减持的，该等股票的减持价格 将不低于发行价；公司上市后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w:t>
            </w:r>
          </w:p>
          <w:p>
            <w:pPr>
              <w:pStyle w:val="TableParagraph"/>
              <w:spacing w:line="300" w:lineRule="auto" w:before="63"/>
              <w:ind w:left="23" w:right="87"/>
              <w:jc w:val="left"/>
              <w:rPr>
                <w:rFonts w:ascii="宋体" w:hAnsi="宋体" w:cs="宋体" w:eastAsia="宋体" w:hint="default"/>
                <w:sz w:val="18"/>
                <w:szCs w:val="18"/>
              </w:rPr>
            </w:pPr>
            <w:r>
              <w:rPr>
                <w:rFonts w:ascii="宋体" w:hAnsi="宋体" w:cs="宋体" w:eastAsia="宋体" w:hint="default"/>
                <w:sz w:val="18"/>
                <w:szCs w:val="18"/>
              </w:rPr>
              <w:t>行价，或者上市后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 行价的，本人直接和间接持有公司股票的锁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9" w:lineRule="auto" w:before="63"/>
              <w:ind w:left="23" w:right="5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已履行完 毕</w:t>
            </w:r>
          </w:p>
        </w:tc>
      </w:tr>
    </w:tbl>
    <w:p>
      <w:pPr>
        <w:spacing w:after="0" w:line="309"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1.75pt;height:769.45pt;mso-position-horizontal-relative:page;mso-position-vertical-relative:page;z-index:-1397608" coordorigin="1171,1450" coordsize="1235,15389">
            <v:group style="position:absolute;left:1171;top:1450;width:1235;height:4410" coordorigin="1171,1450" coordsize="1235,4410">
              <v:shape style="position:absolute;left:1171;top:1450;width:1235;height:4410" coordorigin="1171,1450" coordsize="1235,4410" path="m1171,5859l2405,5859,2405,1450,1171,1450,1171,5859xe" filled="true" fillcolor="#d2d2d2" stroked="false">
                <v:path arrowok="t"/>
                <v:fill type="solid"/>
              </v:shape>
            </v:group>
            <v:group style="position:absolute;left:1171;top:5859;width:1235;height:6330" coordorigin="1171,5859" coordsize="1235,6330">
              <v:shape style="position:absolute;left:1171;top:5859;width:1235;height:6330" coordorigin="1171,5859" coordsize="1235,6330" path="m1171,12189l2405,12189,2405,5859,1171,5859,1171,12189xe" filled="true" fillcolor="#d2d2d2" stroked="false">
                <v:path arrowok="t"/>
                <v:fill type="solid"/>
              </v:shape>
            </v:group>
            <v:group style="position:absolute;left:1171;top:12189;width:1235;height:4650" coordorigin="1171,12189" coordsize="1235,4650">
              <v:shape style="position:absolute;left:1171;top:12189;width:1235;height:4650" coordorigin="1171,12189" coordsize="1235,4650" path="m2405,16838l2405,12189,1171,12189,1171,16838,2405,16838xe" filled="true" fillcolor="#d2d2d2" stroked="false">
                <v:path arrowok="t"/>
                <v:fill type="solid"/>
              </v:shape>
            </v:group>
            <w10:wrap type="none"/>
          </v:group>
        </w:pict>
      </w:r>
      <w:r>
        <w:rPr/>
        <w:pict>
          <v:shape style="position:absolute;margin-left:535.634705pt;margin-top:806.72052pt;width:59.493346pt;height:26.794713pt;mso-position-horizontal-relative:page;mso-position-vertical-relative:page;z-index:1696"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4"/>
      </w:tblGrid>
      <w:tr>
        <w:trPr>
          <w:trHeight w:val="4419"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23" w:right="86"/>
              <w:jc w:val="left"/>
              <w:rPr>
                <w:rFonts w:ascii="宋体" w:hAnsi="宋体" w:cs="宋体" w:eastAsia="宋体" w:hint="default"/>
                <w:sz w:val="18"/>
                <w:szCs w:val="18"/>
              </w:rPr>
            </w:pPr>
            <w:r>
              <w:rPr>
                <w:rFonts w:ascii="宋体" w:hAnsi="宋体" w:cs="宋体" w:eastAsia="宋体" w:hint="default"/>
                <w:sz w:val="18"/>
                <w:szCs w:val="18"/>
              </w:rPr>
              <w:t>定期限自动延长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个月。期间公司如有派发 股利、送股、转增股本等除权除息事项，上 述价格相应调整。</w:t>
            </w:r>
            <w:r>
              <w:rPr>
                <w:rFonts w:ascii="Times New Roman" w:hAnsi="Times New Roman" w:cs="Times New Roman" w:eastAsia="Times New Roman" w:hint="default"/>
                <w:sz w:val="18"/>
                <w:szCs w:val="18"/>
              </w:rPr>
              <w:t>4</w:t>
            </w:r>
            <w:r>
              <w:rPr>
                <w:rFonts w:ascii="宋体" w:hAnsi="宋体" w:cs="宋体" w:eastAsia="宋体" w:hint="default"/>
                <w:sz w:val="18"/>
                <w:szCs w:val="18"/>
              </w:rPr>
              <w:t>、若不履行本承诺所约 定的义务和责任，本人将承担公司、公司其 他股东或利益相关方因此所受到的任何损 失，违规减持公司股票的收益将归公司所 有。如本人未上缴上述出售股票所获收益， 公司可扣减本人以后年度现金分红或扣减发 放的薪酬</w:t>
            </w:r>
            <w:r>
              <w:rPr>
                <w:rFonts w:ascii="Times New Roman" w:hAnsi="Times New Roman" w:cs="Times New Roman" w:eastAsia="Times New Roman" w:hint="default"/>
                <w:sz w:val="18"/>
                <w:szCs w:val="18"/>
              </w:rPr>
              <w:t>/</w:t>
            </w:r>
            <w:r>
              <w:rPr>
                <w:rFonts w:ascii="宋体" w:hAnsi="宋体" w:cs="宋体" w:eastAsia="宋体" w:hint="default"/>
                <w:sz w:val="18"/>
                <w:szCs w:val="18"/>
              </w:rPr>
              <w:t>津贴直至履行上缴上述收益的承 诺。</w:t>
            </w:r>
            <w:r>
              <w:rPr>
                <w:rFonts w:ascii="Times New Roman" w:hAnsi="Times New Roman" w:cs="Times New Roman" w:eastAsia="Times New Roman" w:hint="default"/>
                <w:sz w:val="18"/>
                <w:szCs w:val="18"/>
              </w:rPr>
              <w:t>5</w:t>
            </w:r>
            <w:r>
              <w:rPr>
                <w:rFonts w:ascii="宋体" w:hAnsi="宋体" w:cs="宋体" w:eastAsia="宋体" w:hint="default"/>
                <w:sz w:val="18"/>
                <w:szCs w:val="18"/>
              </w:rPr>
              <w:t>、本人将遵守中国证监会《上市公司 </w:t>
            </w:r>
            <w:r>
              <w:rPr>
                <w:rFonts w:ascii="宋体" w:hAnsi="宋体" w:cs="宋体" w:eastAsia="宋体" w:hint="default"/>
                <w:spacing w:val="-5"/>
                <w:sz w:val="18"/>
                <w:szCs w:val="18"/>
              </w:rPr>
              <w:t>股东、董监高减持股份的若干规定》，深圳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证券交易所《股票上市规则》、《深圳证券交</w:t>
            </w:r>
            <w:r>
              <w:rPr>
                <w:rFonts w:ascii="宋体" w:hAnsi="宋体" w:cs="宋体" w:eastAsia="宋体" w:hint="default"/>
                <w:sz w:val="18"/>
                <w:szCs w:val="18"/>
              </w:rPr>
              <w:t> 易所上市公司股东及董事、监事、高级管理 人员减持股份实施细则》的相关规定。</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124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金翼汇顺、国 华腾飞、有孚 创业、北京国 投、盛桥新领 域、南海成 长、苏州松 禾、中金佳 成、上海腾 希、上海国 和、苏州软 银、青岛金 石、乐华源 城、华弘资 本、和玉高 林、东土盛 唐、盛桥新健 康、常春藤、 汇晟资产、丰 悦泰和、中国 人寿</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9"/>
              <w:ind w:left="23"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、自华大基因股票在深圳证券交易所上市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个月内，不转让或者委托他人管 理在上市之前持有的华大基因股份，也不由 华大基因回购该部分股份。若因公司进行权 益分派等导致其持有的公司股份发生变化 的，其仍将遵守上述承诺。</w:t>
            </w:r>
            <w:r>
              <w:rPr>
                <w:rFonts w:ascii="Times New Roman" w:hAnsi="Times New Roman" w:cs="Times New Roman" w:eastAsia="Times New Roman" w:hint="default"/>
                <w:sz w:val="18"/>
                <w:szCs w:val="18"/>
              </w:rPr>
              <w:t>2</w:t>
            </w:r>
            <w:r>
              <w:rPr>
                <w:rFonts w:ascii="宋体" w:hAnsi="宋体" w:cs="宋体" w:eastAsia="宋体" w:hint="default"/>
                <w:sz w:val="18"/>
                <w:szCs w:val="18"/>
              </w:rPr>
              <w:t>、若不履行本 承诺所约定的义务和责任，其将承担公司、 公司其他股东或利益相关方因此所受到的任 何损失，违规减持公司股票的收益将归公司 所有。</w:t>
            </w:r>
            <w:r>
              <w:rPr>
                <w:rFonts w:ascii="Times New Roman" w:hAnsi="Times New Roman" w:cs="Times New Roman" w:eastAsia="Times New Roman" w:hint="default"/>
                <w:sz w:val="18"/>
                <w:szCs w:val="18"/>
              </w:rPr>
              <w:t>3</w:t>
            </w:r>
            <w:r>
              <w:rPr>
                <w:rFonts w:ascii="宋体" w:hAnsi="宋体" w:cs="宋体" w:eastAsia="宋体" w:hint="default"/>
                <w:sz w:val="18"/>
                <w:szCs w:val="18"/>
              </w:rPr>
              <w:t>、本企业将遵守中国证监会《上市 </w:t>
            </w:r>
            <w:r>
              <w:rPr>
                <w:rFonts w:ascii="宋体" w:hAnsi="宋体" w:cs="宋体" w:eastAsia="宋体" w:hint="default"/>
                <w:spacing w:val="-5"/>
                <w:sz w:val="18"/>
                <w:szCs w:val="18"/>
              </w:rPr>
              <w:t>公司股东、董监高减持股份的若干规定》，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深圳证券交易所《股票上市规则》、《深圳证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券交易所上市公司股东及董事、监事、高级 管理人员减持股份实施细则》的相关规定。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9" w:lineRule="auto" w:before="63"/>
              <w:ind w:left="23" w:right="5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已履行完 毕</w:t>
            </w:r>
          </w:p>
        </w:tc>
      </w:tr>
      <w:tr>
        <w:trPr>
          <w:trHeight w:val="3171"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华夏人寿保险 股份有限公 司、霍尔果斯 锋茂股权投资 管理合伙企业</w:t>
            </w:r>
          </w:p>
          <w:p>
            <w:pPr>
              <w:pStyle w:val="TableParagraph"/>
              <w:spacing w:line="319" w:lineRule="auto" w:before="19"/>
              <w:ind w:left="23" w:right="70"/>
              <w:jc w:val="left"/>
              <w:rPr>
                <w:rFonts w:ascii="宋体" w:hAnsi="宋体" w:cs="宋体" w:eastAsia="宋体" w:hint="default"/>
                <w:sz w:val="18"/>
                <w:szCs w:val="18"/>
              </w:rPr>
            </w:pPr>
            <w:r>
              <w:rPr>
                <w:rFonts w:ascii="宋体" w:hAnsi="宋体" w:cs="宋体" w:eastAsia="宋体" w:hint="default"/>
                <w:spacing w:val="-14"/>
                <w:sz w:val="18"/>
                <w:szCs w:val="18"/>
              </w:rPr>
              <w:t>（有限合伙）、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宁波博源卓越 股权投资合伙 企业（有限合 </w:t>
            </w:r>
            <w:r>
              <w:rPr>
                <w:rFonts w:ascii="宋体" w:hAnsi="宋体" w:cs="宋体" w:eastAsia="宋体" w:hint="default"/>
                <w:spacing w:val="-14"/>
                <w:sz w:val="18"/>
                <w:szCs w:val="18"/>
              </w:rPr>
              <w:t>伙）、宁波软银</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、对于其以股权或现金增资方式获得的华 大基因股份，自其获得该股份之日（完成工 商变更登记手续之日为基准日，即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312" w:lineRule="auto" w:before="5"/>
              <w:ind w:left="23" w:right="8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个月内，其不转让或者委托 他人管理在上市之前持有的华大基因股份， 也不由华大基因回购该部分股份。若因公司 进行权益分派等导致其持有的公司股份发生 变化的，其仍将遵守上述承诺。</w:t>
            </w:r>
            <w:r>
              <w:rPr>
                <w:rFonts w:ascii="Times New Roman" w:hAnsi="Times New Roman" w:cs="Times New Roman" w:eastAsia="Times New Roman" w:hint="default"/>
                <w:sz w:val="18"/>
                <w:szCs w:val="18"/>
              </w:rPr>
              <w:t>2</w:t>
            </w:r>
            <w:r>
              <w:rPr>
                <w:rFonts w:ascii="宋体" w:hAnsi="宋体" w:cs="宋体" w:eastAsia="宋体" w:hint="default"/>
                <w:sz w:val="18"/>
                <w:szCs w:val="18"/>
              </w:rPr>
              <w:t>、若不履 行本承诺所约定的义务和责任，将承担公 司、公司其他股东或利益相关方因此所受到</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9" w:lineRule="auto" w:before="63"/>
              <w:ind w:left="23" w:right="5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已履行完 毕</w:t>
            </w:r>
          </w:p>
        </w:tc>
      </w:tr>
    </w:tbl>
    <w:p>
      <w:pPr>
        <w:spacing w:after="0" w:line="309"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1.75pt;height:769.45pt;mso-position-horizontal-relative:page;mso-position-vertical-relative:page;z-index:-1397560" coordorigin="1171,1450" coordsize="1235,15389">
            <v:group style="position:absolute;left:1171;top:1450;width:1235;height:10963" coordorigin="1171,1450" coordsize="1235,10963">
              <v:shape style="position:absolute;left:1171;top:1450;width:1235;height:10963" coordorigin="1171,1450" coordsize="1235,10963" path="m1171,12412l2405,12412,2405,1450,1171,1450,1171,12412xe" filled="true" fillcolor="#d2d2d2" stroked="false">
                <v:path arrowok="t"/>
                <v:fill type="solid"/>
              </v:shape>
            </v:group>
            <v:group style="position:absolute;left:1171;top:12412;width:1235;height:4427" coordorigin="1171,12412" coordsize="1235,4427">
              <v:shape style="position:absolute;left:1171;top:12412;width:1235;height:4427" coordorigin="1171,12412" coordsize="1235,4427" path="m2405,16838l2405,12412,1171,12412,1171,16838,2405,16838xe" filled="true" fillcolor="#d2d2d2" stroked="false">
                <v:path arrowok="t"/>
                <v:fill type="solid"/>
              </v:shape>
            </v:group>
            <w10:wrap type="none"/>
          </v:group>
        </w:pict>
      </w:r>
      <w:r>
        <w:rPr/>
        <w:pict>
          <v:shape style="position:absolute;margin-left:535.634705pt;margin-top:806.72052pt;width:59.493346pt;height:26.794713pt;mso-position-horizontal-relative:page;mso-position-vertical-relative:page;z-index:1744"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4"/>
      </w:tblGrid>
      <w:tr>
        <w:trPr>
          <w:trHeight w:val="10972"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70"/>
              <w:jc w:val="left"/>
              <w:rPr>
                <w:rFonts w:ascii="宋体" w:hAnsi="宋体" w:cs="宋体" w:eastAsia="宋体" w:hint="default"/>
                <w:sz w:val="18"/>
                <w:szCs w:val="18"/>
              </w:rPr>
            </w:pPr>
            <w:r>
              <w:rPr>
                <w:rFonts w:ascii="宋体" w:hAnsi="宋体" w:cs="宋体" w:eastAsia="宋体" w:hint="default"/>
                <w:sz w:val="18"/>
                <w:szCs w:val="18"/>
              </w:rPr>
              <w:t>天维创业投资 合伙企业（有 </w:t>
            </w:r>
            <w:r>
              <w:rPr>
                <w:rFonts w:ascii="宋体" w:hAnsi="宋体" w:cs="宋体" w:eastAsia="宋体" w:hint="default"/>
                <w:spacing w:val="-14"/>
                <w:sz w:val="18"/>
                <w:szCs w:val="18"/>
              </w:rPr>
              <w:t>限合伙）、上海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海百合投资发 展中心（有限 </w:t>
            </w:r>
            <w:r>
              <w:rPr>
                <w:rFonts w:ascii="宋体" w:hAnsi="宋体" w:cs="宋体" w:eastAsia="宋体" w:hint="default"/>
                <w:spacing w:val="-14"/>
                <w:sz w:val="18"/>
                <w:szCs w:val="18"/>
              </w:rPr>
              <w:t>合伙）、上海开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物投资合伙企 业（有限合 </w:t>
            </w:r>
            <w:r>
              <w:rPr>
                <w:rFonts w:ascii="宋体" w:hAnsi="宋体" w:cs="宋体" w:eastAsia="宋体" w:hint="default"/>
                <w:spacing w:val="-14"/>
                <w:sz w:val="18"/>
                <w:szCs w:val="18"/>
              </w:rPr>
              <w:t>伙）、上海云锋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股权投资中心</w:t>
            </w:r>
          </w:p>
          <w:p>
            <w:pPr>
              <w:pStyle w:val="TableParagraph"/>
              <w:spacing w:line="319" w:lineRule="auto" w:before="19"/>
              <w:ind w:left="23" w:right="70"/>
              <w:jc w:val="left"/>
              <w:rPr>
                <w:rFonts w:ascii="宋体" w:hAnsi="宋体" w:cs="宋体" w:eastAsia="宋体" w:hint="default"/>
                <w:sz w:val="18"/>
                <w:szCs w:val="18"/>
              </w:rPr>
            </w:pPr>
            <w:r>
              <w:rPr>
                <w:rFonts w:ascii="宋体" w:hAnsi="宋体" w:cs="宋体" w:eastAsia="宋体" w:hint="default"/>
                <w:spacing w:val="-14"/>
                <w:sz w:val="18"/>
                <w:szCs w:val="18"/>
              </w:rPr>
              <w:t>（有限合伙）、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上海珍尤医疗 投资合伙企业</w:t>
            </w:r>
          </w:p>
          <w:p>
            <w:pPr>
              <w:pStyle w:val="TableParagraph"/>
              <w:spacing w:line="316" w:lineRule="auto" w:before="17"/>
              <w:ind w:left="23" w:right="70"/>
              <w:jc w:val="left"/>
              <w:rPr>
                <w:rFonts w:ascii="宋体" w:hAnsi="宋体" w:cs="宋体" w:eastAsia="宋体" w:hint="default"/>
                <w:sz w:val="18"/>
                <w:szCs w:val="18"/>
              </w:rPr>
            </w:pPr>
            <w:r>
              <w:rPr>
                <w:rFonts w:ascii="宋体" w:hAnsi="宋体" w:cs="宋体" w:eastAsia="宋体" w:hint="default"/>
                <w:spacing w:val="-14"/>
                <w:sz w:val="18"/>
                <w:szCs w:val="18"/>
              </w:rPr>
              <w:t>（有限合伙）、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深圳宸时资本 管理有限公 司、深圳市创 润投资合伙企 业（有限合 </w:t>
            </w:r>
            <w:r>
              <w:rPr>
                <w:rFonts w:ascii="宋体" w:hAnsi="宋体" w:cs="宋体" w:eastAsia="宋体" w:hint="default"/>
                <w:spacing w:val="-14"/>
                <w:sz w:val="18"/>
                <w:szCs w:val="18"/>
              </w:rPr>
              <w:t>伙）、深圳市国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信弘盛股权投 资基金（有限 </w:t>
            </w:r>
            <w:r>
              <w:rPr>
                <w:rFonts w:ascii="宋体" w:hAnsi="宋体" w:cs="宋体" w:eastAsia="宋体" w:hint="default"/>
                <w:spacing w:val="-14"/>
                <w:sz w:val="18"/>
                <w:szCs w:val="18"/>
              </w:rPr>
              <w:t>合伙）、深圳市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盛桥创鑫投资 合伙企业（有 </w:t>
            </w:r>
            <w:r>
              <w:rPr>
                <w:rFonts w:ascii="宋体" w:hAnsi="宋体" w:cs="宋体" w:eastAsia="宋体" w:hint="default"/>
                <w:spacing w:val="-14"/>
                <w:sz w:val="18"/>
                <w:szCs w:val="18"/>
              </w:rPr>
              <w:t>限合伙）、天津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高林同创股权 投资合伙企业</w:t>
            </w:r>
          </w:p>
          <w:p>
            <w:pPr>
              <w:pStyle w:val="TableParagraph"/>
              <w:spacing w:line="319" w:lineRule="auto" w:before="19"/>
              <w:ind w:left="23" w:right="70"/>
              <w:jc w:val="left"/>
              <w:rPr>
                <w:rFonts w:ascii="宋体" w:hAnsi="宋体" w:cs="宋体" w:eastAsia="宋体" w:hint="default"/>
                <w:sz w:val="18"/>
                <w:szCs w:val="18"/>
              </w:rPr>
            </w:pPr>
            <w:r>
              <w:rPr>
                <w:rFonts w:ascii="宋体" w:hAnsi="宋体" w:cs="宋体" w:eastAsia="宋体" w:hint="default"/>
                <w:spacing w:val="-14"/>
                <w:sz w:val="18"/>
                <w:szCs w:val="18"/>
              </w:rPr>
              <w:t>（有限合伙）、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西安尔湾投资 有限合伙企 业、中小企业 基因（深圳） 投资合伙企业</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87"/>
              <w:jc w:val="both"/>
              <w:rPr>
                <w:rFonts w:ascii="宋体" w:hAnsi="宋体" w:cs="宋体" w:eastAsia="宋体" w:hint="default"/>
                <w:sz w:val="18"/>
                <w:szCs w:val="18"/>
              </w:rPr>
            </w:pPr>
            <w:r>
              <w:rPr>
                <w:rFonts w:ascii="宋体" w:hAnsi="宋体" w:cs="宋体" w:eastAsia="宋体" w:hint="default"/>
                <w:sz w:val="18"/>
                <w:szCs w:val="18"/>
              </w:rPr>
              <w:t>的任何损失，违规减持公司股票的收益将归 公司所有。</w:t>
            </w:r>
            <w:r>
              <w:rPr>
                <w:rFonts w:ascii="Times New Roman" w:hAnsi="Times New Roman" w:cs="Times New Roman" w:eastAsia="Times New Roman" w:hint="default"/>
                <w:sz w:val="18"/>
                <w:szCs w:val="18"/>
              </w:rPr>
              <w:t>3</w:t>
            </w:r>
            <w:r>
              <w:rPr>
                <w:rFonts w:ascii="宋体" w:hAnsi="宋体" w:cs="宋体" w:eastAsia="宋体" w:hint="default"/>
                <w:sz w:val="18"/>
                <w:szCs w:val="18"/>
              </w:rPr>
              <w:t>、本企业将遵守中国证监会</w:t>
            </w:r>
          </w:p>
          <w:p>
            <w:pPr>
              <w:pStyle w:val="TableParagraph"/>
              <w:spacing w:line="316" w:lineRule="auto"/>
              <w:ind w:left="23" w:right="87"/>
              <w:jc w:val="both"/>
              <w:rPr>
                <w:rFonts w:ascii="宋体" w:hAnsi="宋体" w:cs="宋体" w:eastAsia="宋体" w:hint="default"/>
                <w:sz w:val="18"/>
                <w:szCs w:val="18"/>
              </w:rPr>
            </w:pPr>
            <w:r>
              <w:rPr>
                <w:rFonts w:ascii="宋体" w:hAnsi="宋体" w:cs="宋体" w:eastAsia="宋体" w:hint="default"/>
                <w:sz w:val="18"/>
                <w:szCs w:val="18"/>
              </w:rPr>
              <w:t>《上市公司股东、董监高减持股份的若干规 </w:t>
            </w:r>
            <w:r>
              <w:rPr>
                <w:rFonts w:ascii="宋体" w:hAnsi="宋体" w:cs="宋体" w:eastAsia="宋体" w:hint="default"/>
                <w:spacing w:val="-10"/>
                <w:sz w:val="18"/>
                <w:szCs w:val="18"/>
              </w:rPr>
              <w:t>定》，深圳证券交易所《股票上市规则》、</w:t>
            </w:r>
          </w:p>
          <w:p>
            <w:pPr>
              <w:pStyle w:val="TableParagraph"/>
              <w:spacing w:line="316" w:lineRule="auto" w:before="19"/>
              <w:ind w:left="23" w:right="87"/>
              <w:jc w:val="both"/>
              <w:rPr>
                <w:rFonts w:ascii="宋体" w:hAnsi="宋体" w:cs="宋体" w:eastAsia="宋体" w:hint="default"/>
                <w:sz w:val="18"/>
                <w:szCs w:val="18"/>
              </w:rPr>
            </w:pPr>
            <w:r>
              <w:rPr>
                <w:rFonts w:ascii="宋体" w:hAnsi="宋体" w:cs="宋体" w:eastAsia="宋体" w:hint="default"/>
                <w:sz w:val="18"/>
                <w:szCs w:val="18"/>
              </w:rPr>
              <w:t>《深圳证券交易所上市公司股东及董事、监 事、高级管理人员减持股份实施细则》的相 关规定。</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3" w:right="158"/>
              <w:jc w:val="both"/>
              <w:rPr>
                <w:rFonts w:ascii="宋体" w:hAnsi="宋体" w:cs="宋体" w:eastAsia="宋体" w:hint="default"/>
                <w:sz w:val="18"/>
                <w:szCs w:val="18"/>
              </w:rPr>
            </w:pPr>
            <w:r>
              <w:rPr>
                <w:rFonts w:ascii="宋体" w:hAnsi="宋体" w:cs="宋体" w:eastAsia="宋体" w:hint="default"/>
                <w:sz w:val="18"/>
                <w:szCs w:val="18"/>
              </w:rPr>
              <w:t>深圳市深港产 学研创业投资 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24"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、对于其自深圳华大基因科技有限公司处 受让的华大基因股份，自华大基因股票在深 圳证券交易所上市之日起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个月内，其承 诺不转让或者委托他人管理该部分股份，也 不由华大基因回购该部分股份。若因公司进 行权益分派等导致其持有的公司股份发生变 化的，其仍将遵守上述承诺。</w:t>
            </w:r>
            <w:r>
              <w:rPr>
                <w:rFonts w:ascii="Times New Roman" w:hAnsi="Times New Roman" w:cs="Times New Roman" w:eastAsia="Times New Roman" w:hint="default"/>
                <w:sz w:val="18"/>
                <w:szCs w:val="18"/>
              </w:rPr>
              <w:t>2</w:t>
            </w:r>
            <w:r>
              <w:rPr>
                <w:rFonts w:ascii="宋体" w:hAnsi="宋体" w:cs="宋体" w:eastAsia="宋体" w:hint="default"/>
                <w:sz w:val="18"/>
                <w:szCs w:val="18"/>
              </w:rPr>
              <w:t>、若不履行 本承诺所约定的义务和责任，将承担公司、 公司其他股东或利益相关方因此所受到的任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1.75pt;height:769.45pt;mso-position-horizontal-relative:page;mso-position-vertical-relative:page;z-index:-1397512" coordorigin="1171,1450" coordsize="1235,15389">
            <v:group style="position:absolute;left:1171;top:1450;width:1235;height:1914" coordorigin="1171,1450" coordsize="1235,1914">
              <v:shape style="position:absolute;left:1171;top:1450;width:1235;height:1914" coordorigin="1171,1450" coordsize="1235,1914" path="m1171,3363l2405,3363,2405,1450,1171,1450,1171,3363xe" filled="true" fillcolor="#d2d2d2" stroked="false">
                <v:path arrowok="t"/>
                <v:fill type="solid"/>
              </v:shape>
            </v:group>
            <v:group style="position:absolute;left:1171;top:3363;width:1235;height:6642" coordorigin="1171,3363" coordsize="1235,6642">
              <v:shape style="position:absolute;left:1171;top:3363;width:1235;height:6642" coordorigin="1171,3363" coordsize="1235,6642" path="m1171,10005l2405,10005,2405,3363,1171,3363,1171,10005xe" filled="true" fillcolor="#d2d2d2" stroked="false">
                <v:path arrowok="t"/>
                <v:fill type="solid"/>
              </v:shape>
            </v:group>
            <v:group style="position:absolute;left:1171;top:10005;width:1235;height:6834" coordorigin="1171,10005" coordsize="1235,6834">
              <v:shape style="position:absolute;left:1171;top:10005;width:1235;height:6834" coordorigin="1171,10005" coordsize="1235,6834" path="m2405,16838l2405,10005,1171,10005,1171,16838,2405,16838xe" filled="true" fillcolor="#d2d2d2" stroked="false">
                <v:path arrowok="t"/>
                <v:fill type="solid"/>
              </v:shape>
            </v:group>
            <w10:wrap type="none"/>
          </v:group>
        </w:pict>
      </w:r>
      <w:r>
        <w:rPr/>
        <w:pict>
          <v:shape style="position:absolute;margin-left:535.634705pt;margin-top:806.72052pt;width:59.493346pt;height:26.794713pt;mso-position-horizontal-relative:page;mso-position-vertical-relative:page;z-index:1792"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4"/>
      </w:tblGrid>
      <w:tr>
        <w:trPr>
          <w:trHeight w:val="1923"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87"/>
              <w:jc w:val="left"/>
              <w:rPr>
                <w:rFonts w:ascii="宋体" w:hAnsi="宋体" w:cs="宋体" w:eastAsia="宋体" w:hint="default"/>
                <w:sz w:val="18"/>
                <w:szCs w:val="18"/>
              </w:rPr>
            </w:pPr>
            <w:r>
              <w:rPr>
                <w:rFonts w:ascii="宋体" w:hAnsi="宋体" w:cs="宋体" w:eastAsia="宋体" w:hint="default"/>
                <w:sz w:val="18"/>
                <w:szCs w:val="18"/>
              </w:rPr>
              <w:t>何损失，违规减持公司股票的收益将归公司 所有。</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、本公司将遵守中国证监会《上市 </w:t>
            </w:r>
            <w:r>
              <w:rPr>
                <w:rFonts w:ascii="宋体" w:hAnsi="宋体" w:cs="宋体" w:eastAsia="宋体" w:hint="default"/>
                <w:spacing w:val="-5"/>
                <w:sz w:val="18"/>
                <w:szCs w:val="18"/>
              </w:rPr>
              <w:t>公司股东、董监高减持股份的若干规定》，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深圳证券交易所《股票上市规则》、《深圳证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券交易所上市公司股东及董事、监事、高级 管理人员减持股份实施细则》的相关规定。</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6642" w:hRule="exact"/>
        </w:trPr>
        <w:tc>
          <w:tcPr>
            <w:tcW w:w="124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158"/>
              <w:jc w:val="both"/>
              <w:rPr>
                <w:rFonts w:ascii="宋体" w:hAnsi="宋体" w:cs="宋体" w:eastAsia="宋体" w:hint="default"/>
                <w:sz w:val="18"/>
                <w:szCs w:val="18"/>
              </w:rPr>
            </w:pPr>
            <w:r>
              <w:rPr>
                <w:rFonts w:ascii="宋体" w:hAnsi="宋体" w:cs="宋体" w:eastAsia="宋体" w:hint="default"/>
                <w:sz w:val="18"/>
                <w:szCs w:val="18"/>
              </w:rPr>
              <w:t>北京荣之联科 技股份有限公 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4"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8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、对于其以股权增资方式获得的华大基因 股份，自其获得该股份之日（完成工商变更 登记手续之日为基准日，即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312" w:lineRule="auto" w:before="5"/>
              <w:ind w:left="23" w:right="86"/>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个月内，其承诺不转让或者委托 他人管理该部分股份，也不由华大基因回购 该部分股份。</w:t>
            </w:r>
            <w:r>
              <w:rPr>
                <w:rFonts w:ascii="Times New Roman" w:hAnsi="Times New Roman" w:cs="Times New Roman" w:eastAsia="Times New Roman" w:hint="default"/>
                <w:sz w:val="18"/>
                <w:szCs w:val="18"/>
              </w:rPr>
              <w:t>2</w:t>
            </w:r>
            <w:r>
              <w:rPr>
                <w:rFonts w:ascii="宋体" w:hAnsi="宋体" w:cs="宋体" w:eastAsia="宋体" w:hint="default"/>
                <w:sz w:val="18"/>
                <w:szCs w:val="18"/>
              </w:rPr>
              <w:t>、除上述华大基因股份外， 对于其持有的华大基因其它股份，自华大基 因股票在深圳证券交易所上市之日起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月内，其承诺不转让或者委托他人管理该部 分股份，也不由华大基因回购该部分股份。 若因公司进行权益分派等导致其持有的公司 股份发生变化的，其仍将遵守上述承诺。 </w:t>
            </w:r>
            <w:r>
              <w:rPr>
                <w:rFonts w:ascii="Times New Roman" w:hAnsi="Times New Roman" w:cs="Times New Roman" w:eastAsia="Times New Roman" w:hint="default"/>
                <w:sz w:val="18"/>
                <w:szCs w:val="18"/>
              </w:rPr>
              <w:t>3</w:t>
            </w:r>
            <w:r>
              <w:rPr>
                <w:rFonts w:ascii="宋体" w:hAnsi="宋体" w:cs="宋体" w:eastAsia="宋体" w:hint="default"/>
                <w:sz w:val="18"/>
                <w:szCs w:val="18"/>
              </w:rPr>
              <w:t>、若不履行本承诺所约定的义务和责任， 其将承担公司、公司其他股东或利益相关方 因此所受到的任何损失，违规减持公司股票 的收益将归公司所有。</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、本公司将遵守中 国证监会《上市公司股东、董监高减持股份 </w:t>
            </w:r>
            <w:r>
              <w:rPr>
                <w:rFonts w:ascii="宋体" w:hAnsi="宋体" w:cs="宋体" w:eastAsia="宋体" w:hint="default"/>
                <w:spacing w:val="-5"/>
                <w:sz w:val="18"/>
                <w:szCs w:val="18"/>
              </w:rPr>
              <w:t>的若干规定》，深圳证券交易所《股票上市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规则》、《深圳证券交易所上市公司股东及董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事、监事、高级管理人员减持股份实施细 则》的相关规定。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9" w:lineRule="auto" w:before="63"/>
              <w:ind w:left="23" w:right="5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已履行完 毕</w:t>
            </w:r>
          </w:p>
        </w:tc>
      </w:tr>
      <w:tr>
        <w:trPr>
          <w:trHeight w:val="5355"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 w:right="158"/>
              <w:jc w:val="both"/>
              <w:rPr>
                <w:rFonts w:ascii="宋体" w:hAnsi="宋体" w:cs="宋体" w:eastAsia="宋体" w:hint="default"/>
                <w:sz w:val="18"/>
                <w:szCs w:val="18"/>
              </w:rPr>
            </w:pPr>
            <w:r>
              <w:rPr>
                <w:rFonts w:ascii="宋体" w:hAnsi="宋体" w:cs="宋体" w:eastAsia="宋体" w:hint="default"/>
                <w:sz w:val="18"/>
                <w:szCs w:val="18"/>
              </w:rPr>
              <w:t>深圳市创新投 资集团有限公 司、深圳市红 土生物创业投 资有限公司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、对于其自深圳华大基因科技有限公司处 受让的华大基因股份，自华大基因股票在深 圳证券交易所上市之日起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个月内，其承 诺不转让或者委托他人管理该部分股份，也 不由华大基因回购该部分股份。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、对于其 以股权增资方式获得的华大基因股份，自其 获得该股份之日（完成工商变更登记手续之 日为基准日，即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个月内，或自华大基因股票在深圳证券交易 所上市之日起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个月内，其承诺不转让或 者委托他人管理该部分股份，也不由华大基 因回购该部分股份。</w:t>
            </w:r>
            <w:r>
              <w:rPr>
                <w:rFonts w:ascii="Times New Roman" w:hAnsi="Times New Roman" w:cs="Times New Roman" w:eastAsia="Times New Roman" w:hint="default"/>
                <w:sz w:val="18"/>
                <w:szCs w:val="18"/>
              </w:rPr>
              <w:t>3</w:t>
            </w:r>
            <w:r>
              <w:rPr>
                <w:rFonts w:ascii="宋体" w:hAnsi="宋体" w:cs="宋体" w:eastAsia="宋体" w:hint="default"/>
                <w:sz w:val="18"/>
                <w:szCs w:val="18"/>
              </w:rPr>
              <w:t>、除上述华大基因股 份外，对于其持有的华大基因其它股份，自 华大基因股票在深圳证券交易所上市之日起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个月内，其承诺不转让或者委托他人管理 该部分股份，也不由华大基因回购该部分股 份。若因公司进行权益分派等导致其持有的</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、自深圳 华大基因科 技有限公司 处受让的华 大基因股 份：承诺期 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2" w:lineRule="auto" w:before="1"/>
              <w:ind w:left="23"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 止；</w:t>
            </w:r>
            <w:r>
              <w:rPr>
                <w:rFonts w:ascii="Times New Roman" w:hAnsi="Times New Roman" w:cs="Times New Roman" w:eastAsia="Times New Roman" w:hint="default"/>
                <w:sz w:val="18"/>
                <w:szCs w:val="18"/>
              </w:rPr>
              <w:t>2</w:t>
            </w:r>
            <w:r>
              <w:rPr>
                <w:rFonts w:ascii="宋体" w:hAnsi="宋体" w:cs="宋体" w:eastAsia="宋体" w:hint="default"/>
                <w:sz w:val="18"/>
                <w:szCs w:val="18"/>
              </w:rPr>
              <w:t>、以 股权增资方 式获得的华 大基因股 份：承诺期 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0" w:lineRule="auto" w:before="3"/>
              <w:ind w:left="23" w:right="55"/>
              <w:jc w:val="both"/>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 止；</w:t>
            </w:r>
            <w:r>
              <w:rPr>
                <w:rFonts w:ascii="Times New Roman" w:hAnsi="Times New Roman" w:cs="Times New Roman" w:eastAsia="Times New Roman" w:hint="default"/>
                <w:sz w:val="18"/>
                <w:szCs w:val="18"/>
              </w:rPr>
              <w:t>3</w:t>
            </w:r>
            <w:r>
              <w:rPr>
                <w:rFonts w:ascii="宋体" w:hAnsi="宋体" w:cs="宋体" w:eastAsia="宋体" w:hint="default"/>
                <w:sz w:val="18"/>
                <w:szCs w:val="18"/>
              </w:rPr>
              <w:t>、除 上述两种方</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9"/>
              <w:jc w:val="both"/>
              <w:rPr>
                <w:rFonts w:ascii="宋体" w:hAnsi="宋体" w:cs="宋体" w:eastAsia="宋体" w:hint="default"/>
                <w:sz w:val="18"/>
                <w:szCs w:val="18"/>
              </w:rPr>
            </w:pPr>
            <w:r>
              <w:rPr>
                <w:rFonts w:ascii="宋体" w:hAnsi="宋体" w:cs="宋体" w:eastAsia="宋体" w:hint="default"/>
                <w:sz w:val="18"/>
                <w:szCs w:val="18"/>
              </w:rPr>
              <w:t>自深圳华 大基因科 技有限公 司处受让 的华大基 因股份相 关承诺在 正常履行 中；其他 方式持有 的华大基 因股份相 关承诺， 截至</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00" w:lineRule="auto" w:before="63"/>
              <w:ind w:left="23" w:right="59"/>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已履行完</w:t>
            </w:r>
          </w:p>
        </w:tc>
      </w:tr>
    </w:tbl>
    <w:p>
      <w:pPr>
        <w:spacing w:after="0" w:line="300" w:lineRule="auto"/>
        <w:jc w:val="both"/>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1.75pt;height:769.45pt;mso-position-horizontal-relative:page;mso-position-vertical-relative:page;z-index:-1397464" coordorigin="1171,1450" coordsize="1235,15389">
            <v:group style="position:absolute;left:1171;top:1450;width:1235;height:3162" coordorigin="1171,1450" coordsize="1235,3162">
              <v:shape style="position:absolute;left:1171;top:1450;width:1235;height:3162" coordorigin="1171,1450" coordsize="1235,3162" path="m1171,4611l2405,4611,2405,1450,1171,1450,1171,4611xe" filled="true" fillcolor="#d2d2d2" stroked="false">
                <v:path arrowok="t"/>
                <v:fill type="solid"/>
              </v:shape>
            </v:group>
            <v:group style="position:absolute;left:1171;top:4611;width:1235;height:12228" coordorigin="1171,4611" coordsize="1235,12228">
              <v:shape style="position:absolute;left:1171;top:4611;width:1235;height:12228" coordorigin="1171,4611" coordsize="1235,12228" path="m2405,16838l2405,4611,1171,4611,1171,16838,2405,16838xe" filled="true" fillcolor="#d2d2d2" stroked="false">
                <v:path arrowok="t"/>
                <v:fill type="solid"/>
              </v:shape>
            </v:group>
            <w10:wrap type="none"/>
          </v:group>
        </w:pict>
      </w:r>
      <w:r>
        <w:rPr/>
        <w:pict>
          <v:shape style="position:absolute;margin-left:535.634705pt;margin-top:806.72052pt;width:59.493346pt;height:26.794713pt;mso-position-horizontal-relative:page;mso-position-vertical-relative:page;z-index:1840"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4"/>
      </w:tblGrid>
      <w:tr>
        <w:trPr>
          <w:trHeight w:val="3171"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87"/>
              <w:jc w:val="left"/>
              <w:rPr>
                <w:rFonts w:ascii="宋体" w:hAnsi="宋体" w:cs="宋体" w:eastAsia="宋体" w:hint="default"/>
                <w:sz w:val="18"/>
                <w:szCs w:val="18"/>
              </w:rPr>
            </w:pPr>
            <w:r>
              <w:rPr>
                <w:rFonts w:ascii="宋体" w:hAnsi="宋体" w:cs="宋体" w:eastAsia="宋体" w:hint="default"/>
                <w:sz w:val="18"/>
                <w:szCs w:val="18"/>
              </w:rPr>
              <w:t>公司股份发生变化的，其仍将遵守上述承 诺。</w:t>
            </w:r>
            <w:r>
              <w:rPr>
                <w:rFonts w:ascii="Times New Roman" w:hAnsi="Times New Roman" w:cs="Times New Roman" w:eastAsia="Times New Roman" w:hint="default"/>
                <w:sz w:val="18"/>
                <w:szCs w:val="18"/>
              </w:rPr>
              <w:t>4</w:t>
            </w:r>
            <w:r>
              <w:rPr>
                <w:rFonts w:ascii="宋体" w:hAnsi="宋体" w:cs="宋体" w:eastAsia="宋体" w:hint="default"/>
                <w:sz w:val="18"/>
                <w:szCs w:val="18"/>
              </w:rPr>
              <w:t>、若不履行本承诺所约定的义务和责 任，其将承担公司、公司其他股东或利益相 关方因此所受到的任何损失，违规减持公司 股票的收益将归公司所有。</w:t>
            </w:r>
            <w:r>
              <w:rPr>
                <w:rFonts w:ascii="Times New Roman" w:hAnsi="Times New Roman" w:cs="Times New Roman" w:eastAsia="Times New Roman" w:hint="default"/>
                <w:sz w:val="18"/>
                <w:szCs w:val="18"/>
              </w:rPr>
              <w:t>5</w:t>
            </w:r>
            <w:r>
              <w:rPr>
                <w:rFonts w:ascii="宋体" w:hAnsi="宋体" w:cs="宋体" w:eastAsia="宋体" w:hint="default"/>
                <w:sz w:val="18"/>
                <w:szCs w:val="18"/>
              </w:rPr>
              <w:t>、本公司将遵 守中国证监会《上市公司股东、董监高减持 </w:t>
            </w:r>
            <w:r>
              <w:rPr>
                <w:rFonts w:ascii="宋体" w:hAnsi="宋体" w:cs="宋体" w:eastAsia="宋体" w:hint="default"/>
                <w:spacing w:val="-5"/>
                <w:sz w:val="18"/>
                <w:szCs w:val="18"/>
              </w:rPr>
              <w:t>股份的若干规定》，深圳证券交易所《股票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上市规则》、《深圳证券交易所上市公司股东</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及董事、监事、高级管理人员减持股份实施 细则》的相关规定。</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式之外持有 的华大基因 股份：承诺 期限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日止。</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毕</w:t>
            </w:r>
          </w:p>
        </w:tc>
      </w:tr>
      <w:tr>
        <w:trPr>
          <w:trHeight w:val="10660"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314" w:lineRule="auto"/>
              <w:ind w:left="23" w:right="158"/>
              <w:jc w:val="left"/>
              <w:rPr>
                <w:rFonts w:ascii="宋体" w:hAnsi="宋体" w:cs="宋体" w:eastAsia="宋体" w:hint="default"/>
                <w:sz w:val="18"/>
                <w:szCs w:val="18"/>
              </w:rPr>
            </w:pPr>
            <w:r>
              <w:rPr>
                <w:rFonts w:ascii="宋体" w:hAnsi="宋体" w:cs="宋体" w:eastAsia="宋体" w:hint="default"/>
                <w:sz w:val="18"/>
                <w:szCs w:val="18"/>
              </w:rPr>
              <w:t>深圳华大基因 股份有限公司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314" w:lineRule="auto"/>
              <w:ind w:left="24" w:right="98"/>
              <w:jc w:val="left"/>
              <w:rPr>
                <w:rFonts w:ascii="宋体" w:hAnsi="宋体" w:cs="宋体" w:eastAsia="宋体" w:hint="default"/>
                <w:sz w:val="18"/>
                <w:szCs w:val="18"/>
              </w:rPr>
            </w:pPr>
            <w:r>
              <w:rPr>
                <w:rFonts w:ascii="宋体" w:hAnsi="宋体" w:cs="宋体" w:eastAsia="宋体" w:hint="default"/>
                <w:sz w:val="18"/>
                <w:szCs w:val="18"/>
              </w:rPr>
              <w:t>股份回购 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、公司股票自挂牌上市之日起三年内，一 旦出现连续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个交易日公司股票收盘价低 于公司最近一期经审计的每股净资产时（若 因除权除息等事项致使上述股票收盘价与公 司最近一期末经审计的每股净资产不具可比 </w:t>
            </w:r>
            <w:r>
              <w:rPr>
                <w:rFonts w:ascii="宋体" w:hAnsi="宋体" w:cs="宋体" w:eastAsia="宋体" w:hint="default"/>
                <w:spacing w:val="-5"/>
                <w:sz w:val="18"/>
                <w:szCs w:val="18"/>
              </w:rPr>
              <w:t>性的，上述股票收盘价应做相应调整），公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司将根据《上市公司回购社会公众股份管理 </w:t>
            </w:r>
            <w:r>
              <w:rPr>
                <w:rFonts w:ascii="宋体" w:hAnsi="宋体" w:cs="宋体" w:eastAsia="宋体" w:hint="default"/>
                <w:spacing w:val="-5"/>
                <w:sz w:val="18"/>
                <w:szCs w:val="18"/>
              </w:rPr>
              <w:t>办法（试行）》的规定向社会公众股东回购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公司部分股票，同时保证回购结果不会导致 公司的股权分布不符合上市条件。</w:t>
            </w:r>
            <w:r>
              <w:rPr>
                <w:rFonts w:ascii="Times New Roman" w:hAnsi="Times New Roman" w:cs="Times New Roman" w:eastAsia="Times New Roman" w:hint="default"/>
                <w:sz w:val="18"/>
                <w:szCs w:val="18"/>
              </w:rPr>
              <w:t>2</w:t>
            </w:r>
            <w:r>
              <w:rPr>
                <w:rFonts w:ascii="宋体" w:hAnsi="宋体" w:cs="宋体" w:eastAsia="宋体" w:hint="default"/>
                <w:sz w:val="18"/>
                <w:szCs w:val="18"/>
              </w:rPr>
              <w:t>、公司 将依据《上市公司回购社会公众股份管理办 </w:t>
            </w:r>
            <w:r>
              <w:rPr>
                <w:rFonts w:ascii="宋体" w:hAnsi="宋体" w:cs="宋体" w:eastAsia="宋体" w:hint="default"/>
                <w:spacing w:val="-5"/>
                <w:sz w:val="18"/>
                <w:szCs w:val="18"/>
              </w:rPr>
              <w:t>法（试行）》等法律、法规及《公司章程》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的规定，在上述条件成就之日起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 日内召开董事会，董事会应制定明确、具体 的回购方案，方案内容应包括但不限于拟回 购本公司股份的种类、数量区间、价格区 间、实施期限等内容，并提交公司股东大会 审议，回购方案经公司股东大会审议通过后 生效。董事会应同时通过决议，如在股东大 会会议通知发出后至股东大会召开日前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工作日期间，公司股票收盘价已经回升达到 或超过最近一期末经审计的每股净资产，董 事会应取消该次股东大会或取消审议回购方 案的提案，并相应公告和说明原因。如股东 大会召开前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个工作日内，公司股票收盘价 已经回升达到或超过最近一期末经审计的每 股净资产，股东大会可否决回购方案的议 案。</w:t>
            </w:r>
            <w:r>
              <w:rPr>
                <w:rFonts w:ascii="Times New Roman" w:hAnsi="Times New Roman" w:cs="Times New Roman" w:eastAsia="Times New Roman" w:hint="default"/>
                <w:sz w:val="18"/>
                <w:szCs w:val="18"/>
              </w:rPr>
              <w:t>3</w:t>
            </w:r>
            <w:r>
              <w:rPr>
                <w:rFonts w:ascii="宋体" w:hAnsi="宋体" w:cs="宋体" w:eastAsia="宋体" w:hint="default"/>
                <w:sz w:val="18"/>
                <w:szCs w:val="18"/>
              </w:rPr>
              <w:t>、在股东大会审议通过股份回购方案 后，公司将依法通知债权人，并向证券监督 管理部门、证券交易所等主管部门报送相关 材料，办理审批或备案手续。本公司回购股 份的价格不超过最近一期末经审计每股净资 产的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w:t>
            </w:r>
            <w:r>
              <w:rPr>
                <w:rFonts w:ascii="宋体" w:hAnsi="宋体" w:cs="宋体" w:eastAsia="宋体" w:hint="default"/>
                <w:sz w:val="18"/>
                <w:szCs w:val="18"/>
              </w:rPr>
              <w:t>，回购股份的方式为集中竞价交 易方式、要约方式或证券监督管理部门认可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1.75pt;height:769.45pt;mso-position-horizontal-relative:page;mso-position-vertical-relative:page;z-index:-1397416" coordorigin="1171,1450" coordsize="1235,15389">
            <v:group style="position:absolute;left:1171;top:1450;width:1235;height:3474" coordorigin="1171,1450" coordsize="1235,3474">
              <v:shape style="position:absolute;left:1171;top:1450;width:1235;height:3474" coordorigin="1171,1450" coordsize="1235,3474" path="m1171,4923l2405,4923,2405,1450,1171,1450,1171,4923xe" filled="true" fillcolor="#d2d2d2" stroked="false">
                <v:path arrowok="t"/>
                <v:fill type="solid"/>
              </v:shape>
            </v:group>
            <v:group style="position:absolute;left:1171;top:4923;width:1235;height:11916" coordorigin="1171,4923" coordsize="1235,11916">
              <v:shape style="position:absolute;left:1171;top:4923;width:1235;height:11916" coordorigin="1171,4923" coordsize="1235,11916" path="m2405,16838l2405,4923,1171,4923,1171,16838,2405,16838xe" filled="true" fillcolor="#d2d2d2" stroked="false">
                <v:path arrowok="t"/>
                <v:fill type="solid"/>
              </v:shape>
            </v:group>
            <w10:wrap type="none"/>
          </v:group>
        </w:pict>
      </w:r>
      <w:r>
        <w:rPr/>
        <w:pict>
          <v:shape style="position:absolute;margin-left:535.634705pt;margin-top:806.72052pt;width:59.493346pt;height:26.794713pt;mso-position-horizontal-relative:page;mso-position-vertical-relative:page;z-index:1888"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4"/>
      </w:tblGrid>
      <w:tr>
        <w:trPr>
          <w:trHeight w:val="3483"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23" w:right="72"/>
              <w:jc w:val="left"/>
              <w:rPr>
                <w:rFonts w:ascii="宋体" w:hAnsi="宋体" w:cs="宋体" w:eastAsia="宋体" w:hint="default"/>
                <w:sz w:val="18"/>
                <w:szCs w:val="18"/>
              </w:rPr>
            </w:pPr>
            <w:r>
              <w:rPr>
                <w:rFonts w:ascii="宋体" w:hAnsi="宋体" w:cs="宋体" w:eastAsia="宋体" w:hint="default"/>
                <w:sz w:val="18"/>
                <w:szCs w:val="18"/>
              </w:rPr>
              <w:t>的其它方式。公司单次用于回购股份的资金 金额不高于最近一期经审计的归属于母公司 所有者的净利润的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；公司自上市之日起 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个月内用于回购股份的资金金额合计 不超过最近一期经审计的归属于母公司所有 者的净利润的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。在启动股价稳定措施的 前提条件满足时，如公司未采取上述稳定股 价的具体措施，公司将在股东大会及中国证 监会指定报刊上公开说明未采取上述稳定股 价措施的具体原因并向股东和社会公众投资 者道歉。</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0348"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58"/>
              <w:jc w:val="left"/>
              <w:rPr>
                <w:rFonts w:ascii="宋体" w:hAnsi="宋体" w:cs="宋体" w:eastAsia="宋体" w:hint="default"/>
                <w:sz w:val="18"/>
                <w:szCs w:val="18"/>
              </w:rPr>
            </w:pPr>
            <w:r>
              <w:rPr>
                <w:rFonts w:ascii="宋体" w:hAnsi="宋体" w:cs="宋体" w:eastAsia="宋体" w:hint="default"/>
                <w:sz w:val="18"/>
                <w:szCs w:val="18"/>
              </w:rPr>
              <w:t>深圳华大基因 科技有限公 司、汪建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4" w:right="98"/>
              <w:jc w:val="left"/>
              <w:rPr>
                <w:rFonts w:ascii="宋体" w:hAnsi="宋体" w:cs="宋体" w:eastAsia="宋体" w:hint="default"/>
                <w:sz w:val="18"/>
                <w:szCs w:val="18"/>
              </w:rPr>
            </w:pPr>
            <w:r>
              <w:rPr>
                <w:rFonts w:ascii="宋体" w:hAnsi="宋体" w:cs="宋体" w:eastAsia="宋体" w:hint="default"/>
                <w:sz w:val="18"/>
                <w:szCs w:val="18"/>
              </w:rPr>
              <w:t>股份增持 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公司股票自挂牌上市之日起三年内，一旦出 现连续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个交易日公司股票收盘价低于公 司最近一期末经审计的每股净资产时（若因 除权除息等事项致使上述股票收盘价与公司 最近一期末经审计的每股净资产不具可比性 </w:t>
            </w:r>
            <w:r>
              <w:rPr>
                <w:rFonts w:ascii="宋体" w:hAnsi="宋体" w:cs="宋体" w:eastAsia="宋体" w:hint="default"/>
                <w:spacing w:val="-5"/>
                <w:sz w:val="18"/>
                <w:szCs w:val="18"/>
              </w:rPr>
              <w:t>的，上述股票收盘价应做相应调整），且公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司回购股份的股价稳定方案实施完毕（以公 司公告的实施完毕日为准）后的下一个交易 日，如公司股票收盘价仍低于最近一期末经 审计的每股净资产的，则公司控股股东、实 际控制人将依据法律、法规及《公司章程》 的规定在不影响满足公司上市条件的前提下 实施以下具体股价稳定措施：</w:t>
            </w:r>
            <w:r>
              <w:rPr>
                <w:rFonts w:ascii="Times New Roman" w:hAnsi="Times New Roman" w:cs="Times New Roman" w:eastAsia="Times New Roman" w:hint="default"/>
                <w:sz w:val="18"/>
                <w:szCs w:val="18"/>
              </w:rPr>
              <w:t>1</w:t>
            </w:r>
            <w:r>
              <w:rPr>
                <w:rFonts w:ascii="宋体" w:hAnsi="宋体" w:cs="宋体" w:eastAsia="宋体" w:hint="default"/>
                <w:sz w:val="18"/>
                <w:szCs w:val="18"/>
              </w:rPr>
              <w:t>、控股股 东、实际控制人将在有关股价稳定措施启动 条件成就后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个交易日内提出增持公司股份 的方案（包括拟增持股份的数量、价格区 间、时间等）并通知公司，公司应按照相关 规定披露控股股东、实际控制人增持股份的 计划。在公司披露控股股东、实际控制人增 持公司股份计划的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个交易日后，控股股 东、实际控制人将按照方案开始实施增持公 司股份的计划；</w:t>
            </w:r>
            <w:r>
              <w:rPr>
                <w:rFonts w:ascii="Times New Roman" w:hAnsi="Times New Roman" w:cs="Times New Roman" w:eastAsia="Times New Roman" w:hint="default"/>
                <w:sz w:val="18"/>
                <w:szCs w:val="18"/>
              </w:rPr>
              <w:t>2</w:t>
            </w:r>
            <w:r>
              <w:rPr>
                <w:rFonts w:ascii="宋体" w:hAnsi="宋体" w:cs="宋体" w:eastAsia="宋体" w:hint="default"/>
                <w:sz w:val="18"/>
                <w:szCs w:val="18"/>
              </w:rPr>
              <w:t>、控股股东、实际控制人 增持公司股份的价格不高于公司最近一期末 经审计每股净资产的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、控股股东、 实际控制人单次用于增持股份的资金金额不 低于控股股东最近一次自公司获得的公司现 金分红金额的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、控股股东、实际控 制人在公司上市之日起每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个月内用于增 持股份的资金金额合计不超过其最近一次自 公司获得的公司现金分红金额的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。如公 司公告增持方案后的下一个交易日，公司股 票收盘价不低于公司最近一期末经审计的每 股净资产，则增持方案可以不再实施。在启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1.75pt;height:769.45pt;mso-position-horizontal-relative:page;mso-position-vertical-relative:page;z-index:-1397368" coordorigin="1171,1450" coordsize="1235,15389">
            <v:group style="position:absolute;left:1171;top:1450;width:1235;height:3786" coordorigin="1171,1450" coordsize="1235,3786">
              <v:shape style="position:absolute;left:1171;top:1450;width:1235;height:3786" coordorigin="1171,1450" coordsize="1235,3786" path="m1171,5235l2405,5235,2405,1450,1171,1450,1171,5235xe" filled="true" fillcolor="#d2d2d2" stroked="false">
                <v:path arrowok="t"/>
                <v:fill type="solid"/>
              </v:shape>
            </v:group>
            <v:group style="position:absolute;left:1171;top:5235;width:1235;height:11604" coordorigin="1171,5235" coordsize="1235,11604">
              <v:shape style="position:absolute;left:1171;top:5235;width:1235;height:11604" coordorigin="1171,5235" coordsize="1235,11604" path="m2405,16838l2405,5235,1171,5235,1171,16838,2405,16838xe" filled="true" fillcolor="#d2d2d2" stroked="false">
                <v:path arrowok="t"/>
                <v:fill type="solid"/>
              </v:shape>
            </v:group>
            <w10:wrap type="none"/>
          </v:group>
        </w:pict>
      </w:r>
      <w:r>
        <w:rPr/>
        <w:pict>
          <v:shape style="position:absolute;margin-left:535.634705pt;margin-top:806.72052pt;width:59.493346pt;height:26.794713pt;mso-position-horizontal-relative:page;mso-position-vertical-relative:page;z-index:1936"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4"/>
      </w:tblGrid>
      <w:tr>
        <w:trPr>
          <w:trHeight w:val="3795"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86"/>
              <w:jc w:val="left"/>
              <w:rPr>
                <w:rFonts w:ascii="宋体" w:hAnsi="宋体" w:cs="宋体" w:eastAsia="宋体" w:hint="default"/>
                <w:sz w:val="18"/>
                <w:szCs w:val="18"/>
              </w:rPr>
            </w:pPr>
            <w:r>
              <w:rPr>
                <w:rFonts w:ascii="宋体" w:hAnsi="宋体" w:cs="宋体" w:eastAsia="宋体" w:hint="default"/>
                <w:sz w:val="18"/>
                <w:szCs w:val="18"/>
              </w:rPr>
              <w:t>动股价稳定措施的前提条件满足时，如其未 按照上述预案采取稳定股价的具体措施，其 将在公司股东大会及中国证监会指定报刊上 公开说明未采取上述稳定股价措施的具体原 因并向公司股东和社会公众投资者道歉；如 果控股股东、实际控制人未履行上述承诺 的，其将在前述事项发生之日起停止在公司 领取股东分红，同时其持有的公司股份不得 转让（因继承、被强制执行、上市公司重 组、为履行对公司或投资者承诺等必须转股 </w:t>
            </w:r>
            <w:r>
              <w:rPr>
                <w:rFonts w:ascii="宋体" w:hAnsi="宋体" w:cs="宋体" w:eastAsia="宋体" w:hint="default"/>
                <w:spacing w:val="-5"/>
                <w:sz w:val="18"/>
                <w:szCs w:val="18"/>
              </w:rPr>
              <w:t>的情形除外），直至其按上述预案的规定采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取相应的稳定股价措施并实施完毕时为止。</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0036"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70"/>
              <w:jc w:val="left"/>
              <w:rPr>
                <w:rFonts w:ascii="宋体" w:hAnsi="宋体" w:cs="宋体" w:eastAsia="宋体" w:hint="default"/>
                <w:sz w:val="18"/>
                <w:szCs w:val="18"/>
              </w:rPr>
            </w:pPr>
            <w:r>
              <w:rPr>
                <w:rFonts w:ascii="宋体" w:hAnsi="宋体" w:cs="宋体" w:eastAsia="宋体" w:hint="default"/>
                <w:sz w:val="18"/>
                <w:szCs w:val="18"/>
              </w:rPr>
              <w:t>公司任职并领 取薪酬的公司 董事（不包括 </w:t>
            </w:r>
            <w:r>
              <w:rPr>
                <w:rFonts w:ascii="宋体" w:hAnsi="宋体" w:cs="宋体" w:eastAsia="宋体" w:hint="default"/>
                <w:spacing w:val="-14"/>
                <w:sz w:val="18"/>
                <w:szCs w:val="18"/>
              </w:rPr>
              <w:t>独立董事）、高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级管理人员</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4" w:right="98"/>
              <w:jc w:val="left"/>
              <w:rPr>
                <w:rFonts w:ascii="宋体" w:hAnsi="宋体" w:cs="宋体" w:eastAsia="宋体" w:hint="default"/>
                <w:sz w:val="18"/>
                <w:szCs w:val="18"/>
              </w:rPr>
            </w:pPr>
            <w:r>
              <w:rPr>
                <w:rFonts w:ascii="宋体" w:hAnsi="宋体" w:cs="宋体" w:eastAsia="宋体" w:hint="default"/>
                <w:sz w:val="18"/>
                <w:szCs w:val="18"/>
              </w:rPr>
              <w:t>股份增持 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7"/>
              <w:jc w:val="left"/>
              <w:rPr>
                <w:rFonts w:ascii="宋体" w:hAnsi="宋体" w:cs="宋体" w:eastAsia="宋体" w:hint="default"/>
                <w:sz w:val="18"/>
                <w:szCs w:val="18"/>
              </w:rPr>
            </w:pPr>
            <w:r>
              <w:rPr>
                <w:rFonts w:ascii="宋体" w:hAnsi="宋体" w:cs="宋体" w:eastAsia="宋体" w:hint="default"/>
                <w:sz w:val="18"/>
                <w:szCs w:val="18"/>
              </w:rPr>
              <w:t>公司股票自挂牌上市之日起三年内，一旦出 现连续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个交易日公司股票收盘价低于公 司最近一期末经审计的每股净资产时（若因 除权除息等事项致使上述股票收盘价与公司 最近一期末经审计的每股净资产不具可比性 </w:t>
            </w:r>
            <w:r>
              <w:rPr>
                <w:rFonts w:ascii="宋体" w:hAnsi="宋体" w:cs="宋体" w:eastAsia="宋体" w:hint="default"/>
                <w:spacing w:val="-5"/>
                <w:sz w:val="18"/>
                <w:szCs w:val="18"/>
              </w:rPr>
              <w:t>的，上述股票收盘价应做相应调整），且公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司、控股股东及实际控制人股价稳定方案实 施完毕（以公司公告的实施完毕日为准）后 的下一个交易日，如公司股票收盘价仍低于 最近一期末经审计的每股净资产的，在公司 任职并领取薪酬的公司董事（不包括独立董 </w:t>
            </w:r>
            <w:r>
              <w:rPr>
                <w:rFonts w:ascii="宋体" w:hAnsi="宋体" w:cs="宋体" w:eastAsia="宋体" w:hint="default"/>
                <w:spacing w:val="-5"/>
                <w:sz w:val="18"/>
                <w:szCs w:val="18"/>
              </w:rPr>
              <w:t>事）、高级管理人员将依据法律、法规及</w:t>
            </w:r>
          </w:p>
          <w:p>
            <w:pPr>
              <w:pStyle w:val="TableParagraph"/>
              <w:spacing w:line="312" w:lineRule="auto" w:before="19"/>
              <w:ind w:left="23" w:right="84"/>
              <w:jc w:val="left"/>
              <w:rPr>
                <w:rFonts w:ascii="宋体" w:hAnsi="宋体" w:cs="宋体" w:eastAsia="宋体" w:hint="default"/>
                <w:sz w:val="18"/>
                <w:szCs w:val="18"/>
              </w:rPr>
            </w:pPr>
            <w:r>
              <w:rPr>
                <w:rFonts w:ascii="宋体" w:hAnsi="宋体" w:cs="宋体" w:eastAsia="宋体" w:hint="default"/>
                <w:sz w:val="18"/>
                <w:szCs w:val="18"/>
              </w:rPr>
              <w:t>《公司章程》的规定，在不影响满足公司上 市条件的前提下实施以下具体股价稳定措 施：</w:t>
            </w:r>
            <w:r>
              <w:rPr>
                <w:rFonts w:ascii="Times New Roman" w:hAnsi="Times New Roman" w:cs="Times New Roman" w:eastAsia="Times New Roman" w:hint="default"/>
                <w:sz w:val="18"/>
                <w:szCs w:val="18"/>
              </w:rPr>
              <w:t>1</w:t>
            </w:r>
            <w:r>
              <w:rPr>
                <w:rFonts w:ascii="宋体" w:hAnsi="宋体" w:cs="宋体" w:eastAsia="宋体" w:hint="default"/>
                <w:sz w:val="18"/>
                <w:szCs w:val="18"/>
              </w:rPr>
              <w:t>、当公司出现需要采取股价稳定措施 的情形时，其将通过二级市场以竞价交易方 式买入公司股份以稳定公司股价。其将在公 司出现需要采取股价稳定措施的情形后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交易日提出增持公司股份的方案（包括拟增 持股份的数量、价格区间、时间等）并通知 公司，公司应按照相关规定披露其买入公司 股份的计划。在公司披露其买入公司股份计 划的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个交易日后，其将按照方案开始实施 买入公司股份的计划；</w:t>
            </w:r>
            <w:r>
              <w:rPr>
                <w:rFonts w:ascii="Times New Roman" w:hAnsi="Times New Roman" w:cs="Times New Roman" w:eastAsia="Times New Roman" w:hint="default"/>
                <w:sz w:val="18"/>
                <w:szCs w:val="18"/>
              </w:rPr>
              <w:t>2</w:t>
            </w:r>
            <w:r>
              <w:rPr>
                <w:rFonts w:ascii="宋体" w:hAnsi="宋体" w:cs="宋体" w:eastAsia="宋体" w:hint="default"/>
                <w:sz w:val="18"/>
                <w:szCs w:val="18"/>
              </w:rPr>
              <w:t>、其通过二级市场 以竞价方式买入公司股份的，买入价格不高 于公司最近一期末经审计每股净资产 </w:t>
            </w:r>
            <w:r>
              <w:rPr>
                <w:rFonts w:ascii="Times New Roman" w:hAnsi="Times New Roman" w:cs="Times New Roman" w:eastAsia="Times New Roman" w:hint="default"/>
                <w:sz w:val="18"/>
                <w:szCs w:val="18"/>
              </w:rPr>
              <w:t>110%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、其单次用于增持股份的资金金额 不低于其在任职期间上一个会计年度公司税 后薪酬（或津贴）累计额的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、其在 公司上市之日起每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个月内用于增持股份 的资金金额合计不超过其在任职期间上一个 会计年度从公司领取的税后薪酬（或津贴）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1.75pt;height:769.45pt;mso-position-horizontal-relative:page;mso-position-vertical-relative:page;z-index:-1397320" coordorigin="1171,1450" coordsize="1235,15389">
            <v:group style="position:absolute;left:1171;top:1450;width:1235;height:7531" coordorigin="1171,1450" coordsize="1235,7531">
              <v:shape style="position:absolute;left:1171;top:1450;width:1235;height:7531" coordorigin="1171,1450" coordsize="1235,7531" path="m1171,8980l2405,8980,2405,1450,1171,1450,1171,8980xe" filled="true" fillcolor="#d2d2d2" stroked="false">
                <v:path arrowok="t"/>
                <v:fill type="solid"/>
              </v:shape>
            </v:group>
            <v:group style="position:absolute;left:1171;top:8980;width:1235;height:2273" coordorigin="1171,8980" coordsize="1235,2273">
              <v:shape style="position:absolute;left:1171;top:8980;width:1235;height:2273" coordorigin="1171,8980" coordsize="1235,2273" path="m1171,11253l2405,11253,2405,8980,1171,8980,1171,11253xe" filled="true" fillcolor="#d2d2d2" stroked="false">
                <v:path arrowok="t"/>
                <v:fill type="solid"/>
              </v:shape>
            </v:group>
            <v:group style="position:absolute;left:1171;top:11253;width:1235;height:1652" coordorigin="1171,11253" coordsize="1235,1652">
              <v:shape style="position:absolute;left:1171;top:11253;width:1235;height:1652" coordorigin="1171,11253" coordsize="1235,1652" path="m1171,12904l2405,12904,2405,11253,1171,11253,1171,12904xe" filled="true" fillcolor="#d2d2d2" stroked="false">
                <v:path arrowok="t"/>
                <v:fill type="solid"/>
              </v:shape>
            </v:group>
            <v:group style="position:absolute;left:1171;top:12904;width:1235;height:3935" coordorigin="1171,12904" coordsize="1235,3935">
              <v:shape style="position:absolute;left:1171;top:12904;width:1235;height:3935" coordorigin="1171,12904" coordsize="1235,3935" path="m2405,16838l2405,12904,1171,12904,1171,16838,2405,16838xe" filled="true" fillcolor="#d2d2d2" stroked="false">
                <v:path arrowok="t"/>
                <v:fill type="solid"/>
              </v:shape>
            </v:group>
            <w10:wrap type="none"/>
          </v:group>
        </w:pict>
      </w:r>
      <w:r>
        <w:rPr/>
        <w:pict>
          <v:shape style="position:absolute;margin-left:535.634705pt;margin-top:806.72052pt;width:59.493346pt;height:26.794713pt;mso-position-horizontal-relative:page;mso-position-vertical-relative:page;z-index:1984"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4"/>
      </w:tblGrid>
      <w:tr>
        <w:trPr>
          <w:trHeight w:val="7540"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72"/>
              <w:jc w:val="left"/>
              <w:rPr>
                <w:rFonts w:ascii="宋体" w:hAnsi="宋体" w:cs="宋体" w:eastAsia="宋体" w:hint="default"/>
                <w:sz w:val="18"/>
                <w:szCs w:val="18"/>
              </w:rPr>
            </w:pPr>
            <w:r>
              <w:rPr>
                <w:rFonts w:ascii="宋体" w:hAnsi="宋体" w:cs="宋体" w:eastAsia="宋体" w:hint="default"/>
                <w:sz w:val="18"/>
                <w:szCs w:val="18"/>
              </w:rPr>
              <w:t>累计额的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；如公司公告增持方案后的下 一个交易日，公司股票收盘价不低于公司最 近一期末经审计的每股净资产，则增持方案 可以不再实施。自公司股票挂牌上市之日起 三年内，若公司新聘任董事（不包括独立董 </w:t>
            </w:r>
            <w:r>
              <w:rPr>
                <w:rFonts w:ascii="宋体" w:hAnsi="宋体" w:cs="宋体" w:eastAsia="宋体" w:hint="default"/>
                <w:spacing w:val="-5"/>
                <w:sz w:val="18"/>
                <w:szCs w:val="18"/>
              </w:rPr>
              <w:t>事）、高级管理人员的，公司将要求该等新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聘任的董事（不包括独立董事）、高级管理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人员履行公司上市时董事（不包括独立董 </w:t>
            </w:r>
            <w:r>
              <w:rPr>
                <w:rFonts w:ascii="宋体" w:hAnsi="宋体" w:cs="宋体" w:eastAsia="宋体" w:hint="default"/>
                <w:spacing w:val="-5"/>
                <w:sz w:val="18"/>
                <w:szCs w:val="18"/>
              </w:rPr>
              <w:t>事）、高级管理人员已作出的相应承诺。在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启动股价稳定措施的前提条件满足时，如公 </w:t>
            </w:r>
            <w:r>
              <w:rPr>
                <w:rFonts w:ascii="宋体" w:hAnsi="宋体" w:cs="宋体" w:eastAsia="宋体" w:hint="default"/>
                <w:spacing w:val="-5"/>
                <w:sz w:val="18"/>
                <w:szCs w:val="18"/>
              </w:rPr>
              <w:t>司董事（不包括独立董事）、高级管理人员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未采取上述稳定股价的具体措施，其将在公 司股东大会及中国证监会指定报刊上公开说 明未采取上述稳定股价措施的具体原因并向 公司股东和社会公众投资者道歉；如果其未 采取上述稳定股价的具体措施的，则其将在 前述事项发生之日起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个工作日内停止在公 </w:t>
            </w:r>
            <w:r>
              <w:rPr>
                <w:rFonts w:ascii="宋体" w:hAnsi="宋体" w:cs="宋体" w:eastAsia="宋体" w:hint="default"/>
                <w:spacing w:val="-5"/>
                <w:sz w:val="18"/>
                <w:szCs w:val="18"/>
              </w:rPr>
              <w:t>司领取股东分红（如有），以及当年薪酬的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50%</w:t>
            </w:r>
            <w:r>
              <w:rPr>
                <w:rFonts w:ascii="宋体" w:hAnsi="宋体" w:cs="宋体" w:eastAsia="宋体" w:hint="default"/>
                <w:sz w:val="18"/>
                <w:szCs w:val="18"/>
              </w:rPr>
              <w:t>予以扣留，同时其持有的公司股份（如 有）不得转让（因继承、被强制执行、上市 公司重组、为履行对公司或投资者承诺等必 </w:t>
            </w:r>
            <w:r>
              <w:rPr>
                <w:rFonts w:ascii="宋体" w:hAnsi="宋体" w:cs="宋体" w:eastAsia="宋体" w:hint="default"/>
                <w:spacing w:val="-5"/>
                <w:sz w:val="18"/>
                <w:szCs w:val="18"/>
              </w:rPr>
              <w:t>须转股的情形除外），直至其按上述预案的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规定采取相应的稳定股价措施并实施完毕时 为止。</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24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深圳华大基因 股份有限公司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填补被摊 薄即期回 报的承诺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7"/>
              <w:jc w:val="both"/>
              <w:rPr>
                <w:rFonts w:ascii="宋体" w:hAnsi="宋体" w:cs="宋体" w:eastAsia="宋体" w:hint="default"/>
                <w:sz w:val="18"/>
                <w:szCs w:val="18"/>
              </w:rPr>
            </w:pPr>
            <w:r>
              <w:rPr>
                <w:rFonts w:ascii="宋体" w:hAnsi="宋体" w:cs="宋体" w:eastAsia="宋体" w:hint="default"/>
                <w:sz w:val="18"/>
                <w:szCs w:val="18"/>
              </w:rPr>
              <w:t>公司将履行填补被摊薄即期回报措施，若未 履行填补被摊薄即期回报措施，将在公司股 东大会上公开说明未履行填补被摊薄即期回 报措施的具体原因并向公司股东和社会公众 投资者道歉；如果未履行相关承诺事项，致 使投资者在证券交易中遭受损失的，公司将 依法赔偿。</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652" w:hRule="exact"/>
        </w:trPr>
        <w:tc>
          <w:tcPr>
            <w:tcW w:w="124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58"/>
              <w:jc w:val="left"/>
              <w:rPr>
                <w:rFonts w:ascii="宋体" w:hAnsi="宋体" w:cs="宋体" w:eastAsia="宋体" w:hint="default"/>
                <w:sz w:val="18"/>
                <w:szCs w:val="18"/>
              </w:rPr>
            </w:pPr>
            <w:r>
              <w:rPr>
                <w:rFonts w:ascii="宋体" w:hAnsi="宋体" w:cs="宋体" w:eastAsia="宋体" w:hint="default"/>
                <w:sz w:val="18"/>
                <w:szCs w:val="18"/>
              </w:rPr>
              <w:t>深圳华大基因 科技有限公 司、汪建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98"/>
              <w:jc w:val="both"/>
              <w:rPr>
                <w:rFonts w:ascii="宋体" w:hAnsi="宋体" w:cs="宋体" w:eastAsia="宋体" w:hint="default"/>
                <w:sz w:val="18"/>
                <w:szCs w:val="18"/>
              </w:rPr>
            </w:pPr>
            <w:r>
              <w:rPr>
                <w:rFonts w:ascii="宋体" w:hAnsi="宋体" w:cs="宋体" w:eastAsia="宋体" w:hint="default"/>
                <w:sz w:val="18"/>
                <w:szCs w:val="18"/>
              </w:rPr>
              <w:t>填补被摊 薄即期回 报的承诺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87"/>
              <w:jc w:val="both"/>
              <w:rPr>
                <w:rFonts w:ascii="宋体" w:hAnsi="宋体" w:cs="宋体" w:eastAsia="宋体" w:hint="default"/>
                <w:sz w:val="18"/>
                <w:szCs w:val="18"/>
              </w:rPr>
            </w:pPr>
            <w:r>
              <w:rPr>
                <w:rFonts w:ascii="宋体" w:hAnsi="宋体" w:cs="宋体" w:eastAsia="宋体" w:hint="default"/>
                <w:sz w:val="18"/>
                <w:szCs w:val="18"/>
              </w:rPr>
              <w:t>保证不越权干预公司经营管理活动，不侵占 公司利益，切实履行对公司填补回报的相关 措施。若违反上述承诺并给公司或者投资者 造成损失的，其愿意依法承担对公司或者投 资者的补偿责任及监管机构的相应处罚。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235"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公司董事、高 级管理人员： 汪建、尹烨、 孙英俊、王 俊、吴淳、李 英睿、赵谦、 王洪涛、金春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填补被摊 薄即期回 报的承诺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、承诺不无偿或以不公平条件向其他单位 或者个人输送利益，也不采用其他方式损害 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、接受对自身的职务消费行为 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、承诺不动用公司资产从事与 本人履行职责无关的投资、消费活动；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 承诺由董事会或提名与薪酬考核委员会制定 的薪酬制度与公司填补回报措施的执行情况</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1.75pt;height:769.45pt;mso-position-horizontal-relative:page;mso-position-vertical-relative:page;z-index:-1397272" coordorigin="1171,1450" coordsize="1235,15389">
            <v:group style="position:absolute;left:1171;top:1450;width:1235;height:2538" coordorigin="1171,1450" coordsize="1235,2538">
              <v:shape style="position:absolute;left:1171;top:1450;width:1235;height:2538" coordorigin="1171,1450" coordsize="1235,2538" path="m1171,3987l2405,3987,2405,1450,1171,1450,1171,3987xe" filled="true" fillcolor="#d2d2d2" stroked="false">
                <v:path arrowok="t"/>
                <v:fill type="solid"/>
              </v:shape>
            </v:group>
            <v:group style="position:absolute;left:1171;top:3987;width:1235;height:12852" coordorigin="1171,3987" coordsize="1235,12852">
              <v:shape style="position:absolute;left:1171;top:3987;width:1235;height:12852" coordorigin="1171,3987" coordsize="1235,12852" path="m2405,16838l2405,3987,1171,3987,1171,16838,2405,16838xe" filled="true" fillcolor="#d2d2d2" stroked="false">
                <v:path arrowok="t"/>
                <v:fill type="solid"/>
              </v:shape>
            </v:group>
            <w10:wrap type="none"/>
          </v:group>
        </w:pict>
      </w:r>
      <w:r>
        <w:rPr/>
        <w:pict>
          <v:shape style="position:absolute;margin-left:535.634705pt;margin-top:806.72052pt;width:59.493346pt;height:26.794713pt;mso-position-horizontal-relative:page;mso-position-vertical-relative:page;z-index:2032"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4"/>
      </w:tblGrid>
      <w:tr>
        <w:trPr>
          <w:trHeight w:val="2547"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58"/>
              <w:jc w:val="left"/>
              <w:rPr>
                <w:rFonts w:ascii="宋体" w:hAnsi="宋体" w:cs="宋体" w:eastAsia="宋体" w:hint="default"/>
                <w:sz w:val="18"/>
                <w:szCs w:val="18"/>
              </w:rPr>
            </w:pPr>
            <w:r>
              <w:rPr>
                <w:rFonts w:ascii="宋体" w:hAnsi="宋体" w:cs="宋体" w:eastAsia="宋体" w:hint="default"/>
                <w:sz w:val="18"/>
                <w:szCs w:val="18"/>
              </w:rPr>
              <w:t>保、陈鹏辉、 王石、徐爱 民、蒋昌建、 谢宏、吴育 辉、张凌、刘 娜、陈轶青、 李治平、王 威、徐茜</w:t>
            </w: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23" w:right="87"/>
              <w:jc w:val="left"/>
              <w:rPr>
                <w:rFonts w:ascii="宋体" w:hAnsi="宋体" w:cs="宋体" w:eastAsia="宋体" w:hint="default"/>
                <w:sz w:val="18"/>
                <w:szCs w:val="18"/>
              </w:rPr>
            </w:pPr>
            <w:r>
              <w:rPr>
                <w:rFonts w:ascii="宋体" w:hAnsi="宋体" w:cs="宋体" w:eastAsia="宋体" w:hint="default"/>
                <w:sz w:val="18"/>
                <w:szCs w:val="18"/>
              </w:rPr>
              <w:t>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、承诺如公司未来实施股权激 励，则股权激励的行权条件与公司填补回报 措施的执行情况相挂钩。</w:t>
            </w:r>
            <w:r>
              <w:rPr>
                <w:rFonts w:ascii="Times New Roman" w:hAnsi="Times New Roman" w:cs="Times New Roman" w:eastAsia="Times New Roman" w:hint="default"/>
                <w:sz w:val="18"/>
                <w:szCs w:val="18"/>
              </w:rPr>
              <w:t>6</w:t>
            </w:r>
            <w:r>
              <w:rPr>
                <w:rFonts w:ascii="宋体" w:hAnsi="宋体" w:cs="宋体" w:eastAsia="宋体" w:hint="default"/>
                <w:sz w:val="18"/>
                <w:szCs w:val="18"/>
              </w:rPr>
              <w:t>、若违反上述承 诺并给公司或者投资者造成损失的，其愿意 依法承担对公司或者投资者的补偿责任及监 管机构的相应处罚。</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1284"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4" w:lineRule="auto"/>
              <w:ind w:left="23" w:right="158"/>
              <w:jc w:val="left"/>
              <w:rPr>
                <w:rFonts w:ascii="宋体" w:hAnsi="宋体" w:cs="宋体" w:eastAsia="宋体" w:hint="default"/>
                <w:sz w:val="18"/>
                <w:szCs w:val="18"/>
              </w:rPr>
            </w:pPr>
            <w:r>
              <w:rPr>
                <w:rFonts w:ascii="宋体" w:hAnsi="宋体" w:cs="宋体" w:eastAsia="宋体" w:hint="default"/>
                <w:sz w:val="18"/>
                <w:szCs w:val="18"/>
              </w:rPr>
              <w:t>深圳华大基因 股份有限公司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6"/>
              <w:jc w:val="left"/>
              <w:rPr>
                <w:rFonts w:ascii="宋体" w:hAnsi="宋体" w:cs="宋体" w:eastAsia="宋体" w:hint="default"/>
                <w:sz w:val="18"/>
                <w:szCs w:val="18"/>
              </w:rPr>
            </w:pPr>
            <w:r>
              <w:rPr>
                <w:rFonts w:ascii="宋体" w:hAnsi="宋体" w:cs="宋体" w:eastAsia="宋体" w:hint="default"/>
                <w:sz w:val="18"/>
                <w:szCs w:val="18"/>
              </w:rPr>
              <w:t>将严格遵守上市后适用的《公司章程》以及 股东大会审议通过的《深圳华大基因股份有 </w:t>
            </w:r>
            <w:r>
              <w:rPr>
                <w:rFonts w:ascii="宋体" w:hAnsi="宋体" w:cs="宋体" w:eastAsia="宋体" w:hint="default"/>
                <w:spacing w:val="-5"/>
                <w:sz w:val="18"/>
                <w:szCs w:val="18"/>
              </w:rPr>
              <w:t>限公司上市后前三年股东分红回报规划》，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实行积极的利润分配政策。根据《公司章 </w:t>
            </w:r>
            <w:r>
              <w:rPr>
                <w:rFonts w:ascii="宋体" w:hAnsi="宋体" w:cs="宋体" w:eastAsia="宋体" w:hint="default"/>
                <w:spacing w:val="-10"/>
                <w:sz w:val="18"/>
                <w:szCs w:val="18"/>
              </w:rPr>
              <w:t>程》，公司的利润分配政策如下：（一）利润</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分配原则：公司实行连续、稳定的利润分配 政策，具体利润分配方式应结合公司利润实 现状况、现金流量状况和股本规模进行决 定。公司董事会和股东大会在利润分配政策 的决策和论证过程中应当充分考虑独立董事 </w:t>
            </w:r>
            <w:r>
              <w:rPr>
                <w:rFonts w:ascii="宋体" w:hAnsi="宋体" w:cs="宋体" w:eastAsia="宋体" w:hint="default"/>
                <w:spacing w:val="-5"/>
                <w:sz w:val="18"/>
                <w:szCs w:val="18"/>
              </w:rPr>
              <w:t>和公众投资者的意见。（二）利润分配的形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式：公司采取现金回报规划、股票或者现金 与股票相结合的方式分配股利。凡具备现金 分红条件的，公司优先采取现金分红的利润 分配方式；在公司有重大投资计划或重大现 金支出等事项发生或者出现其它需满足公司 正常生产经营的资金需求情况时，公司可以 </w:t>
            </w:r>
            <w:r>
              <w:rPr>
                <w:rFonts w:ascii="宋体" w:hAnsi="宋体" w:cs="宋体" w:eastAsia="宋体" w:hint="default"/>
                <w:spacing w:val="-5"/>
                <w:sz w:val="18"/>
                <w:szCs w:val="18"/>
              </w:rPr>
              <w:t>采取股票方式分配股利。（三）现金分配的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条件：满足以下条件的，公司应该进行现金 分配，在不满足以下条件的情况下，公司可 根据实际情况确定是否进行现金分配：</w:t>
            </w:r>
            <w:r>
              <w:rPr>
                <w:rFonts w:ascii="Times New Roman" w:hAnsi="Times New Roman" w:cs="Times New Roman" w:eastAsia="Times New Roman" w:hint="default"/>
                <w:sz w:val="18"/>
                <w:szCs w:val="18"/>
              </w:rPr>
              <w:t>1</w:t>
            </w:r>
            <w:r>
              <w:rPr>
                <w:rFonts w:ascii="宋体" w:hAnsi="宋体" w:cs="宋体" w:eastAsia="宋体" w:hint="default"/>
                <w:sz w:val="18"/>
                <w:szCs w:val="18"/>
              </w:rPr>
              <w:t>、 公司该年度实现的可分配利润（即公司弥补 亏损、提取公积金后所余的税后利润）为正 值；</w:t>
            </w:r>
            <w:r>
              <w:rPr>
                <w:rFonts w:ascii="Times New Roman" w:hAnsi="Times New Roman" w:cs="Times New Roman" w:eastAsia="Times New Roman" w:hint="default"/>
                <w:sz w:val="18"/>
                <w:szCs w:val="18"/>
              </w:rPr>
              <w:t>2</w:t>
            </w:r>
            <w:r>
              <w:rPr>
                <w:rFonts w:ascii="宋体" w:hAnsi="宋体" w:cs="宋体" w:eastAsia="宋体" w:hint="default"/>
                <w:sz w:val="18"/>
                <w:szCs w:val="18"/>
              </w:rPr>
              <w:t>、审计机构对公司的该年度财务报告 出具标准无保留意见的审计报告；</w:t>
            </w:r>
            <w:r>
              <w:rPr>
                <w:rFonts w:ascii="Times New Roman" w:hAnsi="Times New Roman" w:cs="Times New Roman" w:eastAsia="Times New Roman" w:hint="default"/>
                <w:sz w:val="18"/>
                <w:szCs w:val="18"/>
              </w:rPr>
              <w:t>3</w:t>
            </w:r>
            <w:r>
              <w:rPr>
                <w:rFonts w:ascii="宋体" w:hAnsi="宋体" w:cs="宋体" w:eastAsia="宋体" w:hint="default"/>
                <w:sz w:val="18"/>
                <w:szCs w:val="18"/>
              </w:rPr>
              <w:t>、公司 无重大投资计划或重大现金支出等事项发生</w:t>
            </w:r>
          </w:p>
          <w:p>
            <w:pPr>
              <w:pStyle w:val="TableParagraph"/>
              <w:spacing w:line="309" w:lineRule="auto" w:before="19"/>
              <w:ind w:left="23" w:right="71"/>
              <w:jc w:val="left"/>
              <w:rPr>
                <w:rFonts w:ascii="宋体" w:hAnsi="宋体" w:cs="宋体" w:eastAsia="宋体" w:hint="default"/>
                <w:sz w:val="18"/>
                <w:szCs w:val="18"/>
              </w:rPr>
            </w:pPr>
            <w:r>
              <w:rPr>
                <w:rFonts w:ascii="宋体" w:hAnsi="宋体" w:cs="宋体" w:eastAsia="宋体" w:hint="default"/>
                <w:spacing w:val="-5"/>
                <w:sz w:val="18"/>
                <w:szCs w:val="18"/>
              </w:rPr>
              <w:t>（募集资金项目除外）。其中，重大投资计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划或重大现金支出是指：（</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）公司未来十二</w:t>
            </w:r>
            <w:r>
              <w:rPr>
                <w:rFonts w:ascii="宋体" w:hAnsi="宋体" w:cs="宋体" w:eastAsia="宋体" w:hint="default"/>
                <w:spacing w:val="-81"/>
                <w:sz w:val="18"/>
                <w:szCs w:val="18"/>
              </w:rPr>
              <w:t> </w:t>
            </w:r>
            <w:r>
              <w:rPr>
                <w:rFonts w:ascii="宋体" w:hAnsi="宋体" w:cs="宋体" w:eastAsia="宋体" w:hint="default"/>
                <w:sz w:val="18"/>
                <w:szCs w:val="18"/>
              </w:rPr>
              <w:t>个月内拟对外资本投资、实业投资、收购资 产或者购买设备的累计支出达到或者超过公 司最近一期末经审计净资产的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，且超过 </w:t>
            </w:r>
            <w:r>
              <w:rPr>
                <w:rFonts w:ascii="Times New Roman" w:hAnsi="Times New Roman" w:cs="Times New Roman" w:eastAsia="Times New Roman" w:hint="default"/>
                <w:sz w:val="18"/>
                <w:szCs w:val="18"/>
              </w:rPr>
              <w:t>5,000 </w:t>
            </w:r>
            <w:r>
              <w:rPr>
                <w:rFonts w:ascii="宋体" w:hAnsi="宋体" w:cs="宋体" w:eastAsia="宋体" w:hint="default"/>
                <w:spacing w:val="-6"/>
                <w:sz w:val="18"/>
                <w:szCs w:val="18"/>
              </w:rPr>
              <w:t>万元人民币；（</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）公司未来十二个月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内拟对外资本投资、实业投资、收购资产或 者购买设备的累计支出达到或者超过公司最 近一期末经审计总资产的</w:t>
            </w:r>
            <w:r>
              <w:rPr>
                <w:rFonts w:ascii="宋体" w:hAnsi="宋体" w:cs="宋体" w:eastAsia="宋体" w:hint="default"/>
                <w:spacing w:val="-42"/>
                <w:sz w:val="18"/>
                <w:szCs w:val="18"/>
              </w:rPr>
              <w:t> </w:t>
            </w:r>
            <w:r>
              <w:rPr>
                <w:rFonts w:ascii="Times New Roman" w:hAnsi="Times New Roman" w:cs="Times New Roman" w:eastAsia="Times New Roman" w:hint="default"/>
                <w:spacing w:val="-11"/>
                <w:sz w:val="18"/>
                <w:szCs w:val="18"/>
              </w:rPr>
              <w:t>10%</w:t>
            </w:r>
            <w:r>
              <w:rPr>
                <w:rFonts w:ascii="宋体" w:hAnsi="宋体" w:cs="宋体" w:eastAsia="宋体" w:hint="default"/>
                <w:spacing w:val="-11"/>
                <w:sz w:val="18"/>
                <w:szCs w:val="18"/>
              </w:rPr>
              <w:t>。（四）利润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分配的时间间隔：公司原则进行年度利润分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535.634705pt;margin-top:806.72052pt;width:59.493346pt;height:26.794713pt;mso-position-horizontal-relative:page;mso-position-vertical-relative:page;z-index:2056"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1"/>
      </w:tblGrid>
      <w:tr>
        <w:trPr>
          <w:trHeight w:val="317"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配，在有条件的情况下，公司董事会可以根</w:t>
            </w:r>
          </w:p>
        </w:tc>
        <w:tc>
          <w:tcPr>
            <w:tcW w:w="85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811" w:type="dxa"/>
            <w:vMerge w:val="restart"/>
            <w:tcBorders>
              <w:top w:val="single" w:sz="4" w:space="0" w:color="000000"/>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据公司经营状况提议公司进行中期利润分</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pacing w:val="-92"/>
                <w:sz w:val="18"/>
                <w:szCs w:val="18"/>
              </w:rPr>
              <w:t>。</w:t>
            </w:r>
            <w:r>
              <w:rPr>
                <w:rFonts w:ascii="宋体" w:hAnsi="宋体" w:cs="宋体" w:eastAsia="宋体" w:hint="default"/>
                <w:sz w:val="18"/>
                <w:szCs w:val="18"/>
              </w:rPr>
              <w:t>（五）利润分配的比例 </w:t>
            </w:r>
            <w:r>
              <w:rPr>
                <w:rFonts w:ascii="宋体" w:hAnsi="宋体" w:cs="宋体" w:eastAsia="宋体" w:hint="default"/>
                <w:spacing w:val="2"/>
                <w:sz w:val="18"/>
                <w:szCs w:val="18"/>
              </w:rPr>
              <w:t> </w:t>
            </w:r>
            <w:r>
              <w:rPr>
                <w:rFonts w:ascii="宋体" w:hAnsi="宋体" w:cs="宋体" w:eastAsia="宋体" w:hint="default"/>
                <w:sz w:val="18"/>
                <w:szCs w:val="18"/>
              </w:rPr>
              <w:t>公司董事会应</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当综合考虑所处行业特点、发展阶段、自身</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经营模式、盈利水平以及是否有重大资金支</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出安排等因素，区分下列情形，并按照《公</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司章程》规定的程序，提出差异化的现金分</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红政策：</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、公司发展阶段属成熟期且无重</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大资金支出安排的，进行利润分配时，现金</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分红在本次利润分配中所占比例最低应达到</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、公司发展阶段属成熟期且有重大资</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金支出安排的，进行利润分配时，现金分红</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在本次利润分配中所占比例最低应达到</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、公司发展阶段属成长期且有重大资</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金支出安排的，进行利润分配时，现金分红</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在本次利润分配中所占比例最低应达到</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。公司发展阶段不易区分但有重大资金</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支出安排的，可以按照前项规定处理。</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（六）利润分配方案的决策程序和机制</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公司董事会应根据所处行业特点、发展阶段</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和自身经营模式、盈利水平、资金需求等因</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素，研究和论证公司现金分红的时机、条件</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和最低比例、调整的条件及其决策程序要求</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等事宜，拟定利润分配预案，独立董事发表</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明确意见后，提交股东大会审议。独立董事</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可以征集中小股东的意见，提出分红提案，</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并直接提交董事会审议。</w:t>
            </w:r>
            <w:r>
              <w:rPr>
                <w:rFonts w:ascii="Times New Roman" w:hAnsi="Times New Roman" w:cs="Times New Roman" w:eastAsia="Times New Roman" w:hint="default"/>
                <w:sz w:val="18"/>
                <w:szCs w:val="18"/>
              </w:rPr>
              <w:t>2</w:t>
            </w:r>
            <w:r>
              <w:rPr>
                <w:rFonts w:ascii="宋体" w:hAnsi="宋体" w:cs="宋体" w:eastAsia="宋体" w:hint="default"/>
                <w:sz w:val="18"/>
                <w:szCs w:val="18"/>
              </w:rPr>
              <w:t>、股东大会审议</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利润分配方案前，应通过多种渠道主动与股</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东特别是中小股东进行沟通和交流，充分听</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取中小股东的意见和诉求，及时答复中小股</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东关心的问题。</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、公司因特殊情况无法按</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照既定的现金分红政策或最低现金分红比例</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确定当年利润分配方案时，应当披露具体原</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因以及独立董事的明确意见。</w:t>
            </w:r>
            <w:r>
              <w:rPr>
                <w:rFonts w:ascii="Times New Roman" w:hAnsi="Times New Roman" w:cs="Times New Roman" w:eastAsia="Times New Roman" w:hint="default"/>
                <w:sz w:val="18"/>
                <w:szCs w:val="18"/>
              </w:rPr>
              <w:t>4</w:t>
            </w:r>
            <w:r>
              <w:rPr>
                <w:rFonts w:ascii="宋体" w:hAnsi="宋体" w:cs="宋体" w:eastAsia="宋体" w:hint="default"/>
                <w:sz w:val="18"/>
                <w:szCs w:val="18"/>
              </w:rPr>
              <w:t>、如对《公</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司章程》确定的现金分红政策进行调整或者</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变更的，应当经过详细论证后履行相应的决</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策程序，并经出席股东大会的股东所持表决</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w w:val="100"/>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以上通过</w:t>
            </w:r>
            <w:r>
              <w:rPr>
                <w:rFonts w:ascii="宋体" w:hAnsi="宋体" w:cs="宋体" w:eastAsia="宋体" w:hint="default"/>
                <w:spacing w:val="-92"/>
                <w:sz w:val="18"/>
                <w:szCs w:val="18"/>
              </w:rPr>
              <w:t>。</w:t>
            </w:r>
            <w:r>
              <w:rPr>
                <w:rFonts w:ascii="宋体" w:hAnsi="宋体" w:cs="宋体" w:eastAsia="宋体" w:hint="default"/>
                <w:sz w:val="18"/>
                <w:szCs w:val="18"/>
              </w:rPr>
              <w:t>（七）公司利润分配政策</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的变更机制</w:t>
            </w:r>
            <w:r>
              <w:rPr>
                <w:rFonts w:ascii="宋体" w:hAnsi="宋体" w:cs="宋体" w:eastAsia="宋体" w:hint="default"/>
                <w:spacing w:val="1"/>
                <w:sz w:val="18"/>
                <w:szCs w:val="18"/>
              </w:rPr>
              <w:t> </w:t>
            </w:r>
            <w:r>
              <w:rPr>
                <w:rFonts w:ascii="宋体" w:hAnsi="宋体" w:cs="宋体" w:eastAsia="宋体" w:hint="default"/>
                <w:sz w:val="18"/>
                <w:szCs w:val="18"/>
              </w:rPr>
              <w:t>公司如因外部环境变化或自身</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经营情况、投资规划和长期发展而需要对利</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润分配政策进行调整的，公司可对利润分配</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政策进行调整。公司调整利润分配政策应当</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以保护股东利益和公司整体利益为出发点，</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充分考虑股东特别是中小股东、独立董事的</w:t>
            </w:r>
          </w:p>
        </w:tc>
        <w:tc>
          <w:tcPr>
            <w:tcW w:w="85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1.75pt;height:769.45pt;mso-position-horizontal-relative:page;mso-position-vertical-relative:page;z-index:-1397200" coordorigin="1171,1450" coordsize="1235,15389">
            <v:group style="position:absolute;left:1171;top:1450;width:1235;height:978" coordorigin="1171,1450" coordsize="1235,978">
              <v:shape style="position:absolute;left:1171;top:1450;width:1235;height:978" coordorigin="1171,1450" coordsize="1235,978" path="m1171,2427l2405,2427,2405,1450,1171,1450,1171,2427xe" filled="true" fillcolor="#d2d2d2" stroked="false">
                <v:path arrowok="t"/>
                <v:fill type="solid"/>
              </v:shape>
            </v:group>
            <v:group style="position:absolute;left:1171;top:2427;width:1235;height:7266" coordorigin="1171,2427" coordsize="1235,7266">
              <v:shape style="position:absolute;left:1171;top:2427;width:1235;height:7266" coordorigin="1171,2427" coordsize="1235,7266" path="m1171,9693l2405,9693,2405,2427,1171,2427,1171,9693xe" filled="true" fillcolor="#d2d2d2" stroked="false">
                <v:path arrowok="t"/>
                <v:fill type="solid"/>
              </v:shape>
            </v:group>
            <v:group style="position:absolute;left:1171;top:9693;width:1235;height:7146" coordorigin="1171,9693" coordsize="1235,7146">
              <v:shape style="position:absolute;left:1171;top:9693;width:1235;height:7146" coordorigin="1171,9693" coordsize="1235,7146" path="m2405,16838l2405,9693,1171,9693,1171,16838,2405,16838xe" filled="true" fillcolor="#d2d2d2" stroked="false">
                <v:path arrowok="t"/>
                <v:fill type="solid"/>
              </v:shape>
            </v:group>
            <w10:wrap type="none"/>
          </v:group>
        </w:pict>
      </w:r>
      <w:r>
        <w:rPr/>
        <w:pict>
          <v:shape style="position:absolute;margin-left:535.634705pt;margin-top:806.72052pt;width:59.493346pt;height:26.794713pt;mso-position-horizontal-relative:page;mso-position-vertical-relative:page;z-index:2104"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4"/>
      </w:tblGrid>
      <w:tr>
        <w:trPr>
          <w:trHeight w:val="987"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87"/>
              <w:jc w:val="both"/>
              <w:rPr>
                <w:rFonts w:ascii="宋体" w:hAnsi="宋体" w:cs="宋体" w:eastAsia="宋体" w:hint="default"/>
                <w:sz w:val="18"/>
                <w:szCs w:val="18"/>
              </w:rPr>
            </w:pPr>
            <w:r>
              <w:rPr>
                <w:rFonts w:ascii="宋体" w:hAnsi="宋体" w:cs="宋体" w:eastAsia="宋体" w:hint="default"/>
                <w:sz w:val="18"/>
                <w:szCs w:val="18"/>
              </w:rPr>
              <w:t>意见，由董事会在研究论证后拟定新的利润 分配政策，并经独立董事发表明确意见后， 提交股东大会审议通过。</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124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深圳华大基因 科技有限公司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、若其所持华大基因股票在锁定期满后两 年内减持的，其每年减持股票数量不超过华 大基因首次公开发行股票前其持有华大基因 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、减持价格：该等股票的最 低减持价格为首次公开发行股票的发行价， 期间公司如有派发股利、送股、转增股本等 除权除息事项，上述价格相应调整。减持方 式：包括证券交易所集中竞价交易系统或大 宗交易系统等方式。信息披露：及时、充分 履行股份减持的信息披露义务，在持有股份 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以上期间，减持前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个交易日将发 布减持提示性公告。在减持股份期间，其将 严格遵守有关法律法规及华大基因规章制 度。</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、本公司将遵守中国证监会《上市公 </w:t>
            </w:r>
            <w:r>
              <w:rPr>
                <w:rFonts w:ascii="宋体" w:hAnsi="宋体" w:cs="宋体" w:eastAsia="宋体" w:hint="default"/>
                <w:spacing w:val="-5"/>
                <w:sz w:val="18"/>
                <w:szCs w:val="18"/>
              </w:rPr>
              <w:t>司股东、董监高减持股份的若干规定》，深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圳证券交易所《股票上市规则》、《深圳证券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交易所上市公司股东及董事、监事、高级管 理人员减持股份实施细则》的相关规定。 </w:t>
            </w:r>
            <w:r>
              <w:rPr>
                <w:rFonts w:ascii="Times New Roman" w:hAnsi="Times New Roman" w:cs="Times New Roman" w:eastAsia="Times New Roman" w:hint="default"/>
                <w:sz w:val="18"/>
                <w:szCs w:val="18"/>
              </w:rPr>
              <w:t>4</w:t>
            </w:r>
            <w:r>
              <w:rPr>
                <w:rFonts w:ascii="宋体" w:hAnsi="宋体" w:cs="宋体" w:eastAsia="宋体" w:hint="default"/>
                <w:sz w:val="18"/>
                <w:szCs w:val="18"/>
              </w:rPr>
              <w:t>、如果其未履行上述承诺减持华大基因股 票，将把该部分出售股票所取得的收益（如 有）上缴华大基因所有，并承担相应法律后 果，赔偿因未履行承诺而给华大基因或投资 者带来的损失。</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667"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深圳前海华大 基因投资企业</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、其可在所持华大基因股票的锁定期满后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年内，减持所持华大基因的股票，最高可减 持所持的全部股份。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、减持价格：该等股 票的减持价格不低于发行价格，期间公司如 有派发股利、送股、转增股本等除权除息事 项，上述价格相应调整。减持方式：包括证 券交易所集中竞价交易系统或大宗交易系统 等方式。信息披露：及时、充分履行股份减 持的信息披露义务，在持有股份超过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上期间，减持前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个交易日将发布减持提示 性公告。在减持股份期间，其将严格遵守有 关法律法规及公司规章制度。</w:t>
            </w:r>
            <w:r>
              <w:rPr>
                <w:rFonts w:ascii="Times New Roman" w:hAnsi="Times New Roman" w:cs="Times New Roman" w:eastAsia="Times New Roman" w:hint="default"/>
                <w:sz w:val="18"/>
                <w:szCs w:val="18"/>
              </w:rPr>
              <w:t>3</w:t>
            </w:r>
            <w:r>
              <w:rPr>
                <w:rFonts w:ascii="宋体" w:hAnsi="宋体" w:cs="宋体" w:eastAsia="宋体" w:hint="default"/>
                <w:sz w:val="18"/>
                <w:szCs w:val="18"/>
              </w:rPr>
              <w:t>、本企业将 遵守中国证监会《上市公司股东、董监高减 </w:t>
            </w:r>
            <w:r>
              <w:rPr>
                <w:rFonts w:ascii="宋体" w:hAnsi="宋体" w:cs="宋体" w:eastAsia="宋体" w:hint="default"/>
                <w:spacing w:val="-5"/>
                <w:sz w:val="18"/>
                <w:szCs w:val="18"/>
              </w:rPr>
              <w:t>持股份的若干规定》，深圳证券交易所《股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票上市规则》、《深圳证券交易所上市公司股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东及董事、监事、高级管理人员减持股份实 施细则》的相关规定。</w:t>
            </w:r>
            <w:r>
              <w:rPr>
                <w:rFonts w:ascii="Times New Roman" w:hAnsi="Times New Roman" w:cs="Times New Roman" w:eastAsia="Times New Roman" w:hint="default"/>
                <w:sz w:val="18"/>
                <w:szCs w:val="18"/>
              </w:rPr>
              <w:t>4</w:t>
            </w:r>
            <w:r>
              <w:rPr>
                <w:rFonts w:ascii="宋体" w:hAnsi="宋体" w:cs="宋体" w:eastAsia="宋体" w:hint="default"/>
                <w:sz w:val="18"/>
                <w:szCs w:val="18"/>
              </w:rPr>
              <w:t>、如果其未履行上 述承诺减持公司股票，将把该部分出售股票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1.75pt;height:769.45pt;mso-position-horizontal-relative:page;mso-position-vertical-relative:page;z-index:-1397152" coordorigin="1171,1450" coordsize="1235,15389">
            <v:group style="position:absolute;left:1171;top:1450;width:1235;height:978" coordorigin="1171,1450" coordsize="1235,978">
              <v:shape style="position:absolute;left:1171;top:1450;width:1235;height:978" coordorigin="1171,1450" coordsize="1235,978" path="m1171,2427l2405,2427,2405,1450,1171,1450,1171,2427xe" filled="true" fillcolor="#d2d2d2" stroked="false">
                <v:path arrowok="t"/>
                <v:fill type="solid"/>
              </v:shape>
            </v:group>
            <v:group style="position:absolute;left:1171;top:2427;width:1235;height:6642" coordorigin="1171,2427" coordsize="1235,6642">
              <v:shape style="position:absolute;left:1171;top:2427;width:1235;height:6642" coordorigin="1171,2427" coordsize="1235,6642" path="m1171,9069l2405,9069,2405,2427,1171,2427,1171,9069xe" filled="true" fillcolor="#d2d2d2" stroked="false">
                <v:path arrowok="t"/>
                <v:fill type="solid"/>
              </v:shape>
            </v:group>
            <v:group style="position:absolute;left:1171;top:9069;width:1235;height:7770" coordorigin="1171,9069" coordsize="1235,7770">
              <v:shape style="position:absolute;left:1171;top:9069;width:1235;height:7770" coordorigin="1171,9069" coordsize="1235,7770" path="m2405,16838l2405,9069,1171,9069,1171,16838,2405,16838xe" filled="true" fillcolor="#d2d2d2" stroked="false">
                <v:path arrowok="t"/>
                <v:fill type="solid"/>
              </v:shape>
            </v:group>
            <w10:wrap type="none"/>
          </v:group>
        </w:pict>
      </w:r>
      <w:r>
        <w:rPr/>
        <w:pict>
          <v:shape style="position:absolute;margin-left:535.634705pt;margin-top:806.72052pt;width:59.493346pt;height:26.794713pt;mso-position-horizontal-relative:page;mso-position-vertical-relative:page;z-index:2152"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4"/>
      </w:tblGrid>
      <w:tr>
        <w:trPr>
          <w:trHeight w:val="987"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87"/>
              <w:jc w:val="both"/>
              <w:rPr>
                <w:rFonts w:ascii="宋体" w:hAnsi="宋体" w:cs="宋体" w:eastAsia="宋体" w:hint="default"/>
                <w:sz w:val="18"/>
                <w:szCs w:val="18"/>
              </w:rPr>
            </w:pPr>
            <w:r>
              <w:rPr>
                <w:rFonts w:ascii="宋体" w:hAnsi="宋体" w:cs="宋体" w:eastAsia="宋体" w:hint="default"/>
                <w:sz w:val="18"/>
                <w:szCs w:val="18"/>
              </w:rPr>
              <w:t>所取得的收益（如有）上缴公司所有，并承 担相应法律后果，赔偿因未履行承诺而给公 司或投资者带来的损失。</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6642" w:hRule="exact"/>
        </w:trPr>
        <w:tc>
          <w:tcPr>
            <w:tcW w:w="124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3" w:right="158"/>
              <w:jc w:val="both"/>
              <w:rPr>
                <w:rFonts w:ascii="宋体" w:hAnsi="宋体" w:cs="宋体" w:eastAsia="宋体" w:hint="default"/>
                <w:sz w:val="18"/>
                <w:szCs w:val="18"/>
              </w:rPr>
            </w:pPr>
            <w:r>
              <w:rPr>
                <w:rFonts w:ascii="宋体" w:hAnsi="宋体" w:cs="宋体" w:eastAsia="宋体" w:hint="default"/>
                <w:sz w:val="18"/>
                <w:szCs w:val="18"/>
              </w:rPr>
              <w:t>深圳和玉高林 股权投资合伙 企业（有限合 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4"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、其将在所持华大基因股票的锁定期满后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年内，最高减持完毕所持华大基因的全部股 票。</w:t>
            </w:r>
            <w:r>
              <w:rPr>
                <w:rFonts w:ascii="Times New Roman" w:hAnsi="Times New Roman" w:cs="Times New Roman" w:eastAsia="Times New Roman" w:hint="default"/>
                <w:sz w:val="18"/>
                <w:szCs w:val="18"/>
              </w:rPr>
              <w:t>2</w:t>
            </w:r>
            <w:r>
              <w:rPr>
                <w:rFonts w:ascii="宋体" w:hAnsi="宋体" w:cs="宋体" w:eastAsia="宋体" w:hint="default"/>
                <w:sz w:val="18"/>
                <w:szCs w:val="18"/>
              </w:rPr>
              <w:t>、减持价格：该等股票的减持价格不 低于发行价格的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，期间公司如有派发股 利、送股、转增股本等除权除息事项，上述 价格相应调整。减持方式：包括证券交易所 集中竞价交易系统或大宗交易系统等方式。 信息披露：及时、充分履行股份减持的信息 披露义务，在持有股份超过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以上期间， 减持前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个交易日将发布减持提示性公告。 在减持股份期间，其将严格遵守有关法律法 规及公司规章制度。</w:t>
            </w:r>
            <w:r>
              <w:rPr>
                <w:rFonts w:ascii="Times New Roman" w:hAnsi="Times New Roman" w:cs="Times New Roman" w:eastAsia="Times New Roman" w:hint="default"/>
                <w:sz w:val="18"/>
                <w:szCs w:val="18"/>
              </w:rPr>
              <w:t>3</w:t>
            </w:r>
            <w:r>
              <w:rPr>
                <w:rFonts w:ascii="宋体" w:hAnsi="宋体" w:cs="宋体" w:eastAsia="宋体" w:hint="default"/>
                <w:sz w:val="18"/>
                <w:szCs w:val="18"/>
              </w:rPr>
              <w:t>、本企业将遵守中国 证监会《上市公司股东、董监高减持股份的 </w:t>
            </w:r>
            <w:r>
              <w:rPr>
                <w:rFonts w:ascii="宋体" w:hAnsi="宋体" w:cs="宋体" w:eastAsia="宋体" w:hint="default"/>
                <w:spacing w:val="-5"/>
                <w:sz w:val="18"/>
                <w:szCs w:val="18"/>
              </w:rPr>
              <w:t>若干规定》，深圳证券交易所《股票上市规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则》、《深圳证券交易所上市公司股东及董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事、监事、高级管理人员减持股份实施细 则》的相关规定。</w:t>
            </w:r>
            <w:r>
              <w:rPr>
                <w:rFonts w:ascii="Times New Roman" w:hAnsi="Times New Roman" w:cs="Times New Roman" w:eastAsia="Times New Roman" w:hint="default"/>
                <w:sz w:val="18"/>
                <w:szCs w:val="18"/>
              </w:rPr>
              <w:t>4</w:t>
            </w:r>
            <w:r>
              <w:rPr>
                <w:rFonts w:ascii="宋体" w:hAnsi="宋体" w:cs="宋体" w:eastAsia="宋体" w:hint="default"/>
                <w:sz w:val="18"/>
                <w:szCs w:val="18"/>
              </w:rPr>
              <w:t>、如果其未履行上述承 诺减持公司股票，将把该部分出售股票所取 得的收益（如有）上缴公司所有，并承担相 应法律后果，赔偿因未履行承诺而给公司或 投资者带来的损失。</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6291"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3" w:right="158"/>
              <w:jc w:val="left"/>
              <w:rPr>
                <w:rFonts w:ascii="宋体" w:hAnsi="宋体" w:cs="宋体" w:eastAsia="宋体" w:hint="default"/>
                <w:sz w:val="18"/>
                <w:szCs w:val="18"/>
              </w:rPr>
            </w:pPr>
            <w:r>
              <w:rPr>
                <w:rFonts w:ascii="宋体" w:hAnsi="宋体" w:cs="宋体" w:eastAsia="宋体" w:hint="default"/>
                <w:sz w:val="18"/>
                <w:szCs w:val="18"/>
              </w:rPr>
              <w:t>深圳华大基因 股份有限公司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、如果本次发行的招股意向书有虚假记 载、误导性陈述或者重大遗漏，对判断本公 司是否符合法律规定的发行条件构成重大、 实质影响的，在中国证监会对本公司作出行 政处罚决定之日起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日内，本公司将依法 启动回购首次公开发行的全部新股的程序， 本公司将通过深圳证券交易所以发行价并加 算银行同期存款利息回购首次公开发行的全 部新股。在此期间，本公司如发生除权除息 事项的，上述回购价格及回购股份数量相应 进行调整。</w:t>
            </w:r>
            <w:r>
              <w:rPr>
                <w:rFonts w:ascii="Times New Roman" w:hAnsi="Times New Roman" w:cs="Times New Roman" w:eastAsia="Times New Roman" w:hint="default"/>
                <w:sz w:val="18"/>
                <w:szCs w:val="18"/>
              </w:rPr>
              <w:t>2</w:t>
            </w:r>
            <w:r>
              <w:rPr>
                <w:rFonts w:ascii="宋体" w:hAnsi="宋体" w:cs="宋体" w:eastAsia="宋体" w:hint="default"/>
                <w:sz w:val="18"/>
                <w:szCs w:val="18"/>
              </w:rPr>
              <w:t>、如果本次发行的招股意向书 有虚假记载、误导性陈述或者重大遗漏，致 使投资者在证券交易中遭受损失的，本公司 将依法赔偿投资者损失。</w:t>
            </w:r>
            <w:r>
              <w:rPr>
                <w:rFonts w:ascii="Times New Roman" w:hAnsi="Times New Roman" w:cs="Times New Roman" w:eastAsia="Times New Roman" w:hint="default"/>
                <w:sz w:val="18"/>
                <w:szCs w:val="18"/>
              </w:rPr>
              <w:t>3</w:t>
            </w:r>
            <w:r>
              <w:rPr>
                <w:rFonts w:ascii="宋体" w:hAnsi="宋体" w:cs="宋体" w:eastAsia="宋体" w:hint="default"/>
                <w:sz w:val="18"/>
                <w:szCs w:val="18"/>
              </w:rPr>
              <w:t>、如果本公司未 能履行上述承诺，将在公司股东大会及中国 证监会指定报刊上公开说明未履行的具体原 因并向股东和社会公众投资者道歉，并按证 券监督管理部门及司法机关认定的实际损失 向投资者依法进行赔偿。若法律、法规、规 范性文件及中国证监会或深圳证券交易所对</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1.75pt;height:769.45pt;mso-position-horizontal-relative:page;mso-position-vertical-relative:page;z-index:-1397104" coordorigin="1171,1450" coordsize="1235,15389">
            <v:group style="position:absolute;left:1171;top:1450;width:1235;height:978" coordorigin="1171,1450" coordsize="1235,978">
              <v:shape style="position:absolute;left:1171;top:1450;width:1235;height:978" coordorigin="1171,1450" coordsize="1235,978" path="m1171,2427l2405,2427,2405,1450,1171,1450,1171,2427xe" filled="true" fillcolor="#d2d2d2" stroked="false">
                <v:path arrowok="t"/>
                <v:fill type="solid"/>
              </v:shape>
            </v:group>
            <v:group style="position:absolute;left:1171;top:2427;width:1235;height:7890" coordorigin="1171,2427" coordsize="1235,7890">
              <v:shape style="position:absolute;left:1171;top:2427;width:1235;height:7890" coordorigin="1171,2427" coordsize="1235,7890" path="m1171,10317l2405,10317,2405,2427,1171,2427,1171,10317xe" filled="true" fillcolor="#d2d2d2" stroked="false">
                <v:path arrowok="t"/>
                <v:fill type="solid"/>
              </v:shape>
            </v:group>
            <v:group style="position:absolute;left:1171;top:10317;width:1235;height:6522" coordorigin="1171,10317" coordsize="1235,6522">
              <v:shape style="position:absolute;left:1171;top:10317;width:1235;height:6522" coordorigin="1171,10317" coordsize="1235,6522" path="m2405,16838l2405,10317,1171,10317,1171,16838,2405,16838xe" filled="true" fillcolor="#d2d2d2" stroked="false">
                <v:path arrowok="t"/>
                <v:fill type="solid"/>
              </v:shape>
            </v:group>
            <w10:wrap type="none"/>
          </v:group>
        </w:pict>
      </w:r>
      <w:r>
        <w:rPr/>
        <w:pict>
          <v:shape style="position:absolute;margin-left:535.634705pt;margin-top:806.72052pt;width:59.493346pt;height:26.794713pt;mso-position-horizontal-relative:page;mso-position-vertical-relative:page;z-index:2200"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4"/>
      </w:tblGrid>
      <w:tr>
        <w:trPr>
          <w:trHeight w:val="987"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87"/>
              <w:jc w:val="both"/>
              <w:rPr>
                <w:rFonts w:ascii="宋体" w:hAnsi="宋体" w:cs="宋体" w:eastAsia="宋体" w:hint="default"/>
                <w:sz w:val="18"/>
                <w:szCs w:val="18"/>
              </w:rPr>
            </w:pPr>
            <w:r>
              <w:rPr>
                <w:rFonts w:ascii="宋体" w:hAnsi="宋体" w:cs="宋体" w:eastAsia="宋体" w:hint="default"/>
                <w:sz w:val="18"/>
                <w:szCs w:val="18"/>
              </w:rPr>
              <w:t>本公司因违反上述承诺而应承担的相关责任 及后果有不同规定，本公司自愿无条件地遵 从该等规定。</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124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3" w:right="158"/>
              <w:jc w:val="left"/>
              <w:rPr>
                <w:rFonts w:ascii="宋体" w:hAnsi="宋体" w:cs="宋体" w:eastAsia="宋体" w:hint="default"/>
                <w:sz w:val="18"/>
                <w:szCs w:val="18"/>
              </w:rPr>
            </w:pPr>
            <w:r>
              <w:rPr>
                <w:rFonts w:ascii="宋体" w:hAnsi="宋体" w:cs="宋体" w:eastAsia="宋体" w:hint="default"/>
                <w:sz w:val="18"/>
                <w:szCs w:val="18"/>
              </w:rPr>
              <w:t>深圳华大基因 科技有限公司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、如果本次发行招股意向书有虚假记载、 误导性陈述或者重大遗漏，对判断发行人是 否符合法律规定的发行条件构成重大、实质 影响的，在中国证监会对发行人作出行政处 罚决定之日起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日内，其将以发行价并加 算银行同期存款利息依法购回锁定期结束后 其在二级市场减持的股份（不包括本次公开 </w:t>
            </w:r>
            <w:r>
              <w:rPr>
                <w:rFonts w:ascii="宋体" w:hAnsi="宋体" w:cs="宋体" w:eastAsia="宋体" w:hint="default"/>
                <w:spacing w:val="-5"/>
                <w:sz w:val="18"/>
                <w:szCs w:val="18"/>
              </w:rPr>
              <w:t>发行时其他股东公开发售部分）。在此期</w:t>
            </w:r>
            <w:r>
              <w:rPr>
                <w:rFonts w:ascii="宋体" w:hAnsi="宋体" w:cs="宋体" w:eastAsia="宋体" w:hint="default"/>
                <w:sz w:val="18"/>
                <w:szCs w:val="18"/>
              </w:rPr>
              <w:t> 间，发行人如发生除权除息事项的，上述回 购价格及回购股份数量相应进行调整。</w:t>
            </w:r>
            <w:r>
              <w:rPr>
                <w:rFonts w:ascii="Times New Roman" w:hAnsi="Times New Roman" w:cs="Times New Roman" w:eastAsia="Times New Roman" w:hint="default"/>
                <w:sz w:val="18"/>
                <w:szCs w:val="18"/>
              </w:rPr>
              <w:t>2</w:t>
            </w:r>
            <w:r>
              <w:rPr>
                <w:rFonts w:ascii="宋体" w:hAnsi="宋体" w:cs="宋体" w:eastAsia="宋体" w:hint="default"/>
                <w:sz w:val="18"/>
                <w:szCs w:val="18"/>
              </w:rPr>
              <w:t>、 如果本次发行的招股意向书有虚假记载、误 导性陈述或者重大遗漏，致使投资者在证券 交易中遭受损失的，其将依法赔偿投资者损 失。</w:t>
            </w:r>
            <w:r>
              <w:rPr>
                <w:rFonts w:ascii="Times New Roman" w:hAnsi="Times New Roman" w:cs="Times New Roman" w:eastAsia="Times New Roman" w:hint="default"/>
                <w:sz w:val="18"/>
                <w:szCs w:val="18"/>
              </w:rPr>
              <w:t>3</w:t>
            </w:r>
            <w:r>
              <w:rPr>
                <w:rFonts w:ascii="宋体" w:hAnsi="宋体" w:cs="宋体" w:eastAsia="宋体" w:hint="default"/>
                <w:sz w:val="18"/>
                <w:szCs w:val="18"/>
              </w:rPr>
              <w:t>、如果其未能履行上述承诺，将在发 行人股东大会及中国证监会指定报刊上公开 说明未履行的具体原因并向股东和社会公众 投资者道歉，并在违反上述承诺发生之日起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个工作日内，停止在发行人处领取股东分 红，同时其直接或间接所持有的发行人股份 将不得转让，直至其按上述承诺采取相应的 赔偿措施并实施完毕时为止。若法律、法 规、规范性文件及中国证监会或深圳证券交 易所对其因违反上述承诺而应承担的相关责 任及后果有不同规定，其自愿无条件地遵从 该等规定。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043"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、如果本次发行招股意向书有虚假记载、 误导性陈述或者重大遗漏，对判断发行人是 否符合法律规定的发行条件构成重大、实质 影响的，在中国证监会对发行人作出行政处 罚决定之日起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日内，本人将以发行价并 加算银行同期存款利息依法购回锁定期结束 后本人在二级市场减持的股份（不包括本次 </w:t>
            </w:r>
            <w:r>
              <w:rPr>
                <w:rFonts w:ascii="宋体" w:hAnsi="宋体" w:cs="宋体" w:eastAsia="宋体" w:hint="default"/>
                <w:spacing w:val="-5"/>
                <w:sz w:val="18"/>
                <w:szCs w:val="18"/>
              </w:rPr>
              <w:t>公开发行时其他股东公开发售部分）。在此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期间，发行人如发生除权除息事项的，上述 回购价格及回购股份数量相应进行调整。 </w:t>
            </w:r>
            <w:r>
              <w:rPr>
                <w:rFonts w:ascii="Times New Roman" w:hAnsi="Times New Roman" w:cs="Times New Roman" w:eastAsia="Times New Roman" w:hint="default"/>
                <w:sz w:val="18"/>
                <w:szCs w:val="18"/>
              </w:rPr>
              <w:t>2</w:t>
            </w:r>
            <w:r>
              <w:rPr>
                <w:rFonts w:ascii="宋体" w:hAnsi="宋体" w:cs="宋体" w:eastAsia="宋体" w:hint="default"/>
                <w:sz w:val="18"/>
                <w:szCs w:val="18"/>
              </w:rPr>
              <w:t>、如果本次发行的招股意向书有虚假记 载、误导性陈述或者重大遗漏，致使投资者 在证券交易中遭受损失的，本人将依法赔偿 投资者损失。</w:t>
            </w:r>
            <w:r>
              <w:rPr>
                <w:rFonts w:ascii="Times New Roman" w:hAnsi="Times New Roman" w:cs="Times New Roman" w:eastAsia="Times New Roman" w:hint="default"/>
                <w:sz w:val="18"/>
                <w:szCs w:val="18"/>
              </w:rPr>
              <w:t>3</w:t>
            </w:r>
            <w:r>
              <w:rPr>
                <w:rFonts w:ascii="宋体" w:hAnsi="宋体" w:cs="宋体" w:eastAsia="宋体" w:hint="default"/>
                <w:sz w:val="18"/>
                <w:szCs w:val="18"/>
              </w:rPr>
              <w:t>、如果本人未能履行上述承 诺，将在发行人股东大会及中国证监会指定 报刊上公开说明未履行的具体原因并向股东</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1.75pt;height:769.45pt;mso-position-horizontal-relative:page;mso-position-vertical-relative:page;z-index:-1397056" coordorigin="1171,1450" coordsize="1235,15389">
            <v:group style="position:absolute;left:1171;top:1450;width:1235;height:2850" coordorigin="1171,1450" coordsize="1235,2850">
              <v:shape style="position:absolute;left:1171;top:1450;width:1235;height:2850" coordorigin="1171,1450" coordsize="1235,2850" path="m1171,4299l2405,4299,2405,1450,1171,1450,1171,4299xe" filled="true" fillcolor="#d2d2d2" stroked="false">
                <v:path arrowok="t"/>
                <v:fill type="solid"/>
              </v:shape>
            </v:group>
            <v:group style="position:absolute;left:1171;top:4299;width:1235;height:7579" coordorigin="1171,4299" coordsize="1235,7579">
              <v:shape style="position:absolute;left:1171;top:4299;width:1235;height:7579" coordorigin="1171,4299" coordsize="1235,7579" path="m1171,11877l2405,11877,2405,4299,1171,4299,1171,11877xe" filled="true" fillcolor="#d2d2d2" stroked="false">
                <v:path arrowok="t"/>
                <v:fill type="solid"/>
              </v:shape>
            </v:group>
            <v:group style="position:absolute;left:1171;top:11877;width:1235;height:4962" coordorigin="1171,11877" coordsize="1235,4962">
              <v:shape style="position:absolute;left:1171;top:11877;width:1235;height:4962" coordorigin="1171,11877" coordsize="1235,4962" path="m2405,16838l2405,11877,1171,11877,1171,16838,2405,16838xe" filled="true" fillcolor="#d2d2d2" stroked="false">
                <v:path arrowok="t"/>
                <v:fill type="solid"/>
              </v:shape>
            </v:group>
            <w10:wrap type="none"/>
          </v:group>
        </w:pict>
      </w:r>
      <w:r>
        <w:rPr/>
        <w:pict>
          <v:shape style="position:absolute;margin-left:535.634705pt;margin-top:806.72052pt;width:59.493346pt;height:26.794713pt;mso-position-horizontal-relative:page;mso-position-vertical-relative:page;z-index:2248"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4"/>
      </w:tblGrid>
      <w:tr>
        <w:trPr>
          <w:trHeight w:val="2859"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87"/>
              <w:jc w:val="both"/>
              <w:rPr>
                <w:rFonts w:ascii="宋体" w:hAnsi="宋体" w:cs="宋体" w:eastAsia="宋体" w:hint="default"/>
                <w:sz w:val="18"/>
                <w:szCs w:val="18"/>
              </w:rPr>
            </w:pPr>
            <w:r>
              <w:rPr>
                <w:rFonts w:ascii="宋体" w:hAnsi="宋体" w:cs="宋体" w:eastAsia="宋体" w:hint="default"/>
                <w:sz w:val="18"/>
                <w:szCs w:val="18"/>
              </w:rPr>
              <w:t>和社会公众投资者道歉，并在违反上述承诺 发生之日起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个工作日内，停止在发行人处 领取薪酬、津贴及股东分红，同时本人直接 或间接所持有的发行人股份将不得转让，直 至本人按上述承诺采取相应的赔偿措施并实 施完毕时为止。若法律、法规、规范性文件 及中国证监会或深圳证券交易所对本人因违 反上述承诺而应承担的相关责任及后果有不 同规定，本人自愿无条件地遵从该等规定。</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7578" w:hRule="exact"/>
        </w:trPr>
        <w:tc>
          <w:tcPr>
            <w:tcW w:w="124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公司董事、监 事、高级管理 人员：公司董 事、高级管理 人员：汪建、 尹烨、孙英 俊、王俊、吴 淳、李英睿、 赵谦、王洪 涛、金春保、 陈鹏辉、王 石、徐爱民、 蒋昌建、谢 宏、吴育辉、 李松岗、李雯 琪、胡宇洁、 张凌、刘娜、 陈轶青、李治 平、王威、徐 茜</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、公司全体董事、监事、高级管理人员承 诺招股意向书不存在虚假记载、误导性陈述 或重大遗漏，并对其真实性、准确性、完整 性、及时性承担个别和连带的法律责任。如 果招股意向书有虚假记载、误导性陈述或者 重大遗漏，致使投资者遭受损失的，公司全 体董事、监事、高级管理人员将依法赔偿投 资者损失，不因职务变更、离职等原因而放 弃履行已作出的承诺。</w:t>
            </w:r>
            <w:r>
              <w:rPr>
                <w:rFonts w:ascii="Times New Roman" w:hAnsi="Times New Roman" w:cs="Times New Roman" w:eastAsia="Times New Roman" w:hint="default"/>
                <w:sz w:val="18"/>
                <w:szCs w:val="18"/>
              </w:rPr>
              <w:t>2</w:t>
            </w:r>
            <w:r>
              <w:rPr>
                <w:rFonts w:ascii="宋体" w:hAnsi="宋体" w:cs="宋体" w:eastAsia="宋体" w:hint="default"/>
                <w:sz w:val="18"/>
                <w:szCs w:val="18"/>
              </w:rPr>
              <w:t>、如果发行人全体 董事、监事、高级管理人员未能履行上述承 诺，将在公司股东大会及中国证监会指定报 刊上公开说明未履行的具体原因并向公司股 东和社会公众投资者道歉，并在违反上述承 诺发生之日起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个工作日内，停止在公司处 领取薪酬、津贴及股东分红，同时发行人全 体董事、监事、高级管理人员直接或间接所 持有的公司股份将不得转让，直至按上述承 诺采取相应的赔偿措施并实施完毕时为止。 若法律、法规、规范性文件及中国证监会或 深圳证券交易所对发行人全体董事、监事、 高级管理人员因违反上述承诺而应承担的相 关责任及后果有不同规定，发行人全体董 事、监事、高级管理人员自愿无条件地遵从 该等规定。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9" w:lineRule="auto"/>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212"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中信证券股份 有限公司</w:t>
            </w:r>
            <w:r>
              <w:rPr>
                <w:rFonts w:ascii="宋体" w:hAnsi="宋体" w:cs="宋体" w:eastAsia="宋体" w:hint="default"/>
                <w:spacing w:val="1"/>
                <w:sz w:val="18"/>
                <w:szCs w:val="18"/>
              </w:rPr>
              <w:t> </w:t>
            </w:r>
            <w:r>
              <w:rPr>
                <w:rFonts w:ascii="宋体" w:hAnsi="宋体" w:cs="宋体" w:eastAsia="宋体" w:hint="default"/>
                <w:sz w:val="18"/>
                <w:szCs w:val="18"/>
              </w:rPr>
              <w:t>、安</w:t>
            </w:r>
            <w:r>
              <w:rPr>
                <w:rFonts w:ascii="宋体" w:hAnsi="宋体" w:cs="宋体" w:eastAsia="宋体" w:hint="default"/>
                <w:sz w:val="18"/>
                <w:szCs w:val="18"/>
              </w:rPr>
              <w:t> 永华明会计师 事务所（特殊 </w:t>
            </w:r>
            <w:r>
              <w:rPr>
                <w:rFonts w:ascii="宋体" w:hAnsi="宋体" w:cs="宋体" w:eastAsia="宋体" w:hint="default"/>
                <w:spacing w:val="-14"/>
                <w:sz w:val="18"/>
                <w:szCs w:val="18"/>
              </w:rPr>
              <w:t>普通合伙）、国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浩律师（深 圳）事务所、 深圳德正信国 际资产评估有 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3" w:right="87"/>
              <w:jc w:val="left"/>
              <w:rPr>
                <w:rFonts w:ascii="宋体" w:hAnsi="宋体" w:cs="宋体" w:eastAsia="宋体" w:hint="default"/>
                <w:sz w:val="18"/>
                <w:szCs w:val="18"/>
              </w:rPr>
            </w:pPr>
            <w:r>
              <w:rPr>
                <w:rFonts w:ascii="宋体" w:hAnsi="宋体" w:cs="宋体" w:eastAsia="宋体" w:hint="default"/>
                <w:sz w:val="18"/>
                <w:szCs w:val="18"/>
              </w:rPr>
              <w:t>中信证券股份有限公司承诺，因其为发行人 首次公开发行制作、出具的文件有虚假陈 述、误导性陈述或者重大遗漏，给投资者造 成损失的，将先行赔偿投资者损失。中信证 券股份有限公司、国浩律师（深圳）事务 所、安永华明会计师事务所（特殊普通合 </w:t>
            </w:r>
            <w:r>
              <w:rPr>
                <w:rFonts w:ascii="宋体" w:hAnsi="宋体" w:cs="宋体" w:eastAsia="宋体" w:hint="default"/>
                <w:spacing w:val="-5"/>
                <w:sz w:val="18"/>
                <w:szCs w:val="18"/>
              </w:rPr>
              <w:t>伙）、深圳德正信国际资产评估有限公司承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诺，因其为发行人首次公开发行制作、出具 的文件存在虚假记载、误导性陈述或者重大 遗漏，并因此给投资者造成损失的，其将依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1.75pt;height:709.1pt;mso-position-horizontal-relative:page;mso-position-vertical-relative:page;z-index:-1397008" coordorigin="1171,1450" coordsize="1235,14182">
            <v:group style="position:absolute;left:1171;top:1450;width:1235;height:354" coordorigin="1171,1450" coordsize="1235,354">
              <v:shape style="position:absolute;left:1171;top:1450;width:1235;height:354" coordorigin="1171,1450" coordsize="1235,354" path="m1171,1803l2405,1803,2405,1450,1171,1450,1171,1803xe" filled="true" fillcolor="#d2d2d2" stroked="false">
                <v:path arrowok="t"/>
                <v:fill type="solid"/>
              </v:shape>
            </v:group>
            <v:group style="position:absolute;left:1171;top:1803;width:1235;height:13829" coordorigin="1171,1803" coordsize="1235,13829">
              <v:shape style="position:absolute;left:1171;top:1803;width:1235;height:13829" coordorigin="1171,1803" coordsize="1235,13829" path="m1171,15631l2405,15631,2405,1803,1171,1803,1171,15631xe" filled="true" fillcolor="#d2d2d2" stroked="false">
                <v:path arrowok="t"/>
                <v:fill type="solid"/>
              </v:shape>
            </v:group>
            <w10:wrap type="none"/>
          </v:group>
        </w:pict>
      </w:r>
      <w:r>
        <w:rPr/>
        <w:pict>
          <v:shape style="position:absolute;margin-left:535.634705pt;margin-top:806.72052pt;width:59.493346pt;height:26.794713pt;mso-position-horizontal-relative:page;mso-position-vertical-relative:page;z-index:2296"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4"/>
      </w:tblGrid>
      <w:tr>
        <w:trPr>
          <w:trHeight w:val="363"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法承担相应责任。</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深圳华大基因 科技有限公 司、汪建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关于避免 同业竞争 的承诺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6"/>
              <w:jc w:val="left"/>
              <w:rPr>
                <w:rFonts w:ascii="宋体" w:hAnsi="宋体" w:cs="宋体" w:eastAsia="宋体" w:hint="default"/>
                <w:sz w:val="18"/>
                <w:szCs w:val="18"/>
              </w:rPr>
            </w:pPr>
            <w:r>
              <w:rPr>
                <w:rFonts w:ascii="宋体" w:hAnsi="宋体" w:cs="宋体" w:eastAsia="宋体" w:hint="default"/>
                <w:sz w:val="18"/>
                <w:szCs w:val="18"/>
              </w:rPr>
              <w:t>为避免同业竞争，维护公司及其他股东的利 益，公司控股股东华大控股、实际控制人汪 建先生出具了《关于避免同业竞争的承诺 </w:t>
            </w:r>
            <w:r>
              <w:rPr>
                <w:rFonts w:ascii="宋体" w:hAnsi="宋体" w:cs="宋体" w:eastAsia="宋体" w:hint="default"/>
                <w:spacing w:val="-5"/>
                <w:sz w:val="18"/>
                <w:szCs w:val="18"/>
              </w:rPr>
              <w:t>函》。其中，公司的控股股东华大控股承诺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、华大控股及其控制的其他企业目 前没有，将来也不从事与华大基因及其控制 的其他企业主营业务相同或相似的生产经营 活动，华大控股及其控制的其他企业也不会 通过投资于其它经济实体、机构、经济组织 从事或参与和华大基因及其控制的其他企业 主营业务相同的竞争性业务。</w:t>
            </w:r>
            <w:r>
              <w:rPr>
                <w:rFonts w:ascii="Times New Roman" w:hAnsi="Times New Roman" w:cs="Times New Roman" w:eastAsia="Times New Roman" w:hint="default"/>
                <w:sz w:val="18"/>
                <w:szCs w:val="18"/>
              </w:rPr>
              <w:t>2</w:t>
            </w:r>
            <w:r>
              <w:rPr>
                <w:rFonts w:ascii="宋体" w:hAnsi="宋体" w:cs="宋体" w:eastAsia="宋体" w:hint="default"/>
                <w:sz w:val="18"/>
                <w:szCs w:val="18"/>
              </w:rPr>
              <w:t>、如果华大 基因及其控制的其他企业在其现有业务的基 础上进一步拓展其经营业务范围，而华大控 股及其控制的其他企业对此已经进行生产、 经营的，只要其仍然是华大基因的控股股 东，华大控股及其控制的其他企业同意在合 理期限内对该相关业务进行转让且华大基因 在同等商业条件下有优先收购权。</w:t>
            </w:r>
            <w:r>
              <w:rPr>
                <w:rFonts w:ascii="Times New Roman" w:hAnsi="Times New Roman" w:cs="Times New Roman" w:eastAsia="Times New Roman" w:hint="default"/>
                <w:sz w:val="18"/>
                <w:szCs w:val="18"/>
              </w:rPr>
              <w:t>3</w:t>
            </w:r>
            <w:r>
              <w:rPr>
                <w:rFonts w:ascii="宋体" w:hAnsi="宋体" w:cs="宋体" w:eastAsia="宋体" w:hint="default"/>
                <w:sz w:val="18"/>
                <w:szCs w:val="18"/>
              </w:rPr>
              <w:t>、对于 华大基因及其控制的其他企业在其现有业务 范围的基础上进一步拓展其经营业务范围， 而华大控股及其控制的其他企业目前尚未对 此进行生产、经营的，只要其仍然是华大基 因的控股股东，华大控股及其控制的其他企 业将不从事与华大基因及其控制的其他企业 相竞争的该等新业务。</w:t>
            </w:r>
            <w:r>
              <w:rPr>
                <w:rFonts w:ascii="Times New Roman" w:hAnsi="Times New Roman" w:cs="Times New Roman" w:eastAsia="Times New Roman" w:hint="default"/>
                <w:sz w:val="18"/>
                <w:szCs w:val="18"/>
              </w:rPr>
              <w:t>4</w:t>
            </w:r>
            <w:r>
              <w:rPr>
                <w:rFonts w:ascii="宋体" w:hAnsi="宋体" w:cs="宋体" w:eastAsia="宋体" w:hint="default"/>
                <w:sz w:val="18"/>
                <w:szCs w:val="18"/>
              </w:rPr>
              <w:t>、华大控股及其控 制的其他企业目前没有，将来也不向其他业 务与华大基因及其控制的其他企业主营业务 相同、类似的公司、企业或其他机构、组织 或个人提供专有技术或提供销售渠道、客户 信息等商业机密。</w:t>
            </w:r>
            <w:r>
              <w:rPr>
                <w:rFonts w:ascii="Times New Roman" w:hAnsi="Times New Roman" w:cs="Times New Roman" w:eastAsia="Times New Roman" w:hint="default"/>
                <w:sz w:val="18"/>
                <w:szCs w:val="18"/>
              </w:rPr>
              <w:t>5</w:t>
            </w:r>
            <w:r>
              <w:rPr>
                <w:rFonts w:ascii="宋体" w:hAnsi="宋体" w:cs="宋体" w:eastAsia="宋体" w:hint="default"/>
                <w:sz w:val="18"/>
                <w:szCs w:val="18"/>
              </w:rPr>
              <w:t>、华大基因股票在深圳 证券交易所上市交易后且其依照所适用的上 市规则被认定为华大基因的控股股东期间， 其将不会变更、解除本承诺。</w:t>
            </w:r>
            <w:r>
              <w:rPr>
                <w:rFonts w:ascii="Times New Roman" w:hAnsi="Times New Roman" w:cs="Times New Roman" w:eastAsia="Times New Roman" w:hint="default"/>
                <w:sz w:val="18"/>
                <w:szCs w:val="18"/>
              </w:rPr>
              <w:t>6</w:t>
            </w:r>
            <w:r>
              <w:rPr>
                <w:rFonts w:ascii="宋体" w:hAnsi="宋体" w:cs="宋体" w:eastAsia="宋体" w:hint="default"/>
                <w:sz w:val="18"/>
                <w:szCs w:val="18"/>
              </w:rPr>
              <w:t>、其将忠实 履行上述承诺，并承担相应的法律责任，若 不履行本承诺所赋予的义务和责任，其将承 担华大基因、华大基因其他股东或利益相关 方因此所受到的任何损失。公司的实际控制 人汪建先生承诺如下：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、本人、本人控制 的其他企业及与本人关系密切的近亲属</w:t>
            </w:r>
          </w:p>
          <w:p>
            <w:pPr>
              <w:pStyle w:val="TableParagraph"/>
              <w:spacing w:line="307" w:lineRule="auto" w:before="20"/>
              <w:ind w:left="23" w:right="8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关系密切的家庭成员</w:t>
            </w:r>
            <w:r>
              <w:rPr>
                <w:rFonts w:ascii="Times New Roman" w:hAnsi="Times New Roman" w:cs="Times New Roman" w:eastAsia="Times New Roman" w:hint="default"/>
                <w:sz w:val="18"/>
                <w:szCs w:val="18"/>
              </w:rPr>
              <w:t>”</w:t>
            </w:r>
            <w:r>
              <w:rPr>
                <w:rFonts w:ascii="宋体" w:hAnsi="宋体" w:cs="宋体" w:eastAsia="宋体" w:hint="default"/>
                <w:sz w:val="18"/>
                <w:szCs w:val="18"/>
              </w:rPr>
              <w:t>指配偶、父母及配 偶的父母、兄弟姐妹及其配偶、年满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周 岁的子女及其配偶、配偶的兄弟姐妹和子女 配偶的父母）目前没有，将来也不从事与华</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1.75pt;height:769.45pt;mso-position-horizontal-relative:page;mso-position-vertical-relative:page;z-index:-1396960" coordorigin="1171,1450" coordsize="1235,15389">
            <v:group style="position:absolute;left:1171;top:1450;width:1235;height:11587" coordorigin="1171,1450" coordsize="1235,11587">
              <v:shape style="position:absolute;left:1171;top:1450;width:1235;height:11587" coordorigin="1171,1450" coordsize="1235,11587" path="m1171,13036l2405,13036,2405,1450,1171,1450,1171,13036xe" filled="true" fillcolor="#d2d2d2" stroked="false">
                <v:path arrowok="t"/>
                <v:fill type="solid"/>
              </v:shape>
            </v:group>
            <v:group style="position:absolute;left:1171;top:13036;width:1235;height:3803" coordorigin="1171,13036" coordsize="1235,3803">
              <v:shape style="position:absolute;left:1171;top:13036;width:1235;height:3803" coordorigin="1171,13036" coordsize="1235,3803" path="m2405,16838l2405,13036,1171,13036,1171,16838,2405,16838xe" filled="true" fillcolor="#d2d2d2" stroked="false">
                <v:path arrowok="t"/>
                <v:fill type="solid"/>
              </v:shape>
            </v:group>
            <w10:wrap type="none"/>
          </v:group>
        </w:pict>
      </w:r>
      <w:r>
        <w:rPr/>
        <w:pict>
          <v:shape style="position:absolute;margin-left:535.634705pt;margin-top:806.72052pt;width:59.493346pt;height:26.794713pt;mso-position-horizontal-relative:page;mso-position-vertical-relative:page;z-index:2344"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4"/>
      </w:tblGrid>
      <w:tr>
        <w:trPr>
          <w:trHeight w:val="11596"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86"/>
              <w:jc w:val="left"/>
              <w:rPr>
                <w:rFonts w:ascii="宋体" w:hAnsi="宋体" w:cs="宋体" w:eastAsia="宋体" w:hint="default"/>
                <w:sz w:val="18"/>
                <w:szCs w:val="18"/>
              </w:rPr>
            </w:pPr>
            <w:r>
              <w:rPr>
                <w:rFonts w:ascii="宋体" w:hAnsi="宋体" w:cs="宋体" w:eastAsia="宋体" w:hint="default"/>
                <w:sz w:val="18"/>
                <w:szCs w:val="18"/>
              </w:rPr>
              <w:t>大基因及其控制的其他企业主营业务相同或 相似的生产经营活动，本人及本人控制的其 他企业也不会通过投资于其它经济实体、机 构、经济组织从事或参与和华大基因及其控 制的其他企业主营业务相同的竞争性业务， 本人也不会在该等与华大基因有竞争关系的 经济实体、机构、经济组织担任董事、高级 管理人员或核心技术人员。</w:t>
            </w:r>
            <w:r>
              <w:rPr>
                <w:rFonts w:ascii="Times New Roman" w:hAnsi="Times New Roman" w:cs="Times New Roman" w:eastAsia="Times New Roman" w:hint="default"/>
                <w:sz w:val="18"/>
                <w:szCs w:val="18"/>
              </w:rPr>
              <w:t>2</w:t>
            </w:r>
            <w:r>
              <w:rPr>
                <w:rFonts w:ascii="宋体" w:hAnsi="宋体" w:cs="宋体" w:eastAsia="宋体" w:hint="default"/>
                <w:sz w:val="18"/>
                <w:szCs w:val="18"/>
              </w:rPr>
              <w:t>、如果华大基 因及其控制的其他企业在其现有业务的基础 上进一步拓展其经营业务范围，而本人、本 人控制的其他企业及与本人关系密切的近亲 属对此已经进行生产、经营的，只要本人仍 然是华大基因的实际控制人，本人、本人控 制的其他企业及与本人关系密切的近亲属同 意在合理期限内对该相关业务进行转让且华 大基因在同等商业条件下有优先收购权。 </w:t>
            </w:r>
            <w:r>
              <w:rPr>
                <w:rFonts w:ascii="Times New Roman" w:hAnsi="Times New Roman" w:cs="Times New Roman" w:eastAsia="Times New Roman" w:hint="default"/>
                <w:sz w:val="18"/>
                <w:szCs w:val="18"/>
              </w:rPr>
              <w:t>3</w:t>
            </w:r>
            <w:r>
              <w:rPr>
                <w:rFonts w:ascii="宋体" w:hAnsi="宋体" w:cs="宋体" w:eastAsia="宋体" w:hint="default"/>
                <w:sz w:val="18"/>
                <w:szCs w:val="18"/>
              </w:rPr>
              <w:t>、对于华大基因及其控制的其他企业在其 现有业务范围的基础上进一步拓展其经营业 务范围，而本人、本人控制的其他企业及与 本人关系密切的近亲属目前尚未对此进行生 产、经营的，只要本人仍然是华大基因的实 际控制人，本人、本人控制的其他企业及与 本人关系密切的近亲属将不从事与华大基因 及其控制的其他企业相竞争的该等新业务。 </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、本人、本人控制的其他企业及与本人关 系密切的近亲属目前没有，将来也不向其他 业务与华大基因及其控制的其他企业主营业 务相同、类似的公司、企业或其他机构、组 织或个人提供专有技术或提供销售渠道、客 户信息等商业机密。</w:t>
            </w:r>
            <w:r>
              <w:rPr>
                <w:rFonts w:ascii="Times New Roman" w:hAnsi="Times New Roman" w:cs="Times New Roman" w:eastAsia="Times New Roman" w:hint="default"/>
                <w:sz w:val="18"/>
                <w:szCs w:val="18"/>
              </w:rPr>
              <w:t>5</w:t>
            </w:r>
            <w:r>
              <w:rPr>
                <w:rFonts w:ascii="宋体" w:hAnsi="宋体" w:cs="宋体" w:eastAsia="宋体" w:hint="default"/>
                <w:sz w:val="18"/>
                <w:szCs w:val="18"/>
              </w:rPr>
              <w:t>、华大基因股票在深 圳证券交易所上市交易后且本人依照所适用 的上市规则被认定为华大基因的实际控制人 期间，本人将不会变更、解除本承诺。</w:t>
            </w:r>
            <w:r>
              <w:rPr>
                <w:rFonts w:ascii="Times New Roman" w:hAnsi="Times New Roman" w:cs="Times New Roman" w:eastAsia="Times New Roman" w:hint="default"/>
                <w:sz w:val="18"/>
                <w:szCs w:val="18"/>
              </w:rPr>
              <w:t>6</w:t>
            </w:r>
            <w:r>
              <w:rPr>
                <w:rFonts w:ascii="宋体" w:hAnsi="宋体" w:cs="宋体" w:eastAsia="宋体" w:hint="default"/>
                <w:sz w:val="18"/>
                <w:szCs w:val="18"/>
              </w:rPr>
              <w:t>、 本人将忠实履行上述承诺，并承担相应的法 律责任，若不履行本承诺所约定的义务和责 任，本人将承担华大基因、华大基因其他股 东或利益相关方因此所受到的任何损失。</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深圳华大基因 科技有限公 司、汪建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关于避免 或减少关 联交易的 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7"/>
              <w:jc w:val="left"/>
              <w:rPr>
                <w:rFonts w:ascii="宋体" w:hAnsi="宋体" w:cs="宋体" w:eastAsia="宋体" w:hint="default"/>
                <w:sz w:val="18"/>
                <w:szCs w:val="18"/>
              </w:rPr>
            </w:pPr>
            <w:r>
              <w:rPr>
                <w:rFonts w:ascii="宋体" w:hAnsi="宋体" w:cs="宋体" w:eastAsia="宋体" w:hint="default"/>
                <w:sz w:val="18"/>
                <w:szCs w:val="18"/>
              </w:rPr>
              <w:t>为避免或减少将来可能与公司及其全资、控 股子公司产生的关联交易，公司控股股东华 大控股、实际控制人汪建先生出具了《关于 </w:t>
            </w:r>
            <w:r>
              <w:rPr>
                <w:rFonts w:ascii="宋体" w:hAnsi="宋体" w:cs="宋体" w:eastAsia="宋体" w:hint="default"/>
                <w:spacing w:val="-5"/>
                <w:sz w:val="18"/>
                <w:szCs w:val="18"/>
              </w:rPr>
              <w:t>避免或减少关联交易的承诺函》。其中，公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司的控股股东华大控股承诺如下：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、不利 用自身的地位及控制性影响谋求华大基因及 其控制的其他企业在业务合作等方面给予华</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535.634705pt;margin-top:806.72052pt;width:59.493346pt;height:26.794713pt;mso-position-horizontal-relative:page;mso-position-vertical-relative:page;z-index:2368"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1"/>
      </w:tblGrid>
      <w:tr>
        <w:trPr>
          <w:trHeight w:val="317"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大控股及其控制的其他企业优于市场第三方</w:t>
            </w:r>
          </w:p>
        </w:tc>
        <w:tc>
          <w:tcPr>
            <w:tcW w:w="85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811" w:type="dxa"/>
            <w:vMerge w:val="restart"/>
            <w:tcBorders>
              <w:top w:val="single" w:sz="4" w:space="0" w:color="000000"/>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的权利；</w:t>
            </w:r>
            <w:r>
              <w:rPr>
                <w:rFonts w:ascii="Times New Roman" w:hAnsi="Times New Roman" w:cs="Times New Roman" w:eastAsia="Times New Roman" w:hint="default"/>
                <w:sz w:val="18"/>
                <w:szCs w:val="18"/>
              </w:rPr>
              <w:t>2</w:t>
            </w:r>
            <w:r>
              <w:rPr>
                <w:rFonts w:ascii="宋体" w:hAnsi="宋体" w:cs="宋体" w:eastAsia="宋体" w:hint="default"/>
                <w:sz w:val="18"/>
                <w:szCs w:val="18"/>
              </w:rPr>
              <w:t>、不利用自身的地位及控制性影</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响谋求华大控股及其控制的其他企业与华大</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基因及其控制的其他企业达成交易的优先权</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w:t>
            </w:r>
            <w:r>
              <w:rPr>
                <w:rFonts w:ascii="Times New Roman" w:hAnsi="Times New Roman" w:cs="Times New Roman" w:eastAsia="Times New Roman" w:hint="default"/>
                <w:sz w:val="18"/>
                <w:szCs w:val="18"/>
              </w:rPr>
              <w:t>3</w:t>
            </w:r>
            <w:r>
              <w:rPr>
                <w:rFonts w:ascii="宋体" w:hAnsi="宋体" w:cs="宋体" w:eastAsia="宋体" w:hint="default"/>
                <w:sz w:val="18"/>
                <w:szCs w:val="18"/>
              </w:rPr>
              <w:t>、华大控股及其控制的其他企业不以</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低于或高于市场价格的条件与华大基因及其</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控制的其他企业进行交易，不会利用关联交</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易转移、输送利润，亦不利用关联交易从事</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任何损害华大基因及其控制的其他企业利益</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的行为；</w:t>
            </w:r>
            <w:r>
              <w:rPr>
                <w:rFonts w:ascii="Times New Roman" w:hAnsi="Times New Roman" w:cs="Times New Roman" w:eastAsia="Times New Roman" w:hint="default"/>
                <w:sz w:val="18"/>
                <w:szCs w:val="18"/>
              </w:rPr>
              <w:t>4</w:t>
            </w:r>
            <w:r>
              <w:rPr>
                <w:rFonts w:ascii="宋体" w:hAnsi="宋体" w:cs="宋体" w:eastAsia="宋体" w:hint="default"/>
                <w:sz w:val="18"/>
                <w:szCs w:val="18"/>
              </w:rPr>
              <w:t>、华大控股及其控制的其他企业</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将尽量避免或减少并规范与华大基因及其控</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制的其他企业之间的关联交易。如果有不可</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避免的关联交易发生，所涉及的关联交易均</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会按照相关法律法规</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2"/>
                <w:sz w:val="18"/>
                <w:szCs w:val="18"/>
              </w:rPr>
              <w:t>章</w:t>
            </w:r>
            <w:r>
              <w:rPr>
                <w:rFonts w:ascii="宋体" w:hAnsi="宋体" w:cs="宋体" w:eastAsia="宋体" w:hint="default"/>
                <w:sz w:val="18"/>
                <w:szCs w:val="18"/>
              </w:rPr>
              <w:t>程》和《关</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联交易管理制度》等文件的相关规定履行合</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法程序，及时进行信息披露，保证不通过关</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联交易损害华大基因及其他股东的合法权</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5</w:t>
            </w:r>
            <w:r>
              <w:rPr>
                <w:rFonts w:ascii="宋体" w:hAnsi="宋体" w:cs="宋体" w:eastAsia="宋体" w:hint="default"/>
                <w:sz w:val="18"/>
                <w:szCs w:val="18"/>
              </w:rPr>
              <w:t>、华大基因股票在深圳证券交易所上</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市交易后且华大控股依照所适用的上市规则</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被认定为华大基因的控股股东期间，其将不</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会变更、解除本承诺；</w:t>
            </w:r>
            <w:r>
              <w:rPr>
                <w:rFonts w:ascii="Times New Roman" w:hAnsi="Times New Roman" w:cs="Times New Roman" w:eastAsia="Times New Roman" w:hint="default"/>
                <w:sz w:val="18"/>
                <w:szCs w:val="18"/>
              </w:rPr>
              <w:t>6</w:t>
            </w:r>
            <w:r>
              <w:rPr>
                <w:rFonts w:ascii="宋体" w:hAnsi="宋体" w:cs="宋体" w:eastAsia="宋体" w:hint="default"/>
                <w:sz w:val="18"/>
                <w:szCs w:val="18"/>
              </w:rPr>
              <w:t>、其将忠实履行上</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述承诺，并承担相应的法律责任，若不履行</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本承诺所赋予的义务和责任，其将承担华大</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基因、华大基因其他股东或利益相关方因此</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所受到的任何损失。公司的实际控制人汪建</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先生承诺如下：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、本人承诺并促使本人控</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制的其他企业、与本人关系密切的家庭成员</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关系密切的家庭成员</w:t>
            </w:r>
            <w:r>
              <w:rPr>
                <w:rFonts w:ascii="Times New Roman" w:hAnsi="Times New Roman" w:cs="Times New Roman" w:eastAsia="Times New Roman" w:hint="default"/>
                <w:sz w:val="18"/>
                <w:szCs w:val="18"/>
              </w:rPr>
              <w:t>”</w:t>
            </w:r>
            <w:r>
              <w:rPr>
                <w:rFonts w:ascii="宋体" w:hAnsi="宋体" w:cs="宋体" w:eastAsia="宋体" w:hint="default"/>
                <w:sz w:val="18"/>
                <w:szCs w:val="18"/>
              </w:rPr>
              <w:t>指配偶、父母及配</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偶的父母、兄弟姐妹及其配偶、年满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周</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岁的子女及其配偶、配偶的兄弟姐妹和子女</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配偶的父母）不利用本人的地位及控制性影</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响谋求华大基因及其控制的其他企业在业务</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合作等方面给予优于市场第三方的权利；</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、本人承诺并促使本人控制的其他企业、</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与本人关系密切的家庭成员不利用本人的地</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位及控制性影响谋求与华大基因及其控制的</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其他企业达成交易的优先权利；</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0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诺并促使本人控制的其他企业、与本人关系</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密切的家庭成员不以低于或高于市场价格的</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条件与华大基因及其控制的其他企业进行交</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易，不会利用关联交易转移、输送利润，亦</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不利用关联交易从事任何损害华大基因及其</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7"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控制的其他企业利益的行为；</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、本人承诺</w:t>
            </w:r>
          </w:p>
        </w:tc>
        <w:tc>
          <w:tcPr>
            <w:tcW w:w="85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并促使本人控制的其他企业、与本人关系密</w:t>
            </w:r>
          </w:p>
        </w:tc>
        <w:tc>
          <w:tcPr>
            <w:tcW w:w="85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58.560001pt;margin-top:72.47998pt;width:61.75pt;height:769.45pt;mso-position-horizontal-relative:page;mso-position-vertical-relative:page;z-index:-1396888" coordorigin="1171,1450" coordsize="1235,15389">
            <v:group style="position:absolute;left:1171;top:1450;width:1235;height:4722" coordorigin="1171,1450" coordsize="1235,4722">
              <v:shape style="position:absolute;left:1171;top:1450;width:1235;height:4722" coordorigin="1171,1450" coordsize="1235,4722" path="m1171,6171l2405,6171,2405,1450,1171,1450,1171,6171xe" filled="true" fillcolor="#d2d2d2" stroked="false">
                <v:path arrowok="t"/>
                <v:fill type="solid"/>
              </v:shape>
            </v:group>
            <v:group style="position:absolute;left:1171;top:6171;width:1235;height:3834" coordorigin="1171,6171" coordsize="1235,3834">
              <v:shape style="position:absolute;left:1171;top:6171;width:1235;height:3834" coordorigin="1171,6171" coordsize="1235,3834" path="m1171,10005l2405,10005,2405,6171,1171,6171,1171,10005xe" filled="true" fillcolor="#d2d2d2" stroked="false">
                <v:path arrowok="t"/>
                <v:fill type="solid"/>
              </v:shape>
            </v:group>
            <v:group style="position:absolute;left:1171;top:10005;width:1235;height:6834" coordorigin="1171,10005" coordsize="1235,6834">
              <v:shape style="position:absolute;left:1171;top:10005;width:1235;height:6834" coordorigin="1171,10005" coordsize="1235,6834" path="m2405,16838l2405,10005,1171,10005,1171,16838,2405,16838xe" filled="true" fillcolor="#d2d2d2" stroked="false">
                <v:path arrowok="t"/>
                <v:fill type="solid"/>
              </v:shape>
            </v:group>
            <w10:wrap type="none"/>
          </v:group>
        </w:pict>
      </w:r>
      <w:r>
        <w:rPr/>
        <w:pict>
          <v:shape style="position:absolute;margin-left:535.634705pt;margin-top:806.72052pt;width:59.493346pt;height:26.794713pt;mso-position-horizontal-relative:page;mso-position-vertical-relative:page;z-index:2416"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4"/>
      </w:tblGrid>
      <w:tr>
        <w:trPr>
          <w:trHeight w:val="4731"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87"/>
              <w:jc w:val="left"/>
              <w:rPr>
                <w:rFonts w:ascii="宋体" w:hAnsi="宋体" w:cs="宋体" w:eastAsia="宋体" w:hint="default"/>
                <w:sz w:val="18"/>
                <w:szCs w:val="18"/>
              </w:rPr>
            </w:pPr>
            <w:r>
              <w:rPr>
                <w:rFonts w:ascii="宋体" w:hAnsi="宋体" w:cs="宋体" w:eastAsia="宋体" w:hint="default"/>
                <w:sz w:val="18"/>
                <w:szCs w:val="18"/>
              </w:rPr>
              <w:t>切的家庭成员尽量避免或减少并规范与华大 基因及其控制的其他企业之间的关联交易。 如果有不可避免的关联交易发生，所涉及的 </w:t>
            </w:r>
            <w:r>
              <w:rPr>
                <w:rFonts w:ascii="宋体" w:hAnsi="宋体" w:cs="宋体" w:eastAsia="宋体" w:hint="default"/>
                <w:spacing w:val="-5"/>
                <w:sz w:val="18"/>
                <w:szCs w:val="18"/>
              </w:rPr>
              <w:t>关联交易均会按照相关法律法规、《公司章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程》和《关联交易管理制度》等文件的相关 规定履行合法程序，及时进行信息披露，保 证不通过关联交易损害华大基因及其他股东 的合法权益；</w:t>
            </w:r>
            <w:r>
              <w:rPr>
                <w:rFonts w:ascii="Times New Roman" w:hAnsi="Times New Roman" w:cs="Times New Roman" w:eastAsia="Times New Roman" w:hint="default"/>
                <w:sz w:val="18"/>
                <w:szCs w:val="18"/>
              </w:rPr>
              <w:t>5</w:t>
            </w:r>
            <w:r>
              <w:rPr>
                <w:rFonts w:ascii="宋体" w:hAnsi="宋体" w:cs="宋体" w:eastAsia="宋体" w:hint="default"/>
                <w:sz w:val="18"/>
                <w:szCs w:val="18"/>
              </w:rPr>
              <w:t>、华大基因股票在深圳证券 交易所上市交易后且本人依照所适用的上市 规则被认定为华大基因的实际控制人期间， 本人将不会变更、解除本承诺；</w:t>
            </w:r>
            <w:r>
              <w:rPr>
                <w:rFonts w:ascii="Times New Roman" w:hAnsi="Times New Roman" w:cs="Times New Roman" w:eastAsia="Times New Roman" w:hint="default"/>
                <w:sz w:val="18"/>
                <w:szCs w:val="18"/>
              </w:rPr>
              <w:t>6</w:t>
            </w:r>
            <w:r>
              <w:rPr>
                <w:rFonts w:ascii="宋体" w:hAnsi="宋体" w:cs="宋体" w:eastAsia="宋体" w:hint="default"/>
                <w:sz w:val="18"/>
                <w:szCs w:val="18"/>
              </w:rPr>
              <w:t>、本人将 忠实履行上述承诺，并承担相应的法律责 任，若不履行本承诺所约定的义务和责任， 本人将承担华大基因、华大基因其他股东或 利益相关方因此所受到的任何损失。</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124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3" w:right="158"/>
              <w:jc w:val="left"/>
              <w:rPr>
                <w:rFonts w:ascii="宋体" w:hAnsi="宋体" w:cs="宋体" w:eastAsia="宋体" w:hint="default"/>
                <w:sz w:val="18"/>
                <w:szCs w:val="18"/>
              </w:rPr>
            </w:pPr>
            <w:r>
              <w:rPr>
                <w:rFonts w:ascii="宋体" w:hAnsi="宋体" w:cs="宋体" w:eastAsia="宋体" w:hint="default"/>
                <w:sz w:val="18"/>
                <w:szCs w:val="18"/>
              </w:rPr>
              <w:t>深圳华大基因 科技有限公 司、汪建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7"/>
              <w:jc w:val="both"/>
              <w:rPr>
                <w:rFonts w:ascii="宋体" w:hAnsi="宋体" w:cs="宋体" w:eastAsia="宋体" w:hint="default"/>
                <w:sz w:val="18"/>
                <w:szCs w:val="18"/>
              </w:rPr>
            </w:pPr>
            <w:r>
              <w:rPr>
                <w:rFonts w:ascii="宋体" w:hAnsi="宋体" w:cs="宋体" w:eastAsia="宋体" w:hint="default"/>
                <w:sz w:val="18"/>
                <w:szCs w:val="18"/>
              </w:rPr>
              <w:t>避免欠缴员工社保和住房公积金对公司未来 经营业绩造成影响，公司控股股东华大控股 和实际控制人汪建先生承诺：在华大基因首 次公开发行股票并上市前，如因华大基因</w:t>
            </w:r>
          </w:p>
          <w:p>
            <w:pPr>
              <w:pStyle w:val="TableParagraph"/>
              <w:spacing w:line="312" w:lineRule="auto" w:before="19"/>
              <w:ind w:left="23" w:right="36"/>
              <w:jc w:val="both"/>
              <w:rPr>
                <w:rFonts w:ascii="宋体" w:hAnsi="宋体" w:cs="宋体" w:eastAsia="宋体" w:hint="default"/>
                <w:sz w:val="18"/>
                <w:szCs w:val="18"/>
              </w:rPr>
            </w:pPr>
            <w:r>
              <w:rPr>
                <w:rFonts w:ascii="宋体" w:hAnsi="宋体" w:cs="宋体" w:eastAsia="宋体" w:hint="default"/>
                <w:sz w:val="18"/>
                <w:szCs w:val="18"/>
              </w:rPr>
              <w:t>（含华大基因前身）及其控股子公司、分公 司未依法为员工缴纳社会保险费及</w:t>
            </w:r>
            <w:r>
              <w:rPr>
                <w:rFonts w:ascii="Times New Roman" w:hAnsi="Times New Roman" w:cs="Times New Roman" w:eastAsia="Times New Roman" w:hint="default"/>
                <w:sz w:val="18"/>
                <w:szCs w:val="18"/>
              </w:rPr>
              <w:t>/</w:t>
            </w:r>
            <w:r>
              <w:rPr>
                <w:rFonts w:ascii="宋体" w:hAnsi="宋体" w:cs="宋体" w:eastAsia="宋体" w:hint="default"/>
                <w:sz w:val="18"/>
                <w:szCs w:val="18"/>
              </w:rPr>
              <w:t>或住房公 积金，根据有权部门的要求或决定，华大基 因及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或其控股子公司、分公司产生补缴义务 或遭受任何罚款或损失的，其愿意在毋须华 大基因及其控股子公司、分公司支付对价的 情况下，无条件、自愿承担所有补缴金额和 相关所有费用及</w:t>
            </w:r>
            <w:r>
              <w:rPr>
                <w:rFonts w:ascii="Times New Roman" w:hAnsi="Times New Roman" w:cs="Times New Roman" w:eastAsia="Times New Roman" w:hint="default"/>
                <w:sz w:val="18"/>
                <w:szCs w:val="18"/>
              </w:rPr>
              <w:t>/</w:t>
            </w:r>
            <w:r>
              <w:rPr>
                <w:rFonts w:ascii="宋体" w:hAnsi="宋体" w:cs="宋体" w:eastAsia="宋体" w:hint="default"/>
                <w:sz w:val="18"/>
                <w:szCs w:val="18"/>
              </w:rPr>
              <w:t>或相关的经济赔偿责任。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355"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3" w:right="158"/>
              <w:jc w:val="left"/>
              <w:rPr>
                <w:rFonts w:ascii="宋体" w:hAnsi="宋体" w:cs="宋体" w:eastAsia="宋体" w:hint="default"/>
                <w:sz w:val="18"/>
                <w:szCs w:val="18"/>
              </w:rPr>
            </w:pPr>
            <w:r>
              <w:rPr>
                <w:rFonts w:ascii="宋体" w:hAnsi="宋体" w:cs="宋体" w:eastAsia="宋体" w:hint="default"/>
                <w:sz w:val="18"/>
                <w:szCs w:val="18"/>
              </w:rPr>
              <w:t>深圳华大基因 科技有限公 司、汪建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7"/>
              <w:jc w:val="left"/>
              <w:rPr>
                <w:rFonts w:ascii="宋体" w:hAnsi="宋体" w:cs="宋体" w:eastAsia="宋体" w:hint="default"/>
                <w:sz w:val="18"/>
                <w:szCs w:val="18"/>
              </w:rPr>
            </w:pPr>
            <w:r>
              <w:rPr>
                <w:rFonts w:ascii="宋体" w:hAnsi="宋体" w:cs="宋体" w:eastAsia="宋体" w:hint="default"/>
                <w:sz w:val="18"/>
                <w:szCs w:val="18"/>
              </w:rPr>
              <w:t>对于招股说明书述及租赁房产存在的法律瑕 疵，公司控股股东和实际控制人已出具了书 面承诺，承诺如下：</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若华大基因因租赁 未取得房屋产权证书的物业被有权部门处 罚，并责令搬迁，本人愿意在毋需华大基因 支付任何对价的情况下承担华大基因因不能 继续承租该等物业而搬迁所产生的成本与费 用，并对其搬迁期间因此造成的经济损失承 担足额、全面的经济补偿；</w:t>
            </w:r>
            <w:r>
              <w:rPr>
                <w:rFonts w:ascii="Times New Roman" w:hAnsi="Times New Roman" w:cs="Times New Roman" w:eastAsia="Times New Roman" w:hint="default"/>
                <w:sz w:val="18"/>
                <w:szCs w:val="18"/>
              </w:rPr>
              <w:t>2</w:t>
            </w:r>
            <w:r>
              <w:rPr>
                <w:rFonts w:ascii="宋体" w:hAnsi="宋体" w:cs="宋体" w:eastAsia="宋体" w:hint="default"/>
                <w:sz w:val="18"/>
                <w:szCs w:val="18"/>
              </w:rPr>
              <w:t>．若华大基因 因租赁合同被有权部门认定为无效而与出租 方产生诉讼、仲裁等纠纷或因租赁合同存在 的法律瑕疵而与出租方或其他第三方发生诉 讼、仲裁等纠纷的，本人愿意在毋需华大基 因支付任何对价的情况下承担华大基因因该 等纠纷而支付的律师费、诉讼费、案件受理 费等所有成本与费用，以保证华大基因不因 该等租赁合同可能存在的瑕疵而遭受任何损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535.634705pt;margin-top:806.72052pt;width:59.493346pt;height:26.794713pt;mso-position-horizontal-relative:page;mso-position-vertical-relative:page;z-index:2440" type="#_x0000_t75" stroked="false">
            <v:imagedata r:id="rId26" o:title=""/>
          </v:shape>
        </w:pict>
      </w:r>
    </w:p>
    <w:tbl>
      <w:tblPr>
        <w:tblW w:w="0" w:type="auto"/>
        <w:jc w:val="left"/>
        <w:tblInd w:w="181" w:type="dxa"/>
        <w:tblLayout w:type="fixed"/>
        <w:tblCellMar>
          <w:top w:w="0" w:type="dxa"/>
          <w:left w:w="0" w:type="dxa"/>
          <w:bottom w:w="0" w:type="dxa"/>
          <w:right w:w="0" w:type="dxa"/>
        </w:tblCellMar>
        <w:tblLook w:val="01E0"/>
      </w:tblPr>
      <w:tblGrid>
        <w:gridCol w:w="1244"/>
        <w:gridCol w:w="1274"/>
        <w:gridCol w:w="853"/>
        <w:gridCol w:w="3543"/>
        <w:gridCol w:w="853"/>
        <w:gridCol w:w="991"/>
        <w:gridCol w:w="811"/>
      </w:tblGrid>
      <w:tr>
        <w:trPr>
          <w:trHeight w:val="363" w:hRule="exact"/>
        </w:trPr>
        <w:tc>
          <w:tcPr>
            <w:tcW w:w="124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失或潜在损失。</w:t>
            </w: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54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35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811" w:type="dxa"/>
            <w:vMerge w:val="restart"/>
            <w:tcBorders>
              <w:top w:val="single" w:sz="4" w:space="0" w:color="000000"/>
              <w:left w:val="single" w:sz="4" w:space="0" w:color="000000"/>
              <w:right w:val="single" w:sz="4" w:space="0" w:color="000000"/>
            </w:tcBorders>
            <w:shd w:val="clear" w:color="auto" w:fill="D2D2D2"/>
          </w:tcPr>
          <w:p>
            <w:pPr/>
          </w:p>
        </w:tc>
      </w:tr>
      <w:tr>
        <w:trPr>
          <w:trHeight w:val="391" w:hRule="exact"/>
        </w:trPr>
        <w:tc>
          <w:tcPr>
            <w:tcW w:w="124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shd w:val="clear" w:color="auto" w:fill="D2D2D2"/>
          </w:tcPr>
          <w:p>
            <w:pPr/>
          </w:p>
        </w:tc>
        <w:tc>
          <w:tcPr>
            <w:tcW w:w="3543" w:type="dxa"/>
            <w:tcBorders>
              <w:top w:val="nil" w:sz="6" w:space="0" w:color="auto"/>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11" w:type="dxa"/>
            <w:vMerge/>
            <w:tcBorders>
              <w:left w:val="single" w:sz="4" w:space="0" w:color="000000"/>
              <w:right w:val="single" w:sz="4" w:space="0" w:color="000000"/>
            </w:tcBorders>
            <w:shd w:val="clear" w:color="auto" w:fill="D2D2D2"/>
          </w:tcPr>
          <w:p>
            <w:pPr/>
          </w:p>
        </w:tc>
      </w:tr>
      <w:tr>
        <w:trPr>
          <w:trHeight w:val="166"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35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1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25"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3"/>
        </w:rPr>
        <w:t> </w:t>
      </w:r>
      <w:r>
        <w:rPr>
          <w:spacing w:val="-63"/>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46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6"/>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348" w:lineRule="auto"/>
        <w:ind w:left="441" w:right="8395"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会计政策变更： </w:t>
      </w:r>
      <w:r>
        <w:rPr>
          <w:rFonts w:ascii="Times New Roman" w:hAnsi="Times New Roman" w:cs="Times New Roman" w:eastAsia="Times New Roman" w:hint="default"/>
        </w:rPr>
        <w:t>1</w:t>
      </w:r>
      <w:r>
        <w:rPr/>
        <w:t>、财务报表列报方式变更</w:t>
      </w:r>
    </w:p>
    <w:p>
      <w:pPr>
        <w:pStyle w:val="BodyText"/>
        <w:spacing w:line="300" w:lineRule="auto" w:before="14"/>
        <w:ind w:right="1131" w:firstLine="288"/>
        <w:jc w:val="both"/>
      </w:pPr>
      <w:r>
        <w:rPr>
          <w:spacing w:val="-2"/>
        </w:rPr>
        <w:t>根据《关于修订印发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[2018]15</w:t>
      </w:r>
      <w:r>
        <w:rPr>
          <w:spacing w:val="-2"/>
        </w:rPr>
        <w:t>号）要求，资产负债表中，将</w:t>
      </w:r>
      <w:r>
        <w:rPr>
          <w:rFonts w:ascii="Times New Roman" w:hAnsi="Times New Roman" w:cs="Times New Roman" w:eastAsia="Times New Roman" w:hint="default"/>
          <w:spacing w:val="-2"/>
        </w:rPr>
        <w:t>“</w:t>
      </w:r>
      <w:r>
        <w:rPr>
          <w:spacing w:val="-2"/>
        </w:rPr>
        <w:t>应收票据</w:t>
      </w:r>
      <w:r>
        <w:rPr>
          <w:rFonts w:ascii="Times New Roman" w:hAnsi="Times New Roman" w:cs="Times New Roman" w:eastAsia="Times New Roman" w:hint="default"/>
          <w:spacing w:val="-2"/>
        </w:rPr>
        <w:t>”</w:t>
      </w:r>
      <w:r>
        <w:rPr>
          <w:spacing w:val="-2"/>
        </w:rPr>
        <w:t>和</w:t>
      </w:r>
      <w:r>
        <w:rPr/>
        <w:t> </w:t>
      </w:r>
      <w:r>
        <w:rPr>
          <w:rFonts w:ascii="Times New Roman" w:hAnsi="Times New Roman" w:cs="Times New Roman" w:eastAsia="Times New Roman" w:hint="default"/>
          <w:spacing w:val="-2"/>
        </w:rPr>
        <w:t>“</w:t>
      </w:r>
      <w:r>
        <w:rPr>
          <w:spacing w:val="-2"/>
        </w:rPr>
        <w:t>应收账款</w:t>
      </w:r>
      <w:r>
        <w:rPr>
          <w:rFonts w:ascii="Times New Roman" w:hAnsi="Times New Roman" w:cs="Times New Roman" w:eastAsia="Times New Roman" w:hint="default"/>
          <w:spacing w:val="-2"/>
        </w:rPr>
        <w:t>”</w:t>
      </w:r>
      <w:r>
        <w:rPr>
          <w:spacing w:val="-2"/>
        </w:rPr>
        <w:t>归并至新增的</w:t>
      </w:r>
      <w:r>
        <w:rPr>
          <w:rFonts w:ascii="Times New Roman" w:hAnsi="Times New Roman" w:cs="Times New Roman" w:eastAsia="Times New Roman" w:hint="default"/>
          <w:spacing w:val="-2"/>
        </w:rPr>
        <w:t>“</w:t>
      </w:r>
      <w:r>
        <w:rPr>
          <w:spacing w:val="-2"/>
        </w:rPr>
        <w:t>应收票据及应收账款</w:t>
      </w:r>
      <w:r>
        <w:rPr>
          <w:rFonts w:ascii="Times New Roman" w:hAnsi="Times New Roman" w:cs="Times New Roman" w:eastAsia="Times New Roman" w:hint="default"/>
          <w:spacing w:val="-2"/>
        </w:rPr>
        <w:t>”</w:t>
      </w:r>
      <w:r>
        <w:rPr>
          <w:spacing w:val="-2"/>
        </w:rPr>
        <w:t>项目，将</w:t>
      </w:r>
      <w:r>
        <w:rPr>
          <w:rFonts w:ascii="Times New Roman" w:hAnsi="Times New Roman" w:cs="Times New Roman" w:eastAsia="Times New Roman" w:hint="default"/>
          <w:spacing w:val="-2"/>
        </w:rPr>
        <w:t>“</w:t>
      </w:r>
      <w:r>
        <w:rPr>
          <w:spacing w:val="-2"/>
        </w:rPr>
        <w:t>应收利息</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应收股利</w:t>
      </w:r>
      <w:r>
        <w:rPr>
          <w:rFonts w:ascii="Times New Roman" w:hAnsi="Times New Roman" w:cs="Times New Roman" w:eastAsia="Times New Roman" w:hint="default"/>
          <w:spacing w:val="-2"/>
        </w:rPr>
        <w:t>”</w:t>
      </w:r>
      <w:r>
        <w:rPr>
          <w:spacing w:val="-2"/>
        </w:rPr>
        <w:t>归并至</w:t>
      </w:r>
      <w:r>
        <w:rPr>
          <w:rFonts w:ascii="Times New Roman" w:hAnsi="Times New Roman" w:cs="Times New Roman" w:eastAsia="Times New Roman" w:hint="default"/>
          <w:spacing w:val="-2"/>
        </w:rPr>
        <w:t>“</w:t>
      </w:r>
      <w:r>
        <w:rPr>
          <w:spacing w:val="-2"/>
        </w:rPr>
        <w:t>其他应收款</w:t>
      </w:r>
      <w:r>
        <w:rPr>
          <w:rFonts w:ascii="Times New Roman" w:hAnsi="Times New Roman" w:cs="Times New Roman" w:eastAsia="Times New Roman" w:hint="default"/>
          <w:spacing w:val="-2"/>
        </w:rPr>
        <w:t>”</w:t>
      </w:r>
      <w:r>
        <w:rPr>
          <w:spacing w:val="-2"/>
        </w:rPr>
        <w:t>项目，将</w:t>
      </w:r>
      <w:r>
        <w:rPr>
          <w:rFonts w:ascii="Times New Roman" w:hAnsi="Times New Roman" w:cs="Times New Roman" w:eastAsia="Times New Roman" w:hint="default"/>
          <w:spacing w:val="-2"/>
        </w:rPr>
        <w:t>“</w:t>
      </w:r>
      <w:r>
        <w:rPr>
          <w:spacing w:val="-2"/>
        </w:rPr>
        <w:t>固定资产清</w:t>
      </w:r>
      <w:r>
        <w:rPr>
          <w:spacing w:val="-39"/>
        </w:rPr>
        <w:t> </w:t>
      </w:r>
      <w:r>
        <w:rPr>
          <w:spacing w:val="-39"/>
        </w:rPr>
      </w:r>
      <w:r>
        <w:rPr/>
        <w:t>理</w:t>
      </w:r>
      <w:r>
        <w:rPr>
          <w:rFonts w:ascii="Times New Roman" w:hAnsi="Times New Roman" w:cs="Times New Roman" w:eastAsia="Times New Roman" w:hint="default"/>
        </w:rPr>
        <w:t>”</w:t>
      </w:r>
      <w:r>
        <w:rPr/>
        <w:t>归并至</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项目，将</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项目，将</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归并至新增的</w:t>
      </w:r>
      <w:r>
        <w:rPr>
          <w:rFonts w:ascii="Times New Roman" w:hAnsi="Times New Roman" w:cs="Times New Roman" w:eastAsia="Times New Roman" w:hint="default"/>
        </w:rPr>
        <w:t>“</w:t>
      </w:r>
      <w:r>
        <w:rPr/>
        <w:t>应付票据及应</w:t>
      </w:r>
      <w:r>
        <w:rPr>
          <w:spacing w:val="-61"/>
        </w:rPr>
        <w:t> </w:t>
      </w:r>
      <w:r>
        <w:rPr>
          <w:spacing w:val="-61"/>
        </w:rPr>
      </w:r>
      <w:r>
        <w:rPr>
          <w:spacing w:val="-1"/>
        </w:rPr>
        <w:t>付账款</w:t>
      </w:r>
      <w:r>
        <w:rPr>
          <w:rFonts w:ascii="Times New Roman" w:hAnsi="Times New Roman" w:cs="Times New Roman" w:eastAsia="Times New Roman" w:hint="default"/>
          <w:spacing w:val="-1"/>
        </w:rPr>
        <w:t>”</w:t>
      </w:r>
      <w:r>
        <w:rPr>
          <w:spacing w:val="-1"/>
        </w:rPr>
        <w:t>项目；在利润表中，增设</w:t>
      </w:r>
      <w:r>
        <w:rPr>
          <w:rFonts w:ascii="Times New Roman" w:hAnsi="Times New Roman" w:cs="Times New Roman" w:eastAsia="Times New Roman" w:hint="default"/>
          <w:spacing w:val="-1"/>
        </w:rPr>
        <w:t>“</w:t>
      </w:r>
      <w:r>
        <w:rPr>
          <w:spacing w:val="-1"/>
        </w:rPr>
        <w:t>研发费用</w:t>
      </w:r>
      <w:r>
        <w:rPr>
          <w:rFonts w:ascii="Times New Roman" w:hAnsi="Times New Roman" w:cs="Times New Roman" w:eastAsia="Times New Roman" w:hint="default"/>
          <w:spacing w:val="-1"/>
        </w:rPr>
        <w:t>”</w:t>
      </w:r>
      <w:r>
        <w:rPr>
          <w:spacing w:val="-1"/>
        </w:rPr>
        <w:t>项目列报研究与开发过程中发生的费用化支出，</w:t>
      </w:r>
      <w:r>
        <w:rPr>
          <w:rFonts w:ascii="Times New Roman" w:hAnsi="Times New Roman" w:cs="Times New Roman" w:eastAsia="Times New Roman" w:hint="default"/>
          <w:spacing w:val="-1"/>
        </w:rPr>
        <w:t>“</w:t>
      </w:r>
      <w:r>
        <w:rPr>
          <w:spacing w:val="-1"/>
        </w:rPr>
        <w:t>财务费用</w:t>
      </w:r>
      <w:r>
        <w:rPr>
          <w:rFonts w:ascii="Times New Roman" w:hAnsi="Times New Roman" w:cs="Times New Roman" w:eastAsia="Times New Roman" w:hint="default"/>
          <w:spacing w:val="-1"/>
        </w:rPr>
        <w:t>”</w:t>
      </w:r>
      <w:r>
        <w:rPr>
          <w:spacing w:val="-1"/>
        </w:rPr>
        <w:t>项目下分拆</w:t>
      </w:r>
      <w:r>
        <w:rPr>
          <w:rFonts w:ascii="Times New Roman" w:hAnsi="Times New Roman" w:cs="Times New Roman" w:eastAsia="Times New Roman" w:hint="default"/>
          <w:spacing w:val="-1"/>
        </w:rPr>
        <w:t>“</w:t>
      </w:r>
      <w:r>
        <w:rPr>
          <w:spacing w:val="-1"/>
        </w:rPr>
        <w:t>利息费</w:t>
      </w:r>
      <w:r>
        <w:rPr>
          <w:spacing w:val="-59"/>
        </w:rPr>
        <w:t> </w:t>
      </w:r>
      <w:r>
        <w:rPr>
          <w:spacing w:val="-59"/>
        </w:rPr>
      </w:r>
      <w:r>
        <w:rPr/>
        <w:t>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明细项目；根据财政部《关于</w:t>
      </w:r>
      <w:r>
        <w:rPr>
          <w:rFonts w:ascii="Times New Roman" w:hAnsi="Times New Roman" w:cs="Times New Roman" w:eastAsia="Times New Roman" w:hint="default"/>
        </w:rPr>
        <w:t>2018</w:t>
      </w:r>
      <w:r>
        <w:rPr/>
        <w:t>年度一般企业财务报表格式有关问题的解读》，代扣个人所得税手续费</w:t>
      </w:r>
      <w:r>
        <w:rPr>
          <w:spacing w:val="-59"/>
        </w:rPr>
        <w:t> </w:t>
      </w:r>
      <w:r>
        <w:rPr>
          <w:spacing w:val="-59"/>
        </w:rPr>
      </w:r>
      <w:r>
        <w:rPr>
          <w:spacing w:val="-1"/>
        </w:rPr>
        <w:t>返还由原在</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w:t>
      </w:r>
      <w:r>
        <w:rPr>
          <w:spacing w:val="-1"/>
        </w:rPr>
        <w:t>中列报改为在</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w:t>
      </w:r>
      <w:r>
        <w:rPr>
          <w:spacing w:val="-1"/>
        </w:rPr>
        <w:t>中列报；公司相应追溯调整了比较数据。该会计政策变更对合并及公司净</w:t>
      </w:r>
      <w:r>
        <w:rPr>
          <w:spacing w:val="-78"/>
        </w:rPr>
        <w:t> </w:t>
      </w:r>
      <w:r>
        <w:rPr>
          <w:spacing w:val="-78"/>
        </w:rPr>
      </w:r>
      <w:r>
        <w:rPr/>
        <w:t>利润和股东权益无影响。</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40" w:lineRule="auto"/>
        <w:ind w:left="441" w:right="1133"/>
        <w:jc w:val="left"/>
      </w:pPr>
      <w:r>
        <w:rPr>
          <w:rFonts w:ascii="Times New Roman" w:hAnsi="Times New Roman" w:cs="Times New Roman" w:eastAsia="Times New Roman" w:hint="default"/>
        </w:rPr>
        <w:t>2</w:t>
      </w:r>
      <w:r>
        <w:rPr/>
        <w:t>、与资产相关的政府补助的现金流量列报项目变更 </w:t>
      </w:r>
      <w:r>
        <w:rPr>
          <w:spacing w:val="-1"/>
        </w:rPr>
        <w:t>根据财政部《关于</w:t>
      </w:r>
      <w:r>
        <w:rPr>
          <w:rFonts w:ascii="Times New Roman" w:hAnsi="Times New Roman" w:cs="Times New Roman" w:eastAsia="Times New Roman" w:hint="default"/>
          <w:spacing w:val="-1"/>
        </w:rPr>
        <w:t>2018</w:t>
      </w:r>
      <w:r>
        <w:rPr>
          <w:spacing w:val="-1"/>
        </w:rPr>
        <w:t>年度一般企业财务报表格式有关问题的解读》，编制现金流量表时，将原作为投资活动的现金流</w:t>
      </w:r>
    </w:p>
    <w:p>
      <w:pPr>
        <w:spacing w:after="0" w:line="340" w:lineRule="auto"/>
        <w:jc w:val="left"/>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16" w:lineRule="auto" w:before="44"/>
        <w:ind w:right="986"/>
        <w:jc w:val="left"/>
      </w:pPr>
      <w:r>
        <w:rPr>
          <w:spacing w:val="-2"/>
        </w:rPr>
        <w:t>量，变更作为经营活动的现金流量。公司相应追溯调整了比较数据。该会计政策变更减少了合并及公司现金流量表中投资活</w:t>
      </w:r>
      <w:r>
        <w:rPr>
          <w:spacing w:val="-63"/>
        </w:rPr>
        <w:t> </w:t>
      </w:r>
      <w:r>
        <w:rPr>
          <w:spacing w:val="-63"/>
        </w:rPr>
      </w:r>
      <w:r>
        <w:rPr/>
        <w:t>动产生的现金流量净额并以相同金额增加了经营活动现金产生的现金流量净额，但对现金和现金等价物净增加额无影响。</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left="441" w:right="1133"/>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日经第二届董事会第三次会议批准上述会计政策变更。</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38" w:lineRule="auto" w:before="103"/>
        <w:ind w:left="441" w:right="986"/>
        <w:jc w:val="left"/>
      </w:pPr>
      <w:r>
        <w:rPr>
          <w:rFonts w:ascii="Times New Roman" w:hAnsi="Times New Roman" w:cs="Times New Roman" w:eastAsia="Times New Roman" w:hint="default"/>
        </w:rPr>
        <w:t>1</w:t>
      </w:r>
      <w:r>
        <w:rPr/>
        <w:t>、非同一控制下企业合并 </w:t>
      </w: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月，公司与华大青兰生物科技（无锡）有限公司（以下简称</w:t>
      </w:r>
      <w:r>
        <w:rPr>
          <w:rFonts w:ascii="Times New Roman" w:hAnsi="Times New Roman" w:cs="Times New Roman" w:eastAsia="Times New Roman" w:hint="default"/>
          <w:spacing w:val="-2"/>
        </w:rPr>
        <w:t>“</w:t>
      </w:r>
      <w:r>
        <w:rPr>
          <w:spacing w:val="-2"/>
        </w:rPr>
        <w:t>无锡青兰</w:t>
      </w:r>
      <w:r>
        <w:rPr>
          <w:rFonts w:ascii="Times New Roman" w:hAnsi="Times New Roman" w:cs="Times New Roman" w:eastAsia="Times New Roman" w:hint="default"/>
          <w:spacing w:val="-2"/>
        </w:rPr>
        <w:t>”</w:t>
      </w:r>
      <w:r>
        <w:rPr>
          <w:spacing w:val="-2"/>
        </w:rPr>
        <w:t>）原股东戴俊彪、林继伟、陈逸东、杭</w:t>
      </w:r>
    </w:p>
    <w:p>
      <w:pPr>
        <w:pStyle w:val="BodyText"/>
        <w:spacing w:line="231" w:lineRule="exact"/>
        <w:ind w:right="0"/>
        <w:jc w:val="both"/>
      </w:pPr>
      <w:r>
        <w:rPr/>
        <w:t>州红叶投资管理有限公司签订股权转让协议。协议约定本公司以现金对价人民币</w:t>
      </w:r>
      <w:r>
        <w:rPr>
          <w:rFonts w:ascii="Times New Roman" w:hAnsi="Times New Roman" w:cs="Times New Roman" w:eastAsia="Times New Roman" w:hint="default"/>
        </w:rPr>
        <w:t>53,121,736.42</w:t>
      </w:r>
      <w:r>
        <w:rPr/>
        <w:t>元分别收购自然人戴俊彪、林</w:t>
      </w:r>
    </w:p>
    <w:p>
      <w:pPr>
        <w:pStyle w:val="BodyText"/>
        <w:spacing w:line="300" w:lineRule="auto" w:before="63"/>
        <w:ind w:right="1126"/>
        <w:jc w:val="both"/>
      </w:pPr>
      <w:r>
        <w:rPr>
          <w:spacing w:val="-1"/>
        </w:rPr>
        <w:t>继伟、陈逸东持有的无锡青兰</w:t>
      </w:r>
      <w:r>
        <w:rPr>
          <w:rFonts w:ascii="Times New Roman" w:hAnsi="Times New Roman" w:cs="Times New Roman" w:eastAsia="Times New Roman" w:hint="default"/>
          <w:spacing w:val="-1"/>
        </w:rPr>
        <w:t>47.82%</w:t>
      </w:r>
      <w:r>
        <w:rPr>
          <w:spacing w:val="-1"/>
        </w:rPr>
        <w:t>、</w:t>
      </w:r>
      <w:r>
        <w:rPr>
          <w:rFonts w:ascii="Times New Roman" w:hAnsi="Times New Roman" w:cs="Times New Roman" w:eastAsia="Times New Roman" w:hint="default"/>
          <w:spacing w:val="-1"/>
        </w:rPr>
        <w:t>30.18%</w:t>
      </w:r>
      <w:r>
        <w:rPr>
          <w:spacing w:val="-1"/>
        </w:rPr>
        <w:t>、</w:t>
      </w:r>
      <w:r>
        <w:rPr>
          <w:rFonts w:ascii="Times New Roman" w:hAnsi="Times New Roman" w:cs="Times New Roman" w:eastAsia="Times New Roman" w:hint="default"/>
          <w:spacing w:val="-1"/>
        </w:rPr>
        <w:t>10%</w:t>
      </w:r>
      <w:r>
        <w:rPr>
          <w:spacing w:val="-1"/>
        </w:rPr>
        <w:t>的股权以及杭州红叶投资管理有限公司持有的无锡青兰</w:t>
      </w:r>
      <w:r>
        <w:rPr>
          <w:rFonts w:ascii="Times New Roman" w:hAnsi="Times New Roman" w:cs="Times New Roman" w:eastAsia="Times New Roman" w:hint="default"/>
          <w:spacing w:val="-1"/>
        </w:rPr>
        <w:t>12%</w:t>
      </w:r>
      <w:r>
        <w:rPr>
          <w:spacing w:val="-1"/>
        </w:rPr>
        <w:t>的股权。其</w:t>
      </w:r>
      <w:r>
        <w:rPr>
          <w:spacing w:val="-86"/>
        </w:rPr>
        <w:t> </w:t>
      </w:r>
      <w:r>
        <w:rPr>
          <w:spacing w:val="-86"/>
        </w:rPr>
      </w:r>
      <w:r>
        <w:rPr>
          <w:spacing w:val="-1"/>
        </w:rPr>
        <w:t>中，股权支付对价</w:t>
      </w:r>
      <w:r>
        <w:rPr>
          <w:rFonts w:ascii="Times New Roman" w:hAnsi="Times New Roman" w:cs="Times New Roman" w:eastAsia="Times New Roman" w:hint="default"/>
          <w:spacing w:val="-1"/>
        </w:rPr>
        <w:t>53,121,736.42</w:t>
      </w:r>
      <w:r>
        <w:rPr>
          <w:spacing w:val="-1"/>
        </w:rPr>
        <w:t>元由协议约定的企业价值人民币</w:t>
      </w:r>
      <w:r>
        <w:rPr>
          <w:rFonts w:ascii="Times New Roman" w:hAnsi="Times New Roman" w:cs="Times New Roman" w:eastAsia="Times New Roman" w:hint="default"/>
          <w:spacing w:val="-1"/>
        </w:rPr>
        <w:t>50,000,000</w:t>
      </w:r>
      <w:r>
        <w:rPr>
          <w:spacing w:val="-1"/>
        </w:rPr>
        <w:t>元以及截至交割基准日</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31</w:t>
      </w:r>
      <w:r>
        <w:rPr>
          <w:spacing w:val="-1"/>
        </w:rPr>
        <w:t>日无锡青兰账</w:t>
      </w:r>
      <w:r>
        <w:rPr>
          <w:spacing w:val="-62"/>
        </w:rPr>
        <w:t> </w:t>
      </w:r>
      <w:r>
        <w:rPr/>
        <w:t>面流动资产扣除总负债的金额合计人民币</w:t>
      </w:r>
      <w:r>
        <w:rPr>
          <w:rFonts w:ascii="Times New Roman" w:hAnsi="Times New Roman" w:cs="Times New Roman" w:eastAsia="Times New Roman" w:hint="default"/>
        </w:rPr>
        <w:t>3,121,736.42</w:t>
      </w:r>
      <w:r>
        <w:rPr/>
        <w:t>元构成。</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240" w:lineRule="auto"/>
        <w:ind w:left="441" w:right="1133"/>
        <w:jc w:val="left"/>
      </w:pPr>
      <w:r>
        <w:rPr>
          <w:rFonts w:ascii="Times New Roman" w:hAnsi="Times New Roman" w:cs="Times New Roman" w:eastAsia="Times New Roman" w:hint="default"/>
        </w:rPr>
        <w:t>2</w:t>
      </w:r>
      <w:r>
        <w:rPr/>
        <w:t>、其他原因的合并范围变动</w:t>
      </w:r>
    </w:p>
    <w:p>
      <w:pPr>
        <w:pStyle w:val="BodyText"/>
        <w:spacing w:line="240" w:lineRule="auto" w:before="101"/>
        <w:ind w:left="441" w:right="986"/>
        <w:jc w:val="left"/>
        <w:rPr>
          <w:rFonts w:ascii="宋体" w:hAnsi="宋体" w:cs="宋体" w:eastAsia="宋体" w:hint="default"/>
        </w:rPr>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月在美国加利福利亚洲尔湾市设立全资子公司</w:t>
      </w:r>
      <w:r>
        <w:rPr>
          <w:rFonts w:ascii="Times New Roman" w:hAnsi="Times New Roman" w:cs="Times New Roman" w:eastAsia="Times New Roman" w:hint="default"/>
        </w:rPr>
        <w:t>GBI</w:t>
      </w:r>
      <w:r>
        <w:rPr>
          <w:rFonts w:ascii="Times New Roman" w:hAnsi="Times New Roman" w:cs="Times New Roman" w:eastAsia="Times New Roman" w:hint="default"/>
          <w:spacing w:val="-19"/>
        </w:rPr>
        <w:t> </w:t>
      </w:r>
      <w:r>
        <w:rPr>
          <w:rFonts w:ascii="Times New Roman" w:hAnsi="Times New Roman" w:cs="Times New Roman" w:eastAsia="Times New Roman" w:hint="default"/>
        </w:rPr>
        <w:t>Diagnostics</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3"/>
        </w:rPr>
        <w:t>Inc.</w:t>
      </w:r>
      <w:r>
        <w:rPr>
          <w:spacing w:val="-3"/>
        </w:rPr>
        <w:t>，注册资本为</w:t>
      </w:r>
      <w:r>
        <w:rPr>
          <w:rFonts w:ascii="Times New Roman" w:hAnsi="Times New Roman" w:cs="Times New Roman" w:eastAsia="Times New Roman" w:hint="default"/>
          <w:spacing w:val="-3"/>
        </w:rPr>
        <w:t>100</w:t>
      </w:r>
      <w:r>
        <w:rPr>
          <w:spacing w:val="-3"/>
        </w:rPr>
        <w:t>万美元，于</w:t>
      </w:r>
      <w:r>
        <w:rPr>
          <w:rFonts w:ascii="宋体" w:hAnsi="宋体" w:cs="宋体" w:eastAsia="宋体" w:hint="default"/>
          <w:spacing w:val="-3"/>
        </w:rPr>
        <w:t>2018</w:t>
      </w:r>
    </w:p>
    <w:p>
      <w:pPr>
        <w:pStyle w:val="BodyText"/>
        <w:spacing w:line="240" w:lineRule="auto" w:before="63"/>
        <w:ind w:right="0"/>
        <w:jc w:val="both"/>
      </w:pPr>
      <w:r>
        <w:rPr/>
        <w:t>年</w:t>
      </w:r>
      <w:r>
        <w:rPr>
          <w:rFonts w:ascii="宋体" w:hAnsi="宋体" w:cs="宋体" w:eastAsia="宋体" w:hint="default"/>
        </w:rPr>
        <w:t>6</w:t>
      </w:r>
      <w:r>
        <w:rPr/>
        <w:t>月实际出资，经营范围为科学研究和技术服务业。</w:t>
      </w:r>
    </w:p>
    <w:p>
      <w:pPr>
        <w:pStyle w:val="BodyText"/>
        <w:spacing w:line="300" w:lineRule="auto" w:before="117"/>
        <w:ind w:right="986" w:firstLine="288"/>
        <w:jc w:val="left"/>
      </w:pPr>
      <w:r>
        <w:rPr/>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月在河北石家庄设立了河北华大医学检验实验室有限公司，注册资本为</w:t>
      </w:r>
      <w:r>
        <w:rPr>
          <w:rFonts w:ascii="Times New Roman" w:hAnsi="Times New Roman" w:cs="Times New Roman" w:eastAsia="Times New Roman" w:hint="default"/>
        </w:rPr>
        <w:t>1,500</w:t>
      </w:r>
      <w:r>
        <w:rPr/>
        <w:t>万元人民币，注册地 址为石家庄高新区太行南大街</w:t>
      </w:r>
      <w:r>
        <w:rPr>
          <w:rFonts w:ascii="Times New Roman" w:hAnsi="Times New Roman" w:cs="Times New Roman" w:eastAsia="Times New Roman" w:hint="default"/>
        </w:rPr>
        <w:t>197</w:t>
      </w:r>
      <w:r>
        <w:rPr/>
        <w:t>号智同药谷四号楼，经营范围为科学研究和技术服务业。</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现聘任的会计事务所</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91"/>
        <w:gridCol w:w="4777"/>
      </w:tblGrid>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r>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260</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李剑光</w:t>
            </w:r>
            <w:r>
              <w:rPr>
                <w:rFonts w:ascii="宋体" w:hAnsi="宋体" w:cs="宋体" w:eastAsia="宋体" w:hint="default"/>
                <w:spacing w:val="1"/>
                <w:sz w:val="18"/>
                <w:szCs w:val="18"/>
              </w:rPr>
              <w:t> </w:t>
            </w:r>
            <w:r>
              <w:rPr>
                <w:rFonts w:ascii="宋体" w:hAnsi="宋体" w:cs="宋体" w:eastAsia="宋体" w:hint="default"/>
                <w:sz w:val="18"/>
                <w:szCs w:val="18"/>
              </w:rPr>
              <w:t>、邓冬梅</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李剑光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年、邓冬梅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2"/>
        <w:ind w:right="1133"/>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27"/>
          <w:pgSz w:w="11910" w:h="16840"/>
          <w:pgMar w:footer="974" w:header="880" w:top="1100" w:bottom="1160" w:left="980" w:right="0"/>
          <w:pgNumType w:start="101"/>
        </w:sectPr>
      </w:pPr>
    </w:p>
    <w:p>
      <w:pPr>
        <w:spacing w:line="240" w:lineRule="auto" w:before="0"/>
        <w:rPr>
          <w:rFonts w:ascii="宋体" w:hAnsi="宋体" w:cs="宋体" w:eastAsia="宋体" w:hint="default"/>
          <w:sz w:val="22"/>
          <w:szCs w:val="22"/>
        </w:rPr>
      </w:pPr>
    </w:p>
    <w:p>
      <w:pPr>
        <w:pStyle w:val="BodyText"/>
        <w:spacing w:line="240" w:lineRule="auto" w:before="44"/>
        <w:ind w:right="1133"/>
        <w:jc w:val="left"/>
      </w:pPr>
      <w:r>
        <w:rPr/>
        <w:t>公司报告期未发生破产重整相关事项。</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 报告期内其他诉讼事项说明：</w:t>
      </w:r>
    </w:p>
    <w:p>
      <w:pPr>
        <w:pStyle w:val="BodyText"/>
        <w:spacing w:line="240" w:lineRule="auto" w:before="36"/>
        <w:ind w:left="513" w:right="1133"/>
        <w:jc w:val="left"/>
      </w:pPr>
      <w:r>
        <w:rPr>
          <w:rFonts w:ascii="Times New Roman" w:hAnsi="Times New Roman" w:cs="Times New Roman" w:eastAsia="Times New Roman" w:hint="default"/>
        </w:rPr>
        <w:t>1</w:t>
      </w:r>
      <w:r>
        <w:rPr/>
        <w:t>、报告期内，公司未达到重大诉讼披露标准的其他诉讼的涉案总金额约为</w:t>
      </w:r>
      <w:r>
        <w:rPr>
          <w:spacing w:val="-46"/>
        </w:rPr>
        <w:t> </w:t>
      </w:r>
      <w:r>
        <w:rPr>
          <w:rFonts w:ascii="Times New Roman" w:hAnsi="Times New Roman" w:cs="Times New Roman" w:eastAsia="Times New Roman" w:hint="default"/>
        </w:rPr>
        <w:t>223</w:t>
      </w:r>
      <w:r>
        <w:rPr>
          <w:rFonts w:ascii="Times New Roman" w:hAnsi="Times New Roman" w:cs="Times New Roman" w:eastAsia="Times New Roman" w:hint="default"/>
          <w:spacing w:val="-1"/>
        </w:rPr>
        <w:t> </w:t>
      </w:r>
      <w:r>
        <w:rPr/>
        <w:t>万元，其中未决诉讼涉案总金额约为</w:t>
      </w:r>
    </w:p>
    <w:p>
      <w:pPr>
        <w:pStyle w:val="BodyText"/>
        <w:spacing w:line="240" w:lineRule="auto" w:before="63"/>
        <w:ind w:right="1133"/>
        <w:jc w:val="left"/>
      </w:pPr>
      <w:r>
        <w:rPr>
          <w:rFonts w:ascii="Times New Roman" w:hAnsi="Times New Roman" w:cs="Times New Roman" w:eastAsia="Times New Roman" w:hint="default"/>
        </w:rPr>
        <w:t>137</w:t>
      </w:r>
      <w:r>
        <w:rPr>
          <w:rFonts w:ascii="Times New Roman" w:hAnsi="Times New Roman" w:cs="Times New Roman" w:eastAsia="Times New Roman" w:hint="default"/>
          <w:spacing w:val="1"/>
        </w:rPr>
        <w:t> </w:t>
      </w:r>
      <w:r>
        <w:rPr/>
        <w:t>万元。</w:t>
      </w:r>
    </w:p>
    <w:p>
      <w:pPr>
        <w:pStyle w:val="BodyText"/>
        <w:spacing w:line="300" w:lineRule="auto" w:before="101"/>
        <w:ind w:right="1133" w:firstLine="360"/>
        <w:jc w:val="left"/>
      </w:pPr>
      <w:r>
        <w:rPr>
          <w:rFonts w:ascii="Times New Roman" w:hAnsi="Times New Roman" w:cs="Times New Roman" w:eastAsia="Times New Roman" w:hint="default"/>
          <w:spacing w:val="-6"/>
        </w:rPr>
        <w:t>2</w:t>
      </w:r>
      <w:r>
        <w:rPr>
          <w:spacing w:val="-6"/>
        </w:rPr>
        <w:t>、雅士能基因科技有限公司（“雅士能”）、香港中文大学诉香港医学、香港华大专利侵权案件在报告期的进展情况：</w:t>
      </w:r>
      <w:r>
        <w:rPr/>
        <w:t> 根据《和解协议》</w:t>
      </w:r>
      <w:r>
        <w:rPr>
          <w:rFonts w:ascii="Times New Roman" w:hAnsi="Times New Roman" w:cs="Times New Roman" w:eastAsia="Times New Roman" w:hint="default"/>
        </w:rPr>
        <w:t>,</w:t>
      </w:r>
      <w:r>
        <w:rPr/>
        <w:t>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年支付原告方的费用约占公司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4"/>
        </w:rPr>
        <w:t> </w:t>
      </w:r>
      <w:r>
        <w:rPr/>
        <w:t>年利润总额</w:t>
      </w:r>
      <w:r>
        <w:rPr>
          <w:spacing w:val="-47"/>
        </w:rPr>
        <w:t> </w:t>
      </w:r>
      <w:r>
        <w:rPr>
          <w:rFonts w:ascii="Times New Roman" w:hAnsi="Times New Roman" w:cs="Times New Roman" w:eastAsia="Times New Roman" w:hint="default"/>
        </w:rPr>
        <w:t>3%</w:t>
      </w:r>
      <w:r>
        <w:rPr/>
        <w:t>，公司已支付完毕</w:t>
      </w:r>
      <w:r>
        <w:rPr>
          <w:spacing w:val="-46"/>
        </w:rPr>
        <w:t> </w:t>
      </w:r>
      <w:r>
        <w:rPr>
          <w:rFonts w:ascii="Times New Roman" w:hAnsi="Times New Roman" w:cs="Times New Roman" w:eastAsia="Times New Roman" w:hint="default"/>
        </w:rPr>
        <w:t>2018 </w:t>
      </w:r>
      <w:r>
        <w:rPr/>
        <w:t>年应支付费用。</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75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12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报告期内，公司及其控股股东、实际控制人的诚信状况良好，不存在未履行法院生效判决、所负数额较大的债务到期</w:t>
      </w:r>
    </w:p>
    <w:p>
      <w:pPr>
        <w:pStyle w:val="BodyText"/>
        <w:spacing w:line="240" w:lineRule="auto" w:before="1"/>
        <w:ind w:right="1133"/>
        <w:jc w:val="left"/>
      </w:pPr>
      <w:r>
        <w:rPr/>
        <w:t>未清偿等情况。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1133"/>
        <w:jc w:val="left"/>
        <w:rPr>
          <w:b w:val="0"/>
          <w:bCs w:val="0"/>
        </w:rPr>
      </w:pP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409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after="0" w:line="340" w:lineRule="auto"/>
        <w:jc w:val="left"/>
        <w:sectPr>
          <w:pgSz w:w="11910" w:h="16840"/>
          <w:pgMar w:header="880" w:footer="974" w:top="1100" w:bottom="1160" w:left="980" w:right="0"/>
        </w:sectPr>
      </w:pPr>
    </w:p>
    <w:p>
      <w:pPr>
        <w:pStyle w:val="Heading2"/>
        <w:spacing w:line="240" w:lineRule="auto" w:before="28"/>
        <w:ind w:left="140" w:right="0"/>
        <w:jc w:val="left"/>
        <w:rPr>
          <w:b w:val="0"/>
          <w:bCs w:val="0"/>
        </w:rPr>
      </w:pPr>
      <w:r>
        <w:rPr/>
        <w:pict>
          <v:group style="position:absolute;margin-left:70.559998pt;margin-top:2.075608pt;width:700.95pt;height:.1pt;mso-position-horizontal-relative:page;mso-position-vertical-relative:paragraph;z-index:-1396816" coordorigin="1411,42" coordsize="14019,2">
            <v:shape style="position:absolute;left:1411;top:42;width:14019;height:2" coordorigin="1411,42" coordsize="14019,0" path="m1411,42l15430,42e" filled="false" stroked="true" strokeweight=".72pt" strokecolor="#000000">
              <v:path arrowok="t"/>
            </v:shape>
            <w10:wrap type="none"/>
          </v:group>
        </w:pict>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6"/>
          <w:szCs w:val="6"/>
        </w:rPr>
      </w:pPr>
    </w:p>
    <w:tbl>
      <w:tblPr>
        <w:tblW w:w="0" w:type="auto"/>
        <w:jc w:val="left"/>
        <w:tblInd w:w="168" w:type="dxa"/>
        <w:tblLayout w:type="fixed"/>
        <w:tblCellMar>
          <w:top w:w="0" w:type="dxa"/>
          <w:left w:w="0" w:type="dxa"/>
          <w:bottom w:w="0" w:type="dxa"/>
          <w:right w:w="0" w:type="dxa"/>
        </w:tblCellMar>
        <w:tblLook w:val="01E0"/>
      </w:tblPr>
      <w:tblGrid>
        <w:gridCol w:w="1251"/>
        <w:gridCol w:w="833"/>
        <w:gridCol w:w="379"/>
        <w:gridCol w:w="377"/>
        <w:gridCol w:w="434"/>
        <w:gridCol w:w="380"/>
        <w:gridCol w:w="946"/>
        <w:gridCol w:w="806"/>
        <w:gridCol w:w="785"/>
        <w:gridCol w:w="437"/>
        <w:gridCol w:w="435"/>
        <w:gridCol w:w="492"/>
        <w:gridCol w:w="1075"/>
        <w:gridCol w:w="5293"/>
      </w:tblGrid>
      <w:tr>
        <w:trPr>
          <w:trHeight w:val="1964" w:hRule="exact"/>
        </w:trPr>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68"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5"/>
              <w:jc w:val="both"/>
              <w:rPr>
                <w:rFonts w:ascii="宋体" w:hAnsi="宋体" w:cs="宋体" w:eastAsia="宋体" w:hint="default"/>
                <w:sz w:val="18"/>
                <w:szCs w:val="18"/>
              </w:rPr>
            </w:pPr>
            <w:r>
              <w:rPr>
                <w:rFonts w:ascii="宋体" w:hAnsi="宋体" w:cs="宋体" w:eastAsia="宋体" w:hint="default"/>
                <w:sz w:val="18"/>
                <w:szCs w:val="18"/>
              </w:rPr>
              <w:t>关 联 交 易 类 型</w:t>
            </w:r>
          </w:p>
        </w:tc>
        <w:tc>
          <w:tcPr>
            <w:tcW w:w="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95"/>
              <w:jc w:val="both"/>
              <w:rPr>
                <w:rFonts w:ascii="宋体" w:hAnsi="宋体" w:cs="宋体" w:eastAsia="宋体" w:hint="default"/>
                <w:sz w:val="18"/>
                <w:szCs w:val="18"/>
              </w:rPr>
            </w:pPr>
            <w:r>
              <w:rPr>
                <w:rFonts w:ascii="宋体" w:hAnsi="宋体" w:cs="宋体" w:eastAsia="宋体" w:hint="default"/>
                <w:sz w:val="18"/>
                <w:szCs w:val="18"/>
              </w:rPr>
              <w:t>关 联 交 易 内 容</w:t>
            </w:r>
          </w:p>
        </w:tc>
        <w:tc>
          <w:tcPr>
            <w:tcW w:w="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33" w:right="29"/>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4"/>
              <w:jc w:val="both"/>
              <w:rPr>
                <w:rFonts w:ascii="宋体" w:hAnsi="宋体" w:cs="宋体" w:eastAsia="宋体" w:hint="default"/>
                <w:sz w:val="18"/>
                <w:szCs w:val="18"/>
              </w:rPr>
            </w:pPr>
            <w:r>
              <w:rPr>
                <w:rFonts w:ascii="宋体" w:hAnsi="宋体" w:cs="宋体" w:eastAsia="宋体" w:hint="default"/>
                <w:sz w:val="18"/>
                <w:szCs w:val="18"/>
              </w:rPr>
              <w:t>关 联 交 易 价 格</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5" w:right="108"/>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8" w:right="36"/>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17" w:right="24" w:hanging="89"/>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33" w:right="31"/>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31" w:right="33"/>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9" w:right="60"/>
              <w:jc w:val="both"/>
              <w:rPr>
                <w:rFonts w:ascii="宋体" w:hAnsi="宋体" w:cs="宋体" w:eastAsia="宋体" w:hint="default"/>
                <w:sz w:val="18"/>
                <w:szCs w:val="18"/>
              </w:rPr>
            </w:pPr>
            <w:r>
              <w:rPr>
                <w:rFonts w:ascii="宋体" w:hAnsi="宋体" w:cs="宋体" w:eastAsia="宋体" w:hint="default"/>
                <w:sz w:val="18"/>
                <w:szCs w:val="18"/>
              </w:rPr>
              <w:t>可获 得的 同类 交易 市价</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7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5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1" w:right="137"/>
              <w:jc w:val="left"/>
              <w:rPr>
                <w:rFonts w:ascii="宋体" w:hAnsi="宋体" w:cs="宋体" w:eastAsia="宋体" w:hint="default"/>
                <w:sz w:val="18"/>
                <w:szCs w:val="18"/>
              </w:rPr>
            </w:pPr>
            <w:r>
              <w:rPr>
                <w:rFonts w:ascii="宋体" w:hAnsi="宋体" w:cs="宋体" w:eastAsia="宋体" w:hint="default"/>
                <w:sz w:val="18"/>
                <w:szCs w:val="18"/>
              </w:rPr>
              <w:t>深圳华大智造 科技有限公司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同受最终 控股股东 深圳华大 基因科技 有限公司 控制</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3"/>
              <w:jc w:val="both"/>
              <w:rPr>
                <w:rFonts w:ascii="宋体" w:hAnsi="宋体" w:cs="宋体" w:eastAsia="宋体" w:hint="default"/>
                <w:sz w:val="18"/>
                <w:szCs w:val="18"/>
              </w:rPr>
            </w:pPr>
            <w:r>
              <w:rPr>
                <w:rFonts w:ascii="宋体" w:hAnsi="宋体" w:cs="宋体" w:eastAsia="宋体" w:hint="default"/>
                <w:sz w:val="18"/>
                <w:szCs w:val="18"/>
              </w:rPr>
              <w:t>采 购 固 定 资 产</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 w:right="163"/>
              <w:jc w:val="both"/>
              <w:rPr>
                <w:rFonts w:ascii="宋体" w:hAnsi="宋体" w:cs="宋体" w:eastAsia="宋体" w:hint="default"/>
                <w:sz w:val="18"/>
                <w:szCs w:val="18"/>
              </w:rPr>
            </w:pPr>
            <w:r>
              <w:rPr>
                <w:rFonts w:ascii="宋体" w:hAnsi="宋体" w:cs="宋体" w:eastAsia="宋体" w:hint="default"/>
                <w:sz w:val="18"/>
                <w:szCs w:val="18"/>
              </w:rPr>
              <w:t>测 序 仪 组 件</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成本 加成</w:t>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4"/>
              <w:jc w:val="both"/>
              <w:rPr>
                <w:rFonts w:ascii="宋体" w:hAnsi="宋体" w:cs="宋体" w:eastAsia="宋体" w:hint="default"/>
                <w:sz w:val="18"/>
                <w:szCs w:val="18"/>
              </w:rPr>
            </w:pPr>
            <w:r>
              <w:rPr>
                <w:rFonts w:ascii="宋体" w:hAnsi="宋体" w:cs="宋体" w:eastAsia="宋体" w:hint="default"/>
                <w:sz w:val="18"/>
                <w:szCs w:val="18"/>
              </w:rPr>
              <w:t>成 本 加 成</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26,841.46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23.66%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26,847</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按协 议结 算</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p>
          <w:p>
            <w:pPr>
              <w:pStyle w:val="TableParagraph"/>
              <w:spacing w:line="300" w:lineRule="auto" w:before="63"/>
              <w:ind w:left="21" w:right="9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w:t>
            </w:r>
            <w:r>
              <w:rPr>
                <w:rFonts w:ascii="宋体" w:hAnsi="宋体" w:cs="宋体" w:eastAsia="宋体" w:hint="default"/>
                <w:sz w:val="18"/>
                <w:szCs w:val="18"/>
              </w:rPr>
              <w:t>《关于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年度日常关联交易预计 </w:t>
            </w:r>
            <w:r>
              <w:rPr>
                <w:rFonts w:ascii="宋体" w:hAnsi="宋体" w:cs="宋体" w:eastAsia="宋体" w:hint="default"/>
                <w:spacing w:val="-5"/>
                <w:w w:val="100"/>
                <w:sz w:val="18"/>
                <w:szCs w:val="18"/>
              </w:rPr>
              <w:t>的公告》（公告编号：</w:t>
            </w:r>
            <w:r>
              <w:rPr>
                <w:rFonts w:ascii="Times New Roman" w:hAnsi="Times New Roman" w:cs="Times New Roman" w:eastAsia="Times New Roman" w:hint="default"/>
                <w:spacing w:val="-5"/>
                <w:w w:val="100"/>
                <w:sz w:val="18"/>
                <w:szCs w:val="18"/>
              </w:rPr>
              <w:t>2018-019</w:t>
            </w:r>
            <w:r>
              <w:rPr>
                <w:rFonts w:ascii="宋体" w:hAnsi="宋体" w:cs="宋体" w:eastAsia="宋体" w:hint="default"/>
                <w:spacing w:val="-5"/>
                <w:w w:val="100"/>
                <w:sz w:val="18"/>
                <w:szCs w:val="18"/>
              </w:rPr>
              <w:t>）；巨潮资讯网（</w:t>
            </w:r>
            <w:r>
              <w:rPr>
                <w:rFonts w:ascii="Times New Roman" w:hAnsi="Times New Roman" w:cs="Times New Roman" w:eastAsia="Times New Roman" w:hint="default"/>
                <w:spacing w:val="-5"/>
                <w:w w:val="100"/>
                <w:sz w:val="18"/>
                <w:szCs w:val="18"/>
              </w:rPr>
              <w:t>www.cninfo.com):</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《关于增加</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年度预计日</w:t>
            </w:r>
            <w:r>
              <w:rPr>
                <w:rFonts w:ascii="宋体" w:hAnsi="宋体" w:cs="宋体" w:eastAsia="宋体" w:hint="default"/>
                <w:spacing w:val="-3"/>
                <w:sz w:val="18"/>
                <w:szCs w:val="18"/>
              </w:rPr>
              <w:t>常</w:t>
            </w:r>
            <w:r>
              <w:rPr>
                <w:rFonts w:ascii="宋体" w:hAnsi="宋体" w:cs="宋体" w:eastAsia="宋体" w:hint="default"/>
                <w:sz w:val="18"/>
                <w:szCs w:val="18"/>
              </w:rPr>
              <w:t>关联交易额度的公告</w:t>
            </w:r>
            <w:r>
              <w:rPr>
                <w:rFonts w:ascii="宋体" w:hAnsi="宋体" w:cs="宋体" w:eastAsia="宋体" w:hint="default"/>
                <w:spacing w:val="-92"/>
                <w:sz w:val="18"/>
                <w:szCs w:val="18"/>
              </w:rPr>
              <w:t>》</w:t>
            </w:r>
            <w:r>
              <w:rPr>
                <w:rFonts w:ascii="宋体" w:hAnsi="宋体" w:cs="宋体" w:eastAsia="宋体" w:hint="default"/>
                <w:sz w:val="18"/>
                <w:szCs w:val="18"/>
              </w:rPr>
              <w:t>（公告</w:t>
            </w:r>
            <w:r>
              <w:rPr>
                <w:rFonts w:ascii="宋体" w:hAnsi="宋体" w:cs="宋体" w:eastAsia="宋体" w:hint="default"/>
                <w:spacing w:val="2"/>
                <w:sz w:val="18"/>
                <w:szCs w:val="18"/>
              </w:rPr>
              <w:t>编</w:t>
            </w:r>
            <w:r>
              <w:rPr>
                <w:rFonts w:ascii="宋体" w:hAnsi="宋体" w:cs="宋体" w:eastAsia="宋体" w:hint="default"/>
                <w:sz w:val="18"/>
                <w:szCs w:val="18"/>
              </w:rPr>
              <w:t>号：</w:t>
            </w:r>
          </w:p>
          <w:p>
            <w:pPr>
              <w:pStyle w:val="TableParagraph"/>
              <w:spacing w:line="300" w:lineRule="auto" w:before="63"/>
              <w:ind w:left="24" w:right="15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；巨潮资讯网（</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0"/>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100"/>
                <w:sz w:val="18"/>
                <w:szCs w:val="18"/>
              </w:rPr>
              <w:t>i</w:t>
            </w:r>
            <w:r>
              <w:rPr>
                <w:rFonts w:ascii="Times New Roman" w:hAnsi="Times New Roman" w:cs="Times New Roman" w:eastAsia="Times New Roman" w:hint="default"/>
                <w:spacing w:val="1"/>
                <w:w w:val="100"/>
                <w:sz w:val="18"/>
                <w:szCs w:val="18"/>
              </w:rPr>
              <w:t>n</w:t>
            </w:r>
            <w:r>
              <w:rPr>
                <w:rFonts w:ascii="Times New Roman" w:hAnsi="Times New Roman" w:cs="Times New Roman" w:eastAsia="Times New Roman" w:hint="default"/>
                <w:spacing w:val="-3"/>
                <w:w w:val="99"/>
                <w:sz w:val="18"/>
                <w:szCs w:val="18"/>
              </w:rPr>
              <w:t>f</w:t>
            </w:r>
            <w:r>
              <w:rPr>
                <w:rFonts w:ascii="Times New Roman" w:hAnsi="Times New Roman" w:cs="Times New Roman" w:eastAsia="Times New Roman" w:hint="default"/>
                <w:spacing w:val="1"/>
                <w:w w:val="99"/>
                <w:sz w:val="18"/>
                <w:szCs w:val="18"/>
              </w:rPr>
              <w:t>o</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w w:val="100"/>
                <w:sz w:val="18"/>
                <w:szCs w:val="18"/>
              </w:rPr>
              <w:t>m</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《关于增加</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 </w:t>
            </w:r>
            <w:r>
              <w:rPr>
                <w:rFonts w:ascii="宋体" w:hAnsi="宋体" w:cs="宋体" w:eastAsia="宋体" w:hint="default"/>
                <w:sz w:val="18"/>
                <w:szCs w:val="18"/>
              </w:rPr>
              <w:t>年度 预计日常关联交易额度的公告</w:t>
            </w:r>
            <w:r>
              <w:rPr>
                <w:rFonts w:ascii="宋体" w:hAnsi="宋体" w:cs="宋体" w:eastAsia="宋体" w:hint="default"/>
                <w:spacing w:val="-89"/>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87</w:t>
            </w:r>
            <w:r>
              <w:rPr>
                <w:rFonts w:ascii="宋体" w:hAnsi="宋体" w:cs="宋体" w:eastAsia="宋体" w:hint="default"/>
                <w:sz w:val="18"/>
                <w:szCs w:val="18"/>
              </w:rPr>
              <w:t>）</w:t>
            </w:r>
          </w:p>
        </w:tc>
      </w:tr>
      <w:tr>
        <w:trPr>
          <w:trHeight w:val="1963"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1" w:right="137"/>
              <w:jc w:val="left"/>
              <w:rPr>
                <w:rFonts w:ascii="宋体" w:hAnsi="宋体" w:cs="宋体" w:eastAsia="宋体" w:hint="default"/>
                <w:sz w:val="18"/>
                <w:szCs w:val="18"/>
              </w:rPr>
            </w:pPr>
            <w:r>
              <w:rPr>
                <w:rFonts w:ascii="宋体" w:hAnsi="宋体" w:cs="宋体" w:eastAsia="宋体" w:hint="default"/>
                <w:sz w:val="18"/>
                <w:szCs w:val="18"/>
              </w:rPr>
              <w:t>深圳华大智造 科技有限公司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同受最终 控股股东 深圳华大 基因科技 有限公司 控制</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3"/>
              <w:jc w:val="both"/>
              <w:rPr>
                <w:rFonts w:ascii="宋体" w:hAnsi="宋体" w:cs="宋体" w:eastAsia="宋体" w:hint="default"/>
                <w:sz w:val="18"/>
                <w:szCs w:val="18"/>
              </w:rPr>
            </w:pPr>
            <w:r>
              <w:rPr>
                <w:rFonts w:ascii="宋体" w:hAnsi="宋体" w:cs="宋体" w:eastAsia="宋体" w:hint="default"/>
                <w:sz w:val="18"/>
                <w:szCs w:val="18"/>
              </w:rPr>
              <w:t>采 购 商 品</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163"/>
              <w:jc w:val="both"/>
              <w:rPr>
                <w:rFonts w:ascii="宋体" w:hAnsi="宋体" w:cs="宋体" w:eastAsia="宋体" w:hint="default"/>
                <w:sz w:val="18"/>
                <w:szCs w:val="18"/>
              </w:rPr>
            </w:pPr>
            <w:r>
              <w:rPr>
                <w:rFonts w:ascii="宋体" w:hAnsi="宋体" w:cs="宋体" w:eastAsia="宋体" w:hint="default"/>
                <w:sz w:val="18"/>
                <w:szCs w:val="18"/>
              </w:rPr>
              <w:t>试 剂 耗 材</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成本 加成</w:t>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4"/>
              <w:jc w:val="both"/>
              <w:rPr>
                <w:rFonts w:ascii="宋体" w:hAnsi="宋体" w:cs="宋体" w:eastAsia="宋体" w:hint="default"/>
                <w:sz w:val="18"/>
                <w:szCs w:val="18"/>
              </w:rPr>
            </w:pPr>
            <w:r>
              <w:rPr>
                <w:rFonts w:ascii="宋体" w:hAnsi="宋体" w:cs="宋体" w:eastAsia="宋体" w:hint="default"/>
                <w:sz w:val="18"/>
                <w:szCs w:val="18"/>
              </w:rPr>
              <w:t>成 本 加 成</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13,921.53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12.27%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15,375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按协 议结 算</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p>
          <w:p>
            <w:pPr>
              <w:pStyle w:val="TableParagraph"/>
              <w:spacing w:line="300" w:lineRule="auto" w:before="63"/>
              <w:ind w:left="21" w:right="9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w:t>
            </w:r>
            <w:r>
              <w:rPr>
                <w:rFonts w:ascii="宋体" w:hAnsi="宋体" w:cs="宋体" w:eastAsia="宋体" w:hint="default"/>
                <w:sz w:val="18"/>
                <w:szCs w:val="18"/>
              </w:rPr>
              <w:t>《关于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年度日常关联交易预计 </w:t>
            </w:r>
            <w:r>
              <w:rPr>
                <w:rFonts w:ascii="宋体" w:hAnsi="宋体" w:cs="宋体" w:eastAsia="宋体" w:hint="default"/>
                <w:spacing w:val="-5"/>
                <w:w w:val="100"/>
                <w:sz w:val="18"/>
                <w:szCs w:val="18"/>
              </w:rPr>
              <w:t>的公告》（公告编号：</w:t>
            </w:r>
            <w:r>
              <w:rPr>
                <w:rFonts w:ascii="Times New Roman" w:hAnsi="Times New Roman" w:cs="Times New Roman" w:eastAsia="Times New Roman" w:hint="default"/>
                <w:spacing w:val="-5"/>
                <w:w w:val="100"/>
                <w:sz w:val="18"/>
                <w:szCs w:val="18"/>
              </w:rPr>
              <w:t>2018-019</w:t>
            </w:r>
            <w:r>
              <w:rPr>
                <w:rFonts w:ascii="宋体" w:hAnsi="宋体" w:cs="宋体" w:eastAsia="宋体" w:hint="default"/>
                <w:spacing w:val="-5"/>
                <w:w w:val="100"/>
                <w:sz w:val="18"/>
                <w:szCs w:val="18"/>
              </w:rPr>
              <w:t>）；巨潮资讯网（</w:t>
            </w:r>
            <w:r>
              <w:rPr>
                <w:rFonts w:ascii="Times New Roman" w:hAnsi="Times New Roman" w:cs="Times New Roman" w:eastAsia="Times New Roman" w:hint="default"/>
                <w:spacing w:val="-5"/>
                <w:w w:val="100"/>
                <w:sz w:val="18"/>
                <w:szCs w:val="18"/>
              </w:rPr>
              <w:t>www.cninfo.com):</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《关于增加</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年度预计日</w:t>
            </w:r>
            <w:r>
              <w:rPr>
                <w:rFonts w:ascii="宋体" w:hAnsi="宋体" w:cs="宋体" w:eastAsia="宋体" w:hint="default"/>
                <w:spacing w:val="-3"/>
                <w:sz w:val="18"/>
                <w:szCs w:val="18"/>
              </w:rPr>
              <w:t>常</w:t>
            </w:r>
            <w:r>
              <w:rPr>
                <w:rFonts w:ascii="宋体" w:hAnsi="宋体" w:cs="宋体" w:eastAsia="宋体" w:hint="default"/>
                <w:sz w:val="18"/>
                <w:szCs w:val="18"/>
              </w:rPr>
              <w:t>关联交易额度的公告</w:t>
            </w:r>
            <w:r>
              <w:rPr>
                <w:rFonts w:ascii="宋体" w:hAnsi="宋体" w:cs="宋体" w:eastAsia="宋体" w:hint="default"/>
                <w:spacing w:val="-92"/>
                <w:sz w:val="18"/>
                <w:szCs w:val="18"/>
              </w:rPr>
              <w:t>》</w:t>
            </w:r>
            <w:r>
              <w:rPr>
                <w:rFonts w:ascii="宋体" w:hAnsi="宋体" w:cs="宋体" w:eastAsia="宋体" w:hint="default"/>
                <w:sz w:val="18"/>
                <w:szCs w:val="18"/>
              </w:rPr>
              <w:t>（公告</w:t>
            </w:r>
            <w:r>
              <w:rPr>
                <w:rFonts w:ascii="宋体" w:hAnsi="宋体" w:cs="宋体" w:eastAsia="宋体" w:hint="default"/>
                <w:spacing w:val="2"/>
                <w:sz w:val="18"/>
                <w:szCs w:val="18"/>
              </w:rPr>
              <w:t>编</w:t>
            </w:r>
            <w:r>
              <w:rPr>
                <w:rFonts w:ascii="宋体" w:hAnsi="宋体" w:cs="宋体" w:eastAsia="宋体" w:hint="default"/>
                <w:sz w:val="18"/>
                <w:szCs w:val="18"/>
              </w:rPr>
              <w:t>号：</w:t>
            </w:r>
          </w:p>
          <w:p>
            <w:pPr>
              <w:pStyle w:val="TableParagraph"/>
              <w:spacing w:line="300" w:lineRule="auto" w:before="63"/>
              <w:ind w:left="24" w:right="15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；巨潮资讯网（</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0"/>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100"/>
                <w:sz w:val="18"/>
                <w:szCs w:val="18"/>
              </w:rPr>
              <w:t>i</w:t>
            </w:r>
            <w:r>
              <w:rPr>
                <w:rFonts w:ascii="Times New Roman" w:hAnsi="Times New Roman" w:cs="Times New Roman" w:eastAsia="Times New Roman" w:hint="default"/>
                <w:spacing w:val="1"/>
                <w:w w:val="100"/>
                <w:sz w:val="18"/>
                <w:szCs w:val="18"/>
              </w:rPr>
              <w:t>n</w:t>
            </w:r>
            <w:r>
              <w:rPr>
                <w:rFonts w:ascii="Times New Roman" w:hAnsi="Times New Roman" w:cs="Times New Roman" w:eastAsia="Times New Roman" w:hint="default"/>
                <w:spacing w:val="-3"/>
                <w:w w:val="99"/>
                <w:sz w:val="18"/>
                <w:szCs w:val="18"/>
              </w:rPr>
              <w:t>f</w:t>
            </w:r>
            <w:r>
              <w:rPr>
                <w:rFonts w:ascii="Times New Roman" w:hAnsi="Times New Roman" w:cs="Times New Roman" w:eastAsia="Times New Roman" w:hint="default"/>
                <w:spacing w:val="1"/>
                <w:w w:val="99"/>
                <w:sz w:val="18"/>
                <w:szCs w:val="18"/>
              </w:rPr>
              <w:t>o</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w w:val="100"/>
                <w:sz w:val="18"/>
                <w:szCs w:val="18"/>
              </w:rPr>
              <w:t>m</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《关于增加</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 </w:t>
            </w:r>
            <w:r>
              <w:rPr>
                <w:rFonts w:ascii="宋体" w:hAnsi="宋体" w:cs="宋体" w:eastAsia="宋体" w:hint="default"/>
                <w:sz w:val="18"/>
                <w:szCs w:val="18"/>
              </w:rPr>
              <w:t>年度 预计日常关联交易额度的公告</w:t>
            </w:r>
            <w:r>
              <w:rPr>
                <w:rFonts w:ascii="宋体" w:hAnsi="宋体" w:cs="宋体" w:eastAsia="宋体" w:hint="default"/>
                <w:spacing w:val="-89"/>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87</w:t>
            </w:r>
            <w:r>
              <w:rPr>
                <w:rFonts w:ascii="宋体" w:hAnsi="宋体" w:cs="宋体" w:eastAsia="宋体" w:hint="default"/>
                <w:sz w:val="18"/>
                <w:szCs w:val="18"/>
              </w:rPr>
              <w:t>）</w:t>
            </w:r>
          </w:p>
        </w:tc>
      </w:tr>
      <w:tr>
        <w:trPr>
          <w:trHeight w:val="1961"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37"/>
              <w:jc w:val="left"/>
              <w:rPr>
                <w:rFonts w:ascii="宋体" w:hAnsi="宋体" w:cs="宋体" w:eastAsia="宋体" w:hint="default"/>
                <w:sz w:val="18"/>
                <w:szCs w:val="18"/>
              </w:rPr>
            </w:pPr>
            <w:r>
              <w:rPr>
                <w:rFonts w:ascii="宋体" w:hAnsi="宋体" w:cs="宋体" w:eastAsia="宋体" w:hint="default"/>
                <w:sz w:val="18"/>
                <w:szCs w:val="18"/>
              </w:rPr>
              <w:t>武汉华大智造 科技有限公司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同受最终 控股股东 深圳华大 基因科技 有限公司 控制</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3"/>
              <w:jc w:val="both"/>
              <w:rPr>
                <w:rFonts w:ascii="宋体" w:hAnsi="宋体" w:cs="宋体" w:eastAsia="宋体" w:hint="default"/>
                <w:sz w:val="18"/>
                <w:szCs w:val="18"/>
              </w:rPr>
            </w:pPr>
            <w:r>
              <w:rPr>
                <w:rFonts w:ascii="宋体" w:hAnsi="宋体" w:cs="宋体" w:eastAsia="宋体" w:hint="default"/>
                <w:sz w:val="18"/>
                <w:szCs w:val="18"/>
              </w:rPr>
              <w:t>采 购 固 定 资 产</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 w:right="163"/>
              <w:jc w:val="both"/>
              <w:rPr>
                <w:rFonts w:ascii="宋体" w:hAnsi="宋体" w:cs="宋体" w:eastAsia="宋体" w:hint="default"/>
                <w:sz w:val="18"/>
                <w:szCs w:val="18"/>
              </w:rPr>
            </w:pPr>
            <w:r>
              <w:rPr>
                <w:rFonts w:ascii="宋体" w:hAnsi="宋体" w:cs="宋体" w:eastAsia="宋体" w:hint="default"/>
                <w:sz w:val="18"/>
                <w:szCs w:val="18"/>
              </w:rPr>
              <w:t>测 序 仪 组 件</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成本 加成</w:t>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4"/>
              <w:jc w:val="both"/>
              <w:rPr>
                <w:rFonts w:ascii="宋体" w:hAnsi="宋体" w:cs="宋体" w:eastAsia="宋体" w:hint="default"/>
                <w:sz w:val="18"/>
                <w:szCs w:val="18"/>
              </w:rPr>
            </w:pPr>
            <w:r>
              <w:rPr>
                <w:rFonts w:ascii="宋体" w:hAnsi="宋体" w:cs="宋体" w:eastAsia="宋体" w:hint="default"/>
                <w:sz w:val="18"/>
                <w:szCs w:val="18"/>
              </w:rPr>
              <w:t>成 本 加 成</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15,092.28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15,749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1" w:right="41"/>
              <w:jc w:val="both"/>
              <w:rPr>
                <w:rFonts w:ascii="宋体" w:hAnsi="宋体" w:cs="宋体" w:eastAsia="宋体" w:hint="default"/>
                <w:sz w:val="18"/>
                <w:szCs w:val="18"/>
              </w:rPr>
            </w:pPr>
            <w:r>
              <w:rPr>
                <w:rFonts w:ascii="宋体" w:hAnsi="宋体" w:cs="宋体" w:eastAsia="宋体" w:hint="default"/>
                <w:sz w:val="18"/>
                <w:szCs w:val="18"/>
              </w:rPr>
              <w:t>按协 议结 算</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p>
          <w:p>
            <w:pPr>
              <w:pStyle w:val="TableParagraph"/>
              <w:spacing w:line="300" w:lineRule="auto" w:before="63"/>
              <w:ind w:left="21" w:right="9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4"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w:t>
            </w:r>
            <w:r>
              <w:rPr>
                <w:rFonts w:ascii="宋体" w:hAnsi="宋体" w:cs="宋体" w:eastAsia="宋体" w:hint="default"/>
                <w:sz w:val="18"/>
                <w:szCs w:val="18"/>
              </w:rPr>
              <w:t>《关于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年度日常关联交易预计 </w:t>
            </w:r>
            <w:r>
              <w:rPr>
                <w:rFonts w:ascii="宋体" w:hAnsi="宋体" w:cs="宋体" w:eastAsia="宋体" w:hint="default"/>
                <w:spacing w:val="-5"/>
                <w:w w:val="100"/>
                <w:sz w:val="18"/>
                <w:szCs w:val="18"/>
              </w:rPr>
              <w:t>的公告》（公告编号：</w:t>
            </w:r>
            <w:r>
              <w:rPr>
                <w:rFonts w:ascii="Times New Roman" w:hAnsi="Times New Roman" w:cs="Times New Roman" w:eastAsia="Times New Roman" w:hint="default"/>
                <w:spacing w:val="-5"/>
                <w:w w:val="100"/>
                <w:sz w:val="18"/>
                <w:szCs w:val="18"/>
              </w:rPr>
              <w:t>2018-019</w:t>
            </w:r>
            <w:r>
              <w:rPr>
                <w:rFonts w:ascii="宋体" w:hAnsi="宋体" w:cs="宋体" w:eastAsia="宋体" w:hint="default"/>
                <w:spacing w:val="-5"/>
                <w:w w:val="100"/>
                <w:sz w:val="18"/>
                <w:szCs w:val="18"/>
              </w:rPr>
              <w:t>）；巨潮资讯网（</w:t>
            </w:r>
            <w:r>
              <w:rPr>
                <w:rFonts w:ascii="Times New Roman" w:hAnsi="Times New Roman" w:cs="Times New Roman" w:eastAsia="Times New Roman" w:hint="default"/>
                <w:spacing w:val="-5"/>
                <w:w w:val="100"/>
                <w:sz w:val="18"/>
                <w:szCs w:val="18"/>
              </w:rPr>
              <w:t>www.cninfo.com):</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《关于增加</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年度预计日</w:t>
            </w:r>
            <w:r>
              <w:rPr>
                <w:rFonts w:ascii="宋体" w:hAnsi="宋体" w:cs="宋体" w:eastAsia="宋体" w:hint="default"/>
                <w:spacing w:val="-3"/>
                <w:sz w:val="18"/>
                <w:szCs w:val="18"/>
              </w:rPr>
              <w:t>常</w:t>
            </w:r>
            <w:r>
              <w:rPr>
                <w:rFonts w:ascii="宋体" w:hAnsi="宋体" w:cs="宋体" w:eastAsia="宋体" w:hint="default"/>
                <w:sz w:val="18"/>
                <w:szCs w:val="18"/>
              </w:rPr>
              <w:t>关联交易额度的公告</w:t>
            </w:r>
            <w:r>
              <w:rPr>
                <w:rFonts w:ascii="宋体" w:hAnsi="宋体" w:cs="宋体" w:eastAsia="宋体" w:hint="default"/>
                <w:spacing w:val="-92"/>
                <w:sz w:val="18"/>
                <w:szCs w:val="18"/>
              </w:rPr>
              <w:t>》</w:t>
            </w:r>
            <w:r>
              <w:rPr>
                <w:rFonts w:ascii="宋体" w:hAnsi="宋体" w:cs="宋体" w:eastAsia="宋体" w:hint="default"/>
                <w:sz w:val="18"/>
                <w:szCs w:val="18"/>
              </w:rPr>
              <w:t>（公告</w:t>
            </w:r>
            <w:r>
              <w:rPr>
                <w:rFonts w:ascii="宋体" w:hAnsi="宋体" w:cs="宋体" w:eastAsia="宋体" w:hint="default"/>
                <w:spacing w:val="2"/>
                <w:sz w:val="18"/>
                <w:szCs w:val="18"/>
              </w:rPr>
              <w:t>编</w:t>
            </w:r>
            <w:r>
              <w:rPr>
                <w:rFonts w:ascii="宋体" w:hAnsi="宋体" w:cs="宋体" w:eastAsia="宋体" w:hint="default"/>
                <w:sz w:val="18"/>
                <w:szCs w:val="18"/>
              </w:rPr>
              <w:t>号：</w:t>
            </w:r>
          </w:p>
          <w:p>
            <w:pPr>
              <w:pStyle w:val="TableParagraph"/>
              <w:spacing w:line="300" w:lineRule="auto" w:before="62"/>
              <w:ind w:left="24" w:right="15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；巨潮资讯网（</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0"/>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100"/>
                <w:sz w:val="18"/>
                <w:szCs w:val="18"/>
              </w:rPr>
              <w:t>i</w:t>
            </w:r>
            <w:r>
              <w:rPr>
                <w:rFonts w:ascii="Times New Roman" w:hAnsi="Times New Roman" w:cs="Times New Roman" w:eastAsia="Times New Roman" w:hint="default"/>
                <w:spacing w:val="1"/>
                <w:w w:val="100"/>
                <w:sz w:val="18"/>
                <w:szCs w:val="18"/>
              </w:rPr>
              <w:t>n</w:t>
            </w:r>
            <w:r>
              <w:rPr>
                <w:rFonts w:ascii="Times New Roman" w:hAnsi="Times New Roman" w:cs="Times New Roman" w:eastAsia="Times New Roman" w:hint="default"/>
                <w:spacing w:val="-3"/>
                <w:w w:val="99"/>
                <w:sz w:val="18"/>
                <w:szCs w:val="18"/>
              </w:rPr>
              <w:t>f</w:t>
            </w:r>
            <w:r>
              <w:rPr>
                <w:rFonts w:ascii="Times New Roman" w:hAnsi="Times New Roman" w:cs="Times New Roman" w:eastAsia="Times New Roman" w:hint="default"/>
                <w:spacing w:val="1"/>
                <w:w w:val="99"/>
                <w:sz w:val="18"/>
                <w:szCs w:val="18"/>
              </w:rPr>
              <w:t>o</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w w:val="100"/>
                <w:sz w:val="18"/>
                <w:szCs w:val="18"/>
              </w:rPr>
              <w:t>m</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《关于增加</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 </w:t>
            </w:r>
            <w:r>
              <w:rPr>
                <w:rFonts w:ascii="宋体" w:hAnsi="宋体" w:cs="宋体" w:eastAsia="宋体" w:hint="default"/>
                <w:sz w:val="18"/>
                <w:szCs w:val="18"/>
              </w:rPr>
              <w:t>年度 预计日常关联交易额度的公告</w:t>
            </w:r>
            <w:r>
              <w:rPr>
                <w:rFonts w:ascii="宋体" w:hAnsi="宋体" w:cs="宋体" w:eastAsia="宋体" w:hint="default"/>
                <w:spacing w:val="-89"/>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87</w:t>
            </w:r>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headerReference w:type="default" r:id="rId28"/>
          <w:footerReference w:type="default" r:id="rId29"/>
          <w:pgSz w:w="16840" w:h="11910" w:orient="landscape"/>
          <w:pgMar w:header="870" w:footer="975" w:top="1060" w:bottom="1160" w:left="1300" w:right="1300"/>
          <w:pgNumType w:start="103"/>
        </w:sectPr>
      </w:pPr>
    </w:p>
    <w:p>
      <w:pPr>
        <w:spacing w:line="240" w:lineRule="auto" w:before="11"/>
        <w:rPr>
          <w:rFonts w:ascii="Times New Roman" w:hAnsi="Times New Roman" w:cs="Times New Roman" w:eastAsia="Times New Roman"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51"/>
        <w:gridCol w:w="833"/>
        <w:gridCol w:w="379"/>
        <w:gridCol w:w="377"/>
        <w:gridCol w:w="434"/>
        <w:gridCol w:w="380"/>
        <w:gridCol w:w="946"/>
        <w:gridCol w:w="806"/>
        <w:gridCol w:w="785"/>
        <w:gridCol w:w="437"/>
        <w:gridCol w:w="435"/>
        <w:gridCol w:w="492"/>
        <w:gridCol w:w="1075"/>
        <w:gridCol w:w="5293"/>
      </w:tblGrid>
      <w:tr>
        <w:trPr>
          <w:trHeight w:val="1978" w:hRule="exact"/>
        </w:trPr>
        <w:tc>
          <w:tcPr>
            <w:tcW w:w="125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4" w:lineRule="auto"/>
              <w:ind w:left="21" w:right="137"/>
              <w:jc w:val="left"/>
              <w:rPr>
                <w:rFonts w:ascii="宋体" w:hAnsi="宋体" w:cs="宋体" w:eastAsia="宋体" w:hint="default"/>
                <w:sz w:val="18"/>
                <w:szCs w:val="18"/>
              </w:rPr>
            </w:pPr>
            <w:r>
              <w:rPr>
                <w:rFonts w:ascii="宋体" w:hAnsi="宋体" w:cs="宋体" w:eastAsia="宋体" w:hint="default"/>
                <w:sz w:val="18"/>
                <w:szCs w:val="18"/>
              </w:rPr>
              <w:t>武汉华大智造 科技有限公司</w:t>
            </w:r>
          </w:p>
        </w:tc>
        <w:tc>
          <w:tcPr>
            <w:tcW w:w="833"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4"/>
              <w:ind w:left="24" w:right="77"/>
              <w:jc w:val="both"/>
              <w:rPr>
                <w:rFonts w:ascii="宋体" w:hAnsi="宋体" w:cs="宋体" w:eastAsia="宋体" w:hint="default"/>
                <w:sz w:val="18"/>
                <w:szCs w:val="18"/>
              </w:rPr>
            </w:pPr>
            <w:r>
              <w:rPr>
                <w:rFonts w:ascii="宋体" w:hAnsi="宋体" w:cs="宋体" w:eastAsia="宋体" w:hint="default"/>
                <w:sz w:val="18"/>
                <w:szCs w:val="18"/>
              </w:rPr>
              <w:t>同受最终 控股股东 深圳华大 基因科技 有限公司 控制</w:t>
            </w:r>
          </w:p>
        </w:tc>
        <w:tc>
          <w:tcPr>
            <w:tcW w:w="37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63"/>
              <w:jc w:val="both"/>
              <w:rPr>
                <w:rFonts w:ascii="宋体" w:hAnsi="宋体" w:cs="宋体" w:eastAsia="宋体" w:hint="default"/>
                <w:sz w:val="18"/>
                <w:szCs w:val="18"/>
              </w:rPr>
            </w:pPr>
            <w:r>
              <w:rPr>
                <w:rFonts w:ascii="宋体" w:hAnsi="宋体" w:cs="宋体" w:eastAsia="宋体" w:hint="default"/>
                <w:sz w:val="18"/>
                <w:szCs w:val="18"/>
              </w:rPr>
              <w:t>采 购 商 品</w:t>
            </w:r>
          </w:p>
        </w:tc>
        <w:tc>
          <w:tcPr>
            <w:tcW w:w="3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1" w:right="163"/>
              <w:jc w:val="both"/>
              <w:rPr>
                <w:rFonts w:ascii="宋体" w:hAnsi="宋体" w:cs="宋体" w:eastAsia="宋体" w:hint="default"/>
                <w:sz w:val="18"/>
                <w:szCs w:val="18"/>
              </w:rPr>
            </w:pPr>
            <w:r>
              <w:rPr>
                <w:rFonts w:ascii="宋体" w:hAnsi="宋体" w:cs="宋体" w:eastAsia="宋体" w:hint="default"/>
                <w:sz w:val="18"/>
                <w:szCs w:val="18"/>
              </w:rPr>
              <w:t>试 剂 耗 材</w:t>
            </w:r>
          </w:p>
        </w:tc>
        <w:tc>
          <w:tcPr>
            <w:tcW w:w="4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4" w:lineRule="auto"/>
              <w:ind w:left="23" w:right="38"/>
              <w:jc w:val="left"/>
              <w:rPr>
                <w:rFonts w:ascii="宋体" w:hAnsi="宋体" w:cs="宋体" w:eastAsia="宋体" w:hint="default"/>
                <w:sz w:val="18"/>
                <w:szCs w:val="18"/>
              </w:rPr>
            </w:pPr>
            <w:r>
              <w:rPr>
                <w:rFonts w:ascii="宋体" w:hAnsi="宋体" w:cs="宋体" w:eastAsia="宋体" w:hint="default"/>
                <w:sz w:val="18"/>
                <w:szCs w:val="18"/>
              </w:rPr>
              <w:t>成本 加成</w:t>
            </w:r>
          </w:p>
        </w:tc>
        <w:tc>
          <w:tcPr>
            <w:tcW w:w="3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64"/>
              <w:jc w:val="both"/>
              <w:rPr>
                <w:rFonts w:ascii="宋体" w:hAnsi="宋体" w:cs="宋体" w:eastAsia="宋体" w:hint="default"/>
                <w:sz w:val="18"/>
                <w:szCs w:val="18"/>
              </w:rPr>
            </w:pPr>
            <w:r>
              <w:rPr>
                <w:rFonts w:ascii="宋体" w:hAnsi="宋体" w:cs="宋体" w:eastAsia="宋体" w:hint="default"/>
                <w:sz w:val="18"/>
                <w:szCs w:val="18"/>
              </w:rPr>
              <w:t>成 本 加 成</w:t>
            </w:r>
          </w:p>
        </w:tc>
        <w:tc>
          <w:tcPr>
            <w:tcW w:w="94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813.04</w:t>
            </w:r>
          </w:p>
        </w:tc>
        <w:tc>
          <w:tcPr>
            <w:tcW w:w="80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0.72%</w:t>
            </w:r>
          </w:p>
        </w:tc>
        <w:tc>
          <w:tcPr>
            <w:tcW w:w="7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1,839</w:t>
            </w:r>
          </w:p>
        </w:tc>
        <w:tc>
          <w:tcPr>
            <w:tcW w:w="4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1" w:right="41"/>
              <w:jc w:val="both"/>
              <w:rPr>
                <w:rFonts w:ascii="宋体" w:hAnsi="宋体" w:cs="宋体" w:eastAsia="宋体" w:hint="default"/>
                <w:sz w:val="18"/>
                <w:szCs w:val="18"/>
              </w:rPr>
            </w:pPr>
            <w:r>
              <w:rPr>
                <w:rFonts w:ascii="宋体" w:hAnsi="宋体" w:cs="宋体" w:eastAsia="宋体" w:hint="default"/>
                <w:sz w:val="18"/>
                <w:szCs w:val="18"/>
              </w:rPr>
              <w:t>按协 议结 算</w:t>
            </w:r>
          </w:p>
        </w:tc>
        <w:tc>
          <w:tcPr>
            <w:tcW w:w="4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w:t>
            </w:r>
          </w:p>
        </w:tc>
        <w:tc>
          <w:tcPr>
            <w:tcW w:w="10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p>
          <w:p>
            <w:pPr>
              <w:pStyle w:val="TableParagraph"/>
              <w:spacing w:line="300" w:lineRule="auto" w:before="63"/>
              <w:ind w:left="21" w:right="9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7" w:lineRule="auto"/>
              <w:ind w:left="24"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w:t>
            </w:r>
            <w:r>
              <w:rPr>
                <w:rFonts w:ascii="宋体" w:hAnsi="宋体" w:cs="宋体" w:eastAsia="宋体" w:hint="default"/>
                <w:sz w:val="18"/>
                <w:szCs w:val="18"/>
              </w:rPr>
              <w:t>《关于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年度日常关联交易预计 </w:t>
            </w:r>
            <w:r>
              <w:rPr>
                <w:rFonts w:ascii="宋体" w:hAnsi="宋体" w:cs="宋体" w:eastAsia="宋体" w:hint="default"/>
                <w:spacing w:val="-5"/>
                <w:w w:val="100"/>
                <w:sz w:val="18"/>
                <w:szCs w:val="18"/>
              </w:rPr>
              <w:t>的公告》（公告编号：</w:t>
            </w:r>
            <w:r>
              <w:rPr>
                <w:rFonts w:ascii="Times New Roman" w:hAnsi="Times New Roman" w:cs="Times New Roman" w:eastAsia="Times New Roman" w:hint="default"/>
                <w:spacing w:val="-5"/>
                <w:w w:val="100"/>
                <w:sz w:val="18"/>
                <w:szCs w:val="18"/>
              </w:rPr>
              <w:t>2018-019</w:t>
            </w:r>
            <w:r>
              <w:rPr>
                <w:rFonts w:ascii="宋体" w:hAnsi="宋体" w:cs="宋体" w:eastAsia="宋体" w:hint="default"/>
                <w:spacing w:val="-5"/>
                <w:w w:val="100"/>
                <w:sz w:val="18"/>
                <w:szCs w:val="18"/>
              </w:rPr>
              <w:t>）；巨潮资讯网（</w:t>
            </w:r>
            <w:r>
              <w:rPr>
                <w:rFonts w:ascii="Times New Roman" w:hAnsi="Times New Roman" w:cs="Times New Roman" w:eastAsia="Times New Roman" w:hint="default"/>
                <w:spacing w:val="-5"/>
                <w:w w:val="100"/>
                <w:sz w:val="18"/>
                <w:szCs w:val="18"/>
              </w:rPr>
              <w:t>www.cninfo.com):</w:t>
            </w:r>
          </w:p>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《关于增加</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年度预计日</w:t>
            </w:r>
            <w:r>
              <w:rPr>
                <w:rFonts w:ascii="宋体" w:hAnsi="宋体" w:cs="宋体" w:eastAsia="宋体" w:hint="default"/>
                <w:spacing w:val="-3"/>
                <w:sz w:val="18"/>
                <w:szCs w:val="18"/>
              </w:rPr>
              <w:t>常</w:t>
            </w:r>
            <w:r>
              <w:rPr>
                <w:rFonts w:ascii="宋体" w:hAnsi="宋体" w:cs="宋体" w:eastAsia="宋体" w:hint="default"/>
                <w:sz w:val="18"/>
                <w:szCs w:val="18"/>
              </w:rPr>
              <w:t>关联交易额度的公告</w:t>
            </w:r>
            <w:r>
              <w:rPr>
                <w:rFonts w:ascii="宋体" w:hAnsi="宋体" w:cs="宋体" w:eastAsia="宋体" w:hint="default"/>
                <w:spacing w:val="-92"/>
                <w:sz w:val="18"/>
                <w:szCs w:val="18"/>
              </w:rPr>
              <w:t>》</w:t>
            </w:r>
            <w:r>
              <w:rPr>
                <w:rFonts w:ascii="宋体" w:hAnsi="宋体" w:cs="宋体" w:eastAsia="宋体" w:hint="default"/>
                <w:sz w:val="18"/>
                <w:szCs w:val="18"/>
              </w:rPr>
              <w:t>（公告</w:t>
            </w:r>
            <w:r>
              <w:rPr>
                <w:rFonts w:ascii="宋体" w:hAnsi="宋体" w:cs="宋体" w:eastAsia="宋体" w:hint="default"/>
                <w:spacing w:val="2"/>
                <w:sz w:val="18"/>
                <w:szCs w:val="18"/>
              </w:rPr>
              <w:t>编</w:t>
            </w:r>
            <w:r>
              <w:rPr>
                <w:rFonts w:ascii="宋体" w:hAnsi="宋体" w:cs="宋体" w:eastAsia="宋体" w:hint="default"/>
                <w:sz w:val="18"/>
                <w:szCs w:val="18"/>
              </w:rPr>
              <w:t>号：</w:t>
            </w:r>
          </w:p>
          <w:p>
            <w:pPr>
              <w:pStyle w:val="TableParagraph"/>
              <w:spacing w:line="300" w:lineRule="auto" w:before="63"/>
              <w:ind w:left="24" w:right="15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；巨潮资讯网（</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0"/>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100"/>
                <w:sz w:val="18"/>
                <w:szCs w:val="18"/>
              </w:rPr>
              <w:t>i</w:t>
            </w:r>
            <w:r>
              <w:rPr>
                <w:rFonts w:ascii="Times New Roman" w:hAnsi="Times New Roman" w:cs="Times New Roman" w:eastAsia="Times New Roman" w:hint="default"/>
                <w:spacing w:val="1"/>
                <w:w w:val="100"/>
                <w:sz w:val="18"/>
                <w:szCs w:val="18"/>
              </w:rPr>
              <w:t>n</w:t>
            </w:r>
            <w:r>
              <w:rPr>
                <w:rFonts w:ascii="Times New Roman" w:hAnsi="Times New Roman" w:cs="Times New Roman" w:eastAsia="Times New Roman" w:hint="default"/>
                <w:spacing w:val="-3"/>
                <w:w w:val="99"/>
                <w:sz w:val="18"/>
                <w:szCs w:val="18"/>
              </w:rPr>
              <w:t>f</w:t>
            </w:r>
            <w:r>
              <w:rPr>
                <w:rFonts w:ascii="Times New Roman" w:hAnsi="Times New Roman" w:cs="Times New Roman" w:eastAsia="Times New Roman" w:hint="default"/>
                <w:spacing w:val="1"/>
                <w:w w:val="99"/>
                <w:sz w:val="18"/>
                <w:szCs w:val="18"/>
              </w:rPr>
              <w:t>o</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w w:val="100"/>
                <w:sz w:val="18"/>
                <w:szCs w:val="18"/>
              </w:rPr>
              <w:t>m</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《关于增加</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 </w:t>
            </w:r>
            <w:r>
              <w:rPr>
                <w:rFonts w:ascii="宋体" w:hAnsi="宋体" w:cs="宋体" w:eastAsia="宋体" w:hint="default"/>
                <w:sz w:val="18"/>
                <w:szCs w:val="18"/>
              </w:rPr>
              <w:t>年度 预计日常关联交易额度的公告</w:t>
            </w:r>
            <w:r>
              <w:rPr>
                <w:rFonts w:ascii="宋体" w:hAnsi="宋体" w:cs="宋体" w:eastAsia="宋体" w:hint="default"/>
                <w:spacing w:val="-89"/>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87</w:t>
            </w:r>
            <w:r>
              <w:rPr>
                <w:rFonts w:ascii="宋体" w:hAnsi="宋体" w:cs="宋体" w:eastAsia="宋体" w:hint="default"/>
                <w:sz w:val="18"/>
                <w:szCs w:val="18"/>
              </w:rPr>
              <w:t>）</w:t>
            </w:r>
          </w:p>
        </w:tc>
      </w:tr>
      <w:tr>
        <w:trPr>
          <w:trHeight w:val="1961"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62" w:lineRule="auto"/>
              <w:ind w:left="21" w:right="43"/>
              <w:jc w:val="left"/>
              <w:rPr>
                <w:rFonts w:ascii="Times New Roman" w:hAnsi="Times New Roman" w:cs="Times New Roman" w:eastAsia="Times New Roman" w:hint="default"/>
                <w:sz w:val="18"/>
                <w:szCs w:val="18"/>
              </w:rPr>
            </w:pPr>
            <w:r>
              <w:rPr>
                <w:rFonts w:ascii="Times New Roman"/>
                <w:sz w:val="18"/>
              </w:rPr>
              <w:t>BGI</w:t>
            </w:r>
            <w:r>
              <w:rPr>
                <w:rFonts w:ascii="Times New Roman"/>
                <w:spacing w:val="-1"/>
                <w:sz w:val="18"/>
              </w:rPr>
              <w:t> </w:t>
            </w:r>
            <w:r>
              <w:rPr>
                <w:rFonts w:ascii="Times New Roman"/>
                <w:sz w:val="18"/>
              </w:rPr>
              <w:t>Complete</w:t>
            </w:r>
            <w:r>
              <w:rPr>
                <w:rFonts w:ascii="Times New Roman"/>
                <w:w w:val="100"/>
                <w:sz w:val="18"/>
              </w:rPr>
              <w:t> </w:t>
            </w:r>
            <w:r>
              <w:rPr>
                <w:rFonts w:ascii="Times New Roman"/>
                <w:sz w:val="18"/>
              </w:rPr>
              <w:t>Genomics</w:t>
            </w:r>
            <w:r>
              <w:rPr>
                <w:rFonts w:ascii="Times New Roman"/>
                <w:spacing w:val="-4"/>
                <w:sz w:val="18"/>
              </w:rPr>
              <w:t> </w:t>
            </w:r>
            <w:r>
              <w:rPr>
                <w:rFonts w:ascii="Times New Roman"/>
                <w:sz w:val="18"/>
              </w:rPr>
              <w:t>Hong</w:t>
            </w:r>
            <w:r>
              <w:rPr>
                <w:rFonts w:ascii="Times New Roman"/>
                <w:sz w:val="18"/>
              </w:rPr>
              <w:t> Kong</w:t>
            </w:r>
            <w:r>
              <w:rPr>
                <w:rFonts w:ascii="Times New Roman"/>
                <w:spacing w:val="-2"/>
                <w:sz w:val="18"/>
              </w:rPr>
              <w:t> </w:t>
            </w:r>
            <w:r>
              <w:rPr>
                <w:rFonts w:ascii="Times New Roman"/>
                <w:sz w:val="18"/>
              </w:rPr>
              <w:t>Co.,</w:t>
            </w:r>
            <w:r>
              <w:rPr>
                <w:rFonts w:ascii="Times New Roman"/>
                <w:sz w:val="18"/>
              </w:rPr>
              <w:t> Limited</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同受最终 控股股东 深圳华大 基因科技 有限公司 控制</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3"/>
              <w:jc w:val="both"/>
              <w:rPr>
                <w:rFonts w:ascii="宋体" w:hAnsi="宋体" w:cs="宋体" w:eastAsia="宋体" w:hint="default"/>
                <w:sz w:val="18"/>
                <w:szCs w:val="18"/>
              </w:rPr>
            </w:pPr>
            <w:r>
              <w:rPr>
                <w:rFonts w:ascii="宋体" w:hAnsi="宋体" w:cs="宋体" w:eastAsia="宋体" w:hint="default"/>
                <w:sz w:val="18"/>
                <w:szCs w:val="18"/>
              </w:rPr>
              <w:t>采 购 固 定 资 产</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1" w:right="163"/>
              <w:jc w:val="both"/>
              <w:rPr>
                <w:rFonts w:ascii="宋体" w:hAnsi="宋体" w:cs="宋体" w:eastAsia="宋体" w:hint="default"/>
                <w:sz w:val="18"/>
                <w:szCs w:val="18"/>
              </w:rPr>
            </w:pPr>
            <w:r>
              <w:rPr>
                <w:rFonts w:ascii="宋体" w:hAnsi="宋体" w:cs="宋体" w:eastAsia="宋体" w:hint="default"/>
                <w:sz w:val="18"/>
                <w:szCs w:val="18"/>
              </w:rPr>
              <w:t>测 序 仪 组 件</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38"/>
              <w:jc w:val="left"/>
              <w:rPr>
                <w:rFonts w:ascii="宋体" w:hAnsi="宋体" w:cs="宋体" w:eastAsia="宋体" w:hint="default"/>
                <w:sz w:val="18"/>
                <w:szCs w:val="18"/>
              </w:rPr>
            </w:pPr>
            <w:r>
              <w:rPr>
                <w:rFonts w:ascii="宋体" w:hAnsi="宋体" w:cs="宋体" w:eastAsia="宋体" w:hint="default"/>
                <w:sz w:val="18"/>
                <w:szCs w:val="18"/>
              </w:rPr>
              <w:t>成本 加成</w:t>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164"/>
              <w:jc w:val="both"/>
              <w:rPr>
                <w:rFonts w:ascii="宋体" w:hAnsi="宋体" w:cs="宋体" w:eastAsia="宋体" w:hint="default"/>
                <w:sz w:val="18"/>
                <w:szCs w:val="18"/>
              </w:rPr>
            </w:pPr>
            <w:r>
              <w:rPr>
                <w:rFonts w:ascii="宋体" w:hAnsi="宋体" w:cs="宋体" w:eastAsia="宋体" w:hint="default"/>
                <w:sz w:val="18"/>
                <w:szCs w:val="18"/>
              </w:rPr>
              <w:t>成 本 加 成</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4,869.9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4.29%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5,044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1" w:right="41"/>
              <w:jc w:val="both"/>
              <w:rPr>
                <w:rFonts w:ascii="宋体" w:hAnsi="宋体" w:cs="宋体" w:eastAsia="宋体" w:hint="default"/>
                <w:sz w:val="18"/>
                <w:szCs w:val="18"/>
              </w:rPr>
            </w:pPr>
            <w:r>
              <w:rPr>
                <w:rFonts w:ascii="宋体" w:hAnsi="宋体" w:cs="宋体" w:eastAsia="宋体" w:hint="default"/>
                <w:sz w:val="18"/>
                <w:szCs w:val="18"/>
              </w:rPr>
              <w:t>按协 议结 算</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p>
          <w:p>
            <w:pPr>
              <w:pStyle w:val="TableParagraph"/>
              <w:spacing w:line="300" w:lineRule="auto" w:before="63"/>
              <w:ind w:left="21" w:right="9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4"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w:t>
            </w:r>
            <w:r>
              <w:rPr>
                <w:rFonts w:ascii="宋体" w:hAnsi="宋体" w:cs="宋体" w:eastAsia="宋体" w:hint="default"/>
                <w:sz w:val="18"/>
                <w:szCs w:val="18"/>
              </w:rPr>
              <w:t>《关于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年度日常关联交易预计 </w:t>
            </w:r>
            <w:r>
              <w:rPr>
                <w:rFonts w:ascii="宋体" w:hAnsi="宋体" w:cs="宋体" w:eastAsia="宋体" w:hint="default"/>
                <w:spacing w:val="-5"/>
                <w:w w:val="100"/>
                <w:sz w:val="18"/>
                <w:szCs w:val="18"/>
              </w:rPr>
              <w:t>的公告》（公告编号：</w:t>
            </w:r>
            <w:r>
              <w:rPr>
                <w:rFonts w:ascii="Times New Roman" w:hAnsi="Times New Roman" w:cs="Times New Roman" w:eastAsia="Times New Roman" w:hint="default"/>
                <w:spacing w:val="-5"/>
                <w:w w:val="100"/>
                <w:sz w:val="18"/>
                <w:szCs w:val="18"/>
              </w:rPr>
              <w:t>2018-019</w:t>
            </w:r>
            <w:r>
              <w:rPr>
                <w:rFonts w:ascii="宋体" w:hAnsi="宋体" w:cs="宋体" w:eastAsia="宋体" w:hint="default"/>
                <w:spacing w:val="-5"/>
                <w:w w:val="100"/>
                <w:sz w:val="18"/>
                <w:szCs w:val="18"/>
              </w:rPr>
              <w:t>）；巨潮资讯网（</w:t>
            </w:r>
            <w:r>
              <w:rPr>
                <w:rFonts w:ascii="Times New Roman" w:hAnsi="Times New Roman" w:cs="Times New Roman" w:eastAsia="Times New Roman" w:hint="default"/>
                <w:spacing w:val="-5"/>
                <w:w w:val="100"/>
                <w:sz w:val="18"/>
                <w:szCs w:val="18"/>
              </w:rPr>
              <w:t>www.cninfo.com):</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《关于增加</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年度预计日</w:t>
            </w:r>
            <w:r>
              <w:rPr>
                <w:rFonts w:ascii="宋体" w:hAnsi="宋体" w:cs="宋体" w:eastAsia="宋体" w:hint="default"/>
                <w:spacing w:val="-3"/>
                <w:sz w:val="18"/>
                <w:szCs w:val="18"/>
              </w:rPr>
              <w:t>常</w:t>
            </w:r>
            <w:r>
              <w:rPr>
                <w:rFonts w:ascii="宋体" w:hAnsi="宋体" w:cs="宋体" w:eastAsia="宋体" w:hint="default"/>
                <w:sz w:val="18"/>
                <w:szCs w:val="18"/>
              </w:rPr>
              <w:t>关联交易额度的公告</w:t>
            </w:r>
            <w:r>
              <w:rPr>
                <w:rFonts w:ascii="宋体" w:hAnsi="宋体" w:cs="宋体" w:eastAsia="宋体" w:hint="default"/>
                <w:spacing w:val="-92"/>
                <w:sz w:val="18"/>
                <w:szCs w:val="18"/>
              </w:rPr>
              <w:t>》</w:t>
            </w:r>
            <w:r>
              <w:rPr>
                <w:rFonts w:ascii="宋体" w:hAnsi="宋体" w:cs="宋体" w:eastAsia="宋体" w:hint="default"/>
                <w:sz w:val="18"/>
                <w:szCs w:val="18"/>
              </w:rPr>
              <w:t>（公告</w:t>
            </w:r>
            <w:r>
              <w:rPr>
                <w:rFonts w:ascii="宋体" w:hAnsi="宋体" w:cs="宋体" w:eastAsia="宋体" w:hint="default"/>
                <w:spacing w:val="2"/>
                <w:sz w:val="18"/>
                <w:szCs w:val="18"/>
              </w:rPr>
              <w:t>编</w:t>
            </w:r>
            <w:r>
              <w:rPr>
                <w:rFonts w:ascii="宋体" w:hAnsi="宋体" w:cs="宋体" w:eastAsia="宋体" w:hint="default"/>
                <w:sz w:val="18"/>
                <w:szCs w:val="18"/>
              </w:rPr>
              <w:t>号：</w:t>
            </w:r>
          </w:p>
          <w:p>
            <w:pPr>
              <w:pStyle w:val="TableParagraph"/>
              <w:spacing w:line="300" w:lineRule="auto" w:before="63"/>
              <w:ind w:left="24" w:right="15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；巨潮资讯网（</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0"/>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100"/>
                <w:sz w:val="18"/>
                <w:szCs w:val="18"/>
              </w:rPr>
              <w:t>i</w:t>
            </w:r>
            <w:r>
              <w:rPr>
                <w:rFonts w:ascii="Times New Roman" w:hAnsi="Times New Roman" w:cs="Times New Roman" w:eastAsia="Times New Roman" w:hint="default"/>
                <w:spacing w:val="1"/>
                <w:w w:val="100"/>
                <w:sz w:val="18"/>
                <w:szCs w:val="18"/>
              </w:rPr>
              <w:t>n</w:t>
            </w:r>
            <w:r>
              <w:rPr>
                <w:rFonts w:ascii="Times New Roman" w:hAnsi="Times New Roman" w:cs="Times New Roman" w:eastAsia="Times New Roman" w:hint="default"/>
                <w:spacing w:val="-3"/>
                <w:w w:val="99"/>
                <w:sz w:val="18"/>
                <w:szCs w:val="18"/>
              </w:rPr>
              <w:t>f</w:t>
            </w:r>
            <w:r>
              <w:rPr>
                <w:rFonts w:ascii="Times New Roman" w:hAnsi="Times New Roman" w:cs="Times New Roman" w:eastAsia="Times New Roman" w:hint="default"/>
                <w:spacing w:val="1"/>
                <w:w w:val="99"/>
                <w:sz w:val="18"/>
                <w:szCs w:val="18"/>
              </w:rPr>
              <w:t>o</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w w:val="100"/>
                <w:sz w:val="18"/>
                <w:szCs w:val="18"/>
              </w:rPr>
              <w:t>m</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《关于增加</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 </w:t>
            </w:r>
            <w:r>
              <w:rPr>
                <w:rFonts w:ascii="宋体" w:hAnsi="宋体" w:cs="宋体" w:eastAsia="宋体" w:hint="default"/>
                <w:sz w:val="18"/>
                <w:szCs w:val="18"/>
              </w:rPr>
              <w:t>年度 预计日常关联交易额度的公告</w:t>
            </w:r>
            <w:r>
              <w:rPr>
                <w:rFonts w:ascii="宋体" w:hAnsi="宋体" w:cs="宋体" w:eastAsia="宋体" w:hint="default"/>
                <w:spacing w:val="-89"/>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87</w:t>
            </w:r>
            <w:r>
              <w:rPr>
                <w:rFonts w:ascii="宋体" w:hAnsi="宋体" w:cs="宋体" w:eastAsia="宋体" w:hint="default"/>
                <w:sz w:val="18"/>
                <w:szCs w:val="18"/>
              </w:rPr>
              <w:t>）</w:t>
            </w:r>
          </w:p>
        </w:tc>
      </w:tr>
      <w:tr>
        <w:trPr>
          <w:trHeight w:val="1964"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60" w:lineRule="auto"/>
              <w:ind w:left="21" w:right="43"/>
              <w:jc w:val="left"/>
              <w:rPr>
                <w:rFonts w:ascii="Times New Roman" w:hAnsi="Times New Roman" w:cs="Times New Roman" w:eastAsia="Times New Roman" w:hint="default"/>
                <w:sz w:val="18"/>
                <w:szCs w:val="18"/>
              </w:rPr>
            </w:pPr>
            <w:r>
              <w:rPr>
                <w:rFonts w:ascii="Times New Roman"/>
                <w:sz w:val="18"/>
              </w:rPr>
              <w:t>BGI</w:t>
            </w:r>
            <w:r>
              <w:rPr>
                <w:rFonts w:ascii="Times New Roman"/>
                <w:spacing w:val="-1"/>
                <w:sz w:val="18"/>
              </w:rPr>
              <w:t> </w:t>
            </w:r>
            <w:r>
              <w:rPr>
                <w:rFonts w:ascii="Times New Roman"/>
                <w:sz w:val="18"/>
              </w:rPr>
              <w:t>Complete</w:t>
            </w:r>
            <w:r>
              <w:rPr>
                <w:rFonts w:ascii="Times New Roman"/>
                <w:w w:val="100"/>
                <w:sz w:val="18"/>
              </w:rPr>
              <w:t> </w:t>
            </w:r>
            <w:r>
              <w:rPr>
                <w:rFonts w:ascii="Times New Roman"/>
                <w:sz w:val="18"/>
              </w:rPr>
              <w:t>Genomics</w:t>
            </w:r>
            <w:r>
              <w:rPr>
                <w:rFonts w:ascii="Times New Roman"/>
                <w:spacing w:val="-4"/>
                <w:sz w:val="18"/>
              </w:rPr>
              <w:t> </w:t>
            </w:r>
            <w:r>
              <w:rPr>
                <w:rFonts w:ascii="Times New Roman"/>
                <w:sz w:val="18"/>
              </w:rPr>
              <w:t>Hong</w:t>
            </w:r>
            <w:r>
              <w:rPr>
                <w:rFonts w:ascii="Times New Roman"/>
                <w:sz w:val="18"/>
              </w:rPr>
              <w:t> Kong</w:t>
            </w:r>
            <w:r>
              <w:rPr>
                <w:rFonts w:ascii="Times New Roman"/>
                <w:spacing w:val="-2"/>
                <w:sz w:val="18"/>
              </w:rPr>
              <w:t> </w:t>
            </w:r>
            <w:r>
              <w:rPr>
                <w:rFonts w:ascii="Times New Roman"/>
                <w:sz w:val="18"/>
              </w:rPr>
              <w:t>Co.,</w:t>
            </w:r>
            <w:r>
              <w:rPr>
                <w:rFonts w:ascii="Times New Roman"/>
                <w:sz w:val="18"/>
              </w:rPr>
              <w:t> Limited</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7"/>
              <w:jc w:val="both"/>
              <w:rPr>
                <w:rFonts w:ascii="宋体" w:hAnsi="宋体" w:cs="宋体" w:eastAsia="宋体" w:hint="default"/>
                <w:sz w:val="18"/>
                <w:szCs w:val="18"/>
              </w:rPr>
            </w:pPr>
            <w:r>
              <w:rPr>
                <w:rFonts w:ascii="宋体" w:hAnsi="宋体" w:cs="宋体" w:eastAsia="宋体" w:hint="default"/>
                <w:sz w:val="18"/>
                <w:szCs w:val="18"/>
              </w:rPr>
              <w:t>同受最终 控股股东 深圳华大 基因科技 有限公司 控制</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163"/>
              <w:jc w:val="both"/>
              <w:rPr>
                <w:rFonts w:ascii="宋体" w:hAnsi="宋体" w:cs="宋体" w:eastAsia="宋体" w:hint="default"/>
                <w:sz w:val="18"/>
                <w:szCs w:val="18"/>
              </w:rPr>
            </w:pPr>
            <w:r>
              <w:rPr>
                <w:rFonts w:ascii="宋体" w:hAnsi="宋体" w:cs="宋体" w:eastAsia="宋体" w:hint="default"/>
                <w:sz w:val="18"/>
                <w:szCs w:val="18"/>
              </w:rPr>
              <w:t>采 购 商 品</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1" w:right="163"/>
              <w:jc w:val="both"/>
              <w:rPr>
                <w:rFonts w:ascii="宋体" w:hAnsi="宋体" w:cs="宋体" w:eastAsia="宋体" w:hint="default"/>
                <w:sz w:val="18"/>
                <w:szCs w:val="18"/>
              </w:rPr>
            </w:pPr>
            <w:r>
              <w:rPr>
                <w:rFonts w:ascii="宋体" w:hAnsi="宋体" w:cs="宋体" w:eastAsia="宋体" w:hint="default"/>
                <w:sz w:val="18"/>
                <w:szCs w:val="18"/>
              </w:rPr>
              <w:t>试 剂 耗 材</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4" w:lineRule="auto"/>
              <w:ind w:left="23" w:right="38"/>
              <w:jc w:val="left"/>
              <w:rPr>
                <w:rFonts w:ascii="宋体" w:hAnsi="宋体" w:cs="宋体" w:eastAsia="宋体" w:hint="default"/>
                <w:sz w:val="18"/>
                <w:szCs w:val="18"/>
              </w:rPr>
            </w:pPr>
            <w:r>
              <w:rPr>
                <w:rFonts w:ascii="宋体" w:hAnsi="宋体" w:cs="宋体" w:eastAsia="宋体" w:hint="default"/>
                <w:sz w:val="18"/>
                <w:szCs w:val="18"/>
              </w:rPr>
              <w:t>成本 加成</w:t>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164"/>
              <w:jc w:val="both"/>
              <w:rPr>
                <w:rFonts w:ascii="宋体" w:hAnsi="宋体" w:cs="宋体" w:eastAsia="宋体" w:hint="default"/>
                <w:sz w:val="18"/>
                <w:szCs w:val="18"/>
              </w:rPr>
            </w:pPr>
            <w:r>
              <w:rPr>
                <w:rFonts w:ascii="宋体" w:hAnsi="宋体" w:cs="宋体" w:eastAsia="宋体" w:hint="default"/>
                <w:sz w:val="18"/>
                <w:szCs w:val="18"/>
              </w:rPr>
              <w:t>成 本 加 成</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895.05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0.79%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1,154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1" w:right="41"/>
              <w:jc w:val="both"/>
              <w:rPr>
                <w:rFonts w:ascii="宋体" w:hAnsi="宋体" w:cs="宋体" w:eastAsia="宋体" w:hint="default"/>
                <w:sz w:val="18"/>
                <w:szCs w:val="18"/>
              </w:rPr>
            </w:pPr>
            <w:r>
              <w:rPr>
                <w:rFonts w:ascii="宋体" w:hAnsi="宋体" w:cs="宋体" w:eastAsia="宋体" w:hint="default"/>
                <w:sz w:val="18"/>
                <w:szCs w:val="18"/>
              </w:rPr>
              <w:t>按协 议结 算</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p>
          <w:p>
            <w:pPr>
              <w:pStyle w:val="TableParagraph"/>
              <w:spacing w:line="300" w:lineRule="auto" w:before="63"/>
              <w:ind w:left="21" w:right="9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7" w:lineRule="auto"/>
              <w:ind w:left="24"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w:t>
            </w:r>
            <w:r>
              <w:rPr>
                <w:rFonts w:ascii="宋体" w:hAnsi="宋体" w:cs="宋体" w:eastAsia="宋体" w:hint="default"/>
                <w:sz w:val="18"/>
                <w:szCs w:val="18"/>
              </w:rPr>
              <w:t>《关于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年度日常关联交易预计 </w:t>
            </w:r>
            <w:r>
              <w:rPr>
                <w:rFonts w:ascii="宋体" w:hAnsi="宋体" w:cs="宋体" w:eastAsia="宋体" w:hint="default"/>
                <w:spacing w:val="-5"/>
                <w:w w:val="100"/>
                <w:sz w:val="18"/>
                <w:szCs w:val="18"/>
              </w:rPr>
              <w:t>的公告》（公告编号：</w:t>
            </w:r>
            <w:r>
              <w:rPr>
                <w:rFonts w:ascii="Times New Roman" w:hAnsi="Times New Roman" w:cs="Times New Roman" w:eastAsia="Times New Roman" w:hint="default"/>
                <w:spacing w:val="-5"/>
                <w:w w:val="100"/>
                <w:sz w:val="18"/>
                <w:szCs w:val="18"/>
              </w:rPr>
              <w:t>2018-019</w:t>
            </w:r>
            <w:r>
              <w:rPr>
                <w:rFonts w:ascii="宋体" w:hAnsi="宋体" w:cs="宋体" w:eastAsia="宋体" w:hint="default"/>
                <w:spacing w:val="-5"/>
                <w:w w:val="100"/>
                <w:sz w:val="18"/>
                <w:szCs w:val="18"/>
              </w:rPr>
              <w:t>）；巨潮资讯网（</w:t>
            </w:r>
            <w:r>
              <w:rPr>
                <w:rFonts w:ascii="Times New Roman" w:hAnsi="Times New Roman" w:cs="Times New Roman" w:eastAsia="Times New Roman" w:hint="default"/>
                <w:spacing w:val="-5"/>
                <w:w w:val="100"/>
                <w:sz w:val="18"/>
                <w:szCs w:val="18"/>
              </w:rPr>
              <w:t>www.cninfo.com):</w:t>
            </w:r>
          </w:p>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《关于增加</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年度预计日</w:t>
            </w:r>
            <w:r>
              <w:rPr>
                <w:rFonts w:ascii="宋体" w:hAnsi="宋体" w:cs="宋体" w:eastAsia="宋体" w:hint="default"/>
                <w:spacing w:val="-3"/>
                <w:sz w:val="18"/>
                <w:szCs w:val="18"/>
              </w:rPr>
              <w:t>常</w:t>
            </w:r>
            <w:r>
              <w:rPr>
                <w:rFonts w:ascii="宋体" w:hAnsi="宋体" w:cs="宋体" w:eastAsia="宋体" w:hint="default"/>
                <w:sz w:val="18"/>
                <w:szCs w:val="18"/>
              </w:rPr>
              <w:t>关联交易额度的公告</w:t>
            </w:r>
            <w:r>
              <w:rPr>
                <w:rFonts w:ascii="宋体" w:hAnsi="宋体" w:cs="宋体" w:eastAsia="宋体" w:hint="default"/>
                <w:spacing w:val="-92"/>
                <w:sz w:val="18"/>
                <w:szCs w:val="18"/>
              </w:rPr>
              <w:t>》</w:t>
            </w:r>
            <w:r>
              <w:rPr>
                <w:rFonts w:ascii="宋体" w:hAnsi="宋体" w:cs="宋体" w:eastAsia="宋体" w:hint="default"/>
                <w:sz w:val="18"/>
                <w:szCs w:val="18"/>
              </w:rPr>
              <w:t>（公告</w:t>
            </w:r>
            <w:r>
              <w:rPr>
                <w:rFonts w:ascii="宋体" w:hAnsi="宋体" w:cs="宋体" w:eastAsia="宋体" w:hint="default"/>
                <w:spacing w:val="2"/>
                <w:sz w:val="18"/>
                <w:szCs w:val="18"/>
              </w:rPr>
              <w:t>编</w:t>
            </w:r>
            <w:r>
              <w:rPr>
                <w:rFonts w:ascii="宋体" w:hAnsi="宋体" w:cs="宋体" w:eastAsia="宋体" w:hint="default"/>
                <w:sz w:val="18"/>
                <w:szCs w:val="18"/>
              </w:rPr>
              <w:t>号：</w:t>
            </w:r>
          </w:p>
          <w:p>
            <w:pPr>
              <w:pStyle w:val="TableParagraph"/>
              <w:spacing w:line="300" w:lineRule="auto" w:before="63"/>
              <w:ind w:left="24" w:right="15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；巨潮资讯网（</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0"/>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100"/>
                <w:sz w:val="18"/>
                <w:szCs w:val="18"/>
              </w:rPr>
              <w:t>i</w:t>
            </w:r>
            <w:r>
              <w:rPr>
                <w:rFonts w:ascii="Times New Roman" w:hAnsi="Times New Roman" w:cs="Times New Roman" w:eastAsia="Times New Roman" w:hint="default"/>
                <w:spacing w:val="1"/>
                <w:w w:val="100"/>
                <w:sz w:val="18"/>
                <w:szCs w:val="18"/>
              </w:rPr>
              <w:t>n</w:t>
            </w:r>
            <w:r>
              <w:rPr>
                <w:rFonts w:ascii="Times New Roman" w:hAnsi="Times New Roman" w:cs="Times New Roman" w:eastAsia="Times New Roman" w:hint="default"/>
                <w:spacing w:val="-3"/>
                <w:w w:val="99"/>
                <w:sz w:val="18"/>
                <w:szCs w:val="18"/>
              </w:rPr>
              <w:t>f</w:t>
            </w:r>
            <w:r>
              <w:rPr>
                <w:rFonts w:ascii="Times New Roman" w:hAnsi="Times New Roman" w:cs="Times New Roman" w:eastAsia="Times New Roman" w:hint="default"/>
                <w:spacing w:val="1"/>
                <w:w w:val="99"/>
                <w:sz w:val="18"/>
                <w:szCs w:val="18"/>
              </w:rPr>
              <w:t>o</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w w:val="100"/>
                <w:sz w:val="18"/>
                <w:szCs w:val="18"/>
              </w:rPr>
              <w:t>m</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《关于增加</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预计日常关联交易额度的公告</w:t>
            </w:r>
            <w:r>
              <w:rPr>
                <w:rFonts w:ascii="宋体" w:hAnsi="宋体" w:cs="宋体" w:eastAsia="宋体" w:hint="default"/>
                <w:spacing w:val="-89"/>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87</w:t>
            </w:r>
            <w:r>
              <w:rPr>
                <w:rFonts w:ascii="宋体" w:hAnsi="宋体" w:cs="宋体" w:eastAsia="宋体" w:hint="default"/>
                <w:sz w:val="18"/>
                <w:szCs w:val="18"/>
              </w:rPr>
              <w:t>）</w:t>
            </w:r>
          </w:p>
        </w:tc>
      </w:tr>
      <w:tr>
        <w:trPr>
          <w:trHeight w:val="401" w:hRule="exact"/>
        </w:trPr>
        <w:tc>
          <w:tcPr>
            <w:tcW w:w="28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62,433.26</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38" w:right="0"/>
              <w:jc w:val="lef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66,008</w:t>
            </w: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5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1108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28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106"/>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 易进行总金额预计的，在报告期内 的实际履行情况（如有）</w:t>
            </w:r>
          </w:p>
        </w:tc>
        <w:tc>
          <w:tcPr>
            <w:tcW w:w="11083"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28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1" w:right="106"/>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11083"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70" w:footer="975" w:top="1060" w:bottom="1160" w:left="1360" w:right="132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607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679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513" w:right="733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14"/>
          <w:szCs w:val="14"/>
        </w:rPr>
      </w:pPr>
    </w:p>
    <w:p>
      <w:pPr>
        <w:pStyle w:val="BodyText"/>
        <w:spacing w:line="302" w:lineRule="auto"/>
        <w:ind w:right="1127" w:firstLine="360"/>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日召开第二届董事会第五次会议，审议通过了《关于对参股公司增资暨关联交易的议案》，同 意公司以自有资金</w:t>
      </w:r>
      <w:r>
        <w:rPr>
          <w:rFonts w:ascii="Times New Roman" w:hAnsi="Times New Roman" w:cs="Times New Roman" w:eastAsia="Times New Roman" w:hint="default"/>
        </w:rPr>
        <w:t>5,000</w:t>
      </w:r>
      <w:r>
        <w:rPr/>
        <w:t>万元人民币向关联方北京吉因加科技有限公司（以下简称</w:t>
      </w:r>
      <w:r>
        <w:rPr>
          <w:rFonts w:ascii="Times New Roman" w:hAnsi="Times New Roman" w:cs="Times New Roman" w:eastAsia="Times New Roman" w:hint="default"/>
        </w:rPr>
        <w:t>“</w:t>
      </w:r>
      <w:r>
        <w:rPr/>
        <w:t>北京吉因加科技</w:t>
      </w:r>
      <w:r>
        <w:rPr>
          <w:rFonts w:ascii="Times New Roman" w:hAnsi="Times New Roman" w:cs="Times New Roman" w:eastAsia="Times New Roman" w:hint="default"/>
        </w:rPr>
        <w:t>”</w:t>
      </w:r>
      <w:r>
        <w:rPr/>
        <w:t>）进行增资。增资完成</w:t>
      </w:r>
      <w:r>
        <w:rPr>
          <w:spacing w:val="-21"/>
        </w:rPr>
        <w:t> </w:t>
      </w:r>
      <w:r>
        <w:rPr>
          <w:spacing w:val="-21"/>
        </w:rPr>
      </w:r>
      <w:r>
        <w:rPr/>
        <w:t>后，公司持有北京吉因加科技的股权比例由增资前的</w:t>
      </w:r>
      <w:r>
        <w:rPr>
          <w:rFonts w:ascii="Times New Roman" w:hAnsi="Times New Roman" w:cs="Times New Roman" w:eastAsia="Times New Roman" w:hint="default"/>
        </w:rPr>
        <w:t>4.94000%</w:t>
      </w:r>
      <w:r>
        <w:rPr/>
        <w:t>变更至增资完成后的</w:t>
      </w:r>
      <w:r>
        <w:rPr>
          <w:rFonts w:ascii="Times New Roman" w:hAnsi="Times New Roman" w:cs="Times New Roman" w:eastAsia="Times New Roman" w:hint="default"/>
        </w:rPr>
        <w:t>7.51186%</w:t>
      </w:r>
      <w:r>
        <w:rPr/>
        <w:t>。公司后续根据相关决议和协</w:t>
      </w:r>
      <w:r>
        <w:rPr>
          <w:spacing w:val="-35"/>
        </w:rPr>
        <w:t> </w:t>
      </w:r>
      <w:r>
        <w:rPr>
          <w:spacing w:val="-35"/>
        </w:rPr>
      </w:r>
      <w:r>
        <w:rPr>
          <w:spacing w:val="-1"/>
        </w:rPr>
        <w:t>议约定向北京吉因加科技支付了增资款</w:t>
      </w:r>
      <w:r>
        <w:rPr>
          <w:rFonts w:ascii="Times New Roman" w:hAnsi="Times New Roman" w:cs="Times New Roman" w:eastAsia="Times New Roman" w:hint="default"/>
          <w:spacing w:val="-1"/>
        </w:rPr>
        <w:t>5,000</w:t>
      </w:r>
      <w:r>
        <w:rPr>
          <w:spacing w:val="-1"/>
        </w:rPr>
        <w:t>万元人民币，北京吉因加科技于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月完成了上述增资事项的工商变更登记</w:t>
      </w:r>
      <w:r>
        <w:rPr>
          <w:spacing w:val="-72"/>
        </w:rPr>
        <w:t> </w:t>
      </w:r>
      <w:r>
        <w:rPr>
          <w:spacing w:val="-72"/>
        </w:rPr>
      </w:r>
      <w:r>
        <w:rPr>
          <w:spacing w:val="-2"/>
        </w:rPr>
        <w:t>手续，领取了北京市工商行政管理局昌平分局换发的《营业执照》。具体内容详见公司在巨潮资讯网发布的相关公告：《关</w:t>
      </w:r>
      <w:r>
        <w:rPr>
          <w:spacing w:val="-69"/>
        </w:rPr>
        <w:t> </w:t>
      </w:r>
      <w:r>
        <w:rPr>
          <w:spacing w:val="-69"/>
        </w:rPr>
      </w:r>
      <w:r>
        <w:rPr>
          <w:spacing w:val="-1"/>
        </w:rPr>
        <w:t>于对参股公司增资暨关联交易的公告》（披露日期：</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21</w:t>
      </w:r>
      <w:r>
        <w:rPr>
          <w:spacing w:val="-1"/>
        </w:rPr>
        <w:t>日，公告编号</w:t>
      </w:r>
      <w:r>
        <w:rPr>
          <w:rFonts w:ascii="Times New Roman" w:hAnsi="Times New Roman" w:cs="Times New Roman" w:eastAsia="Times New Roman" w:hint="default"/>
          <w:spacing w:val="-1"/>
        </w:rPr>
        <w:t>2018-096</w:t>
      </w:r>
      <w:r>
        <w:rPr>
          <w:spacing w:val="-1"/>
        </w:rPr>
        <w:t>）、《关于对参股公司增资暨关联</w:t>
      </w:r>
      <w:r>
        <w:rPr/>
        <w:t> 交易的进展公告》（披露日期：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日，公告编号：</w:t>
      </w:r>
      <w:r>
        <w:rPr>
          <w:rFonts w:ascii="Times New Roman" w:hAnsi="Times New Roman" w:cs="Times New Roman" w:eastAsia="Times New Roman" w:hint="default"/>
        </w:rPr>
        <w:t>2019-005</w:t>
      </w:r>
      <w:r>
        <w:rPr/>
        <w:t>）。</w:t>
      </w:r>
    </w:p>
    <w:p>
      <w:pPr>
        <w:pStyle w:val="BodyText"/>
        <w:spacing w:line="304" w:lineRule="auto" w:before="131"/>
        <w:ind w:right="1130" w:firstLine="360"/>
        <w:jc w:val="both"/>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日召开第二届董事会第五次会议，审议通过了《关于以可转股债权方式对外投资暨关联交易的 议案》，同意公司以自有资金人民币叁仟伍佰万元（</w:t>
      </w:r>
      <w:r>
        <w:rPr>
          <w:rFonts w:ascii="Times New Roman" w:hAnsi="Times New Roman" w:cs="Times New Roman" w:eastAsia="Times New Roman" w:hint="default"/>
        </w:rPr>
        <w:t>RMB35,000,000.00</w:t>
      </w:r>
      <w:r>
        <w:rPr/>
        <w:t>）向深圳市早知道科技有限公司（以下简称</w:t>
      </w:r>
      <w:r>
        <w:rPr>
          <w:spacing w:val="-65"/>
        </w:rPr>
        <w:t> </w:t>
      </w:r>
      <w:r>
        <w:rPr>
          <w:rFonts w:ascii="Times New Roman" w:hAnsi="Times New Roman" w:cs="Times New Roman" w:eastAsia="Times New Roman" w:hint="default"/>
        </w:rPr>
        <w:t>“</w:t>
      </w:r>
      <w:r>
        <w:rPr/>
        <w:t>目标公 司</w:t>
      </w:r>
      <w:r>
        <w:rPr>
          <w:rFonts w:ascii="Times New Roman" w:hAnsi="Times New Roman" w:cs="Times New Roman" w:eastAsia="Times New Roman" w:hint="default"/>
        </w:rPr>
        <w:t>”</w:t>
      </w:r>
      <w:r>
        <w:rPr/>
        <w:t>）以可转股债权方式提供借款（</w:t>
      </w:r>
      <w:r>
        <w:rPr>
          <w:rFonts w:ascii="Times New Roman" w:hAnsi="Times New Roman" w:cs="Times New Roman" w:eastAsia="Times New Roman" w:hint="default"/>
        </w:rPr>
        <w:t>“</w:t>
      </w:r>
      <w:r>
        <w:rPr/>
        <w:t>可转股借款</w:t>
      </w:r>
      <w:r>
        <w:rPr>
          <w:rFonts w:ascii="Times New Roman" w:hAnsi="Times New Roman" w:cs="Times New Roman" w:eastAsia="Times New Roman" w:hint="default"/>
        </w:rPr>
        <w:t>”</w:t>
      </w:r>
      <w:r>
        <w:rPr/>
        <w:t>），目标公司第一大股东深圳市早知道投资有限公司同意向上市公司质押</w:t>
      </w:r>
      <w:r>
        <w:rPr>
          <w:spacing w:val="-59"/>
        </w:rPr>
        <w:t> </w:t>
      </w:r>
      <w:r>
        <w:rPr>
          <w:spacing w:val="-59"/>
        </w:rPr>
      </w:r>
      <w:r>
        <w:rPr>
          <w:spacing w:val="-2"/>
        </w:rPr>
        <w:t>目标公司</w:t>
      </w:r>
      <w:r>
        <w:rPr>
          <w:rFonts w:ascii="Times New Roman" w:hAnsi="Times New Roman" w:cs="Times New Roman" w:eastAsia="Times New Roman" w:hint="default"/>
          <w:spacing w:val="-2"/>
        </w:rPr>
        <w:t>20%</w:t>
      </w:r>
      <w:r>
        <w:rPr>
          <w:spacing w:val="-2"/>
        </w:rPr>
        <w:t>的股权（即目标公司注册资本中的</w:t>
      </w:r>
      <w:r>
        <w:rPr/>
        <w:t> </w:t>
      </w:r>
      <w:r>
        <w:rPr>
          <w:rFonts w:ascii="Times New Roman" w:hAnsi="Times New Roman" w:cs="Times New Roman" w:eastAsia="Times New Roman" w:hint="default"/>
          <w:spacing w:val="-2"/>
        </w:rPr>
        <w:t>270.5882</w:t>
      </w:r>
      <w:r>
        <w:rPr>
          <w:spacing w:val="-2"/>
        </w:rPr>
        <w:t>万元）作为可转股借款的担保。目标公司现有股东深圳华大研究发</w:t>
      </w:r>
      <w:r>
        <w:rPr>
          <w:spacing w:val="-76"/>
        </w:rPr>
        <w:t> </w:t>
      </w:r>
      <w:r>
        <w:rPr>
          <w:spacing w:val="-76"/>
        </w:rPr>
      </w:r>
      <w:r>
        <w:rPr>
          <w:spacing w:val="-2"/>
        </w:rPr>
        <w:t>展有限公司、深圳奇迹股权投资企业（有限合伙）系上市公司关联法人，根据相关规定，本次上市公司以可转股债权方式对</w:t>
      </w:r>
      <w:r>
        <w:rPr>
          <w:spacing w:val="-67"/>
        </w:rPr>
        <w:t> </w:t>
      </w:r>
      <w:r>
        <w:rPr>
          <w:spacing w:val="-67"/>
        </w:rPr>
      </w:r>
      <w:r>
        <w:rPr/>
        <w:t>目标公司进行投资事项构成与关联方共同投资类型的关联交易。具体内容详见公司于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日在巨潮资讯网发布的</w:t>
      </w:r>
    </w:p>
    <w:p>
      <w:pPr>
        <w:pStyle w:val="BodyText"/>
        <w:spacing w:line="640" w:lineRule="auto" w:before="9"/>
        <w:ind w:right="4304"/>
        <w:jc w:val="left"/>
      </w:pPr>
      <w:r>
        <w:rPr/>
        <w:pict>
          <v:shape style="position:absolute;margin-left:58.080002pt;margin-top:50.741753pt;width:479.15pt;height:127.8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59"/>
                    <w:gridCol w:w="2650"/>
                    <w:gridCol w:w="3459"/>
                  </w:tblGrid>
                  <w:tr>
                    <w:trPr>
                      <w:trHeight w:val="402"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5"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63"/>
                          <w:jc w:val="left"/>
                          <w:rPr>
                            <w:rFonts w:ascii="宋体" w:hAnsi="宋体" w:cs="宋体" w:eastAsia="宋体" w:hint="default"/>
                            <w:sz w:val="18"/>
                            <w:szCs w:val="18"/>
                          </w:rPr>
                        </w:pPr>
                        <w:r>
                          <w:rPr>
                            <w:rFonts w:ascii="宋体" w:hAnsi="宋体" w:cs="宋体" w:eastAsia="宋体" w:hint="default"/>
                            <w:sz w:val="18"/>
                            <w:szCs w:val="18"/>
                          </w:rPr>
                          <w:t>《关于对参股公司增资暨关联交易的公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83"/>
                          <w:jc w:val="left"/>
                          <w:rPr>
                            <w:rFonts w:ascii="宋体" w:hAnsi="宋体" w:cs="宋体" w:eastAsia="宋体" w:hint="default"/>
                            <w:sz w:val="18"/>
                            <w:szCs w:val="18"/>
                          </w:rPr>
                        </w:pPr>
                        <w:r>
                          <w:rPr>
                            <w:rFonts w:ascii="宋体" w:hAnsi="宋体" w:cs="宋体" w:eastAsia="宋体" w:hint="default"/>
                            <w:sz w:val="18"/>
                            <w:szCs w:val="18"/>
                          </w:rPr>
                          <w:t>《关于对参股公司增资暨关联交易的进展 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6"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《关于以可转股债权方式对外投资暨关联 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p>
              </w:txbxContent>
            </v:textbox>
            <w10:wrap type="none"/>
          </v:shape>
        </w:pict>
      </w:r>
      <w:r>
        <w:rPr/>
        <w:t>《关于以可转股债权方式对外投资暨关联交易的公告》（公告编号：</w:t>
      </w:r>
      <w:r>
        <w:rPr>
          <w:rFonts w:ascii="Times New Roman" w:hAnsi="Times New Roman" w:cs="Times New Roman" w:eastAsia="Times New Roman" w:hint="default"/>
        </w:rPr>
        <w:t>2018-097</w:t>
      </w:r>
      <w:r>
        <w:rPr/>
        <w:t>）。 重大关联交易临时报告披露网站相关查询</w:t>
      </w:r>
    </w:p>
    <w:p>
      <w:pPr>
        <w:spacing w:after="0" w:line="640" w:lineRule="auto"/>
        <w:jc w:val="left"/>
        <w:sectPr>
          <w:headerReference w:type="default" r:id="rId30"/>
          <w:footerReference w:type="default" r:id="rId31"/>
          <w:pgSz w:w="11910" w:h="16840"/>
          <w:pgMar w:header="880" w:footer="974" w:top="1100" w:bottom="1160" w:left="980" w:right="0"/>
          <w:pgNumType w:start="105"/>
        </w:sectPr>
      </w:pPr>
    </w:p>
    <w:p>
      <w:pPr>
        <w:spacing w:line="240" w:lineRule="auto" w:before="12"/>
        <w:rPr>
          <w:rFonts w:ascii="宋体" w:hAnsi="宋体" w:cs="宋体" w:eastAsia="宋体" w:hint="default"/>
          <w:sz w:val="19"/>
          <w:szCs w:val="19"/>
        </w:rPr>
      </w:pPr>
    </w:p>
    <w:p>
      <w:pPr>
        <w:pStyle w:val="Heading2"/>
        <w:spacing w:line="240" w:lineRule="auto" w:before="26"/>
        <w:ind w:right="1133"/>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805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805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300" w:lineRule="auto" w:before="39"/>
        <w:ind w:right="1229" w:firstLine="288"/>
        <w:jc w:val="both"/>
      </w:pPr>
      <w:r>
        <w:rPr/>
        <w:t>公司向关联方深圳华大生命科学研究院租赁位于深圳市盐田区明珠路</w:t>
      </w:r>
      <w:r>
        <w:rPr>
          <w:rFonts w:ascii="Times New Roman" w:hAnsi="Times New Roman" w:cs="Times New Roman" w:eastAsia="Times New Roman" w:hint="default"/>
        </w:rPr>
        <w:t>6#</w:t>
      </w:r>
      <w:r>
        <w:rPr/>
        <w:t>区南方明珠公寓</w:t>
      </w:r>
      <w:r>
        <w:rPr>
          <w:rFonts w:ascii="Times New Roman" w:hAnsi="Times New Roman" w:cs="Times New Roman" w:eastAsia="Times New Roman" w:hint="default"/>
        </w:rPr>
        <w:t>7</w:t>
      </w:r>
      <w:r>
        <w:rPr/>
        <w:t>栋</w:t>
      </w:r>
      <w:r>
        <w:rPr>
          <w:rFonts w:ascii="Times New Roman" w:hAnsi="Times New Roman" w:cs="Times New Roman" w:eastAsia="Times New Roman" w:hint="default"/>
        </w:rPr>
        <w:t>7-14</w:t>
      </w:r>
      <w:r>
        <w:rPr/>
        <w:t>层的房屋，用作办公用 途，产权人或合法使用人为深圳市盐田港集团有限公司，租赁期限为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日，租赁面积为</w:t>
      </w:r>
      <w:r>
        <w:rPr>
          <w:rFonts w:ascii="Times New Roman" w:hAnsi="Times New Roman" w:cs="Times New Roman" w:eastAsia="Times New Roman" w:hint="default"/>
        </w:rPr>
        <w:t>5,889.52 </w:t>
      </w:r>
      <w:r>
        <w:rPr/>
        <w:t>平方米，月租金为人民币</w:t>
      </w:r>
      <w:r>
        <w:rPr>
          <w:rFonts w:ascii="Times New Roman" w:hAnsi="Times New Roman" w:cs="Times New Roman" w:eastAsia="Times New Roman" w:hint="default"/>
        </w:rPr>
        <w:t>147,238</w:t>
      </w:r>
      <w:r>
        <w:rPr>
          <w:rFonts w:ascii="Times New Roman" w:hAnsi="Times New Roman" w:cs="Times New Roman" w:eastAsia="Times New Roman" w:hint="default"/>
          <w:spacing w:val="27"/>
        </w:rPr>
        <w:t> </w:t>
      </w:r>
      <w:r>
        <w:rPr/>
        <w:t>元。</w:t>
      </w:r>
    </w:p>
    <w:p>
      <w:pPr>
        <w:pStyle w:val="BodyText"/>
        <w:spacing w:line="240" w:lineRule="auto" w:before="54"/>
        <w:ind w:right="113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513" w:right="1133"/>
        <w:jc w:val="left"/>
      </w:pPr>
      <w:r>
        <w:rPr/>
        <w:t>公司报告期不存在为公司带来的损益达到公司报告期利润总额</w:t>
      </w:r>
      <w:r>
        <w:rPr>
          <w:spacing w:val="-44"/>
        </w:rPr>
        <w:t> </w:t>
      </w:r>
      <w:r>
        <w:rPr>
          <w:rFonts w:ascii="Times New Roman" w:hAnsi="Times New Roman" w:cs="Times New Roman" w:eastAsia="Times New Roman" w:hint="default"/>
        </w:rPr>
        <w:t>10%</w:t>
      </w:r>
      <w:r>
        <w:rPr/>
        <w:t>以上的租赁项目。</w:t>
      </w:r>
    </w:p>
    <w:p>
      <w:pPr>
        <w:spacing w:after="0" w:line="240" w:lineRule="auto"/>
        <w:jc w:val="left"/>
        <w:sectPr>
          <w:pgSz w:w="11910" w:h="16840"/>
          <w:pgMar w:header="880" w:footer="974" w:top="1100" w:bottom="1160" w:left="980" w:right="0"/>
        </w:sectPr>
      </w:pPr>
    </w:p>
    <w:p>
      <w:pPr>
        <w:spacing w:line="240" w:lineRule="auto" w:before="8"/>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140"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7"/>
        <w:jc w:val="right"/>
      </w:pPr>
      <w:r>
        <w:rPr/>
        <w:t>单位：万元</w:t>
      </w:r>
    </w:p>
    <w:p>
      <w:pPr>
        <w:spacing w:line="240" w:lineRule="auto" w:before="3"/>
        <w:rPr>
          <w:rFonts w:ascii="宋体" w:hAnsi="宋体" w:cs="宋体" w:eastAsia="宋体" w:hint="default"/>
          <w:sz w:val="7"/>
          <w:szCs w:val="7"/>
        </w:rPr>
      </w:pPr>
    </w:p>
    <w:tbl>
      <w:tblPr>
        <w:tblW w:w="0" w:type="auto"/>
        <w:jc w:val="left"/>
        <w:tblInd w:w="168" w:type="dxa"/>
        <w:tblLayout w:type="fixed"/>
        <w:tblCellMar>
          <w:top w:w="0" w:type="dxa"/>
          <w:left w:w="0" w:type="dxa"/>
          <w:bottom w:w="0" w:type="dxa"/>
          <w:right w:w="0" w:type="dxa"/>
        </w:tblCellMar>
        <w:tblLook w:val="01E0"/>
      </w:tblPr>
      <w:tblGrid>
        <w:gridCol w:w="3512"/>
        <w:gridCol w:w="1644"/>
        <w:gridCol w:w="1474"/>
        <w:gridCol w:w="1560"/>
        <w:gridCol w:w="850"/>
        <w:gridCol w:w="1277"/>
        <w:gridCol w:w="1836"/>
        <w:gridCol w:w="775"/>
        <w:gridCol w:w="994"/>
      </w:tblGrid>
      <w:tr>
        <w:trPr>
          <w:trHeight w:val="403" w:hRule="exact"/>
        </w:trPr>
        <w:tc>
          <w:tcPr>
            <w:tcW w:w="1392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210"/>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455" w:right="96"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239" w:right="5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204" w:right="1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220" w:right="41" w:hanging="180"/>
              <w:jc w:val="left"/>
              <w:rPr>
                <w:rFonts w:ascii="宋体" w:hAnsi="宋体" w:cs="宋体" w:eastAsia="宋体" w:hint="default"/>
                <w:sz w:val="18"/>
                <w:szCs w:val="18"/>
              </w:rPr>
            </w:pPr>
            <w:r>
              <w:rPr>
                <w:rFonts w:ascii="宋体" w:hAnsi="宋体" w:cs="宋体" w:eastAsia="宋体" w:hint="default"/>
                <w:sz w:val="18"/>
                <w:szCs w:val="18"/>
              </w:rPr>
              <w:t>是否为关联 方担保</w:t>
            </w:r>
          </w:p>
        </w:tc>
      </w:tr>
      <w:tr>
        <w:trPr>
          <w:trHeight w:val="403" w:hRule="exact"/>
        </w:trPr>
        <w:tc>
          <w:tcPr>
            <w:tcW w:w="1392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3" w:hRule="exact"/>
        </w:trPr>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210"/>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455" w:right="96"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239" w:right="5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204" w:right="1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220" w:right="41" w:hanging="180"/>
              <w:jc w:val="left"/>
              <w:rPr>
                <w:rFonts w:ascii="宋体" w:hAnsi="宋体" w:cs="宋体" w:eastAsia="宋体" w:hint="default"/>
                <w:sz w:val="18"/>
                <w:szCs w:val="18"/>
              </w:rPr>
            </w:pPr>
            <w:r>
              <w:rPr>
                <w:rFonts w:ascii="宋体" w:hAnsi="宋体" w:cs="宋体" w:eastAsia="宋体" w:hint="default"/>
                <w:sz w:val="18"/>
                <w:szCs w:val="18"/>
              </w:rPr>
              <w:t>是否为关联 方担保</w:t>
            </w:r>
          </w:p>
        </w:tc>
      </w:tr>
      <w:tr>
        <w:trPr>
          <w:trHeight w:val="715"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1"/>
              <w:ind w:left="21" w:right="111"/>
              <w:jc w:val="left"/>
              <w:rPr>
                <w:rFonts w:ascii="宋体" w:hAnsi="宋体" w:cs="宋体" w:eastAsia="宋体" w:hint="default"/>
                <w:sz w:val="18"/>
                <w:szCs w:val="18"/>
              </w:rPr>
            </w:pPr>
            <w:r>
              <w:rPr>
                <w:rFonts w:ascii="宋体" w:hAnsi="宋体" w:cs="宋体" w:eastAsia="宋体" w:hint="default"/>
                <w:sz w:val="18"/>
                <w:szCs w:val="18"/>
              </w:rPr>
              <w:t>华大基因健康科技（香港）有限公司（</w:t>
            </w:r>
            <w:r>
              <w:rPr>
                <w:rFonts w:ascii="Times New Roman" w:hAnsi="Times New Roman" w:cs="Times New Roman" w:eastAsia="Times New Roman" w:hint="default"/>
                <w:sz w:val="18"/>
                <w:szCs w:val="18"/>
              </w:rPr>
              <w:t>BGI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HEALTH </w:t>
            </w:r>
            <w:r>
              <w:rPr>
                <w:rFonts w:ascii="Times New Roman" w:hAnsi="Times New Roman" w:cs="Times New Roman" w:eastAsia="Times New Roman" w:hint="default"/>
                <w:sz w:val="18"/>
                <w:szCs w:val="18"/>
              </w:rPr>
              <w:t>(HK)</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pacing w:val="-3"/>
                <w:sz w:val="18"/>
                <w:szCs w:val="18"/>
              </w:rPr>
              <w:t>CO.,LTD</w:t>
            </w:r>
            <w:r>
              <w:rPr>
                <w:rFonts w:ascii="宋体" w:hAnsi="宋体" w:cs="宋体" w:eastAsia="宋体" w:hint="default"/>
                <w:spacing w:val="-3"/>
                <w:sz w:val="18"/>
                <w:szCs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1"/>
              <w:ind w:left="21" w:right="81"/>
              <w:jc w:val="left"/>
              <w:rPr>
                <w:rFonts w:ascii="宋体" w:hAnsi="宋体" w:cs="宋体" w:eastAsia="宋体" w:hint="default"/>
                <w:sz w:val="18"/>
                <w:szCs w:val="18"/>
              </w:rPr>
            </w:pPr>
            <w:r>
              <w:rPr>
                <w:rFonts w:ascii="宋体" w:hAnsi="宋体" w:cs="宋体" w:eastAsia="宋体" w:hint="default"/>
                <w:sz w:val="18"/>
                <w:szCs w:val="18"/>
              </w:rPr>
              <w:t>香港华大基因科技服务有限公司（</w:t>
            </w:r>
            <w:r>
              <w:rPr>
                <w:rFonts w:ascii="Times New Roman" w:hAnsi="Times New Roman" w:cs="Times New Roman" w:eastAsia="Times New Roman" w:hint="default"/>
                <w:sz w:val="18"/>
                <w:szCs w:val="18"/>
              </w:rPr>
              <w:t>BGI</w:t>
            </w:r>
            <w:r>
              <w:rPr>
                <w:rFonts w:ascii="Times New Roman" w:hAnsi="Times New Roman" w:cs="Times New Roman" w:eastAsia="Times New Roman" w:hint="default"/>
                <w:spacing w:val="-4"/>
                <w:sz w:val="18"/>
                <w:szCs w:val="18"/>
              </w:rPr>
              <w:t> Tech</w:t>
            </w:r>
            <w:r>
              <w:rPr>
                <w:rFonts w:ascii="Times New Roman" w:hAnsi="Times New Roman" w:cs="Times New Roman" w:eastAsia="Times New Roman" w:hint="default"/>
                <w:sz w:val="18"/>
                <w:szCs w:val="18"/>
              </w:rPr>
              <w:t> Solutions HK Co.,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1"/>
              <w:ind w:left="21" w:right="111"/>
              <w:jc w:val="left"/>
              <w:rPr>
                <w:rFonts w:ascii="宋体" w:hAnsi="宋体" w:cs="宋体" w:eastAsia="宋体" w:hint="default"/>
                <w:sz w:val="18"/>
                <w:szCs w:val="18"/>
              </w:rPr>
            </w:pPr>
            <w:r>
              <w:rPr>
                <w:rFonts w:ascii="宋体" w:hAnsi="宋体" w:cs="宋体" w:eastAsia="宋体" w:hint="default"/>
                <w:sz w:val="18"/>
                <w:szCs w:val="18"/>
              </w:rPr>
              <w:t>华大基因健康科技（香港）有限公司（</w:t>
            </w:r>
            <w:r>
              <w:rPr>
                <w:rFonts w:ascii="Times New Roman" w:hAnsi="Times New Roman" w:cs="Times New Roman" w:eastAsia="Times New Roman" w:hint="default"/>
                <w:sz w:val="18"/>
                <w:szCs w:val="18"/>
              </w:rPr>
              <w:t>BGI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HEALTH </w:t>
            </w:r>
            <w:r>
              <w:rPr>
                <w:rFonts w:ascii="Times New Roman" w:hAnsi="Times New Roman" w:cs="Times New Roman" w:eastAsia="Times New Roman" w:hint="default"/>
                <w:sz w:val="18"/>
                <w:szCs w:val="18"/>
              </w:rPr>
              <w:t>(HK)</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pacing w:val="-3"/>
                <w:sz w:val="18"/>
                <w:szCs w:val="18"/>
              </w:rPr>
              <w:t>CO.,LTD</w:t>
            </w:r>
            <w:r>
              <w:rPr>
                <w:rFonts w:ascii="宋体" w:hAnsi="宋体" w:cs="宋体" w:eastAsia="宋体" w:hint="default"/>
                <w:spacing w:val="-3"/>
                <w:sz w:val="18"/>
                <w:szCs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6,666.67</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1"/>
              <w:ind w:left="21" w:right="81"/>
              <w:jc w:val="left"/>
              <w:rPr>
                <w:rFonts w:ascii="宋体" w:hAnsi="宋体" w:cs="宋体" w:eastAsia="宋体" w:hint="default"/>
                <w:sz w:val="18"/>
                <w:szCs w:val="18"/>
              </w:rPr>
            </w:pPr>
            <w:r>
              <w:rPr>
                <w:rFonts w:ascii="宋体" w:hAnsi="宋体" w:cs="宋体" w:eastAsia="宋体" w:hint="default"/>
                <w:sz w:val="18"/>
                <w:szCs w:val="18"/>
              </w:rPr>
              <w:t>香港华大基因科技服务有限公司（</w:t>
            </w:r>
            <w:r>
              <w:rPr>
                <w:rFonts w:ascii="Times New Roman" w:hAnsi="Times New Roman" w:cs="Times New Roman" w:eastAsia="Times New Roman" w:hint="default"/>
                <w:sz w:val="18"/>
                <w:szCs w:val="18"/>
              </w:rPr>
              <w:t>BGI</w:t>
            </w:r>
            <w:r>
              <w:rPr>
                <w:rFonts w:ascii="Times New Roman" w:hAnsi="Times New Roman" w:cs="Times New Roman" w:eastAsia="Times New Roman" w:hint="default"/>
                <w:spacing w:val="-4"/>
                <w:sz w:val="18"/>
                <w:szCs w:val="18"/>
              </w:rPr>
              <w:t> Tech</w:t>
            </w:r>
            <w:r>
              <w:rPr>
                <w:rFonts w:ascii="Times New Roman" w:hAnsi="Times New Roman" w:cs="Times New Roman" w:eastAsia="Times New Roman" w:hint="default"/>
                <w:sz w:val="18"/>
                <w:szCs w:val="18"/>
              </w:rPr>
              <w:t> Solutions HK Co.,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13,333.33</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深圳华大临床检验中心</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515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034"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23" w:right="111"/>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3605" w:type="dxa"/>
            <w:gridSpan w:val="3"/>
            <w:vMerge w:val="restart"/>
            <w:tcBorders>
              <w:top w:val="single" w:sz="4" w:space="0" w:color="000000"/>
              <w:left w:val="single" w:sz="4" w:space="0" w:color="000000"/>
              <w:right w:val="single" w:sz="4" w:space="0" w:color="000000"/>
            </w:tcBorders>
          </w:tcPr>
          <w:p>
            <w:pPr/>
          </w:p>
        </w:tc>
      </w:tr>
      <w:tr>
        <w:trPr>
          <w:trHeight w:val="391" w:hRule="exact"/>
        </w:trPr>
        <w:tc>
          <w:tcPr>
            <w:tcW w:w="515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3034" w:type="dxa"/>
            <w:gridSpan w:val="2"/>
            <w:vMerge/>
            <w:tcBorders>
              <w:left w:val="single" w:sz="4" w:space="0" w:color="000000"/>
              <w:right w:val="single" w:sz="4" w:space="0" w:color="000000"/>
            </w:tcBorders>
          </w:tcPr>
          <w:p>
            <w:pPr/>
          </w:p>
        </w:tc>
        <w:tc>
          <w:tcPr>
            <w:tcW w:w="2127" w:type="dxa"/>
            <w:gridSpan w:val="2"/>
            <w:vMerge/>
            <w:tcBorders>
              <w:left w:val="single" w:sz="4" w:space="0" w:color="000000"/>
              <w:right w:val="single" w:sz="4" w:space="0" w:color="000000"/>
            </w:tcBorders>
            <w:shd w:val="clear" w:color="auto" w:fill="D2D2D2"/>
          </w:tcPr>
          <w:p>
            <w:pPr/>
          </w:p>
        </w:tc>
        <w:tc>
          <w:tcPr>
            <w:tcW w:w="3605" w:type="dxa"/>
            <w:gridSpan w:val="3"/>
            <w:vMerge/>
            <w:tcBorders>
              <w:left w:val="single" w:sz="4" w:space="0" w:color="000000"/>
              <w:right w:val="single" w:sz="4" w:space="0" w:color="000000"/>
            </w:tcBorders>
          </w:tcPr>
          <w:p>
            <w:pPr/>
          </w:p>
        </w:tc>
      </w:tr>
      <w:tr>
        <w:trPr>
          <w:trHeight w:val="161" w:hRule="exact"/>
        </w:trPr>
        <w:tc>
          <w:tcPr>
            <w:tcW w:w="515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034" w:type="dxa"/>
            <w:gridSpan w:val="2"/>
            <w:vMerge/>
            <w:tcBorders>
              <w:left w:val="single" w:sz="4" w:space="0" w:color="000000"/>
              <w:bottom w:val="single" w:sz="4" w:space="0" w:color="000000"/>
              <w:right w:val="single" w:sz="4" w:space="0" w:color="000000"/>
            </w:tcBorders>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3605" w:type="dxa"/>
            <w:gridSpan w:val="3"/>
            <w:vMerge/>
            <w:tcBorders>
              <w:left w:val="single" w:sz="4" w:space="0" w:color="000000"/>
              <w:bottom w:val="single" w:sz="4" w:space="0" w:color="000000"/>
              <w:right w:val="single" w:sz="4" w:space="0" w:color="000000"/>
            </w:tcBorders>
          </w:tcPr>
          <w:p>
            <w:pPr/>
          </w:p>
        </w:tc>
      </w:tr>
      <w:tr>
        <w:trPr>
          <w:trHeight w:val="161" w:hRule="exact"/>
        </w:trPr>
        <w:tc>
          <w:tcPr>
            <w:tcW w:w="515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034" w:type="dxa"/>
            <w:gridSpan w:val="2"/>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23" w:right="111"/>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3605" w:type="dxa"/>
            <w:gridSpan w:val="3"/>
            <w:vMerge w:val="restart"/>
            <w:tcBorders>
              <w:top w:val="single" w:sz="4" w:space="0" w:color="000000"/>
              <w:left w:val="single" w:sz="4" w:space="0" w:color="000000"/>
              <w:right w:val="single" w:sz="4" w:space="0" w:color="000000"/>
            </w:tcBorders>
          </w:tcPr>
          <w:p>
            <w:pPr/>
          </w:p>
        </w:tc>
      </w:tr>
      <w:tr>
        <w:trPr>
          <w:trHeight w:val="394" w:hRule="exact"/>
        </w:trPr>
        <w:tc>
          <w:tcPr>
            <w:tcW w:w="515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3034" w:type="dxa"/>
            <w:gridSpan w:val="2"/>
            <w:vMerge/>
            <w:tcBorders>
              <w:left w:val="single" w:sz="4" w:space="0" w:color="000000"/>
              <w:right w:val="single" w:sz="4" w:space="0" w:color="000000"/>
            </w:tcBorders>
          </w:tcPr>
          <w:p>
            <w:pPr/>
          </w:p>
        </w:tc>
        <w:tc>
          <w:tcPr>
            <w:tcW w:w="2127" w:type="dxa"/>
            <w:gridSpan w:val="2"/>
            <w:vMerge/>
            <w:tcBorders>
              <w:left w:val="single" w:sz="4" w:space="0" w:color="000000"/>
              <w:right w:val="single" w:sz="4" w:space="0" w:color="000000"/>
            </w:tcBorders>
            <w:shd w:val="clear" w:color="auto" w:fill="D2D2D2"/>
          </w:tcPr>
          <w:p>
            <w:pPr/>
          </w:p>
        </w:tc>
        <w:tc>
          <w:tcPr>
            <w:tcW w:w="3605" w:type="dxa"/>
            <w:gridSpan w:val="3"/>
            <w:vMerge/>
            <w:tcBorders>
              <w:left w:val="single" w:sz="4" w:space="0" w:color="000000"/>
              <w:right w:val="single" w:sz="4" w:space="0" w:color="000000"/>
            </w:tcBorders>
          </w:tcPr>
          <w:p>
            <w:pPr/>
          </w:p>
        </w:tc>
      </w:tr>
      <w:tr>
        <w:trPr>
          <w:trHeight w:val="166" w:hRule="exact"/>
        </w:trPr>
        <w:tc>
          <w:tcPr>
            <w:tcW w:w="515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034" w:type="dxa"/>
            <w:gridSpan w:val="2"/>
            <w:vMerge/>
            <w:tcBorders>
              <w:left w:val="single" w:sz="4" w:space="0" w:color="000000"/>
              <w:bottom w:val="single" w:sz="4" w:space="0" w:color="000000"/>
              <w:right w:val="single" w:sz="4" w:space="0" w:color="000000"/>
            </w:tcBorders>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3605" w:type="dxa"/>
            <w:gridSpan w:val="3"/>
            <w:vMerge/>
            <w:tcBorders>
              <w:left w:val="single" w:sz="4" w:space="0" w:color="000000"/>
              <w:bottom w:val="single" w:sz="4" w:space="0" w:color="000000"/>
              <w:right w:val="single" w:sz="4" w:space="0" w:color="000000"/>
            </w:tcBorders>
          </w:tcPr>
          <w:p>
            <w:pPr/>
          </w:p>
        </w:tc>
      </w:tr>
      <w:tr>
        <w:trPr>
          <w:trHeight w:val="396" w:hRule="exact"/>
        </w:trPr>
        <w:tc>
          <w:tcPr>
            <w:tcW w:w="1392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bl>
    <w:p>
      <w:pPr>
        <w:spacing w:after="0" w:line="240" w:lineRule="auto"/>
        <w:jc w:val="center"/>
        <w:rPr>
          <w:rFonts w:ascii="宋体" w:hAnsi="宋体" w:cs="宋体" w:eastAsia="宋体" w:hint="default"/>
          <w:sz w:val="18"/>
          <w:szCs w:val="18"/>
        </w:rPr>
        <w:sectPr>
          <w:headerReference w:type="default" r:id="rId32"/>
          <w:footerReference w:type="default" r:id="rId33"/>
          <w:pgSz w:w="16840" w:h="11910" w:orient="landscape"/>
          <w:pgMar w:header="870" w:footer="975" w:top="1060" w:bottom="1260" w:left="1300" w:right="1300"/>
          <w:pgNumType w:start="107"/>
        </w:sectPr>
      </w:pPr>
    </w:p>
    <w:p>
      <w:pPr>
        <w:spacing w:line="240" w:lineRule="auto" w:before="9"/>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3512"/>
        <w:gridCol w:w="1644"/>
        <w:gridCol w:w="1474"/>
        <w:gridCol w:w="1560"/>
        <w:gridCol w:w="850"/>
        <w:gridCol w:w="1277"/>
        <w:gridCol w:w="1836"/>
        <w:gridCol w:w="775"/>
        <w:gridCol w:w="994"/>
      </w:tblGrid>
      <w:tr>
        <w:trPr>
          <w:trHeight w:val="177" w:hRule="exact"/>
        </w:trPr>
        <w:tc>
          <w:tcPr>
            <w:tcW w:w="3512" w:type="dxa"/>
            <w:tcBorders>
              <w:top w:val="single" w:sz="15" w:space="0" w:color="000000"/>
              <w:left w:val="single" w:sz="4" w:space="0" w:color="000000"/>
              <w:bottom w:val="nil" w:sz="6" w:space="0" w:color="auto"/>
              <w:right w:val="single" w:sz="4" w:space="0" w:color="000000"/>
            </w:tcBorders>
            <w:shd w:val="clear" w:color="auto" w:fill="D2D2D2"/>
          </w:tcPr>
          <w:p>
            <w:pPr/>
          </w:p>
        </w:tc>
        <w:tc>
          <w:tcPr>
            <w:tcW w:w="1644" w:type="dxa"/>
            <w:vMerge w:val="restart"/>
            <w:tcBorders>
              <w:top w:val="single" w:sz="15" w:space="0" w:color="000000"/>
              <w:left w:val="single" w:sz="4" w:space="0" w:color="000000"/>
              <w:right w:val="single" w:sz="4" w:space="0" w:color="000000"/>
            </w:tcBorders>
            <w:shd w:val="clear" w:color="auto" w:fill="D2D2D2"/>
          </w:tcPr>
          <w:p>
            <w:pPr>
              <w:pStyle w:val="TableParagraph"/>
              <w:spacing w:line="314" w:lineRule="auto" w:before="53"/>
              <w:ind w:left="455" w:right="96"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1474"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60"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850" w:type="dxa"/>
            <w:vMerge w:val="restart"/>
            <w:tcBorders>
              <w:top w:val="single" w:sz="15" w:space="0" w:color="000000"/>
              <w:left w:val="single" w:sz="4" w:space="0" w:color="000000"/>
              <w:right w:val="single" w:sz="4" w:space="0" w:color="000000"/>
            </w:tcBorders>
            <w:shd w:val="clear" w:color="auto" w:fill="D2D2D2"/>
          </w:tcPr>
          <w:p>
            <w:pPr>
              <w:pStyle w:val="TableParagraph"/>
              <w:spacing w:line="314" w:lineRule="auto" w:before="53"/>
              <w:ind w:left="239" w:right="5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77"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836"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75" w:type="dxa"/>
            <w:vMerge w:val="restart"/>
            <w:tcBorders>
              <w:top w:val="single" w:sz="15" w:space="0" w:color="000000"/>
              <w:left w:val="single" w:sz="4" w:space="0" w:color="000000"/>
              <w:right w:val="single" w:sz="4" w:space="0" w:color="000000"/>
            </w:tcBorders>
            <w:shd w:val="clear" w:color="auto" w:fill="D2D2D2"/>
          </w:tcPr>
          <w:p>
            <w:pPr>
              <w:pStyle w:val="TableParagraph"/>
              <w:spacing w:line="314" w:lineRule="auto" w:before="53"/>
              <w:ind w:left="204" w:right="1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994" w:type="dxa"/>
            <w:vMerge w:val="restart"/>
            <w:tcBorders>
              <w:top w:val="single" w:sz="15" w:space="0" w:color="000000"/>
              <w:left w:val="single" w:sz="4" w:space="0" w:color="000000"/>
              <w:right w:val="single" w:sz="4" w:space="0" w:color="000000"/>
            </w:tcBorders>
            <w:shd w:val="clear" w:color="auto" w:fill="D2D2D2"/>
          </w:tcPr>
          <w:p>
            <w:pPr>
              <w:pStyle w:val="TableParagraph"/>
              <w:spacing w:line="314" w:lineRule="auto" w:before="53"/>
              <w:ind w:left="220" w:right="41" w:hanging="180"/>
              <w:jc w:val="left"/>
              <w:rPr>
                <w:rFonts w:ascii="宋体" w:hAnsi="宋体" w:cs="宋体" w:eastAsia="宋体" w:hint="default"/>
                <w:sz w:val="18"/>
                <w:szCs w:val="18"/>
              </w:rPr>
            </w:pPr>
            <w:r>
              <w:rPr>
                <w:rFonts w:ascii="宋体" w:hAnsi="宋体" w:cs="宋体" w:eastAsia="宋体" w:hint="default"/>
                <w:sz w:val="18"/>
                <w:szCs w:val="18"/>
              </w:rPr>
              <w:t>是否为关联 方担保</w:t>
            </w:r>
          </w:p>
        </w:tc>
      </w:tr>
      <w:tr>
        <w:trPr>
          <w:trHeight w:val="391" w:hRule="exact"/>
        </w:trPr>
        <w:tc>
          <w:tcPr>
            <w:tcW w:w="3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644" w:type="dxa"/>
            <w:vMerge/>
            <w:tcBorders>
              <w:left w:val="single" w:sz="4" w:space="0" w:color="000000"/>
              <w:right w:val="single" w:sz="4" w:space="0" w:color="000000"/>
            </w:tcBorders>
            <w:shd w:val="clear" w:color="auto" w:fill="D2D2D2"/>
          </w:tcPr>
          <w:p>
            <w:pPr/>
          </w:p>
        </w:tc>
        <w:tc>
          <w:tcPr>
            <w:tcW w:w="147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836" w:type="dxa"/>
            <w:vMerge/>
            <w:tcBorders>
              <w:left w:val="single" w:sz="4" w:space="0" w:color="000000"/>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r>
      <w:tr>
        <w:trPr>
          <w:trHeight w:val="161" w:hRule="exact"/>
        </w:trPr>
        <w:tc>
          <w:tcPr>
            <w:tcW w:w="3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4" w:type="dxa"/>
            <w:vMerge/>
            <w:tcBorders>
              <w:left w:val="single" w:sz="4" w:space="0" w:color="000000"/>
              <w:bottom w:val="single" w:sz="4" w:space="0" w:color="000000"/>
              <w:right w:val="single" w:sz="4" w:space="0" w:color="000000"/>
            </w:tcBorders>
            <w:shd w:val="clear" w:color="auto" w:fill="D2D2D2"/>
          </w:tcPr>
          <w:p>
            <w:pPr/>
          </w:p>
        </w:tc>
        <w:tc>
          <w:tcPr>
            <w:tcW w:w="1474"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836"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92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162" w:hRule="exact"/>
        </w:trPr>
        <w:tc>
          <w:tcPr>
            <w:tcW w:w="515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034"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23" w:right="11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3605" w:type="dxa"/>
            <w:gridSpan w:val="3"/>
            <w:vMerge w:val="restart"/>
            <w:tcBorders>
              <w:top w:val="single" w:sz="4" w:space="0" w:color="000000"/>
              <w:left w:val="single" w:sz="4" w:space="0" w:color="000000"/>
              <w:right w:val="single" w:sz="4" w:space="0" w:color="000000"/>
            </w:tcBorders>
          </w:tcPr>
          <w:p>
            <w:pPr/>
          </w:p>
        </w:tc>
      </w:tr>
      <w:tr>
        <w:trPr>
          <w:trHeight w:val="391" w:hRule="exact"/>
        </w:trPr>
        <w:tc>
          <w:tcPr>
            <w:tcW w:w="515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3034" w:type="dxa"/>
            <w:gridSpan w:val="2"/>
            <w:vMerge/>
            <w:tcBorders>
              <w:left w:val="single" w:sz="4" w:space="0" w:color="000000"/>
              <w:right w:val="single" w:sz="4" w:space="0" w:color="000000"/>
            </w:tcBorders>
          </w:tcPr>
          <w:p>
            <w:pPr/>
          </w:p>
        </w:tc>
        <w:tc>
          <w:tcPr>
            <w:tcW w:w="2127" w:type="dxa"/>
            <w:gridSpan w:val="2"/>
            <w:vMerge/>
            <w:tcBorders>
              <w:left w:val="single" w:sz="4" w:space="0" w:color="000000"/>
              <w:right w:val="single" w:sz="4" w:space="0" w:color="000000"/>
            </w:tcBorders>
            <w:shd w:val="clear" w:color="auto" w:fill="D2D2D2"/>
          </w:tcPr>
          <w:p>
            <w:pPr/>
          </w:p>
        </w:tc>
        <w:tc>
          <w:tcPr>
            <w:tcW w:w="3605" w:type="dxa"/>
            <w:gridSpan w:val="3"/>
            <w:vMerge/>
            <w:tcBorders>
              <w:left w:val="single" w:sz="4" w:space="0" w:color="000000"/>
              <w:right w:val="single" w:sz="4" w:space="0" w:color="000000"/>
            </w:tcBorders>
          </w:tcPr>
          <w:p>
            <w:pPr/>
          </w:p>
        </w:tc>
      </w:tr>
      <w:tr>
        <w:trPr>
          <w:trHeight w:val="161" w:hRule="exact"/>
        </w:trPr>
        <w:tc>
          <w:tcPr>
            <w:tcW w:w="515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034" w:type="dxa"/>
            <w:gridSpan w:val="2"/>
            <w:vMerge/>
            <w:tcBorders>
              <w:left w:val="single" w:sz="4" w:space="0" w:color="000000"/>
              <w:bottom w:val="single" w:sz="4" w:space="0" w:color="000000"/>
              <w:right w:val="single" w:sz="4" w:space="0" w:color="000000"/>
            </w:tcBorders>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3605" w:type="dxa"/>
            <w:gridSpan w:val="3"/>
            <w:vMerge/>
            <w:tcBorders>
              <w:left w:val="single" w:sz="4" w:space="0" w:color="000000"/>
              <w:bottom w:val="single" w:sz="4" w:space="0" w:color="000000"/>
              <w:right w:val="single" w:sz="4" w:space="0" w:color="000000"/>
            </w:tcBorders>
          </w:tcPr>
          <w:p>
            <w:pPr/>
          </w:p>
        </w:tc>
      </w:tr>
      <w:tr>
        <w:trPr>
          <w:trHeight w:val="161" w:hRule="exact"/>
        </w:trPr>
        <w:tc>
          <w:tcPr>
            <w:tcW w:w="515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034"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3" w:right="11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3605" w:type="dxa"/>
            <w:gridSpan w:val="3"/>
            <w:vMerge w:val="restart"/>
            <w:tcBorders>
              <w:top w:val="single" w:sz="4" w:space="0" w:color="000000"/>
              <w:left w:val="single" w:sz="4" w:space="0" w:color="000000"/>
              <w:right w:val="single" w:sz="4" w:space="0" w:color="000000"/>
            </w:tcBorders>
          </w:tcPr>
          <w:p>
            <w:pPr/>
          </w:p>
        </w:tc>
      </w:tr>
      <w:tr>
        <w:trPr>
          <w:trHeight w:val="391" w:hRule="exact"/>
        </w:trPr>
        <w:tc>
          <w:tcPr>
            <w:tcW w:w="515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3034" w:type="dxa"/>
            <w:gridSpan w:val="2"/>
            <w:vMerge/>
            <w:tcBorders>
              <w:left w:val="single" w:sz="4" w:space="0" w:color="000000"/>
              <w:right w:val="single" w:sz="4" w:space="0" w:color="000000"/>
            </w:tcBorders>
          </w:tcPr>
          <w:p>
            <w:pPr/>
          </w:p>
        </w:tc>
        <w:tc>
          <w:tcPr>
            <w:tcW w:w="2127" w:type="dxa"/>
            <w:gridSpan w:val="2"/>
            <w:vMerge/>
            <w:tcBorders>
              <w:left w:val="single" w:sz="4" w:space="0" w:color="000000"/>
              <w:right w:val="single" w:sz="4" w:space="0" w:color="000000"/>
            </w:tcBorders>
            <w:shd w:val="clear" w:color="auto" w:fill="D2D2D2"/>
          </w:tcPr>
          <w:p>
            <w:pPr/>
          </w:p>
        </w:tc>
        <w:tc>
          <w:tcPr>
            <w:tcW w:w="3605" w:type="dxa"/>
            <w:gridSpan w:val="3"/>
            <w:vMerge/>
            <w:tcBorders>
              <w:left w:val="single" w:sz="4" w:space="0" w:color="000000"/>
              <w:right w:val="single" w:sz="4" w:space="0" w:color="000000"/>
            </w:tcBorders>
          </w:tcPr>
          <w:p>
            <w:pPr/>
          </w:p>
        </w:tc>
      </w:tr>
      <w:tr>
        <w:trPr>
          <w:trHeight w:val="168" w:hRule="exact"/>
        </w:trPr>
        <w:tc>
          <w:tcPr>
            <w:tcW w:w="515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034" w:type="dxa"/>
            <w:gridSpan w:val="2"/>
            <w:vMerge/>
            <w:tcBorders>
              <w:left w:val="single" w:sz="4" w:space="0" w:color="000000"/>
              <w:bottom w:val="single" w:sz="4" w:space="0" w:color="000000"/>
              <w:right w:val="single" w:sz="4" w:space="0" w:color="000000"/>
            </w:tcBorders>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3605" w:type="dxa"/>
            <w:gridSpan w:val="3"/>
            <w:vMerge/>
            <w:tcBorders>
              <w:left w:val="single" w:sz="4" w:space="0" w:color="000000"/>
              <w:bottom w:val="single" w:sz="4" w:space="0" w:color="000000"/>
              <w:right w:val="single" w:sz="4" w:space="0" w:color="000000"/>
            </w:tcBorders>
          </w:tcPr>
          <w:p>
            <w:pPr/>
          </w:p>
        </w:tc>
      </w:tr>
      <w:tr>
        <w:trPr>
          <w:trHeight w:val="396" w:hRule="exact"/>
        </w:trPr>
        <w:tc>
          <w:tcPr>
            <w:tcW w:w="1392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300" w:lineRule="auto" w:before="51"/>
        <w:ind w:left="100" w:right="175" w:firstLine="360"/>
        <w:jc w:val="left"/>
      </w:pPr>
      <w:r>
        <w:rPr/>
        <w:t>注</w:t>
      </w:r>
      <w:r>
        <w:rPr>
          <w:spacing w:val="-48"/>
        </w:rPr>
        <w:t> </w:t>
      </w:r>
      <w:r>
        <w:rPr>
          <w:rFonts w:ascii="Times New Roman" w:hAnsi="Times New Roman" w:cs="Times New Roman" w:eastAsia="Times New Roman" w:hint="default"/>
        </w:rPr>
        <w:t>1</w:t>
      </w:r>
      <w:r>
        <w:rPr/>
        <w:t>：系公司为华大基因健康科技（香港）有限公司向上海银行</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有限公司贷款提供担保额</w:t>
      </w:r>
      <w:r>
        <w:rPr>
          <w:spacing w:val="-48"/>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万美元折算的人民币金额。系公司向浙商银行股份有限公司深圳分行为 香港医学申请内保外贷的业务，为香港医学向银行贷款提供担保额</w:t>
      </w:r>
      <w:r>
        <w:rPr>
          <w:spacing w:val="-4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万美元折算的人民币金额。</w:t>
      </w:r>
    </w:p>
    <w:p>
      <w:pPr>
        <w:pStyle w:val="BodyText"/>
        <w:spacing w:line="240" w:lineRule="auto" w:before="51"/>
        <w:ind w:left="460" w:right="175"/>
        <w:jc w:val="left"/>
      </w:pPr>
      <w:r>
        <w:rPr/>
        <w:t>注</w:t>
      </w:r>
      <w:r>
        <w:rPr>
          <w:spacing w:val="-47"/>
        </w:rPr>
        <w:t> </w:t>
      </w:r>
      <w:r>
        <w:rPr>
          <w:rFonts w:ascii="Times New Roman" w:hAnsi="Times New Roman" w:cs="Times New Roman" w:eastAsia="Times New Roman" w:hint="default"/>
        </w:rPr>
        <w:t>2</w:t>
      </w:r>
      <w:r>
        <w:rPr/>
        <w:t>：系公司为香港华大基因科技服务有限公司向上海银行</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有限公司贷款提供担保额</w:t>
      </w:r>
      <w:r>
        <w:rPr>
          <w:spacing w:val="-46"/>
        </w:rPr>
        <w:t> </w:t>
      </w:r>
      <w:r>
        <w:rPr>
          <w:rFonts w:ascii="Times New Roman" w:hAnsi="Times New Roman" w:cs="Times New Roman" w:eastAsia="Times New Roman" w:hint="default"/>
        </w:rPr>
        <w:t>2,000 </w:t>
      </w:r>
      <w:r>
        <w:rPr/>
        <w:t>万美元折算的人民币金额。</w:t>
      </w:r>
    </w:p>
    <w:p>
      <w:pPr>
        <w:spacing w:line="240" w:lineRule="auto" w:before="13"/>
        <w:rPr>
          <w:rFonts w:ascii="宋体" w:hAnsi="宋体" w:cs="宋体" w:eastAsia="宋体" w:hint="default"/>
          <w:sz w:val="25"/>
          <w:szCs w:val="25"/>
        </w:rPr>
      </w:pPr>
    </w:p>
    <w:p>
      <w:pPr>
        <w:pStyle w:val="Heading3"/>
        <w:spacing w:line="240" w:lineRule="auto"/>
        <w:ind w:left="100" w:right="175"/>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460" w:right="1099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after="0" w:line="340" w:lineRule="auto"/>
        <w:jc w:val="left"/>
        <w:sectPr>
          <w:pgSz w:w="16840" w:h="11910" w:orient="landscape"/>
          <w:pgMar w:header="870" w:footer="975" w:top="1060" w:bottom="1160" w:left="1340" w:right="1320"/>
        </w:sectPr>
      </w:pPr>
    </w:p>
    <w:p>
      <w:pPr>
        <w:spacing w:line="240" w:lineRule="auto" w:before="8"/>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70" w:footer="975" w:top="1060" w:bottom="1160" w:left="1300" w:right="1300"/>
        </w:sectPr>
      </w:pPr>
    </w:p>
    <w:p>
      <w:pPr>
        <w:pStyle w:val="BodyText"/>
        <w:spacing w:line="338" w:lineRule="auto" w:before="44"/>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t>单位：万元</w:t>
      </w:r>
    </w:p>
    <w:p>
      <w:pPr>
        <w:spacing w:after="0" w:line="240" w:lineRule="auto"/>
        <w:jc w:val="left"/>
        <w:sectPr>
          <w:type w:val="continuous"/>
          <w:pgSz w:w="16840" w:h="11910" w:orient="landscape"/>
          <w:pgMar w:top="1060" w:bottom="1160" w:left="1300" w:right="1300"/>
          <w:cols w:num="2" w:equalWidth="0">
            <w:col w:w="1941" w:space="11120"/>
            <w:col w:w="1179"/>
          </w:cols>
        </w:sectPr>
      </w:pPr>
    </w:p>
    <w:p>
      <w:pPr>
        <w:spacing w:line="240" w:lineRule="auto" w:before="2"/>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1952"/>
        <w:gridCol w:w="2127"/>
        <w:gridCol w:w="3260"/>
        <w:gridCol w:w="3262"/>
        <w:gridCol w:w="3260"/>
      </w:tblGrid>
      <w:tr>
        <w:trPr>
          <w:trHeight w:val="401"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6"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未到期余额</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174,100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46,600</w:t>
            </w: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326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186,100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46,600</w:t>
            </w:r>
          </w:p>
        </w:tc>
        <w:tc>
          <w:tcPr>
            <w:tcW w:w="326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160" w:left="1300" w:right="1300"/>
        </w:sectPr>
      </w:pPr>
    </w:p>
    <w:p>
      <w:pPr>
        <w:pStyle w:val="BodyText"/>
        <w:spacing w:line="240" w:lineRule="auto" w:before="51"/>
        <w:ind w:left="140" w:right="-20"/>
        <w:jc w:val="left"/>
      </w:pPr>
      <w:r>
        <w:rPr/>
        <w:t>单项金额重大或安全性较低、流动性较差、不保本的高风险委托理财具体情况</w:t>
      </w:r>
    </w:p>
    <w:p>
      <w:pPr>
        <w:pStyle w:val="BodyText"/>
        <w:spacing w:line="240" w:lineRule="auto" w:before="115"/>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140" w:right="0"/>
        <w:jc w:val="left"/>
      </w:pPr>
      <w:r>
        <w:rPr/>
        <w:t>单位：万元</w:t>
      </w:r>
    </w:p>
    <w:p>
      <w:pPr>
        <w:spacing w:after="0" w:line="240" w:lineRule="auto"/>
        <w:jc w:val="left"/>
        <w:sectPr>
          <w:type w:val="continuous"/>
          <w:pgSz w:w="16840" w:h="11910" w:orient="landscape"/>
          <w:pgMar w:top="1060" w:bottom="1160" w:left="1300" w:right="1300"/>
          <w:cols w:num="2" w:equalWidth="0">
            <w:col w:w="6261" w:space="6800"/>
            <w:col w:w="1179"/>
          </w:cols>
        </w:sectPr>
      </w:pPr>
    </w:p>
    <w:p>
      <w:pPr>
        <w:spacing w:line="240" w:lineRule="auto" w:before="1"/>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1186"/>
        <w:gridCol w:w="907"/>
        <w:gridCol w:w="576"/>
        <w:gridCol w:w="641"/>
        <w:gridCol w:w="627"/>
        <w:gridCol w:w="994"/>
        <w:gridCol w:w="991"/>
        <w:gridCol w:w="566"/>
        <w:gridCol w:w="711"/>
        <w:gridCol w:w="708"/>
        <w:gridCol w:w="850"/>
        <w:gridCol w:w="850"/>
        <w:gridCol w:w="853"/>
        <w:gridCol w:w="850"/>
        <w:gridCol w:w="708"/>
        <w:gridCol w:w="852"/>
        <w:gridCol w:w="1054"/>
      </w:tblGrid>
      <w:tr>
        <w:trPr>
          <w:trHeight w:val="102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5" w:right="0"/>
              <w:jc w:val="left"/>
              <w:rPr>
                <w:rFonts w:ascii="宋体" w:hAnsi="宋体" w:cs="宋体" w:eastAsia="宋体" w:hint="default"/>
                <w:sz w:val="18"/>
                <w:szCs w:val="18"/>
              </w:rPr>
            </w:pPr>
            <w:r>
              <w:rPr>
                <w:rFonts w:ascii="宋体" w:hAnsi="宋体" w:cs="宋体" w:eastAsia="宋体" w:hint="default"/>
                <w:sz w:val="18"/>
                <w:szCs w:val="18"/>
              </w:rPr>
              <w:t>受托机构名称</w:t>
            </w:r>
          </w:p>
          <w:p>
            <w:pPr>
              <w:pStyle w:val="TableParagraph"/>
              <w:spacing w:line="316" w:lineRule="auto" w:before="74"/>
              <w:ind w:left="406" w:right="48" w:hanging="361"/>
              <w:jc w:val="left"/>
              <w:rPr>
                <w:rFonts w:ascii="宋体" w:hAnsi="宋体" w:cs="宋体" w:eastAsia="宋体" w:hint="default"/>
                <w:sz w:val="18"/>
                <w:szCs w:val="18"/>
              </w:rPr>
            </w:pPr>
            <w:r>
              <w:rPr>
                <w:rFonts w:ascii="宋体" w:hAnsi="宋体" w:cs="宋体" w:eastAsia="宋体" w:hint="default"/>
                <w:sz w:val="18"/>
                <w:szCs w:val="18"/>
              </w:rPr>
              <w:t>（或受托人姓 名）</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6" w:lineRule="auto" w:before="74"/>
              <w:ind w:left="86" w:right="89"/>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4" w:lineRule="auto"/>
              <w:ind w:left="218" w:right="38" w:hanging="181"/>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32"/>
              <w:jc w:val="right"/>
              <w:rPr>
                <w:rFonts w:ascii="宋体" w:hAnsi="宋体" w:cs="宋体" w:eastAsia="宋体" w:hint="default"/>
                <w:sz w:val="18"/>
                <w:szCs w:val="18"/>
              </w:rPr>
            </w:pPr>
            <w:r>
              <w:rPr>
                <w:rFonts w:ascii="宋体" w:hAnsi="宋体" w:cs="宋体" w:eastAsia="宋体" w:hint="default"/>
                <w:sz w:val="18"/>
                <w:szCs w:val="18"/>
              </w:rPr>
              <w:t>起始日期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31"/>
              <w:jc w:val="right"/>
              <w:rPr>
                <w:rFonts w:ascii="宋体" w:hAnsi="宋体" w:cs="宋体" w:eastAsia="宋体" w:hint="default"/>
                <w:sz w:val="18"/>
                <w:szCs w:val="18"/>
              </w:rPr>
            </w:pPr>
            <w:r>
              <w:rPr>
                <w:rFonts w:ascii="宋体" w:hAnsi="宋体" w:cs="宋体" w:eastAsia="宋体" w:hint="default"/>
                <w:sz w:val="18"/>
                <w:szCs w:val="18"/>
              </w:rPr>
              <w:t>终止日期</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4" w:lineRule="auto"/>
              <w:ind w:left="96" w:right="98"/>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4" w:lineRule="auto"/>
              <w:ind w:left="79" w:right="81"/>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9"/>
              <w:jc w:val="center"/>
              <w:rPr>
                <w:rFonts w:ascii="宋体" w:hAnsi="宋体" w:cs="宋体" w:eastAsia="宋体" w:hint="default"/>
                <w:sz w:val="18"/>
                <w:szCs w:val="18"/>
              </w:rPr>
            </w:pPr>
            <w:r>
              <w:rPr>
                <w:rFonts w:ascii="宋体" w:hAnsi="宋体" w:cs="宋体" w:eastAsia="宋体" w:hint="default"/>
                <w:sz w:val="18"/>
                <w:szCs w:val="18"/>
              </w:rPr>
              <w:t>参考年 化收益 率</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预期收益</w:t>
            </w:r>
          </w:p>
          <w:p>
            <w:pPr>
              <w:pStyle w:val="TableParagraph"/>
              <w:spacing w:line="240" w:lineRule="auto" w:before="74"/>
              <w:ind w:left="148"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 w:right="59"/>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0" w:right="62"/>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57" w:right="60"/>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9" w:right="77"/>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 w:right="60"/>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2" w:right="70"/>
              <w:jc w:val="both"/>
              <w:rPr>
                <w:rFonts w:ascii="宋体" w:hAnsi="宋体" w:cs="宋体" w:eastAsia="宋体" w:hint="default"/>
                <w:sz w:val="18"/>
                <w:szCs w:val="18"/>
              </w:rPr>
            </w:pPr>
            <w:r>
              <w:rPr>
                <w:rFonts w:ascii="宋体" w:hAnsi="宋体" w:cs="宋体" w:eastAsia="宋体" w:hint="default"/>
                <w:sz w:val="18"/>
                <w:szCs w:val="18"/>
              </w:rPr>
              <w:t>事项概述及 相关查询索 引（如有）</w:t>
            </w: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中国银行深圳 金港支行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8,000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1" w:right="72"/>
              <w:jc w:val="left"/>
              <w:rPr>
                <w:rFonts w:ascii="宋体" w:hAnsi="宋体" w:cs="宋体" w:eastAsia="宋体" w:hint="default"/>
                <w:sz w:val="18"/>
                <w:szCs w:val="18"/>
              </w:rPr>
            </w:pPr>
            <w:r>
              <w:rPr>
                <w:rFonts w:ascii="宋体" w:hAnsi="宋体" w:cs="宋体" w:eastAsia="宋体" w:hint="default"/>
                <w:sz w:val="18"/>
                <w:szCs w:val="18"/>
              </w:rPr>
              <w:t>广发银行红岭 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30,000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347.67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兴业银行前海 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5,000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63.77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中国光大银行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20,000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1"/>
              <w:jc w:val="center"/>
              <w:rPr>
                <w:rFonts w:ascii="宋体" w:hAnsi="宋体" w:cs="宋体" w:eastAsia="宋体" w:hint="default"/>
                <w:sz w:val="18"/>
                <w:szCs w:val="18"/>
              </w:rPr>
            </w:pPr>
            <w:r>
              <w:rPr>
                <w:rFonts w:ascii="宋体" w:hAnsi="宋体" w:cs="宋体" w:eastAsia="宋体" w:hint="default"/>
                <w:sz w:val="18"/>
                <w:szCs w:val="18"/>
              </w:rPr>
              <w:t>邮储华强北支</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 w:right="0"/>
              <w:jc w:val="center"/>
              <w:rPr>
                <w:rFonts w:ascii="Times New Roman" w:hAnsi="Times New Roman" w:cs="Times New Roman" w:eastAsia="Times New Roman" w:hint="default"/>
                <w:sz w:val="18"/>
                <w:szCs w:val="18"/>
              </w:rPr>
            </w:pPr>
            <w:r>
              <w:rPr>
                <w:rFonts w:ascii="Times New Roman"/>
                <w:sz w:val="18"/>
              </w:rPr>
              <w:t>20,000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自有资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4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4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协议约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187.95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160" w:left="1300" w:right="1300"/>
        </w:sectPr>
      </w:pPr>
    </w:p>
    <w:p>
      <w:pPr>
        <w:spacing w:line="240" w:lineRule="auto" w:before="11"/>
        <w:rPr>
          <w:rFonts w:ascii="Times New Roman" w:hAnsi="Times New Roman" w:cs="Times New Roman" w:eastAsia="Times New Roman"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86"/>
        <w:gridCol w:w="907"/>
        <w:gridCol w:w="576"/>
        <w:gridCol w:w="641"/>
        <w:gridCol w:w="627"/>
        <w:gridCol w:w="994"/>
        <w:gridCol w:w="991"/>
        <w:gridCol w:w="566"/>
        <w:gridCol w:w="711"/>
        <w:gridCol w:w="708"/>
        <w:gridCol w:w="850"/>
        <w:gridCol w:w="850"/>
        <w:gridCol w:w="853"/>
        <w:gridCol w:w="850"/>
        <w:gridCol w:w="708"/>
        <w:gridCol w:w="852"/>
        <w:gridCol w:w="1054"/>
      </w:tblGrid>
      <w:tr>
        <w:trPr>
          <w:trHeight w:val="377" w:hRule="exact"/>
        </w:trPr>
        <w:tc>
          <w:tcPr>
            <w:tcW w:w="118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行</w:t>
            </w:r>
          </w:p>
        </w:tc>
        <w:tc>
          <w:tcPr>
            <w:tcW w:w="907"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41" w:type="dxa"/>
            <w:tcBorders>
              <w:top w:val="single" w:sz="15" w:space="0" w:color="000000"/>
              <w:left w:val="single" w:sz="4" w:space="0" w:color="000000"/>
              <w:bottom w:val="single" w:sz="4" w:space="0" w:color="000000"/>
              <w:right w:val="single" w:sz="4" w:space="0" w:color="000000"/>
            </w:tcBorders>
          </w:tcPr>
          <w:p>
            <w:pPr/>
          </w:p>
        </w:tc>
        <w:tc>
          <w:tcPr>
            <w:tcW w:w="6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15" w:space="0" w:color="000000"/>
              <w:left w:val="single" w:sz="4" w:space="0" w:color="000000"/>
              <w:bottom w:val="single" w:sz="4" w:space="0" w:color="000000"/>
              <w:right w:val="single" w:sz="4" w:space="0" w:color="000000"/>
            </w:tcBorders>
          </w:tcPr>
          <w:p>
            <w:pPr/>
          </w:p>
        </w:tc>
        <w:tc>
          <w:tcPr>
            <w:tcW w:w="71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定</w:t>
            </w:r>
          </w:p>
        </w:tc>
        <w:tc>
          <w:tcPr>
            <w:tcW w:w="70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3"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1054"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中国光大银行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50,000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465.75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广发银行红岭 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5,500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57.67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广发银行红岭 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17,000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165.81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72"/>
              <w:jc w:val="left"/>
              <w:rPr>
                <w:rFonts w:ascii="宋体" w:hAnsi="宋体" w:cs="宋体" w:eastAsia="宋体" w:hint="default"/>
                <w:sz w:val="18"/>
                <w:szCs w:val="18"/>
              </w:rPr>
            </w:pPr>
            <w:r>
              <w:rPr>
                <w:rFonts w:ascii="宋体" w:hAnsi="宋体" w:cs="宋体" w:eastAsia="宋体" w:hint="default"/>
                <w:sz w:val="18"/>
                <w:szCs w:val="18"/>
              </w:rPr>
              <w:t>中国银行深圳 金港支行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8,000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29.81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广发银行红岭 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5,000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49.38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兴业银行前海 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20,000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8,000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0.93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7,500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4,500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11.98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6,500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33,500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28.82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建行田贝支行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5,000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71.26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1" w:right="0"/>
              <w:jc w:val="left"/>
              <w:rPr>
                <w:rFonts w:ascii="宋体" w:hAnsi="宋体" w:cs="宋体" w:eastAsia="宋体" w:hint="default"/>
                <w:sz w:val="18"/>
                <w:szCs w:val="18"/>
              </w:rPr>
            </w:pPr>
            <w:r>
              <w:rPr>
                <w:rFonts w:ascii="宋体" w:hAnsi="宋体" w:cs="宋体" w:eastAsia="宋体" w:hint="default"/>
                <w:sz w:val="18"/>
                <w:szCs w:val="18"/>
              </w:rPr>
              <w:t>中国银行深圳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 w:right="0"/>
              <w:jc w:val="center"/>
              <w:rPr>
                <w:rFonts w:ascii="Times New Roman" w:hAnsi="Times New Roman" w:cs="Times New Roman" w:eastAsia="Times New Roman" w:hint="default"/>
                <w:sz w:val="18"/>
                <w:szCs w:val="18"/>
              </w:rPr>
            </w:pPr>
            <w:r>
              <w:rPr>
                <w:rFonts w:ascii="Times New Roman"/>
                <w:sz w:val="18"/>
              </w:rPr>
              <w:t>10,000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自有资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协议约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108.38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0" w:footer="975" w:top="1060" w:bottom="1160" w:left="1360" w:right="1320"/>
        </w:sectPr>
      </w:pPr>
    </w:p>
    <w:p>
      <w:pPr>
        <w:spacing w:line="240" w:lineRule="auto" w:before="11"/>
        <w:rPr>
          <w:rFonts w:ascii="Times New Roman" w:hAnsi="Times New Roman" w:cs="Times New Roman" w:eastAsia="Times New Roman"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86"/>
        <w:gridCol w:w="907"/>
        <w:gridCol w:w="576"/>
        <w:gridCol w:w="641"/>
        <w:gridCol w:w="627"/>
        <w:gridCol w:w="994"/>
        <w:gridCol w:w="991"/>
        <w:gridCol w:w="566"/>
        <w:gridCol w:w="711"/>
        <w:gridCol w:w="708"/>
        <w:gridCol w:w="850"/>
        <w:gridCol w:w="850"/>
        <w:gridCol w:w="853"/>
        <w:gridCol w:w="850"/>
        <w:gridCol w:w="708"/>
        <w:gridCol w:w="852"/>
        <w:gridCol w:w="1054"/>
      </w:tblGrid>
      <w:tr>
        <w:trPr>
          <w:trHeight w:val="377" w:hRule="exact"/>
        </w:trPr>
        <w:tc>
          <w:tcPr>
            <w:tcW w:w="118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金港支行</w:t>
            </w:r>
          </w:p>
        </w:tc>
        <w:tc>
          <w:tcPr>
            <w:tcW w:w="907"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41" w:type="dxa"/>
            <w:tcBorders>
              <w:top w:val="single" w:sz="15" w:space="0" w:color="000000"/>
              <w:left w:val="single" w:sz="4" w:space="0" w:color="000000"/>
              <w:bottom w:val="single" w:sz="4" w:space="0" w:color="000000"/>
              <w:right w:val="single" w:sz="4" w:space="0" w:color="000000"/>
            </w:tcBorders>
          </w:tcPr>
          <w:p>
            <w:pPr/>
          </w:p>
        </w:tc>
        <w:tc>
          <w:tcPr>
            <w:tcW w:w="6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15" w:space="0" w:color="000000"/>
              <w:left w:val="single" w:sz="4" w:space="0" w:color="000000"/>
              <w:bottom w:val="single" w:sz="4" w:space="0" w:color="000000"/>
              <w:right w:val="single" w:sz="4" w:space="0" w:color="000000"/>
            </w:tcBorders>
          </w:tcPr>
          <w:p>
            <w:pPr/>
          </w:p>
        </w:tc>
        <w:tc>
          <w:tcPr>
            <w:tcW w:w="71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定</w:t>
            </w:r>
          </w:p>
        </w:tc>
        <w:tc>
          <w:tcPr>
            <w:tcW w:w="70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3"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1054"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兴业银行前海 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252.38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广发银行红岭 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126.79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广发银行红岭 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739.73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739.73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72"/>
              <w:jc w:val="left"/>
              <w:rPr>
                <w:rFonts w:ascii="宋体" w:hAnsi="宋体" w:cs="宋体" w:eastAsia="宋体" w:hint="default"/>
                <w:sz w:val="18"/>
                <w:szCs w:val="18"/>
              </w:rPr>
            </w:pPr>
            <w:r>
              <w:rPr>
                <w:rFonts w:ascii="宋体" w:hAnsi="宋体" w:cs="宋体" w:eastAsia="宋体" w:hint="default"/>
                <w:sz w:val="18"/>
                <w:szCs w:val="18"/>
              </w:rPr>
              <w:t>广发银行红岭 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252.74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广发银行红岭 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616.44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邮储深圳红荔 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16.96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邮储深圳红荔 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114.41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广发银行黄寺 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15.14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1" w:right="0"/>
              <w:jc w:val="left"/>
              <w:rPr>
                <w:rFonts w:ascii="宋体" w:hAnsi="宋体" w:cs="宋体" w:eastAsia="宋体" w:hint="default"/>
                <w:sz w:val="18"/>
                <w:szCs w:val="18"/>
              </w:rPr>
            </w:pPr>
            <w:r>
              <w:rPr>
                <w:rFonts w:ascii="宋体" w:hAnsi="宋体" w:cs="宋体" w:eastAsia="宋体" w:hint="default"/>
                <w:sz w:val="18"/>
                <w:szCs w:val="18"/>
              </w:rPr>
              <w:t>招商银行深圳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自有资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协议约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14.32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0" w:footer="975" w:top="1060" w:bottom="1160" w:left="1360" w:right="1320"/>
        </w:sectPr>
      </w:pPr>
    </w:p>
    <w:p>
      <w:pPr>
        <w:spacing w:line="240" w:lineRule="auto" w:before="11"/>
        <w:rPr>
          <w:rFonts w:ascii="Times New Roman" w:hAnsi="Times New Roman" w:cs="Times New Roman" w:eastAsia="Times New Roman"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86"/>
        <w:gridCol w:w="907"/>
        <w:gridCol w:w="576"/>
        <w:gridCol w:w="641"/>
        <w:gridCol w:w="627"/>
        <w:gridCol w:w="994"/>
        <w:gridCol w:w="991"/>
        <w:gridCol w:w="566"/>
        <w:gridCol w:w="711"/>
        <w:gridCol w:w="708"/>
        <w:gridCol w:w="850"/>
        <w:gridCol w:w="850"/>
        <w:gridCol w:w="853"/>
        <w:gridCol w:w="850"/>
        <w:gridCol w:w="708"/>
        <w:gridCol w:w="852"/>
        <w:gridCol w:w="1054"/>
      </w:tblGrid>
      <w:tr>
        <w:trPr>
          <w:trHeight w:val="377" w:hRule="exact"/>
        </w:trPr>
        <w:tc>
          <w:tcPr>
            <w:tcW w:w="118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盐田支行</w:t>
            </w:r>
          </w:p>
        </w:tc>
        <w:tc>
          <w:tcPr>
            <w:tcW w:w="907"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41" w:type="dxa"/>
            <w:tcBorders>
              <w:top w:val="single" w:sz="15" w:space="0" w:color="000000"/>
              <w:left w:val="single" w:sz="4" w:space="0" w:color="000000"/>
              <w:bottom w:val="single" w:sz="4" w:space="0" w:color="000000"/>
              <w:right w:val="single" w:sz="4" w:space="0" w:color="000000"/>
            </w:tcBorders>
          </w:tcPr>
          <w:p>
            <w:pPr/>
          </w:p>
        </w:tc>
        <w:tc>
          <w:tcPr>
            <w:tcW w:w="6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15" w:space="0" w:color="000000"/>
              <w:left w:val="single" w:sz="4" w:space="0" w:color="000000"/>
              <w:bottom w:val="single" w:sz="4" w:space="0" w:color="000000"/>
              <w:right w:val="single" w:sz="4" w:space="0" w:color="000000"/>
            </w:tcBorders>
          </w:tcPr>
          <w:p>
            <w:pPr/>
          </w:p>
        </w:tc>
        <w:tc>
          <w:tcPr>
            <w:tcW w:w="71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定</w:t>
            </w:r>
          </w:p>
        </w:tc>
        <w:tc>
          <w:tcPr>
            <w:tcW w:w="70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3"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1054"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10.64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72"/>
              <w:jc w:val="left"/>
              <w:rPr>
                <w:rFonts w:ascii="宋体" w:hAnsi="宋体" w:cs="宋体" w:eastAsia="宋体" w:hint="default"/>
                <w:sz w:val="18"/>
                <w:szCs w:val="18"/>
              </w:rPr>
            </w:pPr>
            <w:r>
              <w:rPr>
                <w:rFonts w:ascii="宋体" w:hAnsi="宋体" w:cs="宋体" w:eastAsia="宋体" w:hint="default"/>
                <w:sz w:val="18"/>
                <w:szCs w:val="18"/>
              </w:rPr>
              <w:t>浙商银行深圳 分行营业部</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工行北京裕民 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工行北京裕民 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广发银行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49.91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广发银行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46.85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1" w:right="0"/>
              <w:jc w:val="left"/>
              <w:rPr>
                <w:rFonts w:ascii="宋体" w:hAnsi="宋体" w:cs="宋体" w:eastAsia="宋体" w:hint="default"/>
                <w:sz w:val="18"/>
                <w:szCs w:val="18"/>
              </w:rPr>
            </w:pPr>
            <w:r>
              <w:rPr>
                <w:rFonts w:ascii="宋体" w:hAnsi="宋体" w:cs="宋体" w:eastAsia="宋体" w:hint="default"/>
                <w:sz w:val="18"/>
                <w:szCs w:val="18"/>
              </w:rPr>
              <w:t>招商银行深圳</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自有资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协议约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74"/>
              <w:jc w:val="center"/>
              <w:rPr>
                <w:rFonts w:ascii="宋体" w:hAnsi="宋体" w:cs="宋体" w:eastAsia="宋体" w:hint="default"/>
                <w:sz w:val="18"/>
                <w:szCs w:val="18"/>
              </w:rPr>
            </w:pPr>
            <w:r>
              <w:rPr>
                <w:rFonts w:ascii="宋体" w:hAnsi="宋体" w:cs="宋体" w:eastAsia="宋体" w:hint="default"/>
                <w:sz w:val="18"/>
                <w:szCs w:val="18"/>
              </w:rPr>
              <w:t>未到期赎</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0" w:footer="975" w:top="1060" w:bottom="1160" w:left="1360" w:right="1320"/>
        </w:sectPr>
      </w:pPr>
    </w:p>
    <w:p>
      <w:pPr>
        <w:spacing w:line="240" w:lineRule="auto" w:before="11"/>
        <w:rPr>
          <w:rFonts w:ascii="Times New Roman" w:hAnsi="Times New Roman" w:cs="Times New Roman" w:eastAsia="Times New Roman"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1186"/>
        <w:gridCol w:w="907"/>
        <w:gridCol w:w="576"/>
        <w:gridCol w:w="641"/>
        <w:gridCol w:w="627"/>
        <w:gridCol w:w="994"/>
        <w:gridCol w:w="991"/>
        <w:gridCol w:w="566"/>
        <w:gridCol w:w="711"/>
        <w:gridCol w:w="708"/>
        <w:gridCol w:w="850"/>
        <w:gridCol w:w="850"/>
        <w:gridCol w:w="853"/>
        <w:gridCol w:w="850"/>
        <w:gridCol w:w="708"/>
        <w:gridCol w:w="852"/>
        <w:gridCol w:w="1054"/>
      </w:tblGrid>
      <w:tr>
        <w:trPr>
          <w:trHeight w:val="377" w:hRule="exact"/>
        </w:trPr>
        <w:tc>
          <w:tcPr>
            <w:tcW w:w="118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盐田支行</w:t>
            </w:r>
          </w:p>
        </w:tc>
        <w:tc>
          <w:tcPr>
            <w:tcW w:w="907"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41" w:type="dxa"/>
            <w:tcBorders>
              <w:top w:val="single" w:sz="15" w:space="0" w:color="000000"/>
              <w:left w:val="single" w:sz="4" w:space="0" w:color="000000"/>
              <w:bottom w:val="single" w:sz="4" w:space="0" w:color="000000"/>
              <w:right w:val="single" w:sz="4" w:space="0" w:color="000000"/>
            </w:tcBorders>
          </w:tcPr>
          <w:p>
            <w:pPr/>
          </w:p>
        </w:tc>
        <w:tc>
          <w:tcPr>
            <w:tcW w:w="6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15" w:space="0" w:color="000000"/>
              <w:left w:val="single" w:sz="4" w:space="0" w:color="000000"/>
              <w:bottom w:val="single" w:sz="4" w:space="0" w:color="000000"/>
              <w:right w:val="single" w:sz="4" w:space="0" w:color="000000"/>
            </w:tcBorders>
          </w:tcPr>
          <w:p>
            <w:pPr/>
          </w:p>
        </w:tc>
        <w:tc>
          <w:tcPr>
            <w:tcW w:w="71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定</w:t>
            </w:r>
          </w:p>
        </w:tc>
        <w:tc>
          <w:tcPr>
            <w:tcW w:w="70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85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回</w:t>
            </w:r>
          </w:p>
        </w:tc>
        <w:tc>
          <w:tcPr>
            <w:tcW w:w="850"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1054"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8"/>
              <w:jc w:val="left"/>
              <w:rPr>
                <w:rFonts w:ascii="宋体" w:hAnsi="宋体" w:cs="宋体" w:eastAsia="宋体" w:hint="default"/>
                <w:sz w:val="18"/>
                <w:szCs w:val="18"/>
              </w:rPr>
            </w:pPr>
            <w:r>
              <w:rPr>
                <w:rFonts w:ascii="宋体" w:hAnsi="宋体" w:cs="宋体" w:eastAsia="宋体" w:hint="default"/>
                <w:sz w:val="18"/>
                <w:szCs w:val="18"/>
              </w:rPr>
              <w:t>未到期赎 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招商银行深圳 盐田支行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8"/>
              <w:jc w:val="left"/>
              <w:rPr>
                <w:rFonts w:ascii="宋体" w:hAnsi="宋体" w:cs="宋体" w:eastAsia="宋体" w:hint="default"/>
                <w:sz w:val="18"/>
                <w:szCs w:val="18"/>
              </w:rPr>
            </w:pPr>
            <w:r>
              <w:rPr>
                <w:rFonts w:ascii="宋体" w:hAnsi="宋体" w:cs="宋体" w:eastAsia="宋体" w:hint="default"/>
                <w:sz w:val="18"/>
                <w:szCs w:val="18"/>
              </w:rPr>
              <w:t>未到期赎 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72"/>
              <w:jc w:val="left"/>
              <w:rPr>
                <w:rFonts w:ascii="宋体" w:hAnsi="宋体" w:cs="宋体" w:eastAsia="宋体" w:hint="default"/>
                <w:sz w:val="18"/>
                <w:szCs w:val="18"/>
              </w:rPr>
            </w:pPr>
            <w:r>
              <w:rPr>
                <w:rFonts w:ascii="宋体" w:hAnsi="宋体" w:cs="宋体" w:eastAsia="宋体" w:hint="default"/>
                <w:sz w:val="18"/>
                <w:szCs w:val="18"/>
              </w:rPr>
              <w:t>工行北京裕民 支行</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理财 产品</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投资</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5"/>
              <w:jc w:val="left"/>
              <w:rPr>
                <w:rFonts w:ascii="宋体" w:hAnsi="宋体" w:cs="宋体" w:eastAsia="宋体" w:hint="default"/>
                <w:sz w:val="18"/>
                <w:szCs w:val="18"/>
              </w:rPr>
            </w:pPr>
            <w:r>
              <w:rPr>
                <w:rFonts w:ascii="宋体" w:hAnsi="宋体" w:cs="宋体" w:eastAsia="宋体" w:hint="default"/>
                <w:sz w:val="18"/>
                <w:szCs w:val="18"/>
              </w:rPr>
              <w:t>协议约 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8"/>
              <w:jc w:val="left"/>
              <w:rPr>
                <w:rFonts w:ascii="宋体" w:hAnsi="宋体" w:cs="宋体" w:eastAsia="宋体" w:hint="default"/>
                <w:sz w:val="18"/>
                <w:szCs w:val="18"/>
              </w:rPr>
            </w:pPr>
            <w:r>
              <w:rPr>
                <w:rFonts w:ascii="宋体" w:hAnsi="宋体" w:cs="宋体" w:eastAsia="宋体" w:hint="default"/>
                <w:sz w:val="18"/>
                <w:szCs w:val="18"/>
              </w:rPr>
              <w:t>未到期赎 回</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544,700</w:t>
            </w: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2"/>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218"/>
              <w:jc w:val="righ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4,276.21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4,276.21</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00" w:right="175"/>
        <w:jc w:val="left"/>
      </w:pPr>
      <w:r>
        <w:rPr/>
        <w:t>委托理财出现预期无法收回本金或存在其他可能导致减值的情形</w:t>
      </w:r>
    </w:p>
    <w:p>
      <w:pPr>
        <w:pStyle w:val="BodyText"/>
        <w:spacing w:line="240" w:lineRule="auto" w:before="117"/>
        <w:ind w:left="100" w:right="1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00" w:right="175"/>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460" w:right="1135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after="0" w:line="340" w:lineRule="auto"/>
        <w:jc w:val="left"/>
        <w:sectPr>
          <w:pgSz w:w="16840" w:h="11910" w:orient="landscape"/>
          <w:pgMar w:header="870" w:footer="975" w:top="1060" w:bottom="1160" w:left="1340" w:right="132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769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《深圳华大基因股份有限公司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年度社会责任报告》已披露于中国证监会指定的创业板信息披露网站巨潮资讯网</w:t>
      </w:r>
    </w:p>
    <w:p>
      <w:pPr>
        <w:pStyle w:val="BodyText"/>
        <w:spacing w:line="240" w:lineRule="auto" w:before="63"/>
        <w:ind w:right="1133"/>
        <w:jc w:val="left"/>
      </w:pPr>
      <w:r>
        <w:rPr/>
        <w:t>（</w:t>
      </w:r>
      <w:r>
        <w:rPr>
          <w:rFonts w:ascii="Times New Roman" w:hAnsi="Times New Roman" w:cs="Times New Roman" w:eastAsia="Times New Roman" w:hint="default"/>
          <w:color w:val="0462C1"/>
        </w:rPr>
      </w:r>
      <w:hyperlink r:id="rId9">
        <w:r>
          <w:rPr>
            <w:rFonts w:ascii="Times New Roman" w:hAnsi="Times New Roman" w:cs="Times New Roman" w:eastAsia="Times New Roman" w:hint="default"/>
            <w:color w:val="0462C1"/>
            <w:u w:val="single" w:color="0462C1"/>
          </w:rPr>
          <w:t>http://www.cninfo.com.cn</w:t>
        </w:r>
        <w:r>
          <w:rPr>
            <w:rFonts w:ascii="Times New Roman" w:hAnsi="Times New Roman" w:cs="Times New Roman" w:eastAsia="Times New Roman" w:hint="default"/>
            <w:color w:val="0462C1"/>
          </w:rPr>
        </w:r>
      </w:hyperlink>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214" w:firstLine="360"/>
        <w:jc w:val="left"/>
      </w:pPr>
      <w:r>
        <w:rPr/>
        <w:t>华大基因积极贯彻和推进中央关于</w:t>
      </w:r>
      <w:r>
        <w:rPr>
          <w:rFonts w:ascii="Times New Roman" w:hAnsi="Times New Roman" w:cs="Times New Roman" w:eastAsia="Times New Roman" w:hint="default"/>
        </w:rPr>
        <w:t>“</w:t>
      </w:r>
      <w:r>
        <w:rPr/>
        <w:t>精准扶贫、精准脱贫</w:t>
      </w:r>
      <w:r>
        <w:rPr>
          <w:rFonts w:ascii="Times New Roman" w:hAnsi="Times New Roman" w:cs="Times New Roman" w:eastAsia="Times New Roman" w:hint="default"/>
        </w:rPr>
        <w:t>”</w:t>
      </w:r>
      <w:r>
        <w:rPr/>
        <w:t>的方略，秉持</w:t>
      </w:r>
      <w:r>
        <w:rPr>
          <w:rFonts w:ascii="Times New Roman" w:hAnsi="Times New Roman" w:cs="Times New Roman" w:eastAsia="Times New Roman" w:hint="default"/>
        </w:rPr>
        <w:t>“</w:t>
      </w:r>
      <w:r>
        <w:rPr/>
        <w:t>基因科技造福人类</w:t>
      </w:r>
      <w:r>
        <w:rPr>
          <w:rFonts w:ascii="Times New Roman" w:hAnsi="Times New Roman" w:cs="Times New Roman" w:eastAsia="Times New Roman" w:hint="default"/>
        </w:rPr>
        <w:t>”</w:t>
      </w:r>
      <w:r>
        <w:rPr/>
        <w:t>的理念，通过更低的检测 价格使普通百姓能享受到基因检测带来的福利，让基因检测逐步普惠大众。公司的目标是通过对出生缺陷、复杂疾病等的 防控，助力当地破解因病致贫，因病返贫的现实困境，从而实现精准扶贫。在实施过程中，公司结合已开展民生项目经 验，通过科普及讲座活动、公益项目、免费捐助等多种形式公益活动，联合各界公益组织，为精准扶贫做好保障。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0"/>
        <w:ind w:right="1133"/>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4" w:firstLine="360"/>
        <w:jc w:val="both"/>
      </w:pPr>
      <w:r>
        <w:rPr>
          <w:spacing w:val="-2"/>
        </w:rPr>
        <w:t>报告期内，华大基因按照整体扶贫方略，继续推进出生缺陷防控、防治地贫、女性子宫颈癌防控等民生工程，同时在湖</w:t>
      </w:r>
      <w:r>
        <w:rPr/>
        <w:t> </w:t>
      </w:r>
      <w:r>
        <w:rPr>
          <w:spacing w:val="-2"/>
        </w:rPr>
        <w:t>南省长沙市、湖北省武汉市、山东省临沂市、江西省吉安市、河北石家庄等地开展民生项目合作，协助当地政府通过民生工</w:t>
      </w:r>
      <w:r>
        <w:rPr>
          <w:spacing w:val="-67"/>
        </w:rPr>
        <w:t> </w:t>
      </w:r>
      <w:r>
        <w:rPr>
          <w:spacing w:val="-67"/>
        </w:rPr>
      </w:r>
      <w:r>
        <w:rPr/>
        <w:t>程缓解</w:t>
      </w:r>
      <w:r>
        <w:rPr>
          <w:rFonts w:ascii="Times New Roman" w:hAnsi="Times New Roman" w:cs="Times New Roman" w:eastAsia="Times New Roman" w:hint="default"/>
        </w:rPr>
        <w:t>“</w:t>
      </w:r>
      <w:r>
        <w:rPr/>
        <w:t>因病致贫、因病返贫</w:t>
      </w:r>
      <w:r>
        <w:rPr>
          <w:rFonts w:ascii="Times New Roman" w:hAnsi="Times New Roman" w:cs="Times New Roman" w:eastAsia="Times New Roman" w:hint="default"/>
        </w:rPr>
        <w:t>”</w:t>
      </w:r>
      <w:r>
        <w:rPr/>
        <w:t>的局面。</w:t>
      </w:r>
    </w:p>
    <w:p>
      <w:pPr>
        <w:pStyle w:val="BodyText"/>
        <w:spacing w:line="302" w:lineRule="auto" w:before="119"/>
        <w:ind w:right="1129" w:firstLine="360"/>
        <w:jc w:val="both"/>
      </w:pPr>
      <w:r>
        <w:rPr/>
        <w:t>截至报告期末，公司采用先进的高通量测序技术，已在广东、广西、云南、贵州、湖南、江西等多个省份启动</w:t>
      </w:r>
      <w:r>
        <w:rPr>
          <w:rFonts w:ascii="Times New Roman" w:hAnsi="Times New Roman" w:cs="Times New Roman" w:eastAsia="Times New Roman" w:hint="default"/>
        </w:rPr>
        <w:t>“</w:t>
      </w:r>
      <w:r>
        <w:rPr/>
        <w:t>地中海 贫血防控民生项目</w:t>
      </w:r>
      <w:r>
        <w:rPr>
          <w:rFonts w:ascii="Times New Roman" w:hAnsi="Times New Roman" w:cs="Times New Roman" w:eastAsia="Times New Roman" w:hint="default"/>
        </w:rPr>
        <w:t>”</w:t>
      </w:r>
      <w:r>
        <w:rPr/>
        <w:t>，累计检测样本超过</w:t>
      </w:r>
      <w:r>
        <w:rPr>
          <w:rFonts w:ascii="Times New Roman" w:hAnsi="Times New Roman" w:cs="Times New Roman" w:eastAsia="Times New Roman" w:hint="default"/>
        </w:rPr>
        <w:t>18</w:t>
      </w:r>
      <w:r>
        <w:rPr/>
        <w:t>万例。项目共检出地贫基因变异类型超过</w:t>
      </w:r>
      <w:r>
        <w:rPr>
          <w:rFonts w:ascii="Times New Roman" w:hAnsi="Times New Roman" w:cs="Times New Roman" w:eastAsia="Times New Roman" w:hint="default"/>
        </w:rPr>
        <w:t>130</w:t>
      </w:r>
      <w:r>
        <w:rPr/>
        <w:t>种，异常血红蛋白变异超过</w:t>
      </w:r>
      <w:r>
        <w:rPr>
          <w:rFonts w:ascii="Times New Roman" w:hAnsi="Times New Roman" w:cs="Times New Roman" w:eastAsia="Times New Roman" w:hint="default"/>
        </w:rPr>
        <w:t>140</w:t>
      </w:r>
      <w:r>
        <w:rPr/>
        <w:t>种，</w:t>
      </w:r>
      <w:r>
        <w:rPr>
          <w:spacing w:val="-77"/>
        </w:rPr>
        <w:t> </w:t>
      </w:r>
      <w:r>
        <w:rPr/>
        <w:t>有效提升了地贫的防控效果。在地中海贫血患者救助方面，华大基因积极响应国家卫生健康委员会关于</w:t>
      </w:r>
      <w:r>
        <w:rPr>
          <w:rFonts w:ascii="Times New Roman" w:hAnsi="Times New Roman" w:cs="Times New Roman" w:eastAsia="Times New Roman" w:hint="default"/>
        </w:rPr>
        <w:t>2018</w:t>
      </w:r>
      <w:r>
        <w:rPr/>
        <w:t>年世界地贫日</w:t>
      </w:r>
      <w:r>
        <w:rPr>
          <w:spacing w:val="2"/>
        </w:rPr>
        <w:t> </w:t>
      </w:r>
      <w:r>
        <w:rPr>
          <w:spacing w:val="2"/>
        </w:rPr>
      </w:r>
      <w:r>
        <w:rPr>
          <w:rFonts w:ascii="Times New Roman" w:hAnsi="Times New Roman" w:cs="Times New Roman" w:eastAsia="Times New Roman" w:hint="default"/>
          <w:spacing w:val="-2"/>
        </w:rPr>
        <w:t>“</w:t>
      </w:r>
      <w:r>
        <w:rPr>
          <w:spacing w:val="-2"/>
        </w:rPr>
        <w:t>防治地贫，健康脱贫</w:t>
      </w:r>
      <w:r>
        <w:rPr>
          <w:rFonts w:ascii="Times New Roman" w:hAnsi="Times New Roman" w:cs="Times New Roman" w:eastAsia="Times New Roman" w:hint="default"/>
          <w:spacing w:val="-2"/>
        </w:rPr>
        <w:t>”</w:t>
      </w:r>
      <w:r>
        <w:rPr>
          <w:spacing w:val="-2"/>
        </w:rPr>
        <w:t>的主题活动，华大基因联合华基金、北京天使妈妈慈善基金会等公益基金，先后与广西医科大学第一</w:t>
      </w:r>
      <w:r>
        <w:rPr>
          <w:spacing w:val="-44"/>
        </w:rPr>
        <w:t> </w:t>
      </w:r>
      <w:r>
        <w:rPr>
          <w:spacing w:val="-44"/>
        </w:rPr>
      </w:r>
      <w:r>
        <w:rPr>
          <w:spacing w:val="-2"/>
        </w:rPr>
        <w:t>附属医院、南方医科大学南方医院、中山大学附属孙逸仙纪念医院、梅州市妇女儿童医院、郴州市第一人民医院、贵州医科</w:t>
      </w:r>
      <w:r>
        <w:rPr>
          <w:spacing w:val="-67"/>
        </w:rPr>
        <w:t> </w:t>
      </w:r>
      <w:r>
        <w:rPr>
          <w:spacing w:val="-67"/>
        </w:rPr>
      </w:r>
      <w:r>
        <w:rPr/>
        <w:t>大学附属医院等医疗机构，在广东、广西、海南、湖南、贵州、云南</w:t>
      </w:r>
      <w:r>
        <w:rPr>
          <w:rFonts w:ascii="Times New Roman" w:hAnsi="Times New Roman" w:cs="Times New Roman" w:eastAsia="Times New Roman" w:hint="default"/>
        </w:rPr>
        <w:t>6</w:t>
      </w:r>
      <w:r>
        <w:rPr/>
        <w:t>省</w:t>
      </w:r>
      <w:r>
        <w:rPr>
          <w:rFonts w:ascii="Times New Roman" w:hAnsi="Times New Roman" w:cs="Times New Roman" w:eastAsia="Times New Roman" w:hint="default"/>
        </w:rPr>
        <w:t>15</w:t>
      </w:r>
      <w:r>
        <w:rPr/>
        <w:t>个城市开展</w:t>
      </w:r>
      <w:r>
        <w:rPr>
          <w:rFonts w:ascii="Times New Roman" w:hAnsi="Times New Roman" w:cs="Times New Roman" w:eastAsia="Times New Roman" w:hint="default"/>
        </w:rPr>
        <w:t>“</w:t>
      </w:r>
      <w:r>
        <w:rPr/>
        <w:t>免费</w:t>
      </w:r>
      <w:r>
        <w:rPr>
          <w:rFonts w:ascii="Times New Roman" w:hAnsi="Times New Roman" w:cs="Times New Roman" w:eastAsia="Times New Roman" w:hint="default"/>
        </w:rPr>
        <w:t>HLA</w:t>
      </w:r>
      <w:r>
        <w:rPr/>
        <w:t>配型救助公益活动</w:t>
      </w:r>
      <w:r>
        <w:rPr>
          <w:rFonts w:ascii="Times New Roman" w:hAnsi="Times New Roman" w:cs="Times New Roman" w:eastAsia="Times New Roman" w:hint="default"/>
        </w:rPr>
        <w:t>”</w:t>
      </w:r>
      <w:r>
        <w:rPr/>
        <w:t>，截至</w:t>
      </w:r>
      <w:r>
        <w:rPr>
          <w:spacing w:val="-75"/>
        </w:rPr>
        <w:t> </w:t>
      </w:r>
      <w:r>
        <w:rPr>
          <w:spacing w:val="-75"/>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日，该项目已累计为约</w:t>
      </w:r>
      <w:r>
        <w:rPr>
          <w:rFonts w:ascii="Times New Roman" w:hAnsi="Times New Roman" w:cs="Times New Roman" w:eastAsia="Times New Roman" w:hint="default"/>
        </w:rPr>
        <w:t>2700</w:t>
      </w:r>
      <w:r>
        <w:rPr/>
        <w:t>个地贫家庭近</w:t>
      </w:r>
      <w:r>
        <w:rPr>
          <w:rFonts w:ascii="Times New Roman" w:hAnsi="Times New Roman" w:cs="Times New Roman" w:eastAsia="Times New Roman" w:hint="default"/>
        </w:rPr>
        <w:t>7500</w:t>
      </w:r>
      <w:r>
        <w:rPr/>
        <w:t>人提供了免费配型检测服务，共计近</w:t>
      </w:r>
      <w:r>
        <w:rPr>
          <w:rFonts w:ascii="Times New Roman" w:hAnsi="Times New Roman" w:cs="Times New Roman" w:eastAsia="Times New Roman" w:hint="default"/>
        </w:rPr>
        <w:t>280</w:t>
      </w:r>
      <w:r>
        <w:rPr/>
        <w:t>名患者配型成功。</w:t>
      </w:r>
    </w:p>
    <w:p>
      <w:pPr>
        <w:pStyle w:val="BodyText"/>
        <w:spacing w:line="307" w:lineRule="auto" w:before="131"/>
        <w:ind w:right="1128" w:firstLine="360"/>
        <w:jc w:val="both"/>
      </w:pPr>
      <w:r>
        <w:rPr>
          <w:spacing w:val="-2"/>
        </w:rPr>
        <w:t>华大基因在多个地区开展宫颈癌和出生缺陷防控公益项目，对贫困建档立卡户采取进一步补贴的方式，让更多贫困人口</w:t>
      </w:r>
      <w:r>
        <w:rPr/>
        <w:t> </w:t>
      </w:r>
      <w:r>
        <w:rPr>
          <w:spacing w:val="-3"/>
        </w:rPr>
        <w:t>接受出生缺陷、女性子宫颈癌防控筛查，让基因科技在更大范围内普惠百姓，截至报告期末，该项目已累计为约</w:t>
      </w:r>
      <w:r>
        <w:rPr>
          <w:rFonts w:ascii="Times New Roman" w:hAnsi="Times New Roman" w:cs="Times New Roman" w:eastAsia="Times New Roman" w:hint="default"/>
          <w:spacing w:val="-3"/>
        </w:rPr>
        <w:t>8,000</w:t>
      </w:r>
      <w:r>
        <w:rPr>
          <w:spacing w:val="-3"/>
        </w:rPr>
        <w:t>个建档</w:t>
      </w:r>
      <w:r>
        <w:rPr>
          <w:spacing w:val="-48"/>
        </w:rPr>
        <w:t> </w:t>
      </w:r>
      <w:r>
        <w:rPr>
          <w:spacing w:val="-48"/>
        </w:rPr>
      </w:r>
      <w:r>
        <w:rPr>
          <w:spacing w:val="-1"/>
        </w:rPr>
        <w:t>立卡贫困户提供宫颈癌免费检测服务，累计检测无创产前基因检测项目样本</w:t>
      </w:r>
      <w:r>
        <w:rPr>
          <w:rFonts w:ascii="Times New Roman" w:hAnsi="Times New Roman" w:cs="Times New Roman" w:eastAsia="Times New Roman" w:hint="default"/>
          <w:spacing w:val="-1"/>
        </w:rPr>
        <w:t>3,000</w:t>
      </w:r>
      <w:r>
        <w:rPr>
          <w:spacing w:val="-1"/>
        </w:rPr>
        <w:t>余例，宫颈癌样本</w:t>
      </w:r>
      <w:r>
        <w:rPr>
          <w:rFonts w:ascii="Times New Roman" w:hAnsi="Times New Roman" w:cs="Times New Roman" w:eastAsia="Times New Roman" w:hint="default"/>
          <w:spacing w:val="-1"/>
        </w:rPr>
        <w:t>3</w:t>
      </w:r>
      <w:r>
        <w:rPr>
          <w:spacing w:val="-1"/>
        </w:rPr>
        <w:t>万余例，分别检出无创</w:t>
      </w:r>
      <w:r>
        <w:rPr>
          <w:spacing w:val="-75"/>
        </w:rPr>
        <w:t> </w:t>
      </w:r>
      <w:r>
        <w:rPr>
          <w:spacing w:val="-75"/>
        </w:rPr>
      </w:r>
      <w:r>
        <w:rPr/>
        <w:t>阳性样本</w:t>
      </w:r>
      <w:r>
        <w:rPr>
          <w:rFonts w:ascii="Times New Roman" w:hAnsi="Times New Roman" w:cs="Times New Roman" w:eastAsia="Times New Roman" w:hint="default"/>
        </w:rPr>
        <w:t>12</w:t>
      </w:r>
      <w:r>
        <w:rPr/>
        <w:t>例和宫颈癌阳性样本</w:t>
      </w:r>
      <w:r>
        <w:rPr>
          <w:rFonts w:ascii="Times New Roman" w:hAnsi="Times New Roman" w:cs="Times New Roman" w:eastAsia="Times New Roman" w:hint="default"/>
        </w:rPr>
        <w:t>4,000</w:t>
      </w:r>
      <w:r>
        <w:rPr/>
        <w:t>余例。</w:t>
      </w:r>
    </w:p>
    <w:p>
      <w:pPr>
        <w:spacing w:after="0" w:line="307" w:lineRule="auto"/>
        <w:jc w:val="both"/>
        <w:sectPr>
          <w:headerReference w:type="default" r:id="rId34"/>
          <w:footerReference w:type="default" r:id="rId35"/>
          <w:pgSz w:w="11910" w:h="16840"/>
          <w:pgMar w:header="880" w:footer="974" w:top="1100" w:bottom="1160" w:left="980" w:right="0"/>
          <w:pgNumType w:start="114"/>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625"/>
        <w:gridCol w:w="1553"/>
        <w:gridCol w:w="4390"/>
      </w:tblGrid>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214" w:firstLine="360"/>
        <w:jc w:val="left"/>
      </w:pPr>
      <w:r>
        <w:rPr/>
        <w:t>华大基因将继续践行中央关于</w:t>
      </w:r>
      <w:r>
        <w:rPr>
          <w:rFonts w:ascii="Times New Roman" w:hAnsi="Times New Roman" w:cs="Times New Roman" w:eastAsia="Times New Roman" w:hint="default"/>
        </w:rPr>
        <w:t>“</w:t>
      </w:r>
      <w:r>
        <w:rPr/>
        <w:t>精准扶贫、精准脱贫</w:t>
      </w:r>
      <w:r>
        <w:rPr>
          <w:rFonts w:ascii="Times New Roman" w:hAnsi="Times New Roman" w:cs="Times New Roman" w:eastAsia="Times New Roman" w:hint="default"/>
        </w:rPr>
        <w:t>”</w:t>
      </w:r>
      <w:r>
        <w:rPr/>
        <w:t>的方略，加快产品升级，降低成本，通过实施基因筛查民生工 程，更加精准地对贯穿全生命周期的出生缺陷、肿瘤、传感染病进行防控，持续缓解因病致贫，因病返贫的局面。同时继 续不断探索多种模式，多种资源组合。</w:t>
      </w:r>
      <w:r>
        <w:rPr>
          <w:rFonts w:ascii="Times New Roman" w:hAnsi="Times New Roman" w:cs="Times New Roman" w:eastAsia="Times New Roman" w:hint="default"/>
        </w:rPr>
        <w:t>2019</w:t>
      </w:r>
      <w:r>
        <w:rPr/>
        <w:t>年华大基因联合中国扶贫开发协会发起宫颈癌和出生缺陷防控公益项目，在贵 州、辽宁、江西、山西等省份开展，拟对贫困建档立卡户采取进一步补贴的方式，让更多贫困人口接受出生缺陷、女性子 宫颈癌防控筛查，让基因科技在更大范围内普惠百姓。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240" w:lineRule="auto" w:before="27"/>
        <w:ind w:left="513" w:right="1133"/>
        <w:jc w:val="left"/>
      </w:pPr>
      <w:r>
        <w:rPr/>
        <w:t>公司及其子公司不属于环境保护部门公布的重点排污单位。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1133"/>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430" w:lineRule="exact" w:before="51"/>
        <w:ind w:left="513" w:right="1168"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（一）调整董事会成员人数事项的说明</w:t>
      </w:r>
      <w:r>
        <w:rPr>
          <w:rFonts w:ascii="宋体" w:hAnsi="宋体" w:cs="宋体" w:eastAsia="宋体" w:hint="default"/>
          <w:b/>
          <w:bCs/>
          <w:w w:val="99"/>
          <w:sz w:val="18"/>
          <w:szCs w:val="18"/>
        </w:rPr>
        <w:t> </w:t>
      </w:r>
      <w:r>
        <w:rPr>
          <w:rFonts w:ascii="宋体" w:hAnsi="宋体" w:cs="宋体" w:eastAsia="宋体" w:hint="default"/>
          <w:sz w:val="18"/>
          <w:szCs w:val="18"/>
        </w:rPr>
        <w:t>为进一步提高董事会运作效率和战略决策水平</w:t>
      </w:r>
      <w:r>
        <w:rPr>
          <w:rFonts w:ascii="Times New Roman" w:hAnsi="Times New Roman" w:cs="Times New Roman" w:eastAsia="Times New Roman" w:hint="default"/>
          <w:sz w:val="18"/>
          <w:szCs w:val="18"/>
        </w:rPr>
        <w:t>,</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日召开的公司第一届董事会第十七次会议、</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p>
    <w:p>
      <w:pPr>
        <w:pStyle w:val="BodyText"/>
        <w:spacing w:line="300" w:lineRule="auto" w:before="15"/>
        <w:ind w:right="1124"/>
        <w:jc w:val="left"/>
      </w:pPr>
      <w:r>
        <w:rPr/>
        <w:t>月</w:t>
      </w:r>
      <w:r>
        <w:rPr>
          <w:rFonts w:ascii="Times New Roman" w:hAnsi="Times New Roman" w:cs="Times New Roman" w:eastAsia="Times New Roman" w:hint="default"/>
        </w:rPr>
        <w:t>7</w:t>
      </w:r>
      <w:r>
        <w:rPr/>
        <w:t>日召开的</w:t>
      </w:r>
      <w:r>
        <w:rPr>
          <w:rFonts w:ascii="Times New Roman" w:hAnsi="Times New Roman" w:cs="Times New Roman" w:eastAsia="Times New Roman" w:hint="default"/>
        </w:rPr>
        <w:t>2018</w:t>
      </w:r>
      <w:r>
        <w:rPr/>
        <w:t>年第一次临时股东大会审议通过了《关于调整董事会成员人数暨修订〈公司章程〉的议案》，根据公司经 营发展及实际情况需要，公司董事会成员人数由 </w:t>
      </w:r>
      <w:r>
        <w:rPr>
          <w:rFonts w:ascii="Times New Roman" w:hAnsi="Times New Roman" w:cs="Times New Roman" w:eastAsia="Times New Roman" w:hint="default"/>
        </w:rPr>
        <w:t>15 </w:t>
      </w:r>
      <w:r>
        <w:rPr/>
        <w:t>人调整为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人，其中，非独立董事人数由</w:t>
      </w:r>
      <w:r>
        <w:rPr>
          <w:rFonts w:ascii="Times New Roman" w:hAnsi="Times New Roman" w:cs="Times New Roman" w:eastAsia="Times New Roman" w:hint="default"/>
        </w:rPr>
        <w:t>10</w:t>
      </w:r>
      <w:r>
        <w:rPr/>
        <w:t>人调减为</w:t>
      </w:r>
      <w:r>
        <w:rPr>
          <w:rFonts w:ascii="Times New Roman" w:hAnsi="Times New Roman" w:cs="Times New Roman" w:eastAsia="Times New Roman" w:hint="default"/>
        </w:rPr>
        <w:t>8</w:t>
      </w:r>
      <w:r>
        <w:rPr/>
        <w:t>人，独立董事 人数由</w:t>
      </w:r>
      <w:r>
        <w:rPr>
          <w:rFonts w:ascii="Times New Roman" w:hAnsi="Times New Roman" w:cs="Times New Roman" w:eastAsia="Times New Roman" w:hint="default"/>
        </w:rPr>
        <w:t>5</w:t>
      </w:r>
      <w:r>
        <w:rPr/>
        <w:t>人调减为</w:t>
      </w:r>
      <w:r>
        <w:rPr>
          <w:rFonts w:ascii="Times New Roman" w:hAnsi="Times New Roman" w:cs="Times New Roman" w:eastAsia="Times New Roman" w:hint="default"/>
        </w:rPr>
        <w:t>4</w:t>
      </w:r>
      <w:r>
        <w:rPr/>
        <w:t>人。公司董事吴淳女士、董事赵谦先生和独立董事王石先生因个人原因辞任。</w:t>
      </w:r>
    </w:p>
    <w:p>
      <w:pPr>
        <w:spacing w:after="0" w:line="300" w:lineRule="auto"/>
        <w:jc w:val="left"/>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240" w:lineRule="auto" w:before="44"/>
        <w:ind w:left="513" w:right="1133"/>
        <w:jc w:val="left"/>
      </w:pPr>
      <w:r>
        <w:rPr/>
        <w:t>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日在巨潮资讯网上披露的《关于调整董事会成员人数暨修订《公司章程》的公告》</w:t>
      </w:r>
    </w:p>
    <w:p>
      <w:pPr>
        <w:pStyle w:val="BodyText"/>
        <w:spacing w:line="240" w:lineRule="auto" w:before="63"/>
        <w:ind w:right="0"/>
        <w:jc w:val="both"/>
      </w:pPr>
      <w:r>
        <w:rPr/>
        <w:t>（公告编号：</w:t>
      </w:r>
      <w:r>
        <w:rPr>
          <w:rFonts w:ascii="Times New Roman" w:hAnsi="Times New Roman" w:cs="Times New Roman" w:eastAsia="Times New Roman" w:hint="default"/>
        </w:rPr>
        <w:t>2018-002</w:t>
      </w:r>
      <w:r>
        <w:rPr/>
        <w:t>）、《关于公司董事辞任的公告》（公告编号：</w:t>
      </w:r>
      <w:r>
        <w:rPr>
          <w:rFonts w:ascii="Times New Roman" w:hAnsi="Times New Roman" w:cs="Times New Roman" w:eastAsia="Times New Roman" w:hint="default"/>
        </w:rPr>
        <w:t>2018-004</w:t>
      </w:r>
      <w:r>
        <w:rPr/>
        <w:t>）。</w:t>
      </w:r>
    </w:p>
    <w:p>
      <w:pPr>
        <w:spacing w:line="432" w:lineRule="exact" w:before="47"/>
        <w:ind w:left="513" w:right="1303" w:firstLine="0"/>
        <w:jc w:val="left"/>
        <w:rPr>
          <w:rFonts w:ascii="宋体" w:hAnsi="宋体" w:cs="宋体" w:eastAsia="宋体" w:hint="default"/>
          <w:sz w:val="18"/>
          <w:szCs w:val="18"/>
        </w:rPr>
      </w:pPr>
      <w:r>
        <w:rPr>
          <w:rFonts w:ascii="宋体" w:hAnsi="宋体" w:cs="宋体" w:eastAsia="宋体" w:hint="default"/>
          <w:b/>
          <w:bCs/>
          <w:sz w:val="18"/>
          <w:szCs w:val="18"/>
        </w:rPr>
        <w:t>（二）董事会、监事会和高级管理人员换届事项的说明</w:t>
      </w:r>
      <w:r>
        <w:rPr>
          <w:rFonts w:ascii="宋体" w:hAnsi="宋体" w:cs="宋体" w:eastAsia="宋体" w:hint="default"/>
          <w:b/>
          <w:bCs/>
          <w:w w:val="99"/>
          <w:sz w:val="18"/>
          <w:szCs w:val="18"/>
        </w:rPr>
        <w:t> </w:t>
      </w:r>
      <w:r>
        <w:rPr>
          <w:rFonts w:ascii="宋体" w:hAnsi="宋体" w:cs="宋体" w:eastAsia="宋体" w:hint="default"/>
          <w:sz w:val="18"/>
          <w:szCs w:val="18"/>
        </w:rPr>
        <w:t>公司第一届董事会、监事会任期届满，</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日公司召开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年第二次临时股东大会、第二届董事会第一次会</w:t>
      </w:r>
    </w:p>
    <w:p>
      <w:pPr>
        <w:pStyle w:val="BodyText"/>
        <w:spacing w:line="309" w:lineRule="auto" w:before="15"/>
        <w:ind w:right="1228"/>
        <w:jc w:val="both"/>
      </w:pPr>
      <w:r>
        <w:rPr/>
        <w:t>议、第二届监事会第一次会议，根据公司治理实际情况需要，在调整董事会成员人数的前提下，完成了第二届董事会、监 事会的换届选举和高级管理人员的换届聘任。本次换届完成后，公司董事人数由</w:t>
      </w:r>
      <w:r>
        <w:rPr>
          <w:rFonts w:ascii="Times New Roman" w:hAnsi="Times New Roman" w:cs="Times New Roman" w:eastAsia="Times New Roman" w:hint="default"/>
        </w:rPr>
        <w:t>12</w:t>
      </w:r>
      <w:r>
        <w:rPr/>
        <w:t>人调减为</w:t>
      </w:r>
      <w:r>
        <w:rPr>
          <w:rFonts w:ascii="Times New Roman" w:hAnsi="Times New Roman" w:cs="Times New Roman" w:eastAsia="Times New Roman" w:hint="default"/>
        </w:rPr>
        <w:t>9</w:t>
      </w:r>
      <w:r>
        <w:rPr/>
        <w:t>人，其中非独立董事人数由</w:t>
      </w:r>
      <w:r>
        <w:rPr>
          <w:rFonts w:ascii="Times New Roman" w:hAnsi="Times New Roman" w:cs="Times New Roman" w:eastAsia="Times New Roman" w:hint="default"/>
        </w:rPr>
        <w:t>8 </w:t>
      </w:r>
      <w:r>
        <w:rPr/>
        <w:t>人调减为</w:t>
      </w:r>
      <w:r>
        <w:rPr>
          <w:rFonts w:ascii="Times New Roman" w:hAnsi="Times New Roman" w:cs="Times New Roman" w:eastAsia="Times New Roman" w:hint="default"/>
        </w:rPr>
        <w:t>6</w:t>
      </w:r>
      <w:r>
        <w:rPr/>
        <w:t>人，独立董事人数由</w:t>
      </w:r>
      <w:r>
        <w:rPr>
          <w:rFonts w:ascii="Times New Roman" w:hAnsi="Times New Roman" w:cs="Times New Roman" w:eastAsia="Times New Roman" w:hint="default"/>
        </w:rPr>
        <w:t>4</w:t>
      </w:r>
      <w:r>
        <w:rPr/>
        <w:t>人调减为</w:t>
      </w:r>
      <w:r>
        <w:rPr>
          <w:rFonts w:ascii="Times New Roman" w:hAnsi="Times New Roman" w:cs="Times New Roman" w:eastAsia="Times New Roman" w:hint="default"/>
        </w:rPr>
        <w:t>3</w:t>
      </w:r>
      <w:r>
        <w:rPr/>
        <w:t>人。</w:t>
      </w:r>
    </w:p>
    <w:p>
      <w:pPr>
        <w:pStyle w:val="BodyText"/>
        <w:spacing w:line="300" w:lineRule="auto" w:before="125"/>
        <w:ind w:right="1169" w:firstLine="360"/>
        <w:jc w:val="both"/>
      </w:pPr>
      <w:r>
        <w:rPr/>
        <w:t>具体内容详见公司在巨潮资讯网上披露的《关于调整董事会成员人数暨修订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的公告》（披露日期：</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日，公告编号：</w:t>
      </w:r>
      <w:r>
        <w:rPr>
          <w:rFonts w:ascii="Times New Roman" w:hAnsi="Times New Roman" w:cs="Times New Roman" w:eastAsia="Times New Roman" w:hint="default"/>
        </w:rPr>
        <w:t>2018-037</w:t>
      </w:r>
      <w:r>
        <w:rPr/>
        <w:t>），《关于董事会、监事会和高级管理人员换届完成的公告》（披露日期：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w:t>
      </w:r>
      <w:r>
        <w:rPr>
          <w:spacing w:val="-3"/>
        </w:rPr>
        <w:t> </w:t>
      </w:r>
      <w:r>
        <w:rPr/>
        <w:t>公告编号：</w:t>
      </w:r>
      <w:r>
        <w:rPr>
          <w:rFonts w:ascii="Times New Roman" w:hAnsi="Times New Roman" w:cs="Times New Roman" w:eastAsia="Times New Roman" w:hint="default"/>
        </w:rPr>
        <w:t>2018-049</w:t>
      </w:r>
      <w:r>
        <w:rPr/>
        <w:t>）。</w:t>
      </w:r>
    </w:p>
    <w:p>
      <w:pPr>
        <w:pStyle w:val="Heading5"/>
        <w:spacing w:line="240" w:lineRule="auto" w:before="133"/>
        <w:ind w:right="1133"/>
        <w:jc w:val="left"/>
        <w:rPr>
          <w:b w:val="0"/>
          <w:bCs w:val="0"/>
        </w:rPr>
      </w:pPr>
      <w:r>
        <w:rPr/>
        <w:t>（三）相关增持计划实施情况的说明</w:t>
      </w:r>
      <w:r>
        <w:rPr>
          <w:b w:val="0"/>
          <w:bCs w:val="0"/>
        </w:rPr>
      </w:r>
    </w:p>
    <w:p>
      <w:pPr>
        <w:spacing w:line="240" w:lineRule="auto" w:before="0"/>
        <w:rPr>
          <w:rFonts w:ascii="宋体" w:hAnsi="宋体" w:cs="宋体" w:eastAsia="宋体" w:hint="default"/>
          <w:b/>
          <w:bCs/>
          <w:sz w:val="15"/>
          <w:szCs w:val="15"/>
        </w:rPr>
      </w:pPr>
    </w:p>
    <w:p>
      <w:pPr>
        <w:pStyle w:val="BodyText"/>
        <w:spacing w:line="304" w:lineRule="auto"/>
        <w:ind w:right="1135" w:firstLine="360"/>
        <w:jc w:val="left"/>
      </w:pPr>
      <w:r>
        <w:rPr/>
        <w:t>基于对公司未来发展前景的坚定信心以及对公司价值的认可，同时为了提升投资者信心，切实维护中小股东利益，公 司实际控制人、部分董事、监事、高级管理人员、核心骨干人员及控股股东华大控股核心管理团队计划增持公司股份，在 各自增持计划公告发布之日起</w:t>
      </w:r>
      <w:r>
        <w:rPr>
          <w:rFonts w:ascii="Times New Roman" w:hAnsi="Times New Roman" w:cs="Times New Roman" w:eastAsia="Times New Roman" w:hint="default"/>
        </w:rPr>
        <w:t>6</w:t>
      </w:r>
      <w:r>
        <w:rPr/>
        <w:t>个月内实施完毕，增持金额累计不低于</w:t>
      </w:r>
      <w:r>
        <w:rPr>
          <w:rFonts w:ascii="Times New Roman" w:hAnsi="Times New Roman" w:cs="Times New Roman" w:eastAsia="Times New Roman" w:hint="default"/>
        </w:rPr>
        <w:t>1.9</w:t>
      </w:r>
      <w:r>
        <w:rPr/>
        <w:t>亿元人民币。具体内容详见公司在巨潮资讯网上 披露的《关于部分董事、高级管理人员增持公司股份计划的公告》（增持计划</w:t>
      </w:r>
      <w:r>
        <w:rPr>
          <w:rFonts w:ascii="Times New Roman" w:hAnsi="Times New Roman" w:cs="Times New Roman" w:eastAsia="Times New Roman" w:hint="default"/>
        </w:rPr>
        <w:t>1</w:t>
      </w:r>
      <w:r>
        <w:rPr/>
        <w:t>，披露日期：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日，公告编号：</w:t>
      </w:r>
      <w:r>
        <w:rPr>
          <w:spacing w:val="-87"/>
        </w:rPr>
        <w:t> </w:t>
      </w:r>
      <w:r>
        <w:rPr>
          <w:rFonts w:ascii="Times New Roman" w:hAnsi="Times New Roman" w:cs="Times New Roman" w:eastAsia="Times New Roman" w:hint="default"/>
        </w:rPr>
        <w:t>2018-056</w:t>
      </w:r>
      <w:r>
        <w:rPr/>
        <w:t>）、《关于监事及核心骨干人员增持公司股份计划的公告》（增持计划</w:t>
      </w:r>
      <w:r>
        <w:rPr>
          <w:rFonts w:ascii="Times New Roman" w:hAnsi="Times New Roman" w:cs="Times New Roman" w:eastAsia="Times New Roman" w:hint="default"/>
        </w:rPr>
        <w:t>2</w:t>
      </w:r>
      <w:r>
        <w:rPr/>
        <w:t>，披露日期：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日，公告编 号：</w:t>
      </w:r>
      <w:r>
        <w:rPr>
          <w:rFonts w:ascii="Times New Roman" w:hAnsi="Times New Roman" w:cs="Times New Roman" w:eastAsia="Times New Roman" w:hint="default"/>
        </w:rPr>
        <w:t>2018-059</w:t>
      </w:r>
      <w:r>
        <w:rPr/>
        <w:t>）、《关于公司实际控制人、部分董事及控股股东核心管理团队增持公司股份计划的公告》（增持计划</w:t>
      </w:r>
      <w:r>
        <w:rPr>
          <w:rFonts w:ascii="Times New Roman" w:hAnsi="Times New Roman" w:cs="Times New Roman" w:eastAsia="Times New Roman" w:hint="default"/>
        </w:rPr>
        <w:t>3</w:t>
      </w:r>
      <w:r>
        <w:rPr/>
        <w:t>，披 露日期：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日，公告编号：</w:t>
      </w:r>
      <w:r>
        <w:rPr>
          <w:rFonts w:ascii="Times New Roman" w:hAnsi="Times New Roman" w:cs="Times New Roman" w:eastAsia="Times New Roman" w:hint="default"/>
        </w:rPr>
        <w:t>2018-060</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日，上述三个增持计划累计完成的增持金额为 </w:t>
      </w:r>
      <w:r>
        <w:rPr>
          <w:rFonts w:ascii="Times New Roman" w:hAnsi="Times New Roman" w:cs="Times New Roman" w:eastAsia="Times New Roman" w:hint="default"/>
        </w:rPr>
        <w:t>193,110,763</w:t>
      </w:r>
      <w:r>
        <w:rPr/>
        <w:t>元，其中，增持计划</w:t>
      </w:r>
      <w:r>
        <w:rPr>
          <w:rFonts w:ascii="Times New Roman" w:hAnsi="Times New Roman" w:cs="Times New Roman" w:eastAsia="Times New Roman" w:hint="default"/>
        </w:rPr>
        <w:t>1</w:t>
      </w:r>
      <w:r>
        <w:rPr/>
        <w:t>、增持计划</w:t>
      </w:r>
      <w:r>
        <w:rPr>
          <w:rFonts w:ascii="Times New Roman" w:hAnsi="Times New Roman" w:cs="Times New Roman" w:eastAsia="Times New Roman" w:hint="default"/>
        </w:rPr>
        <w:t>2</w:t>
      </w:r>
      <w:r>
        <w:rPr/>
        <w:t>、增持计划</w:t>
      </w:r>
      <w:r>
        <w:rPr>
          <w:rFonts w:ascii="Times New Roman" w:hAnsi="Times New Roman" w:cs="Times New Roman" w:eastAsia="Times New Roman" w:hint="default"/>
        </w:rPr>
        <w:t>3</w:t>
      </w:r>
      <w:r>
        <w:rPr/>
        <w:t>分别完成的增持金额为</w:t>
      </w:r>
      <w:r>
        <w:rPr>
          <w:rFonts w:ascii="Times New Roman" w:hAnsi="Times New Roman" w:cs="Times New Roman" w:eastAsia="Times New Roman" w:hint="default"/>
        </w:rPr>
        <w:t>31,182,818</w:t>
      </w:r>
      <w:r>
        <w:rPr/>
        <w:t>元、</w:t>
      </w:r>
      <w:r>
        <w:rPr>
          <w:rFonts w:ascii="Times New Roman" w:hAnsi="Times New Roman" w:cs="Times New Roman" w:eastAsia="Times New Roman" w:hint="default"/>
        </w:rPr>
        <w:t>10,736,780</w:t>
      </w:r>
      <w:r>
        <w:rPr/>
        <w:t>元、</w:t>
      </w:r>
      <w:r>
        <w:rPr>
          <w:rFonts w:ascii="Times New Roman" w:hAnsi="Times New Roman" w:cs="Times New Roman" w:eastAsia="Times New Roman" w:hint="default"/>
        </w:rPr>
        <w:t>151,191,165 </w:t>
      </w:r>
      <w:r>
        <w:rPr/>
        <w:t>元，上述三个增持计划已全部实施完成。</w:t>
      </w:r>
    </w:p>
    <w:p>
      <w:pPr>
        <w:pStyle w:val="BodyText"/>
        <w:spacing w:line="307" w:lineRule="auto" w:before="148"/>
        <w:ind w:right="1042" w:firstLine="360"/>
        <w:jc w:val="left"/>
      </w:pPr>
      <w:r>
        <w:rPr>
          <w:spacing w:val="-2"/>
        </w:rPr>
        <w:t>具体内容详见公司在巨潮资讯网上披露的增持计划实施完成公告：《关于部分董事、高级管理人员增持公司股份计划完</w:t>
      </w:r>
      <w:r>
        <w:rPr/>
        <w:t> 成的公告》（披露日期：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日，公告编号：</w:t>
      </w:r>
      <w:r>
        <w:rPr>
          <w:rFonts w:ascii="Times New Roman" w:hAnsi="Times New Roman" w:cs="Times New Roman" w:eastAsia="Times New Roman" w:hint="default"/>
        </w:rPr>
        <w:t>2018-092</w:t>
      </w:r>
      <w:r>
        <w:rPr/>
        <w:t>）、《关于监事及核心骨干人员增持公司股份计划完成的公 告》（披露日期：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日，公告编号</w:t>
      </w:r>
      <w:r>
        <w:rPr>
          <w:rFonts w:ascii="Times New Roman" w:hAnsi="Times New Roman" w:cs="Times New Roman" w:eastAsia="Times New Roman" w:hint="default"/>
        </w:rPr>
        <w:t>2019-004</w:t>
      </w:r>
      <w:r>
        <w:rPr/>
        <w:t>）、《关于公司实际控制人、部分董事及控股股东核心管理团队增持公 司股份计划完成的公告》（披露日期：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日，公告编号</w:t>
      </w:r>
      <w:r>
        <w:rPr>
          <w:rFonts w:ascii="Times New Roman" w:hAnsi="Times New Roman" w:cs="Times New Roman" w:eastAsia="Times New Roman" w:hint="default"/>
        </w:rPr>
        <w:t>2019-001</w:t>
      </w:r>
      <w:r>
        <w:rPr/>
        <w:t>）；增持计划实施期限过半的进展公告《关于实际 控制人、部分董事、监事、高级管理人员、核心骨干人员及控股股东核心管理团队增持股份计划的进展公告》（披露日期：</w:t>
      </w:r>
      <w:r>
        <w:rPr>
          <w:spacing w:val="-83"/>
        </w:rPr>
        <w:t> </w:t>
      </w:r>
      <w:r>
        <w:rPr>
          <w:spacing w:val="-83"/>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日，公告编号：</w:t>
      </w:r>
      <w:r>
        <w:rPr>
          <w:rFonts w:ascii="Times New Roman" w:hAnsi="Times New Roman" w:cs="Times New Roman" w:eastAsia="Times New Roman" w:hint="default"/>
        </w:rPr>
        <w:t>2018-076</w:t>
      </w:r>
      <w:r>
        <w:rPr/>
        <w:t>）。</w:t>
      </w:r>
    </w:p>
    <w:p>
      <w:pPr>
        <w:spacing w:line="439" w:lineRule="auto" w:before="127"/>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（四）控股股东股权质押情况的说明</w:t>
      </w:r>
      <w:r>
        <w:rPr>
          <w:rFonts w:ascii="宋体" w:hAnsi="宋体" w:cs="宋体" w:eastAsia="宋体" w:hint="default"/>
          <w:b/>
          <w:bCs/>
          <w:w w:val="99"/>
          <w:sz w:val="18"/>
          <w:szCs w:val="18"/>
        </w:rPr>
        <w:t> </w:t>
      </w:r>
      <w:r>
        <w:rPr>
          <w:rFonts w:ascii="宋体" w:hAnsi="宋体" w:cs="宋体" w:eastAsia="宋体" w:hint="default"/>
          <w:sz w:val="18"/>
          <w:szCs w:val="18"/>
        </w:rPr>
        <w:t>自报告期内开始，公司控股股东华大控股根据自身资金安排将其持有的上市公司股权办理质押情况如下：</w:t>
      </w:r>
    </w:p>
    <w:p>
      <w:pPr>
        <w:pStyle w:val="BodyText"/>
        <w:spacing w:line="300" w:lineRule="auto" w:before="47"/>
        <w:ind w:right="1132" w:firstLine="360"/>
        <w:jc w:val="right"/>
      </w:pPr>
      <w:r>
        <w:rPr/>
        <w:t>华大控股于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日将其持有的上市公司</w:t>
      </w:r>
      <w:r>
        <w:rPr>
          <w:rFonts w:ascii="Times New Roman" w:hAnsi="Times New Roman" w:cs="Times New Roman" w:eastAsia="Times New Roman" w:hint="default"/>
        </w:rPr>
        <w:t>2,620</w:t>
      </w:r>
      <w:r>
        <w:rPr/>
        <w:t>万股质押给中国建设银行股份有限公司深圳市分行，具体详见公 </w:t>
      </w:r>
      <w:r>
        <w:rPr>
          <w:spacing w:val="-5"/>
        </w:rPr>
        <w:t>司于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24</w:t>
      </w:r>
      <w:r>
        <w:rPr>
          <w:spacing w:val="-5"/>
        </w:rPr>
        <w:t>日发布在巨潮资讯网的《关于公司控股股东部分股权质押的公告》（披露日期：，公告编号：</w:t>
      </w:r>
      <w:r>
        <w:rPr>
          <w:rFonts w:ascii="Times New Roman" w:hAnsi="Times New Roman" w:cs="Times New Roman" w:eastAsia="Times New Roman" w:hint="default"/>
          <w:spacing w:val="-5"/>
        </w:rPr>
        <w:t>2018-098</w:t>
      </w:r>
      <w:r>
        <w:rPr>
          <w:spacing w:val="-5"/>
        </w:rPr>
        <w:t>）。</w:t>
      </w:r>
      <w:r>
        <w:rPr/>
      </w:r>
    </w:p>
    <w:p>
      <w:pPr>
        <w:pStyle w:val="BodyText"/>
        <w:spacing w:line="300" w:lineRule="auto" w:before="133"/>
        <w:ind w:right="1131" w:firstLine="360"/>
        <w:jc w:val="both"/>
      </w:pPr>
      <w:r>
        <w:rPr>
          <w:spacing w:val="-3"/>
        </w:rPr>
        <w:t>华大控股于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w:t>
      </w:r>
      <w:r>
        <w:rPr>
          <w:spacing w:val="-3"/>
        </w:rPr>
        <w:t>日将其持有的上市公司</w:t>
      </w:r>
      <w:r>
        <w:rPr>
          <w:rFonts w:ascii="Times New Roman" w:hAnsi="Times New Roman" w:cs="Times New Roman" w:eastAsia="Times New Roman" w:hint="default"/>
          <w:spacing w:val="-3"/>
        </w:rPr>
        <w:t>89,227,200</w:t>
      </w:r>
      <w:r>
        <w:rPr>
          <w:spacing w:val="-3"/>
        </w:rPr>
        <w:t>股质押给深圳邮银华大生命产业股权投资母基金（有限合伙），</w:t>
      </w:r>
      <w:r>
        <w:rPr/>
        <w:t> 具体详见公司于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日发布在巨潮资讯网的具体详见《关于公司控股股东部分股权质押的公告》（公告编号：</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rFonts w:ascii="Times New Roman" w:hAnsi="Times New Roman" w:cs="Times New Roman" w:eastAsia="Times New Roman" w:hint="default"/>
        </w:rPr>
        <w:t>002</w:t>
      </w:r>
      <w:r>
        <w:rPr/>
        <w:t>）；</w:t>
      </w:r>
    </w:p>
    <w:p>
      <w:pPr>
        <w:pStyle w:val="BodyText"/>
        <w:spacing w:line="240" w:lineRule="auto" w:before="133"/>
        <w:ind w:left="513" w:right="986"/>
        <w:jc w:val="left"/>
      </w:pPr>
      <w:r>
        <w:rPr/>
        <w:t>华大控股于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日将其持有的上市公司</w:t>
      </w:r>
      <w:r>
        <w:rPr>
          <w:rFonts w:ascii="Times New Roman" w:hAnsi="Times New Roman" w:cs="Times New Roman" w:eastAsia="Times New Roman" w:hint="default"/>
        </w:rPr>
        <w:t>31,800,000</w:t>
      </w:r>
      <w:r>
        <w:rPr/>
        <w:t>股质押给深圳市建银启明投资管理有限公司，具体详见公司于</w:t>
      </w:r>
    </w:p>
    <w:p>
      <w:pPr>
        <w:pStyle w:val="BodyText"/>
        <w:spacing w:line="240" w:lineRule="auto" w:before="63"/>
        <w:ind w:right="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日发布在巨潮资讯网的《关于公司控股股东股权质押的公告》（公告编号：</w:t>
      </w:r>
      <w:r>
        <w:rPr>
          <w:rFonts w:ascii="Times New Roman" w:hAnsi="Times New Roman" w:cs="Times New Roman" w:eastAsia="Times New Roman" w:hint="default"/>
        </w:rPr>
        <w:t>2019-003</w:t>
      </w:r>
      <w:r>
        <w:rPr/>
        <w:t>）。</w:t>
      </w:r>
    </w:p>
    <w:p>
      <w:pPr>
        <w:spacing w:line="240" w:lineRule="auto" w:before="13"/>
        <w:rPr>
          <w:rFonts w:ascii="宋体" w:hAnsi="宋体" w:cs="宋体" w:eastAsia="宋体" w:hint="default"/>
          <w:sz w:val="13"/>
          <w:szCs w:val="13"/>
        </w:rPr>
      </w:pPr>
    </w:p>
    <w:p>
      <w:pPr>
        <w:pStyle w:val="BodyText"/>
        <w:spacing w:line="300" w:lineRule="auto"/>
        <w:ind w:right="1040"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日，华大控股将其质押给深圳市建银启明投资管理有限公司的上市公司股份</w:t>
      </w:r>
      <w:r>
        <w:rPr>
          <w:rFonts w:ascii="Times New Roman" w:hAnsi="Times New Roman" w:cs="Times New Roman" w:eastAsia="Times New Roman" w:hint="default"/>
        </w:rPr>
        <w:t>31,800,000</w:t>
      </w:r>
      <w:r>
        <w:rPr/>
        <w:t>股办理了解除质押， 同时将其持有的上市公司</w:t>
      </w:r>
      <w:r>
        <w:rPr>
          <w:rFonts w:ascii="Times New Roman" w:hAnsi="Times New Roman" w:cs="Times New Roman" w:eastAsia="Times New Roman" w:hint="default"/>
        </w:rPr>
        <w:t>30,630,000</w:t>
      </w:r>
      <w:r>
        <w:rPr/>
        <w:t>股再质押给中国建设银行股份有限公司深圳市分行，具体详见公司于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日发</w:t>
      </w:r>
      <w:r>
        <w:rPr>
          <w:spacing w:val="-6"/>
        </w:rPr>
        <w:t> </w:t>
      </w:r>
      <w:r>
        <w:rPr/>
        <w:t>布在巨潮资讯网的《关于公司控股股东部分股权解除质押及再质押的公告》</w:t>
      </w:r>
      <w:r>
        <w:rPr>
          <w:rFonts w:ascii="Times New Roman" w:hAnsi="Times New Roman" w:cs="Times New Roman" w:eastAsia="Times New Roman" w:hint="default"/>
        </w:rPr>
        <w:t>(</w:t>
      </w:r>
      <w:r>
        <w:rPr/>
        <w:t>公告编号：</w:t>
      </w:r>
      <w:r>
        <w:rPr>
          <w:rFonts w:ascii="Times New Roman" w:hAnsi="Times New Roman" w:cs="Times New Roman" w:eastAsia="Times New Roman" w:hint="default"/>
        </w:rPr>
        <w:t>2019-012</w:t>
      </w:r>
      <w:r>
        <w:rPr/>
        <w:t>）。</w:t>
      </w:r>
    </w:p>
    <w:p>
      <w:pPr>
        <w:pStyle w:val="BodyText"/>
        <w:spacing w:line="240" w:lineRule="auto" w:before="133"/>
        <w:ind w:left="513" w:right="986"/>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日，华大控股将其质押给深圳邮银华大生命产业股权投资母基金（有限合伙）的上市公司股份</w:t>
      </w:r>
      <w:r>
        <w:rPr>
          <w:rFonts w:ascii="Times New Roman" w:hAnsi="Times New Roman" w:cs="Times New Roman" w:eastAsia="Times New Roman" w:hint="default"/>
        </w:rPr>
        <w:t>13,461,500</w:t>
      </w:r>
      <w:r>
        <w:rPr/>
        <w:t>股</w:t>
      </w:r>
    </w:p>
    <w:p>
      <w:pPr>
        <w:spacing w:after="0" w:line="240" w:lineRule="auto"/>
        <w:jc w:val="left"/>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00" w:lineRule="auto" w:before="44"/>
        <w:ind w:right="1130"/>
        <w:jc w:val="left"/>
      </w:pPr>
      <w:r>
        <w:rPr>
          <w:spacing w:val="-2"/>
        </w:rPr>
        <w:t>办理了解除质押，同时将其持有的上市公司</w:t>
      </w:r>
      <w:r>
        <w:rPr>
          <w:rFonts w:ascii="Times New Roman" w:hAnsi="Times New Roman" w:cs="Times New Roman" w:eastAsia="Times New Roman" w:hint="default"/>
          <w:spacing w:val="-2"/>
        </w:rPr>
        <w:t>1,330,000</w:t>
      </w:r>
      <w:r>
        <w:rPr>
          <w:spacing w:val="-2"/>
        </w:rPr>
        <w:t>股再质押给中国银行股份有限公司深圳东部支行，具体详见公司于</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日发布在巨潮资讯网的《关于公司控股股东部分股权解除质押及再质押的公告》</w:t>
      </w:r>
      <w:r>
        <w:rPr>
          <w:rFonts w:ascii="Times New Roman" w:hAnsi="Times New Roman" w:cs="Times New Roman" w:eastAsia="Times New Roman" w:hint="default"/>
        </w:rPr>
        <w:t>(</w:t>
      </w:r>
      <w:r>
        <w:rPr/>
        <w:t>公告编号：</w:t>
      </w:r>
      <w:r>
        <w:rPr>
          <w:rFonts w:ascii="Times New Roman" w:hAnsi="Times New Roman" w:cs="Times New Roman" w:eastAsia="Times New Roman" w:hint="default"/>
        </w:rPr>
        <w:t>2019-028</w:t>
      </w:r>
      <w:r>
        <w:rPr/>
        <w:t>）。</w:t>
      </w:r>
    </w:p>
    <w:p>
      <w:pPr>
        <w:pStyle w:val="BodyText"/>
        <w:spacing w:line="300" w:lineRule="auto" w:before="133"/>
        <w:ind w:right="1128" w:firstLine="360"/>
        <w:jc w:val="both"/>
      </w:pPr>
      <w:r>
        <w:rPr/>
        <w:t>综上，截至本报告披露日，公司控股股东华大控股持有公司股份数量为</w:t>
      </w:r>
      <w:r>
        <w:rPr>
          <w:spacing w:val="-48"/>
        </w:rPr>
        <w:t> </w:t>
      </w:r>
      <w:r>
        <w:rPr>
          <w:rFonts w:ascii="Times New Roman" w:hAnsi="Times New Roman" w:cs="Times New Roman" w:eastAsia="Times New Roman" w:hint="default"/>
        </w:rPr>
        <w:t>148,773,893</w:t>
      </w:r>
      <w:r>
        <w:rPr/>
        <w:t>股，占公司总股本的</w:t>
      </w:r>
      <w:r>
        <w:rPr>
          <w:spacing w:val="-48"/>
        </w:rPr>
        <w:t> </w:t>
      </w:r>
      <w:r>
        <w:rPr>
          <w:rFonts w:ascii="Times New Roman" w:hAnsi="Times New Roman" w:cs="Times New Roman" w:eastAsia="Times New Roman" w:hint="default"/>
        </w:rPr>
        <w:t>37.18%</w:t>
      </w:r>
      <w:r>
        <w:rPr/>
        <w:t>；其持 有公司股份累计被质押</w:t>
      </w:r>
      <w:r>
        <w:rPr>
          <w:rFonts w:ascii="Times New Roman" w:hAnsi="Times New Roman" w:cs="Times New Roman" w:eastAsia="Times New Roman" w:hint="default"/>
        </w:rPr>
        <w:t>133,925,700</w:t>
      </w:r>
      <w:r>
        <w:rPr/>
        <w:t>股，占其持有公司股份数的</w:t>
      </w:r>
      <w:r>
        <w:rPr>
          <w:spacing w:val="-21"/>
        </w:rPr>
        <w:t> </w:t>
      </w:r>
      <w:r>
        <w:rPr>
          <w:rFonts w:ascii="Times New Roman" w:hAnsi="Times New Roman" w:cs="Times New Roman" w:eastAsia="Times New Roman" w:hint="default"/>
        </w:rPr>
        <w:t>90.02%</w:t>
      </w:r>
      <w:r>
        <w:rPr/>
        <w:t>，占公司总股本的</w:t>
      </w:r>
      <w:r>
        <w:rPr>
          <w:rFonts w:ascii="Times New Roman" w:hAnsi="Times New Roman" w:cs="Times New Roman" w:eastAsia="Times New Roman" w:hint="default"/>
        </w:rPr>
        <w:t>33.47%</w:t>
      </w:r>
      <w:r>
        <w:rPr/>
        <w:t>。</w:t>
      </w:r>
    </w:p>
    <w:p>
      <w:pPr>
        <w:pStyle w:val="Heading5"/>
        <w:spacing w:line="240" w:lineRule="auto" w:before="133"/>
        <w:ind w:right="1133"/>
        <w:jc w:val="left"/>
        <w:rPr>
          <w:b w:val="0"/>
          <w:bCs w:val="0"/>
        </w:rPr>
      </w:pPr>
      <w:r>
        <w:rPr/>
        <w:t>（五）</w:t>
      </w:r>
      <w:r>
        <w:rPr>
          <w:rFonts w:ascii="Times New Roman" w:hAnsi="Times New Roman" w:cs="Times New Roman" w:eastAsia="Times New Roman" w:hint="default"/>
        </w:rPr>
        <w:t>5%</w:t>
      </w:r>
      <w:r>
        <w:rPr/>
        <w:t>以上股东减持公司股份情况的说明</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1116" w:firstLine="360"/>
        <w:jc w:val="both"/>
      </w:pPr>
      <w:r>
        <w:rPr>
          <w:spacing w:val="-8"/>
        </w:rPr>
        <w:t>公司于</w:t>
      </w:r>
      <w:r>
        <w:rPr>
          <w:rFonts w:ascii="Times New Roman" w:hAnsi="Times New Roman" w:cs="Times New Roman" w:eastAsia="Times New Roman" w:hint="default"/>
          <w:spacing w:val="-8"/>
        </w:rPr>
        <w:t>2018</w:t>
      </w:r>
      <w:r>
        <w:rPr>
          <w:spacing w:val="-8"/>
        </w:rPr>
        <w:t>年</w:t>
      </w:r>
      <w:r>
        <w:rPr>
          <w:rFonts w:ascii="Times New Roman" w:hAnsi="Times New Roman" w:cs="Times New Roman" w:eastAsia="Times New Roman" w:hint="default"/>
          <w:spacing w:val="-8"/>
        </w:rPr>
        <w:t>10</w:t>
      </w:r>
      <w:r>
        <w:rPr>
          <w:spacing w:val="-8"/>
        </w:rPr>
        <w:t>月</w:t>
      </w:r>
      <w:r>
        <w:rPr>
          <w:rFonts w:ascii="Times New Roman" w:hAnsi="Times New Roman" w:cs="Times New Roman" w:eastAsia="Times New Roman" w:hint="default"/>
          <w:spacing w:val="-8"/>
        </w:rPr>
        <w:t>16</w:t>
      </w:r>
      <w:r>
        <w:rPr>
          <w:spacing w:val="-8"/>
        </w:rPr>
        <w:t>日在巨潮资讯网披露了《关于持股</w:t>
      </w:r>
      <w:r>
        <w:rPr>
          <w:rFonts w:ascii="Times New Roman" w:hAnsi="Times New Roman" w:cs="Times New Roman" w:eastAsia="Times New Roman" w:hint="default"/>
          <w:spacing w:val="-8"/>
        </w:rPr>
        <w:t>5%</w:t>
      </w:r>
      <w:r>
        <w:rPr>
          <w:spacing w:val="-8"/>
        </w:rPr>
        <w:t>以上股东减持股份计划的预披露公告》（公告编号：</w:t>
      </w:r>
      <w:r>
        <w:rPr>
          <w:rFonts w:ascii="Times New Roman" w:hAnsi="Times New Roman" w:cs="Times New Roman" w:eastAsia="Times New Roman" w:hint="default"/>
          <w:spacing w:val="-8"/>
        </w:rPr>
        <w:t>2018-074</w:t>
      </w:r>
      <w:r>
        <w:rPr>
          <w:spacing w:val="-8"/>
        </w:rPr>
        <w:t>），</w:t>
      </w:r>
      <w:r>
        <w:rPr>
          <w:spacing w:val="-77"/>
        </w:rPr>
        <w:t> </w:t>
      </w:r>
      <w:r>
        <w:rPr>
          <w:spacing w:val="-3"/>
        </w:rPr>
        <w:t>持股</w:t>
      </w:r>
      <w:r>
        <w:rPr>
          <w:rFonts w:ascii="Times New Roman" w:hAnsi="Times New Roman" w:cs="Times New Roman" w:eastAsia="Times New Roman" w:hint="default"/>
          <w:spacing w:val="-3"/>
        </w:rPr>
        <w:t>5%</w:t>
      </w:r>
      <w:r>
        <w:rPr>
          <w:spacing w:val="-3"/>
        </w:rPr>
        <w:t>以上股东深圳前海华大基因投资企业（有限合伙）（以下简称</w:t>
      </w:r>
      <w:r>
        <w:rPr>
          <w:rFonts w:ascii="Times New Roman" w:hAnsi="Times New Roman" w:cs="Times New Roman" w:eastAsia="Times New Roman" w:hint="default"/>
          <w:spacing w:val="-3"/>
        </w:rPr>
        <w:t>“</w:t>
      </w:r>
      <w:r>
        <w:rPr>
          <w:spacing w:val="-3"/>
        </w:rPr>
        <w:t>华大投资</w:t>
      </w:r>
      <w:r>
        <w:rPr>
          <w:rFonts w:ascii="Times New Roman" w:hAnsi="Times New Roman" w:cs="Times New Roman" w:eastAsia="Times New Roman" w:hint="default"/>
          <w:spacing w:val="-3"/>
        </w:rPr>
        <w:t>”</w:t>
      </w:r>
      <w:r>
        <w:rPr>
          <w:spacing w:val="-3"/>
        </w:rPr>
        <w:t>）计划以大宗交易或集中竞价方式减持公司</w:t>
      </w:r>
      <w:r>
        <w:rPr>
          <w:spacing w:val="-47"/>
        </w:rPr>
        <w:t> </w:t>
      </w:r>
      <w:r>
        <w:rPr>
          <w:spacing w:val="-47"/>
        </w:rPr>
      </w:r>
      <w:r>
        <w:rPr/>
        <w:t>股份不超过</w:t>
      </w:r>
      <w:r>
        <w:rPr>
          <w:rFonts w:ascii="Times New Roman" w:hAnsi="Times New Roman" w:cs="Times New Roman" w:eastAsia="Times New Roman" w:hint="default"/>
        </w:rPr>
        <w:t>12,003,000</w:t>
      </w:r>
      <w:r>
        <w:rPr/>
        <w:t>股（占本公司总股本比例</w:t>
      </w:r>
      <w:r>
        <w:rPr>
          <w:rFonts w:ascii="Times New Roman" w:hAnsi="Times New Roman" w:cs="Times New Roman" w:eastAsia="Times New Roman" w:hint="default"/>
        </w:rPr>
        <w:t>3%</w:t>
      </w:r>
      <w:r>
        <w:rPr/>
        <w:t>）。</w:t>
      </w:r>
    </w:p>
    <w:p>
      <w:pPr>
        <w:pStyle w:val="BodyText"/>
        <w:spacing w:line="300" w:lineRule="auto" w:before="133"/>
        <w:ind w:right="1134" w:firstLine="360"/>
        <w:jc w:val="both"/>
      </w:pP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日减持计划公告日起至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日，华大投资通过大宗交易和集中竞价交易方式累计减持公司股份 </w:t>
      </w:r>
      <w:r>
        <w:rPr>
          <w:rFonts w:ascii="Times New Roman" w:hAnsi="Times New Roman" w:cs="Times New Roman" w:eastAsia="Times New Roman" w:hint="default"/>
        </w:rPr>
        <w:t>12,002,942</w:t>
      </w:r>
      <w:r>
        <w:rPr/>
        <w:t>股，占公司总股本比例的</w:t>
      </w: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日，华大投资本次减持计划已实施完毕，华大投资持有公司股份</w:t>
      </w:r>
      <w:r>
        <w:rPr>
          <w:spacing w:val="-64"/>
        </w:rPr>
        <w:t> </w:t>
      </w:r>
      <w:r>
        <w:rPr>
          <w:spacing w:val="-64"/>
        </w:rPr>
      </w:r>
      <w:r>
        <w:rPr/>
        <w:t>从实施前的</w:t>
      </w:r>
      <w:r>
        <w:rPr>
          <w:rFonts w:ascii="Times New Roman" w:hAnsi="Times New Roman" w:cs="Times New Roman" w:eastAsia="Times New Roman" w:hint="default"/>
        </w:rPr>
        <w:t>66,915,154</w:t>
      </w:r>
      <w:r>
        <w:rPr/>
        <w:t>股减至实施后的</w:t>
      </w:r>
      <w:r>
        <w:rPr>
          <w:rFonts w:ascii="Times New Roman" w:hAnsi="Times New Roman" w:cs="Times New Roman" w:eastAsia="Times New Roman" w:hint="default"/>
        </w:rPr>
        <w:t>54,912,212</w:t>
      </w:r>
      <w:r>
        <w:rPr/>
        <w:t>股，对公司持股比例相应地从</w:t>
      </w:r>
      <w:r>
        <w:rPr>
          <w:rFonts w:ascii="Times New Roman" w:hAnsi="Times New Roman" w:cs="Times New Roman" w:eastAsia="Times New Roman" w:hint="default"/>
        </w:rPr>
        <w:t>16.7246%</w:t>
      </w:r>
      <w:r>
        <w:rPr/>
        <w:t>降至</w:t>
      </w:r>
      <w:r>
        <w:rPr>
          <w:rFonts w:ascii="Times New Roman" w:hAnsi="Times New Roman" w:cs="Times New Roman" w:eastAsia="Times New Roman" w:hint="default"/>
        </w:rPr>
        <w:t>13.7246%</w:t>
      </w:r>
      <w:r>
        <w:rPr/>
        <w:t>。</w:t>
      </w:r>
    </w:p>
    <w:p>
      <w:pPr>
        <w:pStyle w:val="BodyText"/>
        <w:spacing w:line="304" w:lineRule="auto" w:before="133"/>
        <w:ind w:right="1131" w:firstLine="360"/>
        <w:jc w:val="both"/>
      </w:pPr>
      <w:r>
        <w:rPr>
          <w:spacing w:val="-2"/>
        </w:rPr>
        <w:t>公司已就华大投资减持公司股份进展情况及时按规定履行了信息披露义务，具体详见公司在巨潮资讯网上披露的《关于</w:t>
      </w:r>
      <w:r>
        <w:rPr/>
        <w:t> </w:t>
      </w:r>
      <w:r>
        <w:rPr>
          <w:spacing w:val="-1"/>
        </w:rPr>
        <w:t>持股</w:t>
      </w:r>
      <w:r>
        <w:rPr>
          <w:rFonts w:ascii="Times New Roman" w:hAnsi="Times New Roman" w:cs="Times New Roman" w:eastAsia="Times New Roman" w:hint="default"/>
          <w:spacing w:val="-1"/>
        </w:rPr>
        <w:t>5%</w:t>
      </w:r>
      <w:r>
        <w:rPr>
          <w:spacing w:val="-1"/>
        </w:rPr>
        <w:t>以上股东减持股份比例达到</w:t>
      </w:r>
      <w:r>
        <w:rPr>
          <w:rFonts w:ascii="Times New Roman" w:hAnsi="Times New Roman" w:cs="Times New Roman" w:eastAsia="Times New Roman" w:hint="default"/>
          <w:spacing w:val="-1"/>
        </w:rPr>
        <w:t>1%</w:t>
      </w:r>
      <w:r>
        <w:rPr>
          <w:spacing w:val="-1"/>
        </w:rPr>
        <w:t>的公告》（披露日期：</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14</w:t>
      </w:r>
      <w:r>
        <w:rPr>
          <w:spacing w:val="-1"/>
        </w:rPr>
        <w:t>日公告编号：</w:t>
      </w:r>
      <w:r>
        <w:rPr>
          <w:rFonts w:ascii="Times New Roman" w:hAnsi="Times New Roman" w:cs="Times New Roman" w:eastAsia="Times New Roman" w:hint="default"/>
          <w:spacing w:val="-1"/>
        </w:rPr>
        <w:t>2018-090</w:t>
      </w:r>
      <w:r>
        <w:rPr>
          <w:spacing w:val="-1"/>
        </w:rPr>
        <w:t>）、《关于持股</w:t>
      </w:r>
      <w:r>
        <w:rPr>
          <w:rFonts w:ascii="Times New Roman" w:hAnsi="Times New Roman" w:cs="Times New Roman" w:eastAsia="Times New Roman" w:hint="default"/>
          <w:spacing w:val="-1"/>
        </w:rPr>
        <w:t>5%</w:t>
      </w:r>
      <w:r>
        <w:rPr>
          <w:spacing w:val="-1"/>
        </w:rPr>
        <w:t>以上股</w:t>
      </w:r>
      <w:r>
        <w:rPr/>
        <w:t> </w:t>
      </w:r>
      <w:r>
        <w:rPr>
          <w:spacing w:val="-2"/>
        </w:rPr>
        <w:t>东减持股份计划数量过半的公告》（披露日期：</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日，公告编号：</w:t>
      </w:r>
      <w:r>
        <w:rPr>
          <w:rFonts w:ascii="Times New Roman" w:hAnsi="Times New Roman" w:cs="Times New Roman" w:eastAsia="Times New Roman" w:hint="default"/>
          <w:spacing w:val="-2"/>
        </w:rPr>
        <w:t>2018-093</w:t>
      </w:r>
      <w:r>
        <w:rPr>
          <w:spacing w:val="-2"/>
        </w:rPr>
        <w:t>）、《关于持股</w:t>
      </w:r>
      <w:r>
        <w:rPr>
          <w:rFonts w:ascii="Times New Roman" w:hAnsi="Times New Roman" w:cs="Times New Roman" w:eastAsia="Times New Roman" w:hint="default"/>
          <w:spacing w:val="-2"/>
        </w:rPr>
        <w:t>5%</w:t>
      </w:r>
      <w:r>
        <w:rPr>
          <w:spacing w:val="-2"/>
        </w:rPr>
        <w:t>以上股东减持股份</w:t>
      </w:r>
      <w:r>
        <w:rPr>
          <w:spacing w:val="-84"/>
        </w:rPr>
        <w:t> </w:t>
      </w:r>
      <w:r>
        <w:rPr>
          <w:spacing w:val="-2"/>
        </w:rPr>
        <w:t>比例达到</w:t>
      </w:r>
      <w:r>
        <w:rPr>
          <w:rFonts w:ascii="Times New Roman" w:hAnsi="Times New Roman" w:cs="Times New Roman" w:eastAsia="Times New Roman" w:hint="default"/>
          <w:spacing w:val="-2"/>
        </w:rPr>
        <w:t>1%</w:t>
      </w:r>
      <w:r>
        <w:rPr>
          <w:spacing w:val="-2"/>
        </w:rPr>
        <w:t>的公告》（披露日期：</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日，公告编号：</w:t>
      </w:r>
      <w:r>
        <w:rPr>
          <w:rFonts w:ascii="Times New Roman" w:hAnsi="Times New Roman" w:cs="Times New Roman" w:eastAsia="Times New Roman" w:hint="default"/>
          <w:spacing w:val="-2"/>
        </w:rPr>
        <w:t>2019-022</w:t>
      </w:r>
      <w:r>
        <w:rPr>
          <w:spacing w:val="-2"/>
        </w:rPr>
        <w:t>）、《关于持股</w:t>
      </w:r>
      <w:r>
        <w:rPr>
          <w:rFonts w:ascii="Times New Roman" w:hAnsi="Times New Roman" w:cs="Times New Roman" w:eastAsia="Times New Roman" w:hint="default"/>
          <w:spacing w:val="-2"/>
        </w:rPr>
        <w:t>5%</w:t>
      </w:r>
      <w:r>
        <w:rPr>
          <w:spacing w:val="-2"/>
        </w:rPr>
        <w:t>以上股东减持计划实施完成的公</w:t>
      </w:r>
      <w:r>
        <w:rPr>
          <w:spacing w:val="-57"/>
        </w:rPr>
        <w:t> </w:t>
      </w:r>
      <w:r>
        <w:rPr/>
        <w:t>告》（披露日期：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日，公告编号：</w:t>
      </w:r>
      <w:r>
        <w:rPr>
          <w:rFonts w:ascii="Times New Roman" w:hAnsi="Times New Roman" w:cs="Times New Roman" w:eastAsia="Times New Roman" w:hint="default"/>
        </w:rPr>
        <w:t>2019-025</w:t>
      </w:r>
      <w:r>
        <w:rPr/>
        <w:t>）。</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Heading2"/>
        <w:spacing w:line="240" w:lineRule="auto"/>
        <w:ind w:right="1133"/>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0" w:footer="974"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2964" w:right="1133"/>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一、股份变动情况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单位：股</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228"/>
        <w:gridCol w:w="824"/>
        <w:gridCol w:w="823"/>
        <w:gridCol w:w="821"/>
        <w:gridCol w:w="824"/>
        <w:gridCol w:w="821"/>
        <w:gridCol w:w="823"/>
        <w:gridCol w:w="821"/>
        <w:gridCol w:w="794"/>
        <w:gridCol w:w="794"/>
      </w:tblGrid>
      <w:tr>
        <w:trPr>
          <w:trHeight w:val="403"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6" w:right="43"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027"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89.98%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71"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205,096,1</w:t>
            </w:r>
          </w:p>
          <w:p>
            <w:pPr>
              <w:pStyle w:val="TableParagraph"/>
              <w:spacing w:line="240" w:lineRule="auto" w:before="3"/>
              <w:ind w:right="17"/>
              <w:jc w:val="right"/>
              <w:rPr>
                <w:rFonts w:ascii="Times New Roman" w:hAnsi="Times New Roman" w:cs="Times New Roman" w:eastAsia="Times New Roman" w:hint="default"/>
                <w:sz w:val="18"/>
                <w:szCs w:val="18"/>
              </w:rPr>
            </w:pPr>
            <w:r>
              <w:rPr>
                <w:rFonts w:ascii="Times New Roman"/>
                <w:sz w:val="18"/>
              </w:rPr>
              <w:t>04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69"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205,096,1</w:t>
            </w:r>
          </w:p>
          <w:p>
            <w:pPr>
              <w:pStyle w:val="TableParagraph"/>
              <w:spacing w:line="240" w:lineRule="auto" w:before="3"/>
              <w:ind w:right="17"/>
              <w:jc w:val="right"/>
              <w:rPr>
                <w:rFonts w:ascii="Times New Roman" w:hAnsi="Times New Roman" w:cs="Times New Roman" w:eastAsia="Times New Roman" w:hint="default"/>
                <w:sz w:val="18"/>
                <w:szCs w:val="18"/>
              </w:rPr>
            </w:pPr>
            <w:r>
              <w:rPr>
                <w:rFonts w:ascii="Times New Roman"/>
                <w:sz w:val="18"/>
              </w:rPr>
              <w:t>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154,903,8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38.72%</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8,962,397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71"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8,962,397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69" w:right="19"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8,962,397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351,037,6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87.74%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71"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196,140,6</w:t>
            </w:r>
          </w:p>
          <w:p>
            <w:pPr>
              <w:pStyle w:val="TableParagraph"/>
              <w:spacing w:line="240" w:lineRule="auto" w:before="3"/>
              <w:ind w:right="17"/>
              <w:jc w:val="right"/>
              <w:rPr>
                <w:rFonts w:ascii="Times New Roman" w:hAnsi="Times New Roman" w:cs="Times New Roman" w:eastAsia="Times New Roman" w:hint="default"/>
                <w:sz w:val="18"/>
                <w:szCs w:val="18"/>
              </w:rPr>
            </w:pPr>
            <w:r>
              <w:rPr>
                <w:rFonts w:ascii="Times New Roman"/>
                <w:sz w:val="18"/>
              </w:rPr>
              <w:t>07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69"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196,140,6</w:t>
            </w:r>
          </w:p>
          <w:p>
            <w:pPr>
              <w:pStyle w:val="TableParagraph"/>
              <w:spacing w:line="240" w:lineRule="auto" w:before="3"/>
              <w:ind w:right="17"/>
              <w:jc w:val="right"/>
              <w:rPr>
                <w:rFonts w:ascii="Times New Roman" w:hAnsi="Times New Roman" w:cs="Times New Roman" w:eastAsia="Times New Roman" w:hint="default"/>
                <w:sz w:val="18"/>
                <w:szCs w:val="18"/>
              </w:rPr>
            </w:pPr>
            <w:r>
              <w:rPr>
                <w:rFonts w:ascii="Times New Roman"/>
                <w:sz w:val="18"/>
              </w:rPr>
              <w:t>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154,896,9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38.72%</w:t>
            </w:r>
          </w:p>
        </w:tc>
      </w:tr>
      <w:tr>
        <w:trPr>
          <w:trHeight w:val="1027"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351,037,6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87.74%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71"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197,483,6</w:t>
            </w:r>
          </w:p>
          <w:p>
            <w:pPr>
              <w:pStyle w:val="TableParagraph"/>
              <w:spacing w:line="240" w:lineRule="auto" w:before="3"/>
              <w:ind w:right="17"/>
              <w:jc w:val="right"/>
              <w:rPr>
                <w:rFonts w:ascii="Times New Roman" w:hAnsi="Times New Roman" w:cs="Times New Roman" w:eastAsia="Times New Roman" w:hint="default"/>
                <w:sz w:val="18"/>
                <w:szCs w:val="18"/>
              </w:rPr>
            </w:pPr>
            <w:r>
              <w:rPr>
                <w:rFonts w:ascii="Times New Roman"/>
                <w:sz w:val="18"/>
              </w:rPr>
              <w:t>32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69" w:right="19" w:firstLine="660"/>
              <w:jc w:val="righ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197,483,6</w:t>
            </w:r>
          </w:p>
          <w:p>
            <w:pPr>
              <w:pStyle w:val="TableParagraph"/>
              <w:spacing w:line="240" w:lineRule="auto" w:before="3"/>
              <w:ind w:right="17"/>
              <w:jc w:val="right"/>
              <w:rPr>
                <w:rFonts w:ascii="Times New Roman" w:hAnsi="Times New Roman" w:cs="Times New Roman" w:eastAsia="Times New Roman" w:hint="default"/>
                <w:sz w:val="18"/>
                <w:szCs w:val="18"/>
              </w:rPr>
            </w:pPr>
            <w:r>
              <w:rPr>
                <w:rFonts w:ascii="Times New Roman"/>
                <w:sz w:val="18"/>
              </w:rPr>
              <w:t>32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153,553,9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38.38%</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1,343,025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1,343,025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1,343,025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0.34%</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6,900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6,900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6,900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6,900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6,900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6,900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205,096,1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205,096,1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245,196,1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61.28%</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205,096,1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205,096,1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245,196,1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61.28%</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400,100,0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400,100,0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1133"/>
        <w:jc w:val="left"/>
      </w:pPr>
      <w:r>
        <w:rPr/>
        <w:t>股份变动的原因</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80" w:footer="974" w:top="1100" w:bottom="1160" w:left="980" w:right="0"/>
        </w:sectPr>
      </w:pPr>
    </w:p>
    <w:p>
      <w:pPr>
        <w:spacing w:line="240" w:lineRule="auto" w:before="3"/>
        <w:rPr>
          <w:rFonts w:ascii="宋体" w:hAnsi="宋体" w:cs="宋体" w:eastAsia="宋体" w:hint="default"/>
          <w:sz w:val="22"/>
          <w:szCs w:val="22"/>
        </w:rPr>
      </w:pPr>
    </w:p>
    <w:p>
      <w:pPr>
        <w:pStyle w:val="BodyText"/>
        <w:spacing w:line="297" w:lineRule="auto" w:before="44"/>
        <w:ind w:right="1232" w:firstLine="360"/>
        <w:jc w:val="left"/>
      </w:pPr>
      <w:r>
        <w:rPr>
          <w:rFonts w:ascii="Times New Roman" w:hAnsi="Times New Roman" w:cs="Times New Roman" w:eastAsia="Times New Roman" w:hint="default"/>
        </w:rPr>
        <w:t>1</w:t>
      </w:r>
      <w:r>
        <w:rPr/>
        <w:t>、报告期内，公司首次公开发行前已发行部分股份</w:t>
      </w:r>
      <w:r>
        <w:rPr>
          <w:rFonts w:ascii="Times New Roman" w:hAnsi="Times New Roman" w:cs="Times New Roman" w:eastAsia="Times New Roman" w:hint="default"/>
        </w:rPr>
        <w:t>206,446,029</w:t>
      </w:r>
      <w:r>
        <w:rPr>
          <w:rFonts w:ascii="Times New Roman" w:hAnsi="Times New Roman" w:cs="Times New Roman" w:eastAsia="Times New Roman" w:hint="default"/>
          <w:spacing w:val="27"/>
        </w:rPr>
        <w:t> </w:t>
      </w:r>
      <w:r>
        <w:rPr/>
        <w:t>股解除限售，本次解除限售股份数量占公司股本总额 的</w:t>
      </w:r>
      <w:r>
        <w:rPr>
          <w:spacing w:val="-19"/>
        </w:rPr>
        <w:t> </w:t>
      </w:r>
      <w:r>
        <w:rPr>
          <w:rFonts w:ascii="Times New Roman" w:hAnsi="Times New Roman" w:cs="Times New Roman" w:eastAsia="Times New Roman" w:hint="default"/>
        </w:rPr>
        <w:t>51.5986%</w:t>
      </w:r>
      <w:r>
        <w:rPr/>
        <w:t>，上市流通日期为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w:t>
      </w:r>
    </w:p>
    <w:p>
      <w:pPr>
        <w:pStyle w:val="BodyText"/>
        <w:spacing w:line="300" w:lineRule="auto" w:before="135"/>
        <w:ind w:right="1124" w:firstLine="360"/>
        <w:jc w:val="left"/>
      </w:pPr>
      <w:r>
        <w:rPr>
          <w:rFonts w:ascii="Times New Roman" w:hAnsi="Times New Roman" w:cs="Times New Roman" w:eastAsia="Times New Roman" w:hint="default"/>
        </w:rPr>
        <w:t>2</w:t>
      </w:r>
      <w:r>
        <w:rPr/>
        <w:t>、报告期内，公司董事、监事和高级管理人员实施了增持公司股份计划。截至报告期末，公司董事、监事和高级管理 人员共计增持公司股份</w:t>
      </w:r>
      <w:r>
        <w:rPr>
          <w:rFonts w:ascii="Times New Roman" w:hAnsi="Times New Roman" w:cs="Times New Roman" w:eastAsia="Times New Roman" w:hint="default"/>
        </w:rPr>
        <w:t>1,799,900</w:t>
      </w:r>
      <w:r>
        <w:rPr/>
        <w:t>股。中国证券登记结算有限公司深圳分公司根据登记在上述董监高名下的公司股份数 </w:t>
      </w:r>
      <w:r>
        <w:rPr>
          <w:rFonts w:ascii="Times New Roman" w:hAnsi="Times New Roman" w:cs="Times New Roman" w:eastAsia="Times New Roman" w:hint="default"/>
        </w:rPr>
        <w:t>1,799,900</w:t>
      </w:r>
      <w:r>
        <w:rPr/>
        <w:t>股为基数，按</w:t>
      </w:r>
      <w:r>
        <w:rPr>
          <w:rFonts w:ascii="Times New Roman" w:hAnsi="Times New Roman" w:cs="Times New Roman" w:eastAsia="Times New Roman" w:hint="default"/>
        </w:rPr>
        <w:t>75%</w:t>
      </w:r>
      <w:r>
        <w:rPr/>
        <w:t>比例进行锁定，因此报告期末新增董监高锁定股份</w:t>
      </w:r>
      <w:r>
        <w:rPr>
          <w:rFonts w:ascii="Times New Roman" w:hAnsi="Times New Roman" w:cs="Times New Roman" w:eastAsia="Times New Roman" w:hint="default"/>
        </w:rPr>
        <w:t>1,349,925</w:t>
      </w:r>
      <w:r>
        <w:rPr/>
        <w:t>股。</w:t>
      </w:r>
    </w:p>
    <w:p>
      <w:pPr>
        <w:spacing w:line="240" w:lineRule="auto" w:before="0"/>
        <w:rPr>
          <w:rFonts w:ascii="宋体" w:hAnsi="宋体" w:cs="宋体" w:eastAsia="宋体" w:hint="default"/>
          <w:sz w:val="18"/>
          <w:szCs w:val="18"/>
        </w:rPr>
      </w:pPr>
    </w:p>
    <w:p>
      <w:pPr>
        <w:pStyle w:val="BodyText"/>
        <w:spacing w:line="240" w:lineRule="auto" w:before="130"/>
        <w:ind w:right="1133"/>
        <w:jc w:val="left"/>
      </w:pPr>
      <w:r>
        <w:rPr/>
        <w:t>股份变动的批准情况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43"/>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38" w:lineRule="auto" w:before="41"/>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1"/>
        <w:gridCol w:w="1371"/>
        <w:gridCol w:w="1368"/>
        <w:gridCol w:w="1371"/>
        <w:gridCol w:w="1368"/>
        <w:gridCol w:w="1369"/>
        <w:gridCol w:w="1363"/>
      </w:tblGrid>
      <w:tr>
        <w:trPr>
          <w:trHeight w:val="713" w:hRule="exact"/>
        </w:trPr>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7"/>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5"/>
              <w:jc w:val="left"/>
              <w:rPr>
                <w:rFonts w:ascii="宋体" w:hAnsi="宋体" w:cs="宋体" w:eastAsia="宋体" w:hint="default"/>
                <w:sz w:val="18"/>
                <w:szCs w:val="18"/>
              </w:rPr>
            </w:pPr>
            <w:r>
              <w:rPr>
                <w:rFonts w:ascii="宋体" w:hAnsi="宋体" w:cs="宋体" w:eastAsia="宋体" w:hint="default"/>
                <w:sz w:val="18"/>
                <w:szCs w:val="18"/>
              </w:rPr>
              <w:t>深圳华大基因科 技有限公司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148,773,893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148,773,893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74"/>
              <w:jc w:val="righ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深圳前海华大基 因投资企业（有 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66,915,154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66,915,154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74"/>
              <w:jc w:val="righ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5"/>
              <w:jc w:val="left"/>
              <w:rPr>
                <w:rFonts w:ascii="宋体" w:hAnsi="宋体" w:cs="宋体" w:eastAsia="宋体" w:hint="default"/>
                <w:sz w:val="18"/>
                <w:szCs w:val="18"/>
              </w:rPr>
            </w:pPr>
            <w:r>
              <w:rPr>
                <w:rFonts w:ascii="宋体" w:hAnsi="宋体" w:cs="宋体" w:eastAsia="宋体" w:hint="default"/>
                <w:sz w:val="18"/>
                <w:szCs w:val="18"/>
              </w:rPr>
              <w:t>深圳和玉高林股 权投资合伙企业</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35,849,588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35,849,588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74"/>
              <w:jc w:val="righ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中国人寿保险</w:t>
            </w:r>
          </w:p>
          <w:p>
            <w:pPr>
              <w:pStyle w:val="TableParagraph"/>
              <w:spacing w:line="316" w:lineRule="auto" w:before="76"/>
              <w:ind w:left="24" w:right="65"/>
              <w:jc w:val="both"/>
              <w:rPr>
                <w:rFonts w:ascii="宋体" w:hAnsi="宋体" w:cs="宋体" w:eastAsia="宋体" w:hint="default"/>
                <w:sz w:val="18"/>
                <w:szCs w:val="18"/>
              </w:rPr>
            </w:pPr>
            <w:r>
              <w:rPr>
                <w:rFonts w:ascii="宋体" w:hAnsi="宋体" w:cs="宋体" w:eastAsia="宋体" w:hint="default"/>
                <w:sz w:val="18"/>
                <w:szCs w:val="18"/>
              </w:rPr>
              <w:t>（集团）公司－ 传统－普通保险 产品</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8,962,397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8,962,397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74"/>
              <w:jc w:val="righ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潍坊丰悦泰和股 权投资合伙企业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8,962,397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8,962,397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74"/>
              <w:jc w:val="righ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361"/>
        <w:gridCol w:w="1371"/>
        <w:gridCol w:w="1368"/>
        <w:gridCol w:w="1371"/>
        <w:gridCol w:w="1368"/>
        <w:gridCol w:w="1369"/>
        <w:gridCol w:w="1363"/>
      </w:tblGrid>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上海珍尤医疗投 资合伙企业（有 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6,168,790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6,168,790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5"/>
              <w:jc w:val="left"/>
              <w:rPr>
                <w:rFonts w:ascii="宋体" w:hAnsi="宋体" w:cs="宋体" w:eastAsia="宋体" w:hint="default"/>
                <w:sz w:val="18"/>
                <w:szCs w:val="18"/>
              </w:rPr>
            </w:pPr>
            <w:r>
              <w:rPr>
                <w:rFonts w:ascii="宋体" w:hAnsi="宋体" w:cs="宋体" w:eastAsia="宋体" w:hint="default"/>
                <w:sz w:val="18"/>
                <w:szCs w:val="18"/>
              </w:rPr>
              <w:t>青岛金石灏汭投 资有限公司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4,203,345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4,203,345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深圳乐华源城投 资有限公司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4,203,345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4,203,345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40"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5"/>
              <w:jc w:val="left"/>
              <w:rPr>
                <w:rFonts w:ascii="宋体" w:hAnsi="宋体" w:cs="宋体" w:eastAsia="宋体" w:hint="default"/>
                <w:sz w:val="18"/>
                <w:szCs w:val="18"/>
              </w:rPr>
            </w:pPr>
            <w:r>
              <w:rPr>
                <w:rFonts w:ascii="宋体" w:hAnsi="宋体" w:cs="宋体" w:eastAsia="宋体" w:hint="default"/>
                <w:sz w:val="18"/>
                <w:szCs w:val="18"/>
              </w:rPr>
              <w:t>宁波鑫翼汇顺股 权投资管理合伙 企业（有限合 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pacing w:val="-1"/>
                <w:sz w:val="18"/>
              </w:rPr>
              <w:t>4,203,345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4,203,345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深圳国华腾飞创 新投资基金企业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4,203,345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4,203,345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5"/>
              <w:jc w:val="both"/>
              <w:rPr>
                <w:rFonts w:ascii="宋体" w:hAnsi="宋体" w:cs="宋体" w:eastAsia="宋体" w:hint="default"/>
                <w:sz w:val="18"/>
                <w:szCs w:val="18"/>
              </w:rPr>
            </w:pPr>
            <w:r>
              <w:rPr>
                <w:rFonts w:ascii="宋体" w:hAnsi="宋体" w:cs="宋体" w:eastAsia="宋体" w:hint="default"/>
                <w:sz w:val="18"/>
                <w:szCs w:val="18"/>
              </w:rPr>
              <w:t>深圳市有孚创业 投资企业（有限 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4,203,345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4,203,345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深圳华大三生园 科技有限公司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3,935,824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3,935,824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65"/>
              <w:jc w:val="left"/>
              <w:rPr>
                <w:rFonts w:ascii="宋体" w:hAnsi="宋体" w:cs="宋体" w:eastAsia="宋体" w:hint="default"/>
                <w:sz w:val="18"/>
                <w:szCs w:val="18"/>
              </w:rPr>
            </w:pPr>
            <w:r>
              <w:rPr>
                <w:rFonts w:ascii="宋体" w:hAnsi="宋体" w:cs="宋体" w:eastAsia="宋体" w:hint="default"/>
                <w:sz w:val="18"/>
                <w:szCs w:val="18"/>
              </w:rPr>
              <w:t>北京国投协力华 大股权投资中心</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3,783,010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3,783,010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6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中金佳合（天 津）股权投资基 金管理有限公司</w:t>
            </w:r>
          </w:p>
          <w:p>
            <w:pPr>
              <w:pStyle w:val="TableParagraph"/>
              <w:spacing w:line="316" w:lineRule="auto" w:before="19"/>
              <w:ind w:left="24" w:right="65"/>
              <w:jc w:val="both"/>
              <w:rPr>
                <w:rFonts w:ascii="宋体" w:hAnsi="宋体" w:cs="宋体" w:eastAsia="宋体" w:hint="default"/>
                <w:sz w:val="18"/>
                <w:szCs w:val="18"/>
              </w:rPr>
            </w:pPr>
            <w:r>
              <w:rPr>
                <w:rFonts w:ascii="宋体" w:hAnsi="宋体" w:cs="宋体" w:eastAsia="宋体" w:hint="default"/>
                <w:sz w:val="18"/>
                <w:szCs w:val="18"/>
              </w:rPr>
              <w:t>－中金佳成（天 津）医疗投资中 心（有限合伙）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3,683,986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3,683,986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5"/>
              <w:jc w:val="both"/>
              <w:rPr>
                <w:rFonts w:ascii="宋体" w:hAnsi="宋体" w:cs="宋体" w:eastAsia="宋体" w:hint="default"/>
                <w:sz w:val="18"/>
                <w:szCs w:val="18"/>
              </w:rPr>
            </w:pPr>
            <w:r>
              <w:rPr>
                <w:rFonts w:ascii="宋体" w:hAnsi="宋体" w:cs="宋体" w:eastAsia="宋体" w:hint="default"/>
                <w:sz w:val="18"/>
                <w:szCs w:val="18"/>
              </w:rPr>
              <w:t>深圳市盛桥投资 管理有限公司－ 深圳市盛桥新领 域投资合伙企业</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3,510,951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3,510,951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上海云锋股权投 资中心（有限合 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3,392,830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3,392,830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5"/>
              <w:jc w:val="left"/>
              <w:rPr>
                <w:rFonts w:ascii="宋体" w:hAnsi="宋体" w:cs="宋体" w:eastAsia="宋体" w:hint="default"/>
                <w:sz w:val="18"/>
                <w:szCs w:val="18"/>
              </w:rPr>
            </w:pPr>
            <w:r>
              <w:rPr>
                <w:rFonts w:ascii="宋体" w:hAnsi="宋体" w:cs="宋体" w:eastAsia="宋体" w:hint="default"/>
                <w:sz w:val="18"/>
                <w:szCs w:val="18"/>
              </w:rPr>
              <w:t>宁波博源卓越股 权投资合伙企业</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3,084,395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3,084,395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67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中小企业（深 圳）产业投资基</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3,084,391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3,084,391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361"/>
        <w:gridCol w:w="1371"/>
        <w:gridCol w:w="1368"/>
        <w:gridCol w:w="1371"/>
        <w:gridCol w:w="1368"/>
        <w:gridCol w:w="1369"/>
        <w:gridCol w:w="1363"/>
      </w:tblGrid>
      <w:tr>
        <w:trPr>
          <w:trHeight w:val="161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both"/>
              <w:rPr>
                <w:rFonts w:ascii="宋体" w:hAnsi="宋体" w:cs="宋体" w:eastAsia="宋体" w:hint="default"/>
                <w:sz w:val="18"/>
                <w:szCs w:val="18"/>
              </w:rPr>
            </w:pPr>
            <w:r>
              <w:rPr>
                <w:rFonts w:ascii="宋体" w:hAnsi="宋体" w:cs="宋体" w:eastAsia="宋体" w:hint="default"/>
                <w:sz w:val="18"/>
                <w:szCs w:val="18"/>
              </w:rPr>
              <w:t>金管理有限公司</w:t>
            </w:r>
          </w:p>
          <w:p>
            <w:pPr>
              <w:pStyle w:val="TableParagraph"/>
              <w:spacing w:line="240" w:lineRule="auto" w:before="76"/>
              <w:ind w:left="24" w:right="0"/>
              <w:jc w:val="both"/>
              <w:rPr>
                <w:rFonts w:ascii="宋体" w:hAnsi="宋体" w:cs="宋体" w:eastAsia="宋体" w:hint="default"/>
                <w:sz w:val="18"/>
                <w:szCs w:val="18"/>
              </w:rPr>
            </w:pPr>
            <w:r>
              <w:rPr>
                <w:rFonts w:ascii="宋体" w:hAnsi="宋体" w:cs="宋体" w:eastAsia="宋体" w:hint="default"/>
                <w:sz w:val="18"/>
                <w:szCs w:val="18"/>
              </w:rPr>
              <w:t>－中小企业基因</w:t>
            </w:r>
          </w:p>
          <w:p>
            <w:pPr>
              <w:pStyle w:val="TableParagraph"/>
              <w:spacing w:line="316" w:lineRule="auto" w:before="76"/>
              <w:ind w:left="24" w:right="65"/>
              <w:jc w:val="both"/>
              <w:rPr>
                <w:rFonts w:ascii="宋体" w:hAnsi="宋体" w:cs="宋体" w:eastAsia="宋体" w:hint="default"/>
                <w:sz w:val="18"/>
                <w:szCs w:val="18"/>
              </w:rPr>
            </w:pPr>
            <w:r>
              <w:rPr>
                <w:rFonts w:ascii="宋体" w:hAnsi="宋体" w:cs="宋体" w:eastAsia="宋体" w:hint="default"/>
                <w:sz w:val="18"/>
                <w:szCs w:val="18"/>
              </w:rPr>
              <w:t>（深圳）投资合 伙企业（有限合 伙）</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深圳市国信弘盛 股权投资基金</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3,053,553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3,053,553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深圳市盛桥投资 管理有限公司－ 深圳市盛桥新建 康投资合伙企业</w:t>
            </w:r>
          </w:p>
          <w:p>
            <w:pPr>
              <w:pStyle w:val="TableParagraph"/>
              <w:spacing w:line="240" w:lineRule="auto" w:before="17"/>
              <w:ind w:left="24"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2,509,471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2,509,471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南海成长精选</w:t>
            </w:r>
          </w:p>
          <w:p>
            <w:pPr>
              <w:pStyle w:val="TableParagraph"/>
              <w:spacing w:line="316" w:lineRule="auto" w:before="76"/>
              <w:ind w:left="24" w:right="65"/>
              <w:jc w:val="left"/>
              <w:rPr>
                <w:rFonts w:ascii="宋体" w:hAnsi="宋体" w:cs="宋体" w:eastAsia="宋体" w:hint="default"/>
                <w:sz w:val="18"/>
                <w:szCs w:val="18"/>
              </w:rPr>
            </w:pPr>
            <w:r>
              <w:rPr>
                <w:rFonts w:ascii="宋体" w:hAnsi="宋体" w:cs="宋体" w:eastAsia="宋体" w:hint="default"/>
                <w:sz w:val="18"/>
                <w:szCs w:val="18"/>
              </w:rPr>
              <w:t>（天津）股权投 资基金合伙企业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2,506,537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2,506,537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深圳市盛桥创鑫 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2,467,513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2,467,513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上海高林同创股 权投资合伙企业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2,189,912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2,189,912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深圳市华弘资本 管理有限公司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2,173,359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2,173,359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6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深圳市东土盛唐 投资基金管理有 限公司－深圳市 东土盛唐投资管 理合伙企业（有 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2,150,975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2,150,975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苏州松禾成长二 号创业投资中心</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2,101,673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2,101,673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上海腾希投资合 伙企业（有限合 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1,681,337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1,681,337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29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9" w:lineRule="auto"/>
              <w:ind w:left="24" w:right="65"/>
              <w:jc w:val="both"/>
              <w:rPr>
                <w:rFonts w:ascii="宋体" w:hAnsi="宋体" w:cs="宋体" w:eastAsia="宋体" w:hint="default"/>
                <w:sz w:val="18"/>
                <w:szCs w:val="18"/>
              </w:rPr>
            </w:pPr>
            <w:r>
              <w:rPr>
                <w:rFonts w:ascii="宋体" w:hAnsi="宋体" w:cs="宋体" w:eastAsia="宋体" w:hint="default"/>
                <w:sz w:val="18"/>
                <w:szCs w:val="18"/>
              </w:rPr>
              <w:t>深圳市红土生物 创业投资有限公 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1,638,897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1,396,018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242,879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1,396,018 </w:t>
            </w:r>
            <w:r>
              <w:rPr>
                <w:rFonts w:ascii="宋体" w:hAnsi="宋体" w:cs="宋体" w:eastAsia="宋体" w:hint="default"/>
                <w:sz w:val="18"/>
                <w:szCs w:val="18"/>
              </w:rPr>
              <w:t>股已于</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316" w:lineRule="auto" w:before="63"/>
              <w:ind w:left="23" w:right="67"/>
              <w:jc w:val="left"/>
              <w:rPr>
                <w:rFonts w:ascii="宋体" w:hAnsi="宋体" w:cs="宋体" w:eastAsia="宋体" w:hint="default"/>
                <w:sz w:val="18"/>
                <w:szCs w:val="18"/>
              </w:rPr>
            </w:pPr>
            <w:r>
              <w:rPr>
                <w:rFonts w:ascii="宋体" w:hAnsi="宋体" w:cs="宋体" w:eastAsia="宋体" w:hint="default"/>
                <w:sz w:val="18"/>
                <w:szCs w:val="18"/>
              </w:rPr>
              <w:t>日解除限售上市 流通，剩余</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361"/>
        <w:gridCol w:w="1371"/>
        <w:gridCol w:w="1368"/>
        <w:gridCol w:w="1371"/>
        <w:gridCol w:w="1368"/>
        <w:gridCol w:w="1369"/>
        <w:gridCol w:w="1363"/>
      </w:tblGrid>
      <w:tr>
        <w:trPr>
          <w:trHeight w:val="1299" w:hRule="exact"/>
        </w:trPr>
        <w:tc>
          <w:tcPr>
            <w:tcW w:w="136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23" w:right="15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242,879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股可解 除限售日期为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58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65"/>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pacing w:val="-1"/>
                <w:sz w:val="18"/>
              </w:rPr>
              <w:t>1,638,897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1,396,018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242,879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1,396,018 </w:t>
            </w:r>
            <w:r>
              <w:rPr>
                <w:rFonts w:ascii="宋体" w:hAnsi="宋体" w:cs="宋体" w:eastAsia="宋体" w:hint="default"/>
                <w:sz w:val="18"/>
                <w:szCs w:val="18"/>
              </w:rPr>
              <w:t>股已于</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314" w:lineRule="auto" w:before="63"/>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日解除限售上市 流通，剩余 </w:t>
            </w:r>
            <w:r>
              <w:rPr>
                <w:rFonts w:ascii="Times New Roman" w:hAnsi="Times New Roman" w:cs="Times New Roman" w:eastAsia="Times New Roman" w:hint="default"/>
                <w:sz w:val="18"/>
                <w:szCs w:val="18"/>
              </w:rPr>
              <w:t>242,879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股可解 除限售日期为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深圳宸时资本管 理有限公司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1,542,195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1,542,195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上海开物投资合 伙企业（有限合 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1,542,195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1,542,195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华夏人寿保险股 份有限公司－万 能产品</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1,542,195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1,542,195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西安尔湾投资有 限合伙企业</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1,542,195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1,542,195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深圳常春藤资本 管理有限公司－ 深圳常春藤股权 投资合伙企业</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1,433,984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1,433,984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霍尔果斯锋茂股 权投资管理合伙 企业（有限合 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1,233,756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1,233,756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上海国和现代服 务业股权投资基 金合伙企业（有 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1,107,052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1,107,052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萍乡市汇晟资产 管理合伙企业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1,075,488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1,075,488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29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苏州软银华天创 业投资管理合伙 企业（有限合 伙）－宁波软银</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pacing w:val="-1"/>
                <w:sz w:val="18"/>
              </w:rPr>
              <w:t>970,196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970,196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361"/>
        <w:gridCol w:w="1371"/>
        <w:gridCol w:w="1368"/>
        <w:gridCol w:w="1371"/>
        <w:gridCol w:w="1368"/>
        <w:gridCol w:w="1369"/>
        <w:gridCol w:w="1363"/>
      </w:tblGrid>
      <w:tr>
        <w:trPr>
          <w:trHeight w:val="98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65"/>
              <w:jc w:val="both"/>
              <w:rPr>
                <w:rFonts w:ascii="宋体" w:hAnsi="宋体" w:cs="宋体" w:eastAsia="宋体" w:hint="default"/>
                <w:sz w:val="18"/>
                <w:szCs w:val="18"/>
              </w:rPr>
            </w:pPr>
            <w:r>
              <w:rPr>
                <w:rFonts w:ascii="宋体" w:hAnsi="宋体" w:cs="宋体" w:eastAsia="宋体" w:hint="default"/>
                <w:sz w:val="18"/>
                <w:szCs w:val="18"/>
              </w:rPr>
              <w:t>天维创业投资合 伙企业（有限合 伙）</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北京荣之联科技 股份有限公司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936,766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936,766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深圳市创润投资 合伙企业（有限 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616,878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616,878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7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苏州软银华天创 业投资管理合伙 企业（有限合 伙）－苏州软银 天维创业投资合 伙企业（有限合 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492,025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上海海百合投资 发展中心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370,124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370,124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深圳市松禾创业 投资有限公司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358,496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承诺限售</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740,475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740,475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任期内执行董监 高限售规定</w:t>
            </w: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尹烨</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任期内执行董监 高限售规定</w:t>
            </w: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孙英俊</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任期内执行董监 高限售规定</w:t>
            </w: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杜玉涛</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任期内执行董监 高限售规定</w:t>
            </w:r>
          </w:p>
        </w:tc>
      </w:tr>
      <w:tr>
        <w:trPr>
          <w:trHeight w:val="71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李松岗</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任期内执行董监 高限售规定</w:t>
            </w: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李雯琪</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任期内执行董监 高限售规定</w:t>
            </w: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胡宇洁</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任期内执行董监 高限售规定</w:t>
            </w: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刘娜</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任期内执行董监 高限售规定</w:t>
            </w: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陈轶青</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任期内执行董监 高限售规定</w:t>
            </w: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李治平</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任期内执行董监 高限售规定</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361"/>
        <w:gridCol w:w="1371"/>
        <w:gridCol w:w="1368"/>
        <w:gridCol w:w="1371"/>
        <w:gridCol w:w="1368"/>
        <w:gridCol w:w="1369"/>
        <w:gridCol w:w="1363"/>
      </w:tblGrid>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徐茜</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任期内执行董监 高限售规定</w:t>
            </w: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张凌</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4"/>
              <w:jc w:val="left"/>
              <w:rPr>
                <w:rFonts w:ascii="宋体" w:hAnsi="宋体" w:cs="宋体" w:eastAsia="宋体" w:hint="default"/>
                <w:sz w:val="18"/>
                <w:szCs w:val="18"/>
              </w:rPr>
            </w:pPr>
            <w:r>
              <w:rPr>
                <w:rFonts w:ascii="宋体" w:hAnsi="宋体" w:cs="宋体" w:eastAsia="宋体" w:hint="default"/>
                <w:sz w:val="18"/>
                <w:szCs w:val="18"/>
              </w:rPr>
              <w:t>高管离任锁定股 份</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206,446,029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1,349,925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154,903,896</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35"/>
        <w:gridCol w:w="134"/>
        <w:gridCol w:w="661"/>
        <w:gridCol w:w="751"/>
        <w:gridCol w:w="749"/>
        <w:gridCol w:w="826"/>
        <w:gridCol w:w="332"/>
        <w:gridCol w:w="455"/>
        <w:gridCol w:w="830"/>
        <w:gridCol w:w="797"/>
        <w:gridCol w:w="311"/>
        <w:gridCol w:w="1039"/>
        <w:gridCol w:w="290"/>
        <w:gridCol w:w="1058"/>
      </w:tblGrid>
      <w:tr>
        <w:trPr>
          <w:trHeight w:val="1966"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48,934</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06"/>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49,326</w:t>
            </w: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股东总数（如 </w:t>
            </w:r>
            <w:r>
              <w:rPr>
                <w:rFonts w:ascii="宋体" w:hAnsi="宋体" w:cs="宋体" w:eastAsia="宋体" w:hint="default"/>
                <w:spacing w:val="-16"/>
                <w:sz w:val="18"/>
                <w:szCs w:val="18"/>
              </w:rPr>
              <w:t>有）（参见注</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9"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1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67"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 w:right="27"/>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 w:right="7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2"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深圳华大基因科 技有限公司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148,773,8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4"/>
              <w:jc w:val="right"/>
              <w:rPr>
                <w:rFonts w:ascii="Times New Roman" w:hAnsi="Times New Roman" w:cs="Times New Roman" w:eastAsia="Times New Roman" w:hint="default"/>
                <w:sz w:val="18"/>
                <w:szCs w:val="18"/>
              </w:rPr>
            </w:pPr>
            <w:r>
              <w:rPr>
                <w:rFonts w:ascii="Times New Roman"/>
                <w:spacing w:val="-1"/>
                <w:sz w:val="18"/>
              </w:rPr>
              <w:t>148,773,8</w:t>
            </w:r>
          </w:p>
          <w:p>
            <w:pPr>
              <w:pStyle w:val="TableParagraph"/>
              <w:spacing w:line="240" w:lineRule="auto" w:before="105"/>
              <w:ind w:right="62"/>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26,200,000</w:t>
            </w: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深圳前海华大基 因投资企业（有 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57,990,25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0" w:lineRule="auto"/>
              <w:ind w:left="23" w:right="3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8,924,900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57,990,25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24" w:right="173"/>
              <w:jc w:val="left"/>
              <w:rPr>
                <w:rFonts w:ascii="宋体" w:hAnsi="宋体" w:cs="宋体" w:eastAsia="宋体" w:hint="default"/>
                <w:sz w:val="18"/>
                <w:szCs w:val="18"/>
              </w:rPr>
            </w:pPr>
            <w:r>
              <w:rPr>
                <w:rFonts w:ascii="宋体" w:hAnsi="宋体" w:cs="宋体" w:eastAsia="宋体" w:hint="default"/>
                <w:sz w:val="18"/>
                <w:szCs w:val="18"/>
              </w:rPr>
              <w:t>深圳和玉高林股 权投资合伙企业</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35,849,58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35,849,58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469"/>
        <w:gridCol w:w="1412"/>
        <w:gridCol w:w="787"/>
        <w:gridCol w:w="787"/>
        <w:gridCol w:w="788"/>
        <w:gridCol w:w="787"/>
        <w:gridCol w:w="840"/>
        <w:gridCol w:w="1349"/>
        <w:gridCol w:w="1349"/>
      </w:tblGrid>
      <w:tr>
        <w:trPr>
          <w:trHeight w:val="36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中国人寿保险</w:t>
            </w:r>
          </w:p>
          <w:p>
            <w:pPr>
              <w:pStyle w:val="TableParagraph"/>
              <w:spacing w:line="316" w:lineRule="auto" w:before="76"/>
              <w:ind w:left="24" w:right="173"/>
              <w:jc w:val="both"/>
              <w:rPr>
                <w:rFonts w:ascii="宋体" w:hAnsi="宋体" w:cs="宋体" w:eastAsia="宋体" w:hint="default"/>
                <w:sz w:val="18"/>
                <w:szCs w:val="18"/>
              </w:rPr>
            </w:pPr>
            <w:r>
              <w:rPr>
                <w:rFonts w:ascii="宋体" w:hAnsi="宋体" w:cs="宋体" w:eastAsia="宋体" w:hint="default"/>
                <w:sz w:val="18"/>
                <w:szCs w:val="18"/>
              </w:rPr>
              <w:t>（集团）公司－ 传统－普通保险 产品</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2.24%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8,962,397</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8,962,397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潍坊丰悦泰和股 权投资合伙企业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6,511,797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2" w:lineRule="auto"/>
              <w:ind w:left="23" w:right="3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2,450,600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6,511,797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3,250,000</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深圳乐华源城投 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4,203,345</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4,203,345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73"/>
              <w:jc w:val="left"/>
              <w:rPr>
                <w:rFonts w:ascii="宋体" w:hAnsi="宋体" w:cs="宋体" w:eastAsia="宋体" w:hint="default"/>
                <w:sz w:val="18"/>
                <w:szCs w:val="18"/>
              </w:rPr>
            </w:pPr>
            <w:r>
              <w:rPr>
                <w:rFonts w:ascii="宋体" w:hAnsi="宋体" w:cs="宋体" w:eastAsia="宋体" w:hint="default"/>
                <w:sz w:val="18"/>
                <w:szCs w:val="18"/>
              </w:rPr>
              <w:t>深圳华大三生园 科技有限公司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3,935,824</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3,935,824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陈世辉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3,560,600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Times New Roman" w:hAnsi="Times New Roman" w:cs="Times New Roman" w:eastAsia="Times New Roman" w:hint="default"/>
                <w:sz w:val="18"/>
                <w:szCs w:val="18"/>
              </w:rPr>
            </w:pPr>
            <w:r>
              <w:rPr>
                <w:rFonts w:ascii="Times New Roman"/>
                <w:spacing w:val="-1"/>
                <w:sz w:val="18"/>
              </w:rPr>
              <w:t>3,560,600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3,560,600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深圳市国信弘盛 股权投资基金</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3,053,553</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3,053,553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中国建设银行股 份有限公司－华 安创业板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 型开放式指数证 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2,852,972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2,852,972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2,852,972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名股东的情况（如有）</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4" w:space="0" w:color="000000"/>
              <w:right w:val="single" w:sz="4" w:space="0" w:color="000000"/>
            </w:tcBorders>
          </w:tcPr>
          <w:p>
            <w:pPr>
              <w:pStyle w:val="TableParagraph"/>
              <w:spacing w:line="307" w:lineRule="auto" w:before="51"/>
              <w:ind w:left="23" w:right="171"/>
              <w:jc w:val="both"/>
              <w:rPr>
                <w:rFonts w:ascii="宋体" w:hAnsi="宋体" w:cs="宋体" w:eastAsia="宋体" w:hint="default"/>
                <w:sz w:val="18"/>
                <w:szCs w:val="18"/>
              </w:rPr>
            </w:pPr>
            <w:r>
              <w:rPr>
                <w:rFonts w:ascii="宋体" w:hAnsi="宋体" w:cs="宋体" w:eastAsia="宋体" w:hint="default"/>
                <w:sz w:val="18"/>
                <w:szCs w:val="18"/>
              </w:rPr>
              <w:t>上述股东中，深圳华大基因科技有限公司（以下简称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华大控股</w:t>
            </w:r>
            <w:r>
              <w:rPr>
                <w:rFonts w:ascii="Times New Roman" w:hAnsi="Times New Roman" w:cs="Times New Roman" w:eastAsia="Times New Roman" w:hint="default"/>
                <w:sz w:val="18"/>
                <w:szCs w:val="18"/>
              </w:rPr>
              <w:t>”</w:t>
            </w:r>
            <w:r>
              <w:rPr>
                <w:rFonts w:ascii="宋体" w:hAnsi="宋体" w:cs="宋体" w:eastAsia="宋体" w:hint="default"/>
                <w:sz w:val="18"/>
                <w:szCs w:val="18"/>
              </w:rPr>
              <w:t>）是深圳华大三生 园科技有限公司（以下简称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华大三生园</w:t>
            </w:r>
            <w:r>
              <w:rPr>
                <w:rFonts w:ascii="Times New Roman" w:hAnsi="Times New Roman" w:cs="Times New Roman" w:eastAsia="Times New Roman" w:hint="default"/>
                <w:sz w:val="18"/>
                <w:szCs w:val="18"/>
              </w:rPr>
              <w:t>”</w:t>
            </w:r>
            <w:r>
              <w:rPr>
                <w:rFonts w:ascii="宋体" w:hAnsi="宋体" w:cs="宋体" w:eastAsia="宋体" w:hint="default"/>
                <w:sz w:val="18"/>
                <w:szCs w:val="18"/>
              </w:rPr>
              <w:t>）的控股股东；华大控股的董事长兼总经 理汪建是华大三生园的董事。除此之外，公司未知上述其他股东间是否存在关联关 系，也未知其是否属于上市公司持股变动信息披露管理办法中规定的一致行动人。</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4" w:space="0" w:color="000000"/>
              <w:right w:val="single" w:sz="4" w:space="0" w:color="000000"/>
            </w:tcBorders>
          </w:tcPr>
          <w:p>
            <w:pPr/>
          </w:p>
        </w:tc>
      </w:tr>
      <w:tr>
        <w:trPr>
          <w:trHeight w:val="317"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4" w:space="0" w:color="000000"/>
              <w:bottom w:val="single" w:sz="4" w:space="0" w:color="000000"/>
              <w:right w:val="single" w:sz="4" w:space="0" w:color="000000"/>
            </w:tcBorders>
          </w:tcPr>
          <w:p>
            <w:pPr/>
          </w:p>
        </w:tc>
      </w:tr>
      <w:tr>
        <w:trPr>
          <w:trHeight w:val="404"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4"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深圳前海华大基因投资企业（有限 合伙）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57,990,254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57,990,254</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深圳和玉高林股权投资合伙企业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35,849,588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35,849,588</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中国人寿保险（集团）公司－传统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－普通保险产品</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8,962,397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8,962,397</w:t>
            </w:r>
          </w:p>
        </w:tc>
      </w:tr>
      <w:tr>
        <w:trPr>
          <w:trHeight w:val="71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潍坊丰悦泰和股权投资合伙企业</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6,511,797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6,511,797</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881"/>
        <w:gridCol w:w="3989"/>
        <w:gridCol w:w="1349"/>
        <w:gridCol w:w="1349"/>
      </w:tblGrid>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深圳乐华源城投资有限公司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4,203,345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4,203,345</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陈世辉</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3,560,600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3,560,600</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深圳市国信弘盛股权投资基金（有 限合伙）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3,053,553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3,053,553</w:t>
            </w:r>
          </w:p>
        </w:tc>
      </w:tr>
      <w:tr>
        <w:trPr>
          <w:trHeight w:val="1027"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53"/>
              <w:jc w:val="left"/>
              <w:rPr>
                <w:rFonts w:ascii="宋体" w:hAnsi="宋体" w:cs="宋体" w:eastAsia="宋体" w:hint="default"/>
                <w:sz w:val="18"/>
                <w:szCs w:val="18"/>
              </w:rPr>
            </w:pPr>
            <w:r>
              <w:rPr>
                <w:rFonts w:ascii="宋体" w:hAnsi="宋体" w:cs="宋体" w:eastAsia="宋体" w:hint="default"/>
                <w:sz w:val="18"/>
                <w:szCs w:val="18"/>
              </w:rPr>
              <w:t>中国建设银行股份有限公司－华安 创业板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交易型开放式指数证券投 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2,852,972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2,852,972</w:t>
            </w:r>
          </w:p>
        </w:tc>
      </w:tr>
      <w:tr>
        <w:trPr>
          <w:trHeight w:val="102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5"/>
              <w:jc w:val="both"/>
              <w:rPr>
                <w:rFonts w:ascii="宋体" w:hAnsi="宋体" w:cs="宋体" w:eastAsia="宋体" w:hint="default"/>
                <w:sz w:val="18"/>
                <w:szCs w:val="18"/>
              </w:rPr>
            </w:pPr>
            <w:r>
              <w:rPr>
                <w:rFonts w:ascii="宋体" w:hAnsi="宋体" w:cs="宋体" w:eastAsia="宋体" w:hint="default"/>
                <w:sz w:val="18"/>
                <w:szCs w:val="18"/>
              </w:rPr>
              <w:t>中国工商银行股份有限公司－易方 达创业板交易型开放式指数证券投 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2,661,245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2,661,245</w:t>
            </w:r>
          </w:p>
        </w:tc>
      </w:tr>
      <w:tr>
        <w:trPr>
          <w:trHeight w:val="1027"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5"/>
              <w:jc w:val="both"/>
              <w:rPr>
                <w:rFonts w:ascii="宋体" w:hAnsi="宋体" w:cs="宋体" w:eastAsia="宋体" w:hint="default"/>
                <w:sz w:val="18"/>
                <w:szCs w:val="18"/>
              </w:rPr>
            </w:pPr>
            <w:r>
              <w:rPr>
                <w:rFonts w:ascii="宋体" w:hAnsi="宋体" w:cs="宋体" w:eastAsia="宋体" w:hint="default"/>
                <w:sz w:val="18"/>
                <w:szCs w:val="18"/>
              </w:rPr>
              <w:t>深圳市盛桥投资管理有限公司－深 圳市盛桥新领域投资合伙企业（有 限合伙）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2,603,351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2,603,351</w:t>
            </w:r>
          </w:p>
        </w:tc>
      </w:tr>
      <w:tr>
        <w:trPr>
          <w:trHeight w:val="1337"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p>
          <w:p>
            <w:pPr>
              <w:pStyle w:val="TableParagraph"/>
              <w:spacing w:line="300" w:lineRule="auto" w:before="63"/>
              <w:ind w:left="24"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 的说明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3" w:right="78"/>
              <w:jc w:val="left"/>
              <w:rPr>
                <w:rFonts w:ascii="宋体" w:hAnsi="宋体" w:cs="宋体" w:eastAsia="宋体" w:hint="default"/>
                <w:sz w:val="18"/>
                <w:szCs w:val="18"/>
              </w:rPr>
            </w:pPr>
            <w:r>
              <w:rPr>
                <w:rFonts w:ascii="宋体" w:hAnsi="宋体" w:cs="宋体" w:eastAsia="宋体" w:hint="default"/>
                <w:sz w:val="18"/>
                <w:szCs w:val="18"/>
              </w:rPr>
              <w:t>公司未知前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名股东之间是否存在关联关系，也未知其是否属于上市公司持股变动信息披露管理 办法中规定的一致行动人。</w:t>
            </w:r>
          </w:p>
        </w:tc>
      </w:tr>
      <w:tr>
        <w:trPr>
          <w:trHeight w:val="1028"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公司股东深圳前海华大基因投资企业（有限合伙）除通过普通证券账户持有</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43,929,454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股外，还通过西南证券股份有限公司客户信用交易担保证券账户持有公司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14,060,800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57,990,254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594"/>
        <w:jc w:val="left"/>
      </w:pPr>
      <w:r>
        <w:rPr/>
        <w:t>控股股东性质：自然人控股 控股股东类型：法人</w:t>
      </w:r>
    </w:p>
    <w:tbl>
      <w:tblPr>
        <w:tblW w:w="0" w:type="auto"/>
        <w:jc w:val="left"/>
        <w:tblInd w:w="181" w:type="dxa"/>
        <w:tblLayout w:type="fixed"/>
        <w:tblCellMar>
          <w:top w:w="0" w:type="dxa"/>
          <w:left w:w="0" w:type="dxa"/>
          <w:bottom w:w="0" w:type="dxa"/>
          <w:right w:w="0" w:type="dxa"/>
        </w:tblCellMar>
        <w:tblLook w:val="01E0"/>
      </w:tblPr>
      <w:tblGrid>
        <w:gridCol w:w="2199"/>
        <w:gridCol w:w="1793"/>
        <w:gridCol w:w="1592"/>
        <w:gridCol w:w="1754"/>
        <w:gridCol w:w="2230"/>
      </w:tblGrid>
      <w:tr>
        <w:trPr>
          <w:trHeight w:val="716"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1"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4" w:right="183"/>
              <w:jc w:val="left"/>
              <w:rPr>
                <w:rFonts w:ascii="宋体" w:hAnsi="宋体" w:cs="宋体" w:eastAsia="宋体" w:hint="default"/>
                <w:sz w:val="18"/>
                <w:szCs w:val="18"/>
              </w:rPr>
            </w:pPr>
            <w:r>
              <w:rPr>
                <w:rFonts w:ascii="宋体" w:hAnsi="宋体" w:cs="宋体" w:eastAsia="宋体" w:hint="default"/>
                <w:sz w:val="18"/>
                <w:szCs w:val="18"/>
              </w:rPr>
              <w:t>深圳华大基因科技有限公 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91440300678591043R</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计算机软硬件及外围设备的 技术研发和销售；货物及技 术进出口业务；股权投资； 投资兴办实业（具体项目另 </w:t>
            </w:r>
            <w:r>
              <w:rPr>
                <w:rFonts w:ascii="宋体" w:hAnsi="宋体" w:cs="宋体" w:eastAsia="宋体" w:hint="default"/>
                <w:spacing w:val="-8"/>
                <w:sz w:val="18"/>
                <w:szCs w:val="18"/>
              </w:rPr>
              <w:t>行申报）；水产品养殖和销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w:t>
            </w:r>
          </w:p>
        </w:tc>
      </w:tr>
      <w:tr>
        <w:trPr>
          <w:trHeight w:val="1028"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133"/>
        <w:jc w:val="left"/>
      </w:pPr>
      <w:r>
        <w:rPr/>
        <w:t>控股股东报告期内变更</w:t>
      </w:r>
    </w:p>
    <w:p>
      <w:pPr>
        <w:spacing w:after="0" w:line="240" w:lineRule="auto"/>
        <w:jc w:val="left"/>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40" w:lineRule="auto" w:before="44"/>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10" w:right="110"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汪建先生现任华大基因董事长，华大控股董事长、总经理。</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
        <w:rPr>
          <w:rFonts w:ascii="宋体" w:hAnsi="宋体" w:cs="宋体" w:eastAsia="宋体" w:hint="default"/>
          <w:sz w:val="19"/>
          <w:szCs w:val="19"/>
        </w:rPr>
      </w:pPr>
    </w:p>
    <w:p>
      <w:pPr>
        <w:spacing w:line="5173" w:lineRule="exact"/>
        <w:ind w:left="2573" w:right="0" w:firstLine="0"/>
        <w:rPr>
          <w:rFonts w:ascii="宋体" w:hAnsi="宋体" w:cs="宋体" w:eastAsia="宋体" w:hint="default"/>
          <w:sz w:val="20"/>
          <w:szCs w:val="20"/>
        </w:rPr>
      </w:pPr>
      <w:r>
        <w:rPr>
          <w:rFonts w:ascii="宋体" w:hAnsi="宋体" w:cs="宋体" w:eastAsia="宋体" w:hint="default"/>
          <w:position w:val="-102"/>
          <w:sz w:val="20"/>
          <w:szCs w:val="20"/>
        </w:rPr>
        <w:drawing>
          <wp:inline distT="0" distB="0" distL="0" distR="0">
            <wp:extent cx="3042420" cy="3285077"/>
            <wp:effectExtent l="0" t="0" r="0" b="0"/>
            <wp:docPr id="3" name="image12.png" descr=""/>
            <wp:cNvGraphicFramePr>
              <a:graphicFrameLocks noChangeAspect="1"/>
            </wp:cNvGraphicFramePr>
            <a:graphic>
              <a:graphicData uri="http://schemas.openxmlformats.org/drawingml/2006/picture">
                <pic:pic>
                  <pic:nvPicPr>
                    <pic:cNvPr id="4" name="image12.png"/>
                    <pic:cNvPicPr/>
                  </pic:nvPicPr>
                  <pic:blipFill>
                    <a:blip r:embed="rId36" cstate="print"/>
                    <a:stretch>
                      <a:fillRect/>
                    </a:stretch>
                  </pic:blipFill>
                  <pic:spPr>
                    <a:xfrm>
                      <a:off x="0" y="0"/>
                      <a:ext cx="3042420" cy="3285077"/>
                    </a:xfrm>
                    <a:prstGeom prst="rect">
                      <a:avLst/>
                    </a:prstGeom>
                  </pic:spPr>
                </pic:pic>
              </a:graphicData>
            </a:graphic>
          </wp:inline>
        </w:drawing>
      </w:r>
      <w:r>
        <w:rPr>
          <w:rFonts w:ascii="宋体" w:hAnsi="宋体" w:cs="宋体" w:eastAsia="宋体" w:hint="default"/>
          <w:position w:val="-102"/>
          <w:sz w:val="20"/>
          <w:szCs w:val="20"/>
        </w:rPr>
      </w:r>
    </w:p>
    <w:p>
      <w:pPr>
        <w:spacing w:line="240" w:lineRule="auto" w:before="4"/>
        <w:rPr>
          <w:rFonts w:ascii="宋体" w:hAnsi="宋体" w:cs="宋体" w:eastAsia="宋体" w:hint="default"/>
          <w:sz w:val="21"/>
          <w:szCs w:val="21"/>
        </w:rPr>
      </w:pPr>
    </w:p>
    <w:p>
      <w:pPr>
        <w:pStyle w:val="BodyText"/>
        <w:spacing w:line="240" w:lineRule="auto"/>
        <w:ind w:right="1133"/>
        <w:jc w:val="left"/>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8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2578"/>
        <w:gridCol w:w="1817"/>
        <w:gridCol w:w="1412"/>
        <w:gridCol w:w="1637"/>
        <w:gridCol w:w="2125"/>
      </w:tblGrid>
      <w:tr>
        <w:trPr>
          <w:trHeight w:val="713" w:hRule="exact"/>
        </w:trPr>
        <w:tc>
          <w:tcPr>
            <w:tcW w:w="2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4" w:right="67"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339" w:hRule="exact"/>
        </w:trPr>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24" w:right="22"/>
              <w:jc w:val="left"/>
              <w:rPr>
                <w:rFonts w:ascii="宋体" w:hAnsi="宋体" w:cs="宋体" w:eastAsia="宋体" w:hint="default"/>
                <w:sz w:val="18"/>
                <w:szCs w:val="18"/>
              </w:rPr>
            </w:pPr>
            <w:r>
              <w:rPr>
                <w:rFonts w:ascii="宋体" w:hAnsi="宋体" w:cs="宋体" w:eastAsia="宋体" w:hint="default"/>
                <w:sz w:val="18"/>
                <w:szCs w:val="18"/>
              </w:rPr>
              <w:t>深圳前海华大基因投资企业（有 限合伙）</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杨爽</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30"/>
              <w:ind w:left="23"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4096.9239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 币</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投资兴办实业 </w:t>
            </w:r>
            <w:r>
              <w:rPr>
                <w:rFonts w:ascii="Times New Roman" w:hAnsi="Times New Roman" w:cs="Times New Roman" w:eastAsia="Times New Roman" w:hint="default"/>
                <w:sz w:val="18"/>
                <w:szCs w:val="18"/>
              </w:rPr>
              <w:t>(</w:t>
            </w:r>
            <w:r>
              <w:rPr>
                <w:rFonts w:ascii="宋体" w:hAnsi="宋体" w:cs="宋体" w:eastAsia="宋体" w:hint="default"/>
                <w:sz w:val="18"/>
                <w:szCs w:val="18"/>
              </w:rPr>
              <w:t>具体项目另行申报</w:t>
            </w:r>
            <w:r>
              <w:rPr>
                <w:rFonts w:ascii="Times New Roman" w:hAnsi="Times New Roman" w:cs="Times New Roman" w:eastAsia="Times New Roman" w:hint="default"/>
                <w:sz w:val="18"/>
                <w:szCs w:val="18"/>
              </w:rPr>
              <w:t>);</w:t>
            </w:r>
            <w:r>
              <w:rPr>
                <w:rFonts w:ascii="宋体" w:hAnsi="宋体" w:cs="宋体" w:eastAsia="宋体" w:hint="default"/>
                <w:sz w:val="18"/>
                <w:szCs w:val="18"/>
              </w:rPr>
              <w:t>投资 咨询、投资管理</w:t>
            </w:r>
            <w:r>
              <w:rPr>
                <w:rFonts w:ascii="Times New Roman" w:hAnsi="Times New Roman" w:cs="Times New Roman" w:eastAsia="Times New Roman" w:hint="default"/>
                <w:sz w:val="18"/>
                <w:szCs w:val="18"/>
              </w:rPr>
              <w:t>(</w:t>
            </w:r>
            <w:r>
              <w:rPr>
                <w:rFonts w:ascii="宋体" w:hAnsi="宋体" w:cs="宋体" w:eastAsia="宋体" w:hint="default"/>
                <w:sz w:val="18"/>
                <w:szCs w:val="18"/>
              </w:rPr>
              <w:t>以上均不 含限制项目</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0" w:footer="974"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285" w:right="1133"/>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80" w:footer="974"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1679" w:right="1133"/>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797"/>
        <w:gridCol w:w="797"/>
        <w:gridCol w:w="797"/>
        <w:gridCol w:w="800"/>
        <w:gridCol w:w="797"/>
        <w:gridCol w:w="797"/>
        <w:gridCol w:w="800"/>
        <w:gridCol w:w="797"/>
        <w:gridCol w:w="799"/>
        <w:gridCol w:w="797"/>
        <w:gridCol w:w="799"/>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3" w:right="35" w:hanging="180"/>
              <w:jc w:val="left"/>
              <w:rPr>
                <w:rFonts w:ascii="宋体" w:hAnsi="宋体" w:cs="宋体" w:eastAsia="宋体" w:hint="default"/>
                <w:sz w:val="18"/>
                <w:szCs w:val="18"/>
              </w:rPr>
            </w:pPr>
            <w:r>
              <w:rPr>
                <w:rFonts w:ascii="宋体" w:hAnsi="宋体" w:cs="宋体" w:eastAsia="宋体" w:hint="default"/>
                <w:sz w:val="18"/>
                <w:szCs w:val="18"/>
              </w:rPr>
              <w:t>其他增减 变动</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987,300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987,300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尹烨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CEO</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537,600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孙英俊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201,400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杜玉涛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杜玉涛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徐爱民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李松岗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监事会主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797"/>
        <w:gridCol w:w="797"/>
        <w:gridCol w:w="797"/>
        <w:gridCol w:w="800"/>
        <w:gridCol w:w="797"/>
        <w:gridCol w:w="797"/>
        <w:gridCol w:w="800"/>
        <w:gridCol w:w="797"/>
        <w:gridCol w:w="799"/>
        <w:gridCol w:w="797"/>
        <w:gridCol w:w="799"/>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李雯琪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胡宇洁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刘娜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陈轶青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14,100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李治平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人力资源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徐茜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董事会秘 书、法务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李英睿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金春保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吴淳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赵谦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王石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797"/>
        <w:gridCol w:w="797"/>
        <w:gridCol w:w="797"/>
        <w:gridCol w:w="800"/>
        <w:gridCol w:w="797"/>
        <w:gridCol w:w="797"/>
        <w:gridCol w:w="800"/>
        <w:gridCol w:w="797"/>
        <w:gridCol w:w="799"/>
        <w:gridCol w:w="797"/>
        <w:gridCol w:w="799"/>
        <w:gridCol w:w="797"/>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王威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首席医学 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张凌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首席运营 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9,200</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1,799,900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1,799,900</w:t>
            </w:r>
          </w:p>
        </w:tc>
      </w:tr>
    </w:tbl>
    <w:p>
      <w:pPr>
        <w:spacing w:line="240" w:lineRule="auto" w:before="9"/>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李英睿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金春保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杜玉涛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杜玉涛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董事会选举</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首席医学官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个人原因辞任</w:t>
            </w:r>
          </w:p>
        </w:tc>
      </w:tr>
    </w:tbl>
    <w:p>
      <w:pPr>
        <w:spacing w:line="240" w:lineRule="auto" w:before="3"/>
        <w:rPr>
          <w:rFonts w:ascii="宋体" w:hAnsi="宋体" w:cs="宋体" w:eastAsia="宋体" w:hint="default"/>
          <w:sz w:val="18"/>
          <w:szCs w:val="18"/>
        </w:rPr>
      </w:pPr>
    </w:p>
    <w:p>
      <w:pPr>
        <w:pStyle w:val="Heading2"/>
        <w:spacing w:line="240" w:lineRule="auto" w:before="26"/>
        <w:ind w:right="1133"/>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spacing w:after="0" w:line="240" w:lineRule="auto"/>
        <w:jc w:val="left"/>
        <w:sectPr>
          <w:pgSz w:w="11910" w:h="16840"/>
          <w:pgMar w:header="880" w:footer="974" w:top="1100" w:bottom="1160" w:left="980" w:right="0"/>
        </w:sectPr>
      </w:pPr>
    </w:p>
    <w:p>
      <w:pPr>
        <w:spacing w:line="240" w:lineRule="auto" w:before="3"/>
        <w:rPr>
          <w:rFonts w:ascii="宋体" w:hAnsi="宋体" w:cs="宋体" w:eastAsia="宋体" w:hint="default"/>
          <w:sz w:val="22"/>
          <w:szCs w:val="22"/>
        </w:rPr>
      </w:pPr>
    </w:p>
    <w:p>
      <w:pPr>
        <w:pStyle w:val="Heading5"/>
        <w:spacing w:line="240" w:lineRule="auto"/>
        <w:ind w:left="152" w:right="1133"/>
        <w:jc w:val="left"/>
        <w:rPr>
          <w:b w:val="0"/>
          <w:bCs w:val="0"/>
        </w:rPr>
      </w:pPr>
      <w:r>
        <w:rPr/>
        <w:t>（一）董事</w:t>
      </w:r>
      <w:r>
        <w:rPr>
          <w:b w:val="0"/>
          <w:bCs w:val="0"/>
        </w:rPr>
      </w:r>
    </w:p>
    <w:p>
      <w:pPr>
        <w:spacing w:line="240" w:lineRule="auto" w:before="8"/>
        <w:rPr>
          <w:rFonts w:ascii="宋体" w:hAnsi="宋体" w:cs="宋体" w:eastAsia="宋体" w:hint="default"/>
          <w:b/>
          <w:bCs/>
          <w:sz w:val="17"/>
          <w:szCs w:val="17"/>
        </w:rPr>
      </w:pPr>
    </w:p>
    <w:p>
      <w:pPr>
        <w:pStyle w:val="BodyText"/>
        <w:spacing w:line="300" w:lineRule="auto"/>
        <w:ind w:right="1392" w:firstLine="360"/>
        <w:jc w:val="left"/>
      </w:pPr>
      <w:r>
        <w:rPr>
          <w:rFonts w:ascii="宋体" w:hAnsi="宋体" w:cs="宋体" w:eastAsia="宋体" w:hint="default"/>
          <w:b/>
          <w:bCs/>
        </w:rPr>
        <w:t>汪建，</w:t>
      </w:r>
      <w:r>
        <w:rPr/>
        <w:t>男，</w:t>
      </w:r>
      <w:r>
        <w:rPr>
          <w:rFonts w:ascii="Times New Roman" w:hAnsi="Times New Roman" w:cs="Times New Roman" w:eastAsia="Times New Roman" w:hint="default"/>
        </w:rPr>
        <w:t>1954</w:t>
      </w:r>
      <w:r>
        <w:rPr/>
        <w:t>年出生，中国国籍，无境外居留权。硕士、研究员。现任华大基因董事长、华大控股董事长、总经 理。曾任华大研究院院长。</w:t>
      </w:r>
    </w:p>
    <w:p>
      <w:pPr>
        <w:spacing w:line="240" w:lineRule="auto" w:before="4"/>
        <w:rPr>
          <w:rFonts w:ascii="宋体" w:hAnsi="宋体" w:cs="宋体" w:eastAsia="宋体" w:hint="default"/>
          <w:sz w:val="14"/>
          <w:szCs w:val="14"/>
        </w:rPr>
      </w:pPr>
    </w:p>
    <w:p>
      <w:pPr>
        <w:pStyle w:val="BodyText"/>
        <w:spacing w:line="300" w:lineRule="auto"/>
        <w:ind w:right="1213" w:firstLine="360"/>
        <w:jc w:val="left"/>
      </w:pPr>
      <w:r>
        <w:rPr>
          <w:rFonts w:ascii="宋体" w:hAnsi="宋体" w:cs="宋体" w:eastAsia="宋体" w:hint="default"/>
          <w:b/>
          <w:bCs/>
        </w:rPr>
        <w:t>尹烨</w:t>
      </w:r>
      <w:r>
        <w:rPr/>
        <w:t>，男，</w:t>
      </w:r>
      <w:r>
        <w:rPr>
          <w:rFonts w:ascii="Times New Roman" w:hAnsi="Times New Roman" w:cs="Times New Roman" w:eastAsia="Times New Roman" w:hint="default"/>
        </w:rPr>
        <w:t>1979</w:t>
      </w:r>
      <w:r>
        <w:rPr/>
        <w:t>年出生，中国国籍，无境外居留权。工程硕士，现任华大基因董事、总经理，华大科技董事。曾任华 大控股首席运营官，华大医学（现已与华大科技合并为华大基因）总经理。</w:t>
      </w:r>
    </w:p>
    <w:p>
      <w:pPr>
        <w:spacing w:line="240" w:lineRule="auto" w:before="4"/>
        <w:rPr>
          <w:rFonts w:ascii="宋体" w:hAnsi="宋体" w:cs="宋体" w:eastAsia="宋体" w:hint="default"/>
          <w:sz w:val="14"/>
          <w:szCs w:val="14"/>
        </w:rPr>
      </w:pPr>
    </w:p>
    <w:p>
      <w:pPr>
        <w:pStyle w:val="BodyText"/>
        <w:spacing w:line="300" w:lineRule="auto"/>
        <w:ind w:right="1211" w:firstLine="360"/>
        <w:jc w:val="left"/>
      </w:pPr>
      <w:r>
        <w:rPr>
          <w:rFonts w:ascii="宋体" w:hAnsi="宋体" w:cs="宋体" w:eastAsia="宋体" w:hint="default"/>
          <w:b/>
          <w:bCs/>
        </w:rPr>
        <w:t>孙英俊，</w:t>
      </w:r>
      <w:r>
        <w:rPr/>
        <w:t>男，</w:t>
      </w:r>
      <w:r>
        <w:rPr>
          <w:rFonts w:ascii="Times New Roman" w:hAnsi="Times New Roman" w:cs="Times New Roman" w:eastAsia="Times New Roman" w:hint="default"/>
        </w:rPr>
        <w:t>1971</w:t>
      </w:r>
      <w:r>
        <w:rPr/>
        <w:t>年出生，中国国籍，无境外居留权。硕士，经济师、金融理财师。现任华大基因董事，华大控股首 席财务官。</w:t>
      </w:r>
    </w:p>
    <w:p>
      <w:pPr>
        <w:spacing w:line="240" w:lineRule="auto" w:before="4"/>
        <w:rPr>
          <w:rFonts w:ascii="宋体" w:hAnsi="宋体" w:cs="宋体" w:eastAsia="宋体" w:hint="default"/>
          <w:sz w:val="14"/>
          <w:szCs w:val="14"/>
        </w:rPr>
      </w:pPr>
    </w:p>
    <w:p>
      <w:pPr>
        <w:pStyle w:val="BodyText"/>
        <w:spacing w:line="300" w:lineRule="auto"/>
        <w:ind w:right="1211" w:firstLine="360"/>
        <w:jc w:val="left"/>
      </w:pPr>
      <w:r>
        <w:rPr>
          <w:rFonts w:ascii="宋体" w:hAnsi="宋体" w:cs="宋体" w:eastAsia="宋体" w:hint="default"/>
          <w:b/>
          <w:bCs/>
        </w:rPr>
        <w:t>杜玉涛，</w:t>
      </w:r>
      <w:r>
        <w:rPr/>
        <w:t>女，</w:t>
      </w:r>
      <w:r>
        <w:rPr>
          <w:rFonts w:ascii="Times New Roman" w:hAnsi="Times New Roman" w:cs="Times New Roman" w:eastAsia="Times New Roman" w:hint="default"/>
        </w:rPr>
        <w:t>1977</w:t>
      </w:r>
      <w:r>
        <w:rPr/>
        <w:t>年出生，中国国籍，无境外居留权。博士，研究员。现任华大基因副总经理、深圳华大生命科学研 究院党委书记。曾任深圳华大基因科技有限公司执行副总裁，深圳华大运动控股有限责任公司首席科学家。</w:t>
      </w:r>
    </w:p>
    <w:p>
      <w:pPr>
        <w:spacing w:line="240" w:lineRule="auto" w:before="5"/>
        <w:rPr>
          <w:rFonts w:ascii="宋体" w:hAnsi="宋体" w:cs="宋体" w:eastAsia="宋体" w:hint="default"/>
          <w:sz w:val="14"/>
          <w:szCs w:val="14"/>
        </w:rPr>
      </w:pPr>
    </w:p>
    <w:p>
      <w:pPr>
        <w:pStyle w:val="BodyText"/>
        <w:spacing w:line="307" w:lineRule="auto"/>
        <w:ind w:right="1228" w:firstLine="360"/>
        <w:jc w:val="both"/>
      </w:pPr>
      <w:r>
        <w:rPr>
          <w:rFonts w:ascii="宋体" w:hAnsi="宋体" w:cs="宋体" w:eastAsia="宋体" w:hint="default"/>
          <w:b/>
          <w:bCs/>
        </w:rPr>
        <w:t>王洪涛，</w:t>
      </w:r>
      <w:r>
        <w:rPr/>
        <w:t>男，</w:t>
      </w:r>
      <w:r>
        <w:rPr>
          <w:rFonts w:ascii="Times New Roman" w:hAnsi="Times New Roman" w:cs="Times New Roman" w:eastAsia="Times New Roman" w:hint="default"/>
        </w:rPr>
        <w:t>1974</w:t>
      </w:r>
      <w:r>
        <w:rPr/>
        <w:t>年出生，中国国籍，无境外居留权。硕士。现任高林资本管理有限公司创始合伙人、董事长，北京 高林投资有限公司执行董事、总经理，北京宅急送快运股份有限公司董事长兼</w:t>
      </w:r>
      <w:r>
        <w:rPr>
          <w:rFonts w:ascii="Times New Roman" w:hAnsi="Times New Roman" w:cs="Times New Roman" w:eastAsia="Times New Roman" w:hint="default"/>
        </w:rPr>
        <w:t>CEO</w:t>
      </w:r>
      <w:r>
        <w:rPr/>
        <w:t>。历任泰康资产管理有限责任公司股权 投资负责人、董事总经理，中信基金投委会委员、基金经理，光大控股创业投资（深圳）有限公司资产管理部总经理，招 商证券研发中心产品经理，平安保险资产管理中心投资经理。</w:t>
      </w:r>
    </w:p>
    <w:p>
      <w:pPr>
        <w:spacing w:line="240" w:lineRule="auto" w:before="12"/>
        <w:rPr>
          <w:rFonts w:ascii="宋体" w:hAnsi="宋体" w:cs="宋体" w:eastAsia="宋体" w:hint="default"/>
          <w:sz w:val="13"/>
          <w:szCs w:val="13"/>
        </w:rPr>
      </w:pPr>
    </w:p>
    <w:p>
      <w:pPr>
        <w:pStyle w:val="BodyText"/>
        <w:spacing w:line="300" w:lineRule="auto"/>
        <w:ind w:right="1211" w:firstLine="360"/>
        <w:jc w:val="left"/>
      </w:pPr>
      <w:r>
        <w:rPr>
          <w:rFonts w:ascii="宋体" w:hAnsi="宋体" w:cs="宋体" w:eastAsia="宋体" w:hint="default"/>
          <w:b/>
          <w:bCs/>
        </w:rPr>
        <w:t>陈鹏辉，</w:t>
      </w:r>
      <w:r>
        <w:rPr/>
        <w:t>男，</w:t>
      </w:r>
      <w:r>
        <w:rPr>
          <w:rFonts w:ascii="Times New Roman" w:hAnsi="Times New Roman" w:cs="Times New Roman" w:eastAsia="Times New Roman" w:hint="default"/>
        </w:rPr>
        <w:t>1972</w:t>
      </w:r>
      <w:r>
        <w:rPr/>
        <w:t>年出生，美国国籍。硕士。现任华大基因董事，博远资本创始合伙人。曾任美国圣地亚哥生物技术 公司</w:t>
      </w:r>
      <w:r>
        <w:rPr>
          <w:rFonts w:ascii="Times New Roman" w:hAnsi="Times New Roman" w:cs="Times New Roman" w:eastAsia="Times New Roman" w:hint="default"/>
        </w:rPr>
        <w:t>Ligand</w:t>
      </w:r>
      <w:r>
        <w:rPr>
          <w:rFonts w:ascii="Times New Roman" w:hAnsi="Times New Roman" w:cs="Times New Roman" w:eastAsia="Times New Roman" w:hint="default"/>
          <w:spacing w:val="-2"/>
        </w:rPr>
        <w:t> </w:t>
      </w:r>
      <w:r>
        <w:rPr>
          <w:rFonts w:ascii="Times New Roman" w:hAnsi="Times New Roman" w:cs="Times New Roman" w:eastAsia="Times New Roman" w:hint="default"/>
        </w:rPr>
        <w:t>Pharmaceuticals</w:t>
      </w:r>
      <w:r>
        <w:rPr/>
        <w:t>研究员，中信资本控股有限公司投资副总裁，尚华医药集团首席运营官、首席财务官、总裁， 中国光大控股有限公司医疗基金负责人、董事总经理，红杉资本中国基金合伙人。</w:t>
      </w:r>
    </w:p>
    <w:p>
      <w:pPr>
        <w:spacing w:line="240" w:lineRule="auto" w:before="4"/>
        <w:rPr>
          <w:rFonts w:ascii="宋体" w:hAnsi="宋体" w:cs="宋体" w:eastAsia="宋体" w:hint="default"/>
          <w:sz w:val="14"/>
          <w:szCs w:val="14"/>
        </w:rPr>
      </w:pPr>
    </w:p>
    <w:p>
      <w:pPr>
        <w:pStyle w:val="BodyText"/>
        <w:spacing w:line="309" w:lineRule="auto"/>
        <w:ind w:right="1143" w:firstLine="360"/>
        <w:jc w:val="left"/>
      </w:pPr>
      <w:r>
        <w:rPr>
          <w:rFonts w:ascii="宋体" w:hAnsi="宋体" w:cs="宋体" w:eastAsia="宋体" w:hint="default"/>
          <w:b/>
          <w:bCs/>
        </w:rPr>
        <w:t>蒋昌建，</w:t>
      </w:r>
      <w:r>
        <w:rPr/>
        <w:t>男，</w:t>
      </w:r>
      <w:r>
        <w:rPr>
          <w:rFonts w:ascii="Times New Roman" w:hAnsi="Times New Roman" w:cs="Times New Roman" w:eastAsia="Times New Roman" w:hint="default"/>
        </w:rPr>
        <w:t>1965</w:t>
      </w:r>
      <w:r>
        <w:rPr>
          <w:rFonts w:ascii="Times New Roman" w:hAnsi="Times New Roman" w:cs="Times New Roman" w:eastAsia="Times New Roman" w:hint="default"/>
          <w:spacing w:val="23"/>
        </w:rPr>
        <w:t> </w:t>
      </w:r>
      <w:r>
        <w:rPr/>
        <w:t>年出生，中国国籍，无境外居留权。博士，副教授。现任华大基因独立董事，复旦大学国际关系与 公共事务学院副教授，苏州易德龙科技股份有限公司独立董事，三湘印象股份有限公司独立董事。曾任安徽师范大学附属 中学教师。</w:t>
      </w:r>
    </w:p>
    <w:p>
      <w:pPr>
        <w:spacing w:line="240" w:lineRule="auto" w:before="10"/>
        <w:rPr>
          <w:rFonts w:ascii="宋体" w:hAnsi="宋体" w:cs="宋体" w:eastAsia="宋体" w:hint="default"/>
          <w:sz w:val="13"/>
          <w:szCs w:val="13"/>
        </w:rPr>
      </w:pPr>
    </w:p>
    <w:p>
      <w:pPr>
        <w:pStyle w:val="BodyText"/>
        <w:spacing w:line="309" w:lineRule="auto"/>
        <w:ind w:right="1211" w:firstLine="360"/>
        <w:jc w:val="left"/>
      </w:pPr>
      <w:r>
        <w:rPr>
          <w:rFonts w:ascii="宋体" w:hAnsi="宋体" w:cs="宋体" w:eastAsia="宋体" w:hint="default"/>
          <w:b/>
          <w:bCs/>
        </w:rPr>
        <w:t>徐爱民，</w:t>
      </w:r>
      <w:r>
        <w:rPr/>
        <w:t>男，</w:t>
      </w:r>
      <w:r>
        <w:rPr>
          <w:rFonts w:ascii="Times New Roman" w:hAnsi="Times New Roman" w:cs="Times New Roman" w:eastAsia="Times New Roman" w:hint="default"/>
        </w:rPr>
        <w:t>1967</w:t>
      </w:r>
      <w:r>
        <w:rPr/>
        <w:t>年出生，中国国籍，有境外居留权。博士，教授。现任华大基因独立董事，中山大学达安基因股份 有限公司独立董事，香港大学内科学系、药理及药剂学系终身教授。同时兼任香港大学生物医药技术国家重点实验室主 任，香港大学抗体及免疫检测服务中心主任。</w:t>
      </w:r>
    </w:p>
    <w:p>
      <w:pPr>
        <w:spacing w:line="240" w:lineRule="auto" w:before="10"/>
        <w:rPr>
          <w:rFonts w:ascii="宋体" w:hAnsi="宋体" w:cs="宋体" w:eastAsia="宋体" w:hint="default"/>
          <w:sz w:val="13"/>
          <w:szCs w:val="13"/>
        </w:rPr>
      </w:pPr>
    </w:p>
    <w:p>
      <w:pPr>
        <w:pStyle w:val="BodyText"/>
        <w:spacing w:line="300" w:lineRule="auto"/>
        <w:ind w:right="1211" w:firstLine="360"/>
        <w:jc w:val="left"/>
      </w:pPr>
      <w:r>
        <w:rPr>
          <w:rFonts w:ascii="宋体" w:hAnsi="宋体" w:cs="宋体" w:eastAsia="宋体" w:hint="default"/>
          <w:b/>
          <w:bCs/>
        </w:rPr>
        <w:t>吴育辉，</w:t>
      </w:r>
      <w:r>
        <w:rPr/>
        <w:t>男，</w:t>
      </w:r>
      <w:r>
        <w:rPr>
          <w:rFonts w:ascii="Times New Roman" w:hAnsi="Times New Roman" w:cs="Times New Roman" w:eastAsia="Times New Roman" w:hint="default"/>
        </w:rPr>
        <w:t>1978</w:t>
      </w:r>
      <w:r>
        <w:rPr/>
        <w:t>年出生。中国国籍，无境外居留权。博士，教授，博士生导师。现任华大基因独立董事，厦门大学 管理学院财务学系主任，福耀玻璃工业集团股份有限公司独立董事，深圳顺络电子股份有限公司独立董事。</w:t>
      </w:r>
    </w:p>
    <w:p>
      <w:pPr>
        <w:spacing w:line="240" w:lineRule="auto" w:before="4"/>
        <w:rPr>
          <w:rFonts w:ascii="宋体" w:hAnsi="宋体" w:cs="宋体" w:eastAsia="宋体" w:hint="default"/>
          <w:sz w:val="14"/>
          <w:szCs w:val="14"/>
        </w:rPr>
      </w:pPr>
    </w:p>
    <w:p>
      <w:pPr>
        <w:pStyle w:val="Heading5"/>
        <w:spacing w:line="240" w:lineRule="auto" w:before="0"/>
        <w:ind w:left="152" w:right="1133"/>
        <w:jc w:val="left"/>
        <w:rPr>
          <w:b w:val="0"/>
          <w:bCs w:val="0"/>
        </w:rPr>
      </w:pPr>
      <w:r>
        <w:rPr/>
        <w:t>（二）监事</w:t>
      </w:r>
      <w:r>
        <w:rPr>
          <w:b w:val="0"/>
          <w:bCs w:val="0"/>
        </w:rPr>
      </w:r>
    </w:p>
    <w:p>
      <w:pPr>
        <w:spacing w:line="240" w:lineRule="auto" w:before="10"/>
        <w:rPr>
          <w:rFonts w:ascii="宋体" w:hAnsi="宋体" w:cs="宋体" w:eastAsia="宋体" w:hint="default"/>
          <w:b/>
          <w:bCs/>
          <w:sz w:val="17"/>
          <w:szCs w:val="17"/>
        </w:rPr>
      </w:pPr>
    </w:p>
    <w:p>
      <w:pPr>
        <w:pStyle w:val="BodyText"/>
        <w:spacing w:line="300" w:lineRule="auto"/>
        <w:ind w:right="1211" w:firstLine="360"/>
        <w:jc w:val="left"/>
      </w:pPr>
      <w:r>
        <w:rPr>
          <w:rFonts w:ascii="宋体" w:hAnsi="宋体" w:cs="宋体" w:eastAsia="宋体" w:hint="default"/>
          <w:b/>
          <w:bCs/>
        </w:rPr>
        <w:t>李松岗，</w:t>
      </w:r>
      <w:r>
        <w:rPr/>
        <w:t>男，</w:t>
      </w:r>
      <w:r>
        <w:rPr>
          <w:rFonts w:ascii="Times New Roman" w:hAnsi="Times New Roman" w:cs="Times New Roman" w:eastAsia="Times New Roman" w:hint="default"/>
        </w:rPr>
        <w:t>1947</w:t>
      </w:r>
      <w:r>
        <w:rPr/>
        <w:t>年出生，中国国籍，无境外居留权。硕士。现任华大基因监事。曾任北京大学生命科学学院讲师、 副教授、教授。</w:t>
      </w:r>
    </w:p>
    <w:p>
      <w:pPr>
        <w:spacing w:line="240" w:lineRule="auto" w:before="4"/>
        <w:rPr>
          <w:rFonts w:ascii="宋体" w:hAnsi="宋体" w:cs="宋体" w:eastAsia="宋体" w:hint="default"/>
          <w:sz w:val="14"/>
          <w:szCs w:val="14"/>
        </w:rPr>
      </w:pPr>
    </w:p>
    <w:p>
      <w:pPr>
        <w:pStyle w:val="BodyText"/>
        <w:spacing w:line="300" w:lineRule="auto"/>
        <w:ind w:right="1211" w:firstLine="360"/>
        <w:jc w:val="left"/>
      </w:pPr>
      <w:r>
        <w:rPr>
          <w:rFonts w:ascii="宋体" w:hAnsi="宋体" w:cs="宋体" w:eastAsia="宋体" w:hint="default"/>
          <w:b/>
          <w:bCs/>
        </w:rPr>
        <w:t>李雯琪，</w:t>
      </w:r>
      <w:r>
        <w:rPr/>
        <w:t>女，</w:t>
      </w:r>
      <w:r>
        <w:rPr>
          <w:rFonts w:ascii="Times New Roman" w:hAnsi="Times New Roman" w:cs="Times New Roman" w:eastAsia="Times New Roman" w:hint="default"/>
        </w:rPr>
        <w:t>1986</w:t>
      </w:r>
      <w:r>
        <w:rPr/>
        <w:t>年出生，中国国籍，无境外居留权。硕士学历。现任华大基因监事、华大基因总经理助理。曾任华 大科技日本片区业务经理、实验平台行政总监。</w:t>
      </w:r>
    </w:p>
    <w:p>
      <w:pPr>
        <w:spacing w:line="240" w:lineRule="auto" w:before="4"/>
        <w:rPr>
          <w:rFonts w:ascii="宋体" w:hAnsi="宋体" w:cs="宋体" w:eastAsia="宋体" w:hint="default"/>
          <w:sz w:val="14"/>
          <w:szCs w:val="14"/>
        </w:rPr>
      </w:pPr>
    </w:p>
    <w:p>
      <w:pPr>
        <w:pStyle w:val="BodyText"/>
        <w:spacing w:line="300" w:lineRule="auto"/>
        <w:ind w:right="1211" w:firstLine="360"/>
        <w:jc w:val="left"/>
      </w:pPr>
      <w:r>
        <w:rPr>
          <w:rFonts w:ascii="宋体" w:hAnsi="宋体" w:cs="宋体" w:eastAsia="宋体" w:hint="default"/>
          <w:b/>
          <w:bCs/>
        </w:rPr>
        <w:t>胡宇洁，</w:t>
      </w:r>
      <w:r>
        <w:rPr/>
        <w:t>女，</w:t>
      </w:r>
      <w:r>
        <w:rPr>
          <w:rFonts w:ascii="Times New Roman" w:hAnsi="Times New Roman" w:cs="Times New Roman" w:eastAsia="Times New Roman" w:hint="default"/>
        </w:rPr>
        <w:t>1984</w:t>
      </w:r>
      <w:r>
        <w:rPr/>
        <w:t>年出生，中国国籍，无境外居留权。硕士。现任华大基因监事、华大基因医学市场总监。曾任华大 科技人力资源总监。</w:t>
      </w:r>
    </w:p>
    <w:p>
      <w:pPr>
        <w:spacing w:line="240" w:lineRule="auto" w:before="4"/>
        <w:rPr>
          <w:rFonts w:ascii="宋体" w:hAnsi="宋体" w:cs="宋体" w:eastAsia="宋体" w:hint="default"/>
          <w:sz w:val="14"/>
          <w:szCs w:val="14"/>
        </w:rPr>
      </w:pPr>
    </w:p>
    <w:p>
      <w:pPr>
        <w:spacing w:line="463" w:lineRule="auto" w:before="0"/>
        <w:ind w:left="513" w:right="6810" w:hanging="361"/>
        <w:jc w:val="left"/>
        <w:rPr>
          <w:rFonts w:ascii="宋体" w:hAnsi="宋体" w:cs="宋体" w:eastAsia="宋体" w:hint="default"/>
          <w:sz w:val="18"/>
          <w:szCs w:val="18"/>
        </w:rPr>
      </w:pPr>
      <w:r>
        <w:rPr>
          <w:rFonts w:ascii="宋体" w:hAnsi="宋体" w:cs="宋体" w:eastAsia="宋体" w:hint="default"/>
          <w:b/>
          <w:bCs/>
          <w:sz w:val="18"/>
          <w:szCs w:val="18"/>
        </w:rPr>
        <w:t>（三）高级管理人员</w:t>
      </w:r>
      <w:r>
        <w:rPr>
          <w:rFonts w:ascii="宋体" w:hAnsi="宋体" w:cs="宋体" w:eastAsia="宋体" w:hint="default"/>
          <w:b/>
          <w:bCs/>
          <w:w w:val="99"/>
          <w:sz w:val="18"/>
          <w:szCs w:val="18"/>
        </w:rPr>
        <w:t> </w:t>
      </w:r>
      <w:r>
        <w:rPr>
          <w:rFonts w:ascii="宋体" w:hAnsi="宋体" w:cs="宋体" w:eastAsia="宋体" w:hint="default"/>
          <w:b/>
          <w:bCs/>
          <w:sz w:val="18"/>
          <w:szCs w:val="18"/>
        </w:rPr>
        <w:t>尹烨，</w:t>
      </w:r>
      <w:r>
        <w:rPr>
          <w:rFonts w:ascii="宋体" w:hAnsi="宋体" w:cs="宋体" w:eastAsia="宋体" w:hint="default"/>
          <w:sz w:val="18"/>
          <w:szCs w:val="18"/>
        </w:rPr>
        <w:t>简历见本节之</w:t>
      </w:r>
      <w:r>
        <w:rPr>
          <w:rFonts w:ascii="Times New Roman" w:hAnsi="Times New Roman" w:cs="Times New Roman" w:eastAsia="Times New Roman" w:hint="default"/>
          <w:sz w:val="18"/>
          <w:szCs w:val="18"/>
        </w:rPr>
        <w:t>“</w:t>
      </w:r>
      <w:r>
        <w:rPr>
          <w:rFonts w:ascii="宋体" w:hAnsi="宋体" w:cs="宋体" w:eastAsia="宋体" w:hint="default"/>
          <w:sz w:val="18"/>
          <w:szCs w:val="18"/>
        </w:rPr>
        <w:t>（一）董事会成员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b/>
          <w:bCs/>
          <w:sz w:val="18"/>
          <w:szCs w:val="18"/>
        </w:rPr>
        <w:t>杜玉涛，</w:t>
      </w:r>
      <w:r>
        <w:rPr>
          <w:rFonts w:ascii="宋体" w:hAnsi="宋体" w:cs="宋体" w:eastAsia="宋体" w:hint="default"/>
          <w:sz w:val="18"/>
          <w:szCs w:val="18"/>
        </w:rPr>
        <w:t>简历见本节之</w:t>
      </w:r>
      <w:r>
        <w:rPr>
          <w:rFonts w:ascii="Times New Roman" w:hAnsi="Times New Roman" w:cs="Times New Roman" w:eastAsia="Times New Roman" w:hint="default"/>
          <w:sz w:val="18"/>
          <w:szCs w:val="18"/>
        </w:rPr>
        <w:t>“</w:t>
      </w:r>
      <w:r>
        <w:rPr>
          <w:rFonts w:ascii="宋体" w:hAnsi="宋体" w:cs="宋体" w:eastAsia="宋体" w:hint="default"/>
          <w:sz w:val="18"/>
          <w:szCs w:val="18"/>
        </w:rPr>
        <w:t>（一）董事会成员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BodyText"/>
        <w:spacing w:line="300" w:lineRule="auto" w:before="34"/>
        <w:ind w:right="1212" w:firstLine="360"/>
        <w:jc w:val="left"/>
      </w:pPr>
      <w:r>
        <w:rPr>
          <w:rFonts w:ascii="宋体" w:hAnsi="宋体" w:cs="宋体" w:eastAsia="宋体" w:hint="default"/>
          <w:b/>
          <w:bCs/>
        </w:rPr>
        <w:t>刘娜，</w:t>
      </w:r>
      <w:r>
        <w:rPr/>
        <w:t>女，</w:t>
      </w:r>
      <w:r>
        <w:rPr>
          <w:rFonts w:ascii="Times New Roman" w:hAnsi="Times New Roman" w:cs="Times New Roman" w:eastAsia="Times New Roman" w:hint="default"/>
        </w:rPr>
        <w:t>1979</w:t>
      </w:r>
      <w:r>
        <w:rPr/>
        <w:t>年出生，中国国籍，无境外居留权。博士。现任华大基因副总经理。曾任深圳华大基因科技有限公司 科技合作事业部</w:t>
      </w:r>
      <w:r>
        <w:rPr>
          <w:rFonts w:ascii="Times New Roman" w:hAnsi="Times New Roman" w:cs="Times New Roman" w:eastAsia="Times New Roman" w:hint="default"/>
        </w:rPr>
        <w:t>RNA</w:t>
      </w:r>
      <w:r>
        <w:rPr/>
        <w:t>业务线总监、制药与生物技术研究业务线总监，深圳华大基因科技服务有限公司董事长、副总裁。</w:t>
      </w:r>
    </w:p>
    <w:p>
      <w:pPr>
        <w:spacing w:after="0" w:line="300" w:lineRule="auto"/>
        <w:jc w:val="left"/>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09" w:lineRule="auto" w:before="44"/>
        <w:ind w:right="1228" w:firstLine="360"/>
        <w:jc w:val="both"/>
      </w:pPr>
      <w:r>
        <w:rPr>
          <w:rFonts w:ascii="宋体" w:hAnsi="宋体" w:cs="宋体" w:eastAsia="宋体" w:hint="default"/>
          <w:b/>
          <w:bCs/>
        </w:rPr>
        <w:t>陈轶青，</w:t>
      </w:r>
      <w:r>
        <w:rPr/>
        <w:t>男，</w:t>
      </w:r>
      <w:r>
        <w:rPr>
          <w:rFonts w:ascii="Times New Roman" w:hAnsi="Times New Roman" w:cs="Times New Roman" w:eastAsia="Times New Roman" w:hint="default"/>
        </w:rPr>
        <w:t>1984</w:t>
      </w:r>
      <w:r>
        <w:rPr/>
        <w:t>年出生，中国国籍，无境外居留权。硕士，中国注册会计师资格。现任华大基因财务总监。曾任深 圳华大基因科技服务有限公司财务总监，东方花旗证券有限公司投资银行部业务总监，东方证券有限公司投资银行部业务 副总监，安永华明会计师事务所审计师。</w:t>
      </w:r>
    </w:p>
    <w:p>
      <w:pPr>
        <w:spacing w:line="240" w:lineRule="auto" w:before="10"/>
        <w:rPr>
          <w:rFonts w:ascii="宋体" w:hAnsi="宋体" w:cs="宋体" w:eastAsia="宋体" w:hint="default"/>
          <w:sz w:val="13"/>
          <w:szCs w:val="13"/>
        </w:rPr>
      </w:pPr>
    </w:p>
    <w:p>
      <w:pPr>
        <w:pStyle w:val="BodyText"/>
        <w:spacing w:line="300" w:lineRule="auto"/>
        <w:ind w:right="1228" w:firstLine="360"/>
        <w:jc w:val="both"/>
      </w:pPr>
      <w:r>
        <w:rPr>
          <w:rFonts w:ascii="宋体" w:hAnsi="宋体" w:cs="宋体" w:eastAsia="宋体" w:hint="default"/>
          <w:b/>
          <w:bCs/>
        </w:rPr>
        <w:t>李治平，</w:t>
      </w:r>
      <w:r>
        <w:rPr/>
        <w:t>男，</w:t>
      </w:r>
      <w:r>
        <w:rPr>
          <w:rFonts w:ascii="Times New Roman" w:hAnsi="Times New Roman" w:cs="Times New Roman" w:eastAsia="Times New Roman" w:hint="default"/>
        </w:rPr>
        <w:t>1979</w:t>
      </w:r>
      <w:r>
        <w:rPr/>
        <w:t>年出生，中国国籍，无境外居留权。本科学历。现任华大基因人力资源总监。曾任深圳华大基因科 技有限公司人力资源副总监，深圳华大基因医学有限公司人力资源总监。</w:t>
      </w:r>
    </w:p>
    <w:p>
      <w:pPr>
        <w:spacing w:line="240" w:lineRule="auto" w:before="4"/>
        <w:rPr>
          <w:rFonts w:ascii="宋体" w:hAnsi="宋体" w:cs="宋体" w:eastAsia="宋体" w:hint="default"/>
          <w:sz w:val="14"/>
          <w:szCs w:val="14"/>
        </w:rPr>
      </w:pPr>
    </w:p>
    <w:p>
      <w:pPr>
        <w:pStyle w:val="BodyText"/>
        <w:spacing w:line="300" w:lineRule="auto"/>
        <w:ind w:right="1228" w:firstLine="360"/>
        <w:jc w:val="both"/>
      </w:pPr>
      <w:r>
        <w:rPr>
          <w:rFonts w:ascii="宋体" w:hAnsi="宋体" w:cs="宋体" w:eastAsia="宋体" w:hint="default"/>
          <w:b/>
          <w:bCs/>
        </w:rPr>
        <w:t>徐茜，</w:t>
      </w:r>
      <w:r>
        <w:rPr/>
        <w:t>女，</w:t>
      </w:r>
      <w:r>
        <w:rPr>
          <w:rFonts w:ascii="Times New Roman" w:hAnsi="Times New Roman" w:cs="Times New Roman" w:eastAsia="Times New Roman" w:hint="default"/>
        </w:rPr>
        <w:t>1984</w:t>
      </w:r>
      <w:r>
        <w:rPr/>
        <w:t>年出生，中国国籍，无境外居留权。硕士，具有深圳证券交易所董事会秘书资格和法律职业资格。现 任华大基因董事会秘书、法务总监。曾任深圳华大基因科技服务有限公司法务总监。</w:t>
      </w:r>
    </w:p>
    <w:p>
      <w:pPr>
        <w:pStyle w:val="BodyText"/>
        <w:spacing w:line="240" w:lineRule="auto" w:before="72"/>
        <w:ind w:right="1133"/>
        <w:jc w:val="left"/>
      </w:pPr>
      <w:r>
        <w:rPr/>
        <w:t>在股东单位任职情况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200"/>
        <w:gridCol w:w="3190"/>
        <w:gridCol w:w="1064"/>
        <w:gridCol w:w="1198"/>
        <w:gridCol w:w="1330"/>
        <w:gridCol w:w="1586"/>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49"/>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5"/>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8" w:right="65"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94"/>
              <w:jc w:val="right"/>
              <w:rPr>
                <w:rFonts w:ascii="宋体" w:hAnsi="宋体" w:cs="宋体" w:eastAsia="宋体" w:hint="default"/>
                <w:sz w:val="18"/>
                <w:szCs w:val="18"/>
              </w:rPr>
            </w:pPr>
            <w:r>
              <w:rPr>
                <w:rFonts w:ascii="宋体" w:hAnsi="宋体" w:cs="宋体" w:eastAsia="宋体" w:hint="default"/>
                <w:sz w:val="18"/>
                <w:szCs w:val="18"/>
              </w:rPr>
              <w:t>深圳华大基因科技有限公司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4"/>
              <w:jc w:val="right"/>
              <w:rPr>
                <w:rFonts w:ascii="宋体" w:hAnsi="宋体" w:cs="宋体" w:eastAsia="宋体" w:hint="default"/>
                <w:sz w:val="18"/>
                <w:szCs w:val="18"/>
              </w:rPr>
            </w:pPr>
            <w:r>
              <w:rPr>
                <w:rFonts w:ascii="宋体" w:hAnsi="宋体" w:cs="宋体" w:eastAsia="宋体" w:hint="default"/>
                <w:sz w:val="18"/>
                <w:szCs w:val="18"/>
              </w:rPr>
              <w:t>深圳华大基因科技有限公司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孙英俊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94"/>
              <w:jc w:val="right"/>
              <w:rPr>
                <w:rFonts w:ascii="宋体" w:hAnsi="宋体" w:cs="宋体" w:eastAsia="宋体" w:hint="default"/>
                <w:sz w:val="18"/>
                <w:szCs w:val="18"/>
              </w:rPr>
            </w:pPr>
            <w:r>
              <w:rPr>
                <w:rFonts w:ascii="宋体" w:hAnsi="宋体" w:cs="宋体" w:eastAsia="宋体" w:hint="default"/>
                <w:sz w:val="18"/>
                <w:szCs w:val="18"/>
              </w:rPr>
              <w:t>深圳华大基因科技有限公司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33"/>
        <w:jc w:val="left"/>
      </w:pP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200"/>
        <w:gridCol w:w="3190"/>
        <w:gridCol w:w="1064"/>
        <w:gridCol w:w="1198"/>
        <w:gridCol w:w="1323"/>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深圳市同并相联科技有限公司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高林资本管理有限公司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创始合伙 人、董事长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北京高林投资有限公司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北京高林管理咨询有限公司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深圳盈泰华瑞投资管理有限公司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执行（常 务）董事、 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上海高林固泰投资管理有限公司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上海高林固泰创业投资管理有限公司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200"/>
        <w:gridCol w:w="3190"/>
        <w:gridCol w:w="1064"/>
        <w:gridCol w:w="1198"/>
        <w:gridCol w:w="1323"/>
        <w:gridCol w:w="1594"/>
      </w:tblGrid>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高林（深圳）资本管理有限公司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执行（常 务）董事、 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深圳弘泰资本投资有限公司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吉贝克信息技术（北京）有限公司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北京丽家丽婴婴童用品股份有限公司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北京宅急送快运股份有限公司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CEO</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石家庄优创科技股份有限公司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博睿瑜业（上海）股权投资管理有限公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创始合伙人</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94"/>
              <w:jc w:val="left"/>
              <w:rPr>
                <w:rFonts w:ascii="宋体" w:hAnsi="宋体" w:cs="宋体" w:eastAsia="宋体" w:hint="default"/>
                <w:sz w:val="18"/>
                <w:szCs w:val="18"/>
              </w:rPr>
            </w:pPr>
            <w:r>
              <w:rPr>
                <w:rFonts w:ascii="宋体" w:hAnsi="宋体" w:cs="宋体" w:eastAsia="宋体" w:hint="default"/>
                <w:sz w:val="18"/>
                <w:szCs w:val="18"/>
              </w:rPr>
              <w:t>成都光控世纪医疗健康创业投资有限公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浙江同源康医药股份有限公司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上海纽脉医疗科技有限公司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上海复医天健医疗服务产业股份有限公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维信金科控股有限公司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独立非执行 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复旦大学国际关系与公共事务学院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南京蒋大哥文化传媒工作室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上海旭京生物科技股份有限公司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上海天狐创意设计股份有限公司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上海淘璞电子商务有限公司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上海通游网络科技有限公司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上海众妙电子科技有限公司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南通蒋大哥文化传媒工作室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200"/>
        <w:gridCol w:w="3190"/>
        <w:gridCol w:w="1064"/>
        <w:gridCol w:w="1198"/>
        <w:gridCol w:w="1323"/>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上海弦理文化传媒工作室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杭州超体文化传媒有限公司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集美杏林文化传媒东台工作室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苏州易德龙科技股份有限公司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三湘印象股份有限公司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徐爱民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中山大学达安基因股份有限公司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徐爱民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厦门大学管理学院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福耀玻璃工业集团股份有限公司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上海博睿财务管理咨询中心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深圳顺络电子股份有限公司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董事、监事、高级管理人员报酬的决策程序、确定依据、实际支付情况</w:t>
      </w:r>
    </w:p>
    <w:p>
      <w:pPr>
        <w:pStyle w:val="Heading5"/>
        <w:spacing w:line="240" w:lineRule="auto" w:before="117"/>
        <w:ind w:left="424" w:right="1133"/>
        <w:jc w:val="left"/>
        <w:rPr>
          <w:b w:val="0"/>
          <w:bCs w:val="0"/>
        </w:rPr>
      </w:pPr>
      <w:r>
        <w:rPr/>
        <w:t>（一）董事、监事、高级管理人员报酬的决策程序</w:t>
      </w:r>
      <w:r>
        <w:rPr>
          <w:b w:val="0"/>
          <w:bCs w:val="0"/>
        </w:rPr>
      </w:r>
    </w:p>
    <w:p>
      <w:pPr>
        <w:pStyle w:val="BodyText"/>
        <w:spacing w:line="240" w:lineRule="auto" w:before="117"/>
        <w:ind w:left="513" w:right="1133"/>
        <w:jc w:val="left"/>
      </w:pPr>
      <w:r>
        <w:rPr>
          <w:rFonts w:ascii="Times New Roman" w:hAnsi="Times New Roman" w:cs="Times New Roman" w:eastAsia="Times New Roman" w:hint="default"/>
        </w:rPr>
        <w:t>1</w:t>
      </w:r>
      <w:r>
        <w:rPr/>
        <w:t>、公司董事、监事报酬由股东大会审议决定，高级管理人员报酬由董事会审议决定；</w:t>
      </w:r>
    </w:p>
    <w:p>
      <w:pPr>
        <w:pStyle w:val="BodyText"/>
        <w:spacing w:line="309" w:lineRule="auto" w:before="101"/>
        <w:ind w:right="1124" w:firstLine="360"/>
        <w:jc w:val="left"/>
      </w:pPr>
      <w:r>
        <w:rPr>
          <w:rFonts w:ascii="Times New Roman" w:hAnsi="Times New Roman" w:cs="Times New Roman" w:eastAsia="Times New Roman" w:hint="default"/>
        </w:rPr>
        <w:t>2</w:t>
      </w:r>
      <w:r>
        <w:rPr/>
        <w:t>、在公司任职的董事、监事、高级管理人员报酬由公司按照公司薪酬考核体系确定的标准支付，不再另外领取津贴。 根据公司《董事会薪酬与考核委员会实施细则》，薪酬与考核委员会提出的公司董事及高级管理人员薪酬计划或方案，须 报公司董事会审批同意后，提交股东大会审议通过后方可实施；</w:t>
      </w:r>
    </w:p>
    <w:p>
      <w:pPr>
        <w:pStyle w:val="BodyText"/>
        <w:spacing w:line="240" w:lineRule="auto" w:before="62"/>
        <w:ind w:left="513" w:right="1133"/>
        <w:jc w:val="left"/>
      </w:pPr>
      <w:r>
        <w:rPr>
          <w:rFonts w:ascii="Times New Roman" w:hAnsi="Times New Roman" w:cs="Times New Roman" w:eastAsia="Times New Roman" w:hint="default"/>
        </w:rPr>
        <w:t>3</w:t>
      </w:r>
      <w:r>
        <w:rPr/>
        <w:t>、公司独立董事津贴由公司董事会薪酬与考核委员会提出方案，报公司董事会、股东大会审议通过后实施。</w:t>
      </w:r>
    </w:p>
    <w:p>
      <w:pPr>
        <w:pStyle w:val="BodyText"/>
        <w:spacing w:line="240" w:lineRule="auto" w:before="103"/>
        <w:ind w:left="513" w:right="1133"/>
        <w:jc w:val="left"/>
      </w:pPr>
      <w:r>
        <w:rPr>
          <w:rFonts w:ascii="Times New Roman" w:hAnsi="Times New Roman" w:cs="Times New Roman" w:eastAsia="Times New Roman" w:hint="default"/>
        </w:rPr>
        <w:t>4</w:t>
      </w:r>
      <w:r>
        <w:rPr/>
        <w:t>、未在公司任职的公司监事领取津贴，经公司监事会审批同意后，股东大会审议通过后实施。</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5"/>
        <w:spacing w:line="240" w:lineRule="auto" w:before="0"/>
        <w:ind w:left="424" w:right="1133"/>
        <w:jc w:val="left"/>
        <w:rPr>
          <w:b w:val="0"/>
          <w:bCs w:val="0"/>
        </w:rPr>
      </w:pPr>
      <w:r>
        <w:rPr/>
        <w:t>（二）董事、监事、高级管理人员报酬确定依据</w:t>
      </w:r>
      <w:r>
        <w:rPr>
          <w:b w:val="0"/>
          <w:bCs w:val="0"/>
        </w:rPr>
      </w:r>
    </w:p>
    <w:p>
      <w:pPr>
        <w:spacing w:after="0" w:line="240" w:lineRule="auto"/>
        <w:jc w:val="left"/>
        <w:sectPr>
          <w:pgSz w:w="11910" w:h="16840"/>
          <w:pgMar w:header="880" w:footer="974" w:top="1100" w:bottom="1160" w:left="980" w:right="0"/>
        </w:sectPr>
      </w:pPr>
    </w:p>
    <w:p>
      <w:pPr>
        <w:spacing w:line="240" w:lineRule="auto" w:before="0"/>
        <w:rPr>
          <w:rFonts w:ascii="宋体" w:hAnsi="宋体" w:cs="宋体" w:eastAsia="宋体" w:hint="default"/>
          <w:b/>
          <w:bCs/>
          <w:sz w:val="22"/>
          <w:szCs w:val="22"/>
        </w:rPr>
      </w:pPr>
    </w:p>
    <w:p>
      <w:pPr>
        <w:pStyle w:val="BodyText"/>
        <w:spacing w:line="300" w:lineRule="auto" w:before="44"/>
        <w:ind w:right="1131" w:firstLine="353"/>
        <w:jc w:val="left"/>
      </w:pPr>
      <w:r>
        <w:rPr>
          <w:rFonts w:ascii="Times New Roman" w:hAnsi="Times New Roman" w:cs="Times New Roman" w:eastAsia="Times New Roman" w:hint="default"/>
        </w:rPr>
        <w:t>1</w:t>
      </w:r>
      <w:r>
        <w:rPr/>
        <w:t>、在公司任职的董事、监事和高级管理人员薪酬方案根据公司经营业绩、个人工作能力考核、同行业上市公司相应岗 位薪资情况综合确定。</w:t>
      </w:r>
    </w:p>
    <w:p>
      <w:pPr>
        <w:pStyle w:val="BodyText"/>
        <w:spacing w:line="240" w:lineRule="auto" w:before="72"/>
        <w:ind w:left="506" w:right="1133"/>
        <w:jc w:val="left"/>
      </w:pPr>
      <w:r>
        <w:rPr>
          <w:rFonts w:ascii="Times New Roman" w:hAnsi="Times New Roman" w:cs="Times New Roman" w:eastAsia="Times New Roman" w:hint="default"/>
        </w:rPr>
        <w:t>2</w:t>
      </w:r>
      <w:r>
        <w:rPr/>
        <w:t>、独立董事、监事的津贴标准参照本地区、同行业上市公司的整体水平来确定。</w:t>
      </w:r>
    </w:p>
    <w:p>
      <w:pPr>
        <w:pStyle w:val="Heading5"/>
        <w:spacing w:line="240" w:lineRule="auto" w:before="101"/>
        <w:ind w:left="424" w:right="1133"/>
        <w:jc w:val="left"/>
        <w:rPr>
          <w:b w:val="0"/>
          <w:bCs w:val="0"/>
        </w:rPr>
      </w:pPr>
      <w:r>
        <w:rPr/>
        <w:t>（三）董事、监事和高级管理人员报酬的实际支付情况</w:t>
      </w:r>
      <w:r>
        <w:rPr>
          <w:b w:val="0"/>
          <w:bCs w:val="0"/>
        </w:rPr>
      </w:r>
    </w:p>
    <w:p>
      <w:pPr>
        <w:pStyle w:val="BodyText"/>
        <w:spacing w:line="300" w:lineRule="auto" w:before="117"/>
        <w:ind w:right="986" w:firstLine="360"/>
        <w:jc w:val="left"/>
      </w:pPr>
      <w:r>
        <w:rPr>
          <w:rFonts w:ascii="Times New Roman" w:hAnsi="Times New Roman" w:cs="Times New Roman" w:eastAsia="Times New Roman" w:hint="default"/>
          <w:spacing w:val="-2"/>
        </w:rPr>
        <w:t>2018</w:t>
      </w:r>
      <w:r>
        <w:rPr>
          <w:spacing w:val="-2"/>
        </w:rPr>
        <w:t>年度，在上市公司领薪的董事、监事、高级管理人员共</w:t>
      </w:r>
      <w:r>
        <w:rPr>
          <w:rFonts w:ascii="Times New Roman" w:hAnsi="Times New Roman" w:cs="Times New Roman" w:eastAsia="Times New Roman" w:hint="default"/>
          <w:spacing w:val="-2"/>
        </w:rPr>
        <w:t>15</w:t>
      </w:r>
      <w:r>
        <w:rPr>
          <w:spacing w:val="-2"/>
        </w:rPr>
        <w:t>人，均按规定全额发放。</w:t>
      </w:r>
      <w:r>
        <w:rPr>
          <w:rFonts w:ascii="Times New Roman" w:hAnsi="Times New Roman" w:cs="Times New Roman" w:eastAsia="Times New Roman" w:hint="default"/>
          <w:spacing w:val="-2"/>
        </w:rPr>
        <w:t>2018</w:t>
      </w:r>
      <w:r>
        <w:rPr>
          <w:spacing w:val="-2"/>
        </w:rPr>
        <w:t>年度公司实际支付上述人员</w:t>
      </w:r>
      <w:r>
        <w:rPr/>
        <w:t> 薪酬</w:t>
      </w:r>
      <w:r>
        <w:rPr>
          <w:rFonts w:ascii="Times New Roman" w:hAnsi="Times New Roman" w:cs="Times New Roman" w:eastAsia="Times New Roman" w:hint="default"/>
        </w:rPr>
        <w:t>958.56</w:t>
      </w:r>
      <w:r>
        <w:rPr/>
        <w:t>万元，其中支付独立董事津贴</w:t>
      </w:r>
      <w:r>
        <w:rPr>
          <w:rFonts w:ascii="Times New Roman" w:hAnsi="Times New Roman" w:cs="Times New Roman" w:eastAsia="Times New Roman" w:hint="default"/>
        </w:rPr>
        <w:t>32.55</w:t>
      </w:r>
      <w:r>
        <w:rPr/>
        <w:t>万元。</w:t>
      </w:r>
    </w:p>
    <w:p>
      <w:pPr>
        <w:spacing w:line="240" w:lineRule="auto" w:before="7"/>
        <w:rPr>
          <w:rFonts w:ascii="宋体" w:hAnsi="宋体" w:cs="宋体" w:eastAsia="宋体" w:hint="default"/>
          <w:sz w:val="24"/>
          <w:szCs w:val="24"/>
        </w:rPr>
      </w:pPr>
    </w:p>
    <w:p>
      <w:pPr>
        <w:pStyle w:val="BodyText"/>
        <w:spacing w:line="240" w:lineRule="auto" w:before="44"/>
        <w:ind w:right="1133"/>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CEO</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孙英俊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杜玉涛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徐爱民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李松岗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李雯琪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胡宇洁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90.85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陈轶青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李治平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人力资源总监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87.91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董事会秘书、法 务总监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李英睿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金春保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赵谦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谢宏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首席医学官</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958.56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571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2,579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3,150</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w:t>
            </w:r>
          </w:p>
        </w:tc>
      </w:tr>
      <w:tr>
        <w:trPr>
          <w:trHeight w:val="396"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975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808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867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342</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3,150</w:t>
            </w:r>
          </w:p>
        </w:tc>
      </w:tr>
      <w:tr>
        <w:trPr>
          <w:trHeight w:val="398"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103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860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1,491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696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3,150</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231" w:firstLine="360"/>
        <w:jc w:val="both"/>
      </w:pPr>
      <w:r>
        <w:rPr/>
        <w:t>为适应公司经营发展需要，更好地吸引、激励、开发和保留公司员工，公司建立并持续完善薪酬管理体系。根据公司 经营业绩情况，结合市场与行业薪酬水平，以及员工绩效考核结果来进行薪酬管理，确保公司薪酬与员工实现的价值相挂 钩，以提升员工的工作积极性与创造性，提高工作效率，达成公司业绩目标。为保证公司整体业绩目标的推进落实，公司</w:t>
      </w:r>
    </w:p>
    <w:p>
      <w:pPr>
        <w:spacing w:after="0" w:line="319" w:lineRule="auto"/>
        <w:jc w:val="both"/>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16" w:lineRule="auto" w:before="44"/>
        <w:ind w:right="1231"/>
        <w:jc w:val="both"/>
      </w:pPr>
      <w:r>
        <w:rPr/>
        <w:t>制定了相应的绩效管理体系。结合公司整体大目标，采用部门绩效考核与员工绩效考核结合的方式，实行定期考核，有序 推进公司经营目标的达成。通过不断完善薪酬与绩效管理体系，以实现责任风险与收益对等的正向激励机制，促进企业与 员工的共同发展。</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230" w:firstLine="360"/>
        <w:jc w:val="both"/>
      </w:pPr>
      <w:r>
        <w:rPr/>
        <w:t>公司非常注重员工的学习与发展，通过积极寻求内外部各种培训资源和渠道，逐步搭建专业分享与交流机制，持续开 展体验式培训，构建起完善的培训发展体系，以满足公司发展相适应的人力资源需求。公司根据不同的职级和岗位安排了 针对性培训，培训内容包括新员工培训、岗位专业技能培训、运营管理能力培训、综合业务技能提升培训等课程；培训方 式包括线上、内部培训、专家分享等多种形式，提升针对不同岗位员工的梯次培训效果。</w:t>
      </w:r>
    </w:p>
    <w:p>
      <w:pPr>
        <w:pStyle w:val="BodyText"/>
        <w:spacing w:line="314" w:lineRule="auto" w:before="57"/>
        <w:ind w:right="1231" w:firstLine="360"/>
        <w:jc w:val="both"/>
      </w:pPr>
      <w:r>
        <w:rPr/>
        <w:t>公司定期举办员工通用常识分享会、行业内专家分享会、产品技术分享会、公司产品培训与考核、企业文化传递、组 织员工在华大内部学习平台上进行在线学习等，保证员工都有学习通用性专业知识，提升岗位综合技能的培训机会。报告 期内，公司各业务领专业人员参加线上培训与录制考核视频，涉及方法论、科学发展史、影像、质谱、测序仪、实验体验 等共</w:t>
      </w:r>
      <w:r>
        <w:rPr>
          <w:rFonts w:ascii="Times New Roman" w:hAnsi="Times New Roman" w:cs="Times New Roman" w:eastAsia="Times New Roman" w:hint="default"/>
        </w:rPr>
        <w:t>10</w:t>
      </w:r>
      <w:r>
        <w:rPr/>
        <w:t>余门课程；组织员工参加特色培训课程，包括</w:t>
      </w:r>
      <w:r>
        <w:rPr>
          <w:rFonts w:ascii="Times New Roman" w:hAnsi="Times New Roman" w:cs="Times New Roman" w:eastAsia="Times New Roman" w:hint="default"/>
        </w:rPr>
        <w:t>“</w:t>
      </w:r>
      <w:r>
        <w:rPr/>
        <w:t>实验技术全流程课程</w:t>
      </w:r>
      <w:r>
        <w:rPr>
          <w:rFonts w:ascii="Times New Roman" w:hAnsi="Times New Roman" w:cs="Times New Roman" w:eastAsia="Times New Roman" w:hint="default"/>
        </w:rPr>
        <w:t>”</w:t>
      </w:r>
      <w:r>
        <w:rPr/>
        <w:t>覆盖生物信息分析、交付实验全流程操作、遗 传咨询全方位培训考核、谈判技巧等；针对骨干员工开展业务管理全贯穿培训，覆盖公司各主营业务模块、财务、人力、 证券、法务等多维度培训内容，并且定期组织管理运营能力提升培训及会议研讨等。通过持续打造学习型组织，公司内部 营造积极的学习氛围，有效提升各类人才的业务技能和专业素养，促进企业和员工共同成长，有力推动公司战略目标的实 现。</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352,698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11,394,002.00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1110"/>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231" w:firstLine="331"/>
        <w:jc w:val="both"/>
      </w:pPr>
      <w:r>
        <w:rPr/>
        <w:t>报告期内，公司严格按照《公司法》、《上市公司治理准则》、《深圳证券交易所创业板股票上市规则》、《深圳证 券交易所创业板上市公司规范运作指引》等法律、法规的要求，不断完善公司治理结构，建立健全公司内部控制制度，促 进公司规范运作。截至报告期末，股东大会、董事会、监事会依法运作，公司治理的实际情况符合《上市公司治理准则》 和《深圳证券交易所创业板上市公司规范运作指引》的相关要求。</w:t>
      </w:r>
    </w:p>
    <w:p>
      <w:pPr>
        <w:spacing w:line="432" w:lineRule="exact" w:before="4"/>
        <w:ind w:left="453" w:right="1273" w:firstLine="31"/>
        <w:jc w:val="left"/>
        <w:rPr>
          <w:rFonts w:ascii="宋体" w:hAnsi="宋体" w:cs="宋体" w:eastAsia="宋体" w:hint="default"/>
          <w:sz w:val="18"/>
          <w:szCs w:val="18"/>
        </w:rPr>
      </w:pPr>
      <w:r>
        <w:rPr>
          <w:rFonts w:ascii="宋体" w:hAnsi="宋体" w:cs="宋体" w:eastAsia="宋体" w:hint="default"/>
          <w:b/>
          <w:bCs/>
          <w:sz w:val="18"/>
          <w:szCs w:val="18"/>
        </w:rPr>
        <w:t>（一）关于股东与股东大会</w:t>
      </w:r>
      <w:r>
        <w:rPr>
          <w:rFonts w:ascii="宋体" w:hAnsi="宋体" w:cs="宋体" w:eastAsia="宋体" w:hint="default"/>
          <w:b/>
          <w:bCs/>
          <w:w w:val="99"/>
          <w:sz w:val="18"/>
          <w:szCs w:val="18"/>
        </w:rPr>
        <w:t> </w:t>
      </w:r>
      <w:r>
        <w:rPr>
          <w:rFonts w:ascii="宋体" w:hAnsi="宋体" w:cs="宋体" w:eastAsia="宋体" w:hint="default"/>
          <w:sz w:val="18"/>
          <w:szCs w:val="18"/>
        </w:rPr>
        <w:t>公司严格按照《公司法》、《公司章程》及公司《股东大会议事规则》的规定召集和召开股东大会，平等对待所有股</w:t>
      </w:r>
    </w:p>
    <w:p>
      <w:pPr>
        <w:pStyle w:val="BodyText"/>
        <w:spacing w:line="316" w:lineRule="auto" w:before="15"/>
        <w:ind w:right="1231"/>
        <w:jc w:val="both"/>
      </w:pPr>
      <w:r>
        <w:rPr/>
        <w:t>东，尽可能为股东参加股东大会创造便利条件，确保股东合法充分地行使权益。报告期内，公司严格按照相关规定召开股 东大会，公司聘请的法律顾问对股东大会现场会议进行了见证并出具了法律意见书，不存在重大事项绕过股东大会或先实 施后审议的情况，不存在违反《上市公司股东大会规则》的情形。</w:t>
      </w:r>
    </w:p>
    <w:p>
      <w:pPr>
        <w:spacing w:line="432" w:lineRule="exact" w:before="3"/>
        <w:ind w:left="453" w:right="1453" w:firstLine="0"/>
        <w:jc w:val="left"/>
        <w:rPr>
          <w:rFonts w:ascii="宋体" w:hAnsi="宋体" w:cs="宋体" w:eastAsia="宋体" w:hint="default"/>
          <w:sz w:val="18"/>
          <w:szCs w:val="18"/>
        </w:rPr>
      </w:pPr>
      <w:r>
        <w:rPr>
          <w:rFonts w:ascii="宋体" w:hAnsi="宋体" w:cs="宋体" w:eastAsia="宋体" w:hint="default"/>
          <w:b/>
          <w:bCs/>
          <w:sz w:val="18"/>
          <w:szCs w:val="18"/>
        </w:rPr>
        <w:t>（二）关于公司与控股股东</w:t>
      </w:r>
      <w:r>
        <w:rPr>
          <w:rFonts w:ascii="宋体" w:hAnsi="宋体" w:cs="宋体" w:eastAsia="宋体" w:hint="default"/>
          <w:b/>
          <w:bCs/>
          <w:w w:val="99"/>
          <w:sz w:val="18"/>
          <w:szCs w:val="18"/>
        </w:rPr>
        <w:t> </w:t>
      </w:r>
      <w:r>
        <w:rPr>
          <w:rFonts w:ascii="宋体" w:hAnsi="宋体" w:cs="宋体" w:eastAsia="宋体" w:hint="default"/>
          <w:sz w:val="18"/>
          <w:szCs w:val="18"/>
        </w:rPr>
        <w:t>公司控股股东华大控股严格按照《深圳证券交易所创业板上市规则》、《深证证券交易所创业板规范运作指引》、</w:t>
      </w:r>
    </w:p>
    <w:p>
      <w:pPr>
        <w:pStyle w:val="BodyText"/>
        <w:spacing w:line="319" w:lineRule="auto" w:before="15"/>
        <w:ind w:right="1231"/>
        <w:jc w:val="both"/>
      </w:pPr>
      <w:r>
        <w:rPr/>
        <w:t>《公司章程》等相关规定和要求，通过股东大会依法行使其权利并承担义务，不存在超越股东大会直接或间接干预公司经 营活动的行为。公司拥有独立完整的业务体系和自主经营能力，在业务、人员、资产、机构、财务上独立于控股股东及其 控制的其他企业。报告期内公司不存在为控股股东及其关联企业提供担保，亦不存在控股股东占用公司非经营性资金的行 为。</w:t>
      </w:r>
    </w:p>
    <w:p>
      <w:pPr>
        <w:pStyle w:val="BodyText"/>
        <w:spacing w:line="432" w:lineRule="exact" w:before="1"/>
        <w:ind w:left="453" w:right="1273"/>
        <w:jc w:val="left"/>
      </w:pPr>
      <w:r>
        <w:rPr>
          <w:rFonts w:ascii="宋体" w:hAnsi="宋体" w:cs="宋体" w:eastAsia="宋体" w:hint="default"/>
          <w:b/>
          <w:bCs/>
        </w:rPr>
        <w:t>（三）关于董事和董事会</w:t>
      </w:r>
      <w:r>
        <w:rPr>
          <w:rFonts w:ascii="宋体" w:hAnsi="宋体" w:cs="宋体" w:eastAsia="宋体" w:hint="default"/>
          <w:b/>
          <w:bCs/>
          <w:w w:val="99"/>
        </w:rPr>
        <w:t> </w:t>
      </w:r>
      <w:r>
        <w:rPr/>
        <w:t>公司董事会设董事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名，董事会的人数及人员构成符合法律、法规和《公司章程》的要求，其任免</w:t>
      </w:r>
    </w:p>
    <w:p>
      <w:pPr>
        <w:pStyle w:val="BodyText"/>
        <w:spacing w:line="316" w:lineRule="auto" w:before="15"/>
        <w:ind w:right="1231"/>
        <w:jc w:val="both"/>
      </w:pPr>
      <w:r>
        <w:rPr/>
        <w:t>均严格履行董事会、股东大会批准程序。各位董事能够依据《董事会议事规则》、《独立董事制度》、《深圳证券交易所 创业板上市公司规范运作指引》的要求开展工作，在职期间按规定出席董事会和股东大会，勤勉尽责地履行职责和义务， 持续关注公司经营状况，主动参加相关培训，熟悉相关法律法规，提高履职能力。独立董事独立于公司实际控制人、控股 股东和其他关联方，能够发挥各自的专业特长，就相关事项独立地作出判断并发表意见。</w:t>
      </w:r>
    </w:p>
    <w:p>
      <w:pPr>
        <w:pStyle w:val="BodyText"/>
        <w:spacing w:line="319" w:lineRule="auto" w:before="139"/>
        <w:ind w:right="1231" w:firstLine="300"/>
        <w:jc w:val="both"/>
      </w:pPr>
      <w:r>
        <w:rPr/>
        <w:t>根据《上市公司治理准则》的要求，公司董事会下设审计委员会、薪酬与考核委员会与提名委员会，并制定了各委员 会实施细则。专门委员会严格按照有关法律法规、《公司章程》和各专门委员会实施细则的规定履行职责，均由独立董事 担任召集人，不受公司任何其他部门和个人的干预，为董事会的决策提供了科学和专业的意见。</w:t>
      </w:r>
    </w:p>
    <w:p>
      <w:pPr>
        <w:pStyle w:val="BodyText"/>
        <w:spacing w:line="316" w:lineRule="auto" w:before="137"/>
        <w:ind w:right="1214" w:firstLine="300"/>
        <w:jc w:val="left"/>
      </w:pPr>
      <w:r>
        <w:rPr/>
        <w:t>公司董事会会议的召集、召开等程序均符合相关规定的要求，历次董事会会议记录内容真实、准确、完整，保存安 全，会议决议做到充分准确且及时披露。董事会依法履行了《公司法》、《公司章程》赋予的权利和义务，规范运作，不 存在违反相关法律法规行使职权的行为。</w:t>
      </w:r>
    </w:p>
    <w:p>
      <w:pPr>
        <w:pStyle w:val="BodyText"/>
        <w:spacing w:line="432" w:lineRule="exact" w:before="3"/>
        <w:ind w:left="453" w:right="1273"/>
        <w:jc w:val="left"/>
      </w:pPr>
      <w:r>
        <w:rPr>
          <w:rFonts w:ascii="宋体" w:hAnsi="宋体" w:cs="宋体" w:eastAsia="宋体" w:hint="default"/>
          <w:b/>
          <w:bCs/>
        </w:rPr>
        <w:t>（四）关于监事和监事会</w:t>
      </w:r>
      <w:r>
        <w:rPr>
          <w:rFonts w:ascii="宋体" w:hAnsi="宋体" w:cs="宋体" w:eastAsia="宋体" w:hint="default"/>
          <w:b/>
          <w:bCs/>
          <w:w w:val="99"/>
        </w:rPr>
        <w:t> </w:t>
      </w:r>
      <w:r>
        <w:rPr/>
        <w:t>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名，监事会的人数和构成符合法律、法规的要求；公司监事会会议的召集、召</w:t>
      </w:r>
    </w:p>
    <w:p>
      <w:pPr>
        <w:pStyle w:val="BodyText"/>
        <w:spacing w:line="319" w:lineRule="auto" w:before="15"/>
        <w:ind w:right="1214"/>
        <w:jc w:val="left"/>
      </w:pPr>
      <w:r>
        <w:rPr/>
        <w:t>开程序符合《公司章程》、《监事会议事规则》的相关规定。公司监事能够按照相关规定认真履行职责，对公司重大事 项、关联交易、财务状况以及公司董事、高级管理人员履行职责的合法合规性进行监督，维护公司及股东的合法权益。报 告期内，各位监事能够按照《公司章程》及《监事会议事规则》等有关规定出席监事会，认真审议各项议案，勤勉尽责， 依法行使职权。</w:t>
      </w:r>
    </w:p>
    <w:p>
      <w:pPr>
        <w:pStyle w:val="Heading5"/>
        <w:spacing w:line="240" w:lineRule="auto" w:before="137"/>
        <w:ind w:left="453" w:right="1133"/>
        <w:jc w:val="left"/>
        <w:rPr>
          <w:b w:val="0"/>
          <w:bCs w:val="0"/>
        </w:rPr>
      </w:pPr>
      <w:r>
        <w:rPr/>
        <w:t>（五）关于绩效评价与激励约束机制</w:t>
      </w:r>
      <w:r>
        <w:rPr>
          <w:b w:val="0"/>
          <w:bCs w:val="0"/>
        </w:rPr>
      </w:r>
    </w:p>
    <w:p>
      <w:pPr>
        <w:spacing w:after="0" w:line="240" w:lineRule="auto"/>
        <w:jc w:val="left"/>
        <w:sectPr>
          <w:pgSz w:w="11910" w:h="16840"/>
          <w:pgMar w:header="880" w:footer="974" w:top="1100" w:bottom="1160" w:left="980" w:right="0"/>
        </w:sectPr>
      </w:pPr>
    </w:p>
    <w:p>
      <w:pPr>
        <w:spacing w:line="240" w:lineRule="auto" w:before="0"/>
        <w:rPr>
          <w:rFonts w:ascii="宋体" w:hAnsi="宋体" w:cs="宋体" w:eastAsia="宋体" w:hint="default"/>
          <w:b/>
          <w:bCs/>
          <w:sz w:val="22"/>
          <w:szCs w:val="22"/>
        </w:rPr>
      </w:pPr>
    </w:p>
    <w:p>
      <w:pPr>
        <w:pStyle w:val="BodyText"/>
        <w:spacing w:line="316" w:lineRule="auto" w:before="44"/>
        <w:ind w:right="1274" w:firstLine="300"/>
        <w:jc w:val="left"/>
      </w:pPr>
      <w:r>
        <w:rPr/>
        <w:t>公司建立了董事、高级管理人员绩效评价与激励约束机制，董事会薪酬与考核委员会负责对公司的董事、高级管理人 员进行绩效考评，绩效评价标准和评价程序公正透明，公司现有考核及激励约束机制符合公司现阶段实际发展的要求。</w:t>
      </w:r>
    </w:p>
    <w:p>
      <w:pPr>
        <w:spacing w:line="432" w:lineRule="exact" w:before="3"/>
        <w:ind w:left="453" w:right="986" w:firstLine="0"/>
        <w:jc w:val="left"/>
        <w:rPr>
          <w:rFonts w:ascii="宋体" w:hAnsi="宋体" w:cs="宋体" w:eastAsia="宋体" w:hint="default"/>
          <w:sz w:val="18"/>
          <w:szCs w:val="18"/>
        </w:rPr>
      </w:pPr>
      <w:r>
        <w:rPr>
          <w:rFonts w:ascii="宋体" w:hAnsi="宋体" w:cs="宋体" w:eastAsia="宋体" w:hint="default"/>
          <w:b/>
          <w:bCs/>
          <w:sz w:val="18"/>
          <w:szCs w:val="18"/>
        </w:rPr>
        <w:t>（六）关于信息披露与透明度</w:t>
      </w:r>
      <w:r>
        <w:rPr>
          <w:rFonts w:ascii="宋体" w:hAnsi="宋体" w:cs="宋体" w:eastAsia="宋体" w:hint="default"/>
          <w:b/>
          <w:bCs/>
          <w:w w:val="99"/>
          <w:sz w:val="18"/>
          <w:szCs w:val="18"/>
        </w:rPr>
        <w:t> </w:t>
      </w:r>
      <w:r>
        <w:rPr>
          <w:rFonts w:ascii="宋体" w:hAnsi="宋体" w:cs="宋体" w:eastAsia="宋体" w:hint="default"/>
          <w:spacing w:val="-1"/>
          <w:sz w:val="18"/>
          <w:szCs w:val="18"/>
        </w:rPr>
        <w:t>公司高度重视信息披露工作，严格按照《上市公司信息披露管理办法》、公司《信息披露管理制度》、以及《重大信息</w:t>
      </w:r>
    </w:p>
    <w:p>
      <w:pPr>
        <w:pStyle w:val="BodyText"/>
        <w:spacing w:line="316" w:lineRule="auto" w:before="15"/>
        <w:ind w:right="1122"/>
        <w:jc w:val="left"/>
      </w:pPr>
      <w:r>
        <w:rPr>
          <w:spacing w:val="-2"/>
        </w:rPr>
        <w:t>内部报告制度》等相关规定，真实、准确、完整、及时地披露信息。同时，明确董事长为公司信息披露工作第一责任人，董</w:t>
      </w:r>
      <w:r>
        <w:rPr>
          <w:spacing w:val="-65"/>
        </w:rPr>
        <w:t> </w:t>
      </w:r>
      <w:r>
        <w:rPr>
          <w:spacing w:val="-65"/>
        </w:rPr>
      </w:r>
      <w:r>
        <w:rPr>
          <w:spacing w:val="-8"/>
        </w:rPr>
        <w:t>事会秘书为信息披露工作主要责任人，公司证券部为信息披露事务的日常管理部门。公司指定《证券日报》、《中国证券报》、</w:t>
      </w:r>
    </w:p>
    <w:p>
      <w:pPr>
        <w:pStyle w:val="BodyText"/>
        <w:spacing w:line="300" w:lineRule="auto" w:before="19"/>
        <w:ind w:right="1119"/>
        <w:jc w:val="left"/>
      </w:pPr>
      <w:r>
        <w:rPr/>
        <w:t>《证券时报》、《上海证券报》为公司信息披露的指定纸质媒体，巨潮资讯网（</w:t>
      </w:r>
      <w:hyperlink r:id="rId9">
        <w:r>
          <w:rPr>
            <w:rFonts w:ascii="Times New Roman" w:hAnsi="Times New Roman" w:cs="Times New Roman" w:eastAsia="Times New Roman" w:hint="default"/>
          </w:rPr>
          <w:t>http://www.cninfo.com.cn</w:t>
        </w:r>
      </w:hyperlink>
      <w:r>
        <w:rPr/>
        <w:t>）为指定信息披露 网站，确保所有股东能公平地获取公司信息。</w:t>
      </w:r>
    </w:p>
    <w:p>
      <w:pPr>
        <w:pStyle w:val="BodyText"/>
        <w:spacing w:line="432" w:lineRule="exact" w:before="16"/>
        <w:ind w:left="513" w:right="1213" w:hanging="60"/>
        <w:jc w:val="left"/>
      </w:pPr>
      <w:r>
        <w:rPr>
          <w:rFonts w:ascii="宋体" w:hAnsi="宋体" w:cs="宋体" w:eastAsia="宋体" w:hint="default"/>
          <w:b/>
          <w:bCs/>
        </w:rPr>
        <w:t>（七）内部审计制度</w:t>
      </w:r>
      <w:r>
        <w:rPr>
          <w:rFonts w:ascii="宋体" w:hAnsi="宋体" w:cs="宋体" w:eastAsia="宋体" w:hint="default"/>
          <w:b/>
          <w:bCs/>
          <w:w w:val="99"/>
        </w:rPr>
        <w:t> </w:t>
      </w:r>
      <w:r>
        <w:rPr/>
        <w:t>公司董事会下设审计委员会，审计委员会下设内审内控部为日常办事机构。为加强内部控制活动的监督和评价，有效</w:t>
      </w:r>
    </w:p>
    <w:p>
      <w:pPr>
        <w:pStyle w:val="BodyText"/>
        <w:spacing w:line="316" w:lineRule="auto" w:before="15"/>
        <w:ind w:right="1229"/>
        <w:jc w:val="both"/>
      </w:pPr>
      <w:r>
        <w:rPr/>
        <w:t>控制风险，公司制定了《董事会审计委员会实施细则》、《内部审计工作制度》，内审内控部对公司财务信息及内部控制 制度的建立和实施等进行检查和监督，对公司募集资金使用及存放等进行重点审计，及时向审计委员会提交工作计划并汇 报审计工作报告，就审计过程中发现的问题进行督促整改。</w:t>
      </w:r>
    </w:p>
    <w:p>
      <w:pPr>
        <w:spacing w:line="432" w:lineRule="exact" w:before="3"/>
        <w:ind w:left="453" w:right="1273" w:firstLine="0"/>
        <w:jc w:val="left"/>
        <w:rPr>
          <w:rFonts w:ascii="宋体" w:hAnsi="宋体" w:cs="宋体" w:eastAsia="宋体" w:hint="default"/>
          <w:sz w:val="18"/>
          <w:szCs w:val="18"/>
        </w:rPr>
      </w:pPr>
      <w:r>
        <w:rPr>
          <w:rFonts w:ascii="宋体" w:hAnsi="宋体" w:cs="宋体" w:eastAsia="宋体" w:hint="default"/>
          <w:b/>
          <w:bCs/>
          <w:sz w:val="18"/>
          <w:szCs w:val="18"/>
        </w:rPr>
        <w:t>（八）关于投资者关系管理</w:t>
      </w:r>
      <w:r>
        <w:rPr>
          <w:rFonts w:ascii="宋体" w:hAnsi="宋体" w:cs="宋体" w:eastAsia="宋体" w:hint="default"/>
          <w:b/>
          <w:bCs/>
          <w:w w:val="99"/>
          <w:sz w:val="18"/>
          <w:szCs w:val="18"/>
        </w:rPr>
        <w:t> </w:t>
      </w:r>
      <w:r>
        <w:rPr>
          <w:rFonts w:ascii="宋体" w:hAnsi="宋体" w:cs="宋体" w:eastAsia="宋体" w:hint="default"/>
          <w:sz w:val="18"/>
          <w:szCs w:val="18"/>
        </w:rPr>
        <w:t>公司严格按照相关法律法规及《投资者关系管理制度》的要求，指定公司董事会秘书为公司投资者关系管理负责人，</w:t>
      </w:r>
    </w:p>
    <w:p>
      <w:pPr>
        <w:pStyle w:val="BodyText"/>
        <w:spacing w:line="312" w:lineRule="auto" w:before="15"/>
        <w:ind w:right="1214"/>
        <w:jc w:val="left"/>
      </w:pPr>
      <w:r>
        <w:rPr/>
        <w:t>公司证券部为投资者关系管理职能部门，具体负责公司投资者关系的日常管理工作。公司高度重视投资者关系管理工作， 不断学习先进投资者关系管理经验，不断尝试更加有效的方式开展投资者关系管理工作。公司通过投资者专线电话、传 真、专用邮箱、深交所</w:t>
      </w:r>
      <w:r>
        <w:rPr>
          <w:rFonts w:ascii="Times New Roman" w:hAnsi="Times New Roman" w:cs="Times New Roman" w:eastAsia="Times New Roman" w:hint="default"/>
        </w:rPr>
        <w:t>“</w:t>
      </w:r>
      <w:r>
        <w:rPr/>
        <w:t>互动易</w:t>
      </w:r>
      <w:r>
        <w:rPr>
          <w:rFonts w:ascii="Times New Roman" w:hAnsi="Times New Roman" w:cs="Times New Roman" w:eastAsia="Times New Roman" w:hint="default"/>
        </w:rPr>
        <w:t>”</w:t>
      </w:r>
      <w:r>
        <w:rPr/>
        <w:t>平台等多种形式回复投资者问询，促进与投资者良性互动，切实提高公司的透明度，树立 公司在资本市场的良好形象。</w:t>
      </w:r>
    </w:p>
    <w:p>
      <w:pPr>
        <w:pStyle w:val="BodyText"/>
        <w:spacing w:line="432" w:lineRule="exact" w:before="7"/>
        <w:ind w:left="453" w:right="1273"/>
        <w:jc w:val="left"/>
      </w:pPr>
      <w:r>
        <w:rPr>
          <w:rFonts w:ascii="宋体" w:hAnsi="宋体" w:cs="宋体" w:eastAsia="宋体" w:hint="default"/>
          <w:b/>
          <w:bCs/>
        </w:rPr>
        <w:t>（九）关于相关利益者</w:t>
      </w:r>
      <w:r>
        <w:rPr>
          <w:rFonts w:ascii="宋体" w:hAnsi="宋体" w:cs="宋体" w:eastAsia="宋体" w:hint="default"/>
          <w:b/>
          <w:bCs/>
          <w:w w:val="99"/>
        </w:rPr>
        <w:t> </w:t>
      </w:r>
      <w:r>
        <w:rPr/>
        <w:t>公司充分尊重和维护相关利益者的合法权益，重视公司的社会责任，加强与各方的沟通和交流，实现股东、员工、社</w:t>
      </w:r>
    </w:p>
    <w:p>
      <w:pPr>
        <w:pStyle w:val="BodyText"/>
        <w:spacing w:line="240" w:lineRule="auto" w:before="15"/>
        <w:ind w:right="1133"/>
        <w:jc w:val="left"/>
      </w:pPr>
      <w:r>
        <w:rPr/>
        <w:t>会等各方利益的协调平衡，共同推动公司持续、健康发展。</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1133"/>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公司严格按照《公司法》、《证券法》等有关法律法规及《公司章程》的相关要求规范运作，报告期内，公司与控股股</w:t>
      </w:r>
      <w:r>
        <w:rPr/>
        <w:t> </w:t>
      </w:r>
      <w:r>
        <w:rPr>
          <w:spacing w:val="-2"/>
        </w:rPr>
        <w:t>东深圳华大基因科技有限公司在业务、人员、资产、机构、财务等方面相互独立，具有完整的业务体系和直接面向市场独立</w:t>
      </w:r>
      <w:r>
        <w:rPr>
          <w:spacing w:val="-65"/>
        </w:rPr>
        <w:t> </w:t>
      </w:r>
      <w:r>
        <w:rPr>
          <w:spacing w:val="-65"/>
        </w:rPr>
      </w:r>
      <w:r>
        <w:rPr/>
        <w:t>经营的能力。</w:t>
      </w:r>
    </w:p>
    <w:p>
      <w:pPr>
        <w:pStyle w:val="BodyText"/>
        <w:spacing w:line="432" w:lineRule="exact" w:before="3"/>
        <w:ind w:left="424" w:right="1122"/>
        <w:jc w:val="left"/>
      </w:pPr>
      <w:r>
        <w:rPr/>
        <w:t>（一）业务独立 公司具有独立完整的研发、生产能力，以及采购、销售渠道，独立从事采购、研发、生产与销售，在业务上与主要股东</w:t>
      </w:r>
    </w:p>
    <w:p>
      <w:pPr>
        <w:pStyle w:val="BodyText"/>
        <w:spacing w:line="316" w:lineRule="auto" w:before="15"/>
        <w:ind w:right="986"/>
        <w:jc w:val="left"/>
      </w:pPr>
      <w:r>
        <w:rPr>
          <w:spacing w:val="-2"/>
        </w:rPr>
        <w:t>不存在依赖关系；公司业务独立于控股股东、实际控制人及其控制的其他企业，与控股股东、实际控制人及其控制的其他企</w:t>
      </w:r>
      <w:r>
        <w:rPr>
          <w:spacing w:val="-63"/>
        </w:rPr>
        <w:t> </w:t>
      </w:r>
      <w:r>
        <w:rPr>
          <w:spacing w:val="-63"/>
        </w:rPr>
      </w:r>
      <w:r>
        <w:rPr/>
        <w:t>业间不存在同业竞争或者显失公平的关联交易。</w:t>
      </w:r>
    </w:p>
    <w:p>
      <w:pPr>
        <w:pStyle w:val="BodyText"/>
        <w:spacing w:line="432" w:lineRule="exact" w:before="1"/>
        <w:ind w:left="513" w:right="986" w:hanging="89"/>
        <w:jc w:val="left"/>
      </w:pPr>
      <w:r>
        <w:rPr/>
        <w:t>（二）人员独立 </w:t>
      </w:r>
      <w:r>
        <w:rPr>
          <w:spacing w:val="-2"/>
        </w:rPr>
        <w:t>公司建立健全了法人治理结构，董事、监事及高级管理人员严格按照《公司法》、《公司章程》的相关规定产生，不存</w:t>
      </w:r>
    </w:p>
    <w:p>
      <w:pPr>
        <w:pStyle w:val="BodyText"/>
        <w:spacing w:line="240" w:lineRule="auto" w:before="15"/>
        <w:ind w:right="1133"/>
        <w:jc w:val="left"/>
      </w:pPr>
      <w:r>
        <w:rPr/>
        <w:t>在控股股东指派或干预高级管理人员任免的情形；</w:t>
      </w:r>
    </w:p>
    <w:p>
      <w:pPr>
        <w:spacing w:after="0" w:line="240" w:lineRule="auto"/>
        <w:jc w:val="left"/>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09" w:lineRule="auto" w:before="44"/>
        <w:ind w:right="1132" w:firstLine="360"/>
        <w:jc w:val="both"/>
      </w:pPr>
      <w:r>
        <w:rPr>
          <w:spacing w:val="-2"/>
        </w:rPr>
        <w:t>公司总经理（</w:t>
      </w:r>
      <w:r>
        <w:rPr>
          <w:rFonts w:ascii="Times New Roman" w:hAnsi="Times New Roman" w:cs="Times New Roman" w:eastAsia="Times New Roman" w:hint="default"/>
          <w:spacing w:val="-2"/>
        </w:rPr>
        <w:t>CEO</w:t>
      </w:r>
      <w:r>
        <w:rPr>
          <w:spacing w:val="-2"/>
        </w:rPr>
        <w:t>）、副总裁、财务负责人和董事会秘书等高级管理人员不在控股股东、实际控制人及其控制的其他企</w:t>
      </w:r>
      <w:r>
        <w:rPr/>
        <w:t> </w:t>
      </w:r>
      <w:r>
        <w:rPr>
          <w:spacing w:val="-5"/>
        </w:rPr>
        <w:t>业中担任除董事、监事以外的其他职务，不在控股股东、实际控制人及其控制的其他企业领薪；公司财务人员不在控股股东、</w:t>
      </w:r>
      <w:r>
        <w:rPr>
          <w:spacing w:val="-78"/>
        </w:rPr>
        <w:t> </w:t>
      </w:r>
      <w:r>
        <w:rPr>
          <w:spacing w:val="-78"/>
        </w:rPr>
      </w:r>
      <w:r>
        <w:rPr/>
        <w:t>实际控制人及其控制的其他企业中兼职。</w:t>
      </w:r>
    </w:p>
    <w:p>
      <w:pPr>
        <w:pStyle w:val="BodyText"/>
        <w:spacing w:line="316" w:lineRule="auto" w:before="24"/>
        <w:ind w:right="1130" w:firstLine="360"/>
        <w:jc w:val="both"/>
      </w:pPr>
      <w:r>
        <w:rPr>
          <w:spacing w:val="-5"/>
        </w:rPr>
        <w:t>公司建立了独立的人力资源管理系统，建立了有效激励与竞争机制的薪酬福利体系，与全体员工均签订了《劳动合同》，</w:t>
      </w:r>
      <w:r>
        <w:rPr/>
        <w:t> 建立了独立的社会保障与薪酬福利体系，劳动、人事与工资管理独立完整，不存在受控股股东干涉的情形。</w:t>
      </w:r>
    </w:p>
    <w:p>
      <w:pPr>
        <w:pStyle w:val="BodyText"/>
        <w:spacing w:line="432" w:lineRule="exact" w:before="3"/>
        <w:ind w:left="424" w:right="1122"/>
        <w:jc w:val="left"/>
      </w:pPr>
      <w:r>
        <w:rPr/>
        <w:t>（三）资产独立 公司作为基因组学类的检测和研究服务提供商，已具备与经营有关的业务体系及主要相关资产，合法拥有与生产经营有</w:t>
      </w:r>
    </w:p>
    <w:p>
      <w:pPr>
        <w:pStyle w:val="BodyText"/>
        <w:spacing w:line="240" w:lineRule="auto" w:before="15"/>
        <w:ind w:right="0"/>
        <w:jc w:val="both"/>
      </w:pPr>
      <w:r>
        <w:rPr/>
        <w:t>关的主要土地、厂房、机器设备以及商标、专利、非专利技术的所有权或者使用权，具有独立的原料采购和服务提供系统。</w:t>
      </w:r>
    </w:p>
    <w:p>
      <w:pPr>
        <w:pStyle w:val="BodyText"/>
        <w:spacing w:line="432" w:lineRule="exact" w:before="61"/>
        <w:ind w:left="513" w:right="1033" w:hanging="89"/>
        <w:jc w:val="left"/>
      </w:pPr>
      <w:r>
        <w:rPr/>
        <w:t>（四）机构独立 公司设立了健全的组织架构，股东大会、董事会、监事会以及各职能部门等均按照法律法规及公司规定行使各自职能。</w:t>
      </w:r>
    </w:p>
    <w:p>
      <w:pPr>
        <w:pStyle w:val="BodyText"/>
        <w:spacing w:line="316" w:lineRule="auto" w:before="15"/>
        <w:ind w:right="1133"/>
        <w:jc w:val="left"/>
      </w:pPr>
      <w:r>
        <w:rPr>
          <w:spacing w:val="-2"/>
        </w:rPr>
        <w:t>公司设有健全的内部经营管理机构，拥有完整的采购、生产、销售系统及配套部门，独立行使经营管理职权，与控股股东和</w:t>
      </w:r>
      <w:r>
        <w:rPr>
          <w:spacing w:val="-67"/>
        </w:rPr>
        <w:t> </w:t>
      </w:r>
      <w:r>
        <w:rPr>
          <w:spacing w:val="-67"/>
        </w:rPr>
      </w:r>
      <w:r>
        <w:rPr/>
        <w:t>实际控制人及其控制的其他企业间不存在机构混同的情形。</w:t>
      </w:r>
    </w:p>
    <w:p>
      <w:pPr>
        <w:pStyle w:val="BodyText"/>
        <w:spacing w:line="432" w:lineRule="exact" w:before="3"/>
        <w:ind w:left="513" w:right="986" w:hanging="89"/>
        <w:jc w:val="left"/>
      </w:pPr>
      <w:r>
        <w:rPr/>
        <w:t>（五）财务独立 </w:t>
      </w:r>
      <w:r>
        <w:rPr>
          <w:spacing w:val="-2"/>
        </w:rPr>
        <w:t>公司设立了独立的财务部门，配备了专职财务人员，独立进行财务决策，建立了独立的会计核算体系和财务管理相关内</w:t>
      </w:r>
    </w:p>
    <w:p>
      <w:pPr>
        <w:pStyle w:val="BodyText"/>
        <w:spacing w:line="316" w:lineRule="auto" w:before="15"/>
        <w:ind w:right="1133"/>
        <w:jc w:val="both"/>
      </w:pPr>
      <w:r>
        <w:rPr>
          <w:spacing w:val="-2"/>
        </w:rPr>
        <w:t>控制度，独立进行财务决策，不存在控股股东干预公司资金使用的情形；公司拥有独立的银行账户，依法独立纳税，独立对</w:t>
      </w:r>
      <w:r>
        <w:rPr>
          <w:spacing w:val="-67"/>
        </w:rPr>
        <w:t> </w:t>
      </w:r>
      <w:r>
        <w:rPr>
          <w:spacing w:val="-67"/>
        </w:rPr>
      </w:r>
      <w:r>
        <w:rPr>
          <w:spacing w:val="-2"/>
        </w:rPr>
        <w:t>外签订合同；公司不存在违规为股东及其附属企业提供担保或以公司名义申请的借款转借给股东单位使用的情况，不存在控</w:t>
      </w:r>
      <w:r>
        <w:rPr>
          <w:spacing w:val="-64"/>
        </w:rPr>
        <w:t> </w:t>
      </w:r>
      <w:r>
        <w:rPr>
          <w:spacing w:val="-64"/>
        </w:rPr>
      </w:r>
      <w:r>
        <w:rPr/>
        <w:t>股股东占用公司资金、资源的情形。</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0"/>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6" w:right="2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w:t>
            </w:r>
            <w:r>
              <w:rPr>
                <w:rFonts w:ascii="宋体" w:hAnsi="宋体" w:cs="宋体" w:eastAsia="宋体" w:hint="default"/>
                <w:spacing w:val="-11"/>
                <w:sz w:val="18"/>
                <w:szCs w:val="18"/>
              </w:rPr>
              <w:t>大会决议公告》（编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2018-008</w:t>
            </w:r>
            <w:r>
              <w:rPr>
                <w:rFonts w:ascii="宋体" w:hAnsi="宋体" w:cs="宋体" w:eastAsia="宋体" w:hint="default"/>
                <w:sz w:val="18"/>
                <w:szCs w:val="18"/>
              </w:rPr>
              <w:t>）</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6" w:right="2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年年度股东大会决 </w:t>
            </w:r>
            <w:r>
              <w:rPr>
                <w:rFonts w:ascii="宋体" w:hAnsi="宋体" w:cs="宋体" w:eastAsia="宋体" w:hint="default"/>
                <w:spacing w:val="-12"/>
                <w:sz w:val="18"/>
                <w:szCs w:val="18"/>
              </w:rPr>
              <w:t>议公告》（编号：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2018-032</w:t>
            </w:r>
            <w:r>
              <w:rPr>
                <w:rFonts w:ascii="宋体" w:hAnsi="宋体" w:cs="宋体" w:eastAsia="宋体" w:hint="default"/>
                <w:sz w:val="18"/>
                <w:szCs w:val="18"/>
              </w:rPr>
              <w:t>）</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6" w:right="2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 </w:t>
            </w:r>
            <w:r>
              <w:rPr>
                <w:rFonts w:ascii="宋体" w:hAnsi="宋体" w:cs="宋体" w:eastAsia="宋体" w:hint="default"/>
                <w:spacing w:val="-11"/>
                <w:sz w:val="18"/>
                <w:szCs w:val="18"/>
              </w:rPr>
              <w:t>大会决议公告》（编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2018-045</w:t>
            </w:r>
            <w:r>
              <w:rPr>
                <w:rFonts w:ascii="宋体" w:hAnsi="宋体" w:cs="宋体" w:eastAsia="宋体" w:hint="default"/>
                <w:sz w:val="18"/>
                <w:szCs w:val="18"/>
              </w:rPr>
              <w:t>）</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6" w:right="2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w:t>
            </w:r>
          </w:p>
        </w:tc>
      </w:tr>
    </w:tbl>
    <w:p>
      <w:pPr>
        <w:spacing w:after="0" w:line="300"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67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29"/>
              <w:jc w:val="left"/>
              <w:rPr>
                <w:rFonts w:ascii="宋体" w:hAnsi="宋体" w:cs="宋体" w:eastAsia="宋体" w:hint="default"/>
                <w:sz w:val="18"/>
                <w:szCs w:val="18"/>
              </w:rPr>
            </w:pPr>
            <w:r>
              <w:rPr>
                <w:rFonts w:ascii="宋体" w:hAnsi="宋体" w:cs="宋体" w:eastAsia="宋体" w:hint="default"/>
                <w:spacing w:val="-11"/>
                <w:sz w:val="18"/>
                <w:szCs w:val="18"/>
              </w:rPr>
              <w:t>大会决议公告》（编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2018-070</w:t>
            </w:r>
            <w:r>
              <w:rPr>
                <w:rFonts w:ascii="宋体" w:hAnsi="宋体" w:cs="宋体" w:eastAsia="宋体" w:hint="default"/>
                <w:sz w:val="18"/>
                <w:szCs w:val="18"/>
              </w:rPr>
              <w:t>）</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65.65%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6" w:right="24"/>
              <w:jc w:val="left"/>
              <w:rPr>
                <w:rFonts w:ascii="宋体" w:hAnsi="宋体" w:cs="宋体" w:eastAsia="宋体" w:hint="default"/>
                <w:sz w:val="18"/>
                <w:szCs w:val="18"/>
              </w:rPr>
            </w:pPr>
            <w:r>
              <w:rPr>
                <w:rFonts w:ascii="宋体" w:hAnsi="宋体" w:cs="宋体" w:eastAsia="宋体" w:hint="default"/>
                <w:spacing w:val="-8"/>
                <w:sz w:val="18"/>
                <w:szCs w:val="18"/>
              </w:rPr>
              <w:t>巨潮资讯网：《</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 </w:t>
            </w:r>
            <w:r>
              <w:rPr>
                <w:rFonts w:ascii="宋体" w:hAnsi="宋体" w:cs="宋体" w:eastAsia="宋体" w:hint="default"/>
                <w:spacing w:val="-11"/>
                <w:sz w:val="18"/>
                <w:szCs w:val="18"/>
              </w:rPr>
              <w:t>大会决议公告》（编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2018-091</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1426"/>
        <w:gridCol w:w="1164"/>
        <w:gridCol w:w="1165"/>
        <w:gridCol w:w="1164"/>
        <w:gridCol w:w="1164"/>
        <w:gridCol w:w="1162"/>
        <w:gridCol w:w="1165"/>
        <w:gridCol w:w="1162"/>
      </w:tblGrid>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5" w:right="36"/>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6"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徐爱民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谢宏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51"/>
        <w:ind w:right="8054"/>
        <w:jc w:val="left"/>
      </w:pPr>
      <w:r>
        <w:rPr/>
        <w:t>连续两次未亲自出席董事会的说明 无</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123"/>
        <w:ind w:right="1214" w:firstLine="300"/>
        <w:jc w:val="left"/>
      </w:pPr>
      <w:r>
        <w:rPr/>
        <w:t>报告期内，独立董事根据《公司章程》、《独立董事制度》等相关规定履行职责，按要求出席董事会会议和股东大 会，根据自身专业优势，对公司关联交易、续聘审计机构、利润分配、内部控制、聘任高级管理人员等其他相关事项作出 独立、客观、公正的判断，发表了独立意见。独立董事通过现场工作深入了解公司经营情况，积极与其他董事、监事、管</w:t>
      </w:r>
    </w:p>
    <w:p>
      <w:pPr>
        <w:spacing w:after="0" w:line="316" w:lineRule="auto"/>
        <w:jc w:val="left"/>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16" w:lineRule="auto" w:before="44"/>
        <w:ind w:right="1214"/>
        <w:jc w:val="left"/>
      </w:pPr>
      <w:r>
        <w:rPr/>
        <w:t>理层沟通交流，并根据公司实际情况，给公司的经营管理、规范运作、媒体及投资者沟通提出了合理的建议并均被采纳， 提高了公司决策的科学性，切实维护了公司全体股东特别是中小投资者的利益。</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986"/>
        <w:jc w:val="left"/>
      </w:pPr>
      <w:r>
        <w:rPr/>
        <w:t>（一）审计委员会履职情况 </w:t>
      </w:r>
      <w:r>
        <w:rPr>
          <w:spacing w:val="-2"/>
        </w:rPr>
        <w:t>报告期内，公司董事会审计委员会依照《公司章程》、《董事会审计委员会实施细则》的相关规定，充分发挥了审核与</w:t>
      </w:r>
    </w:p>
    <w:p>
      <w:pPr>
        <w:pStyle w:val="BodyText"/>
        <w:spacing w:line="224" w:lineRule="exact"/>
        <w:ind w:right="986"/>
        <w:jc w:val="left"/>
      </w:pPr>
      <w:r>
        <w:rPr/>
        <w:t>监督作用。审计委员会主要负责审核公司财务信息、内控制度和核查工作及外部审计机构的沟通工作。报告期内，审计委员</w:t>
      </w:r>
    </w:p>
    <w:p>
      <w:pPr>
        <w:pStyle w:val="BodyText"/>
        <w:spacing w:line="240" w:lineRule="auto" w:before="76"/>
        <w:ind w:right="1133"/>
        <w:jc w:val="left"/>
      </w:pPr>
      <w:r>
        <w:rPr/>
        <w:t>会共召开了</w:t>
      </w:r>
      <w:r>
        <w:rPr>
          <w:rFonts w:ascii="Times New Roman" w:hAnsi="Times New Roman" w:cs="Times New Roman" w:eastAsia="Times New Roman" w:hint="default"/>
        </w:rPr>
        <w:t>7</w:t>
      </w:r>
      <w:r>
        <w:rPr/>
        <w:t>次会议，对定期报告、聘任审计机构、内控制度、关联交易等事项进行了审议。</w:t>
      </w:r>
    </w:p>
    <w:p>
      <w:pPr>
        <w:pStyle w:val="BodyText"/>
        <w:spacing w:line="360" w:lineRule="auto" w:before="103"/>
        <w:ind w:left="513" w:right="986"/>
        <w:jc w:val="left"/>
      </w:pPr>
      <w:r>
        <w:rPr/>
        <w:t>（二）薪酬与考核委员会履职情况 </w:t>
      </w:r>
      <w:r>
        <w:rPr>
          <w:spacing w:val="-2"/>
        </w:rPr>
        <w:t>报告期内，公司董事会薪酬与考核委员会依照《公司章程》、《董事会薪酬与考核委员会工作细则》的相关规定认真履</w:t>
      </w:r>
    </w:p>
    <w:p>
      <w:pPr>
        <w:pStyle w:val="BodyText"/>
        <w:spacing w:line="236" w:lineRule="exact"/>
        <w:ind w:right="1133"/>
        <w:jc w:val="left"/>
        <w:rPr>
          <w:rFonts w:ascii="Times New Roman" w:hAnsi="Times New Roman" w:cs="Times New Roman" w:eastAsia="Times New Roman" w:hint="default"/>
        </w:rPr>
      </w:pPr>
      <w:r>
        <w:rPr>
          <w:spacing w:val="-4"/>
        </w:rPr>
        <w:t>行职责，对公司薪酬及绩效考核情况进行监督。报告期内，薪酬与考核委员会召开了</w:t>
      </w:r>
      <w:r>
        <w:rPr>
          <w:rFonts w:ascii="Times New Roman" w:hAnsi="Times New Roman" w:cs="Times New Roman" w:eastAsia="Times New Roman" w:hint="default"/>
          <w:spacing w:val="-4"/>
        </w:rPr>
        <w:t>2</w:t>
      </w:r>
      <w:r>
        <w:rPr>
          <w:spacing w:val="-4"/>
        </w:rPr>
        <w:t>次会议，审议了公司高级管理人员</w:t>
      </w:r>
      <w:r>
        <w:rPr>
          <w:rFonts w:ascii="Times New Roman" w:hAnsi="Times New Roman" w:cs="Times New Roman" w:eastAsia="Times New Roman" w:hint="default"/>
          <w:spacing w:val="-4"/>
        </w:rPr>
        <w:t>2018</w:t>
      </w:r>
    </w:p>
    <w:p>
      <w:pPr>
        <w:pStyle w:val="BodyText"/>
        <w:spacing w:line="300" w:lineRule="auto" w:before="63"/>
        <w:ind w:right="986"/>
        <w:jc w:val="left"/>
      </w:pPr>
      <w:r>
        <w:rPr>
          <w:spacing w:val="-2"/>
        </w:rPr>
        <w:t>年度薪酬方案，同时，在高级管理人员换届完成后，对新一届高级管理人员</w:t>
      </w:r>
      <w:r>
        <w:rPr>
          <w:rFonts w:ascii="Times New Roman" w:hAnsi="Times New Roman" w:cs="Times New Roman" w:eastAsia="Times New Roman" w:hint="default"/>
          <w:spacing w:val="-2"/>
        </w:rPr>
        <w:t>2018</w:t>
      </w:r>
      <w:r>
        <w:rPr>
          <w:spacing w:val="-2"/>
        </w:rPr>
        <w:t>年度薪酬方案重新进行了审议，对公司薪酬</w:t>
      </w:r>
      <w:r>
        <w:rPr>
          <w:spacing w:val="-61"/>
        </w:rPr>
        <w:t> </w:t>
      </w:r>
      <w:r>
        <w:rPr>
          <w:spacing w:val="-61"/>
        </w:rPr>
      </w:r>
      <w:r>
        <w:rPr/>
        <w:t>制度和考核情况提出合理化建议，促进公司在规范运作的同时，进一步提高在薪酬考核方面的科学性。</w:t>
      </w:r>
    </w:p>
    <w:p>
      <w:pPr>
        <w:pStyle w:val="BodyText"/>
        <w:spacing w:line="360" w:lineRule="auto" w:before="70"/>
        <w:ind w:left="513" w:right="986"/>
        <w:jc w:val="left"/>
      </w:pPr>
      <w:r>
        <w:rPr/>
        <w:t>（三）提名委员会履职情况 </w:t>
      </w:r>
      <w:r>
        <w:rPr>
          <w:spacing w:val="-2"/>
        </w:rPr>
        <w:t>报告期内，公司董事会提名委员会依照《公司章程》、《董事会提名委员会工作细则》的相关规定积极履行职责。报告</w:t>
      </w:r>
    </w:p>
    <w:p>
      <w:pPr>
        <w:pStyle w:val="BodyText"/>
        <w:spacing w:line="236" w:lineRule="exact"/>
        <w:ind w:right="986"/>
        <w:jc w:val="left"/>
      </w:pPr>
      <w:r>
        <w:rPr/>
        <w:t>期内，提名委员会召开了</w:t>
      </w:r>
      <w:r>
        <w:rPr>
          <w:rFonts w:ascii="Times New Roman" w:hAnsi="Times New Roman" w:cs="Times New Roman" w:eastAsia="Times New Roman" w:hint="default"/>
        </w:rPr>
        <w:t>3</w:t>
      </w:r>
      <w:r>
        <w:rPr/>
        <w:t>次会议，重点对公司第二届董事会董事候选人、高级管理人员的任职资格进行审查并提名，完成</w:t>
      </w:r>
    </w:p>
    <w:p>
      <w:pPr>
        <w:pStyle w:val="BodyText"/>
        <w:spacing w:line="240" w:lineRule="auto" w:before="63"/>
        <w:ind w:right="1133"/>
        <w:jc w:val="left"/>
      </w:pPr>
      <w:r>
        <w:rPr/>
        <w:t>了董事会及高级管理人员的换届选举工作。</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40" w:lineRule="auto" w:before="117"/>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229" w:firstLine="358"/>
        <w:jc w:val="both"/>
      </w:pPr>
      <w:r>
        <w:rPr/>
        <w:t>公司建立了较为健全的高级管理人员绩效考核管理体系，明确了高级管理人员的薪酬与公司业绩挂钩的绩效考核与激 励约束机制，实行基本年薪和绩效年薪考核相结合的薪酬制度，基本薪酬参考市场同类薪酬标准，结合考虑职位、责任、 能力等因素确定，绩效薪酬根据年终绩效考评结果确定。公司每年度对高级管理人员开展工作述职以及绩效考评，根据年 终考核结果给予确定薪酬方案，报公司董事会批准后执行。</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right="1133"/>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195"/>
        <w:gridCol w:w="6373"/>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年度内部控制评价报告</w:t>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81" w:type="dxa"/>
        <w:tblLayout w:type="fixed"/>
        <w:tblCellMar>
          <w:top w:w="0" w:type="dxa"/>
          <w:left w:w="0" w:type="dxa"/>
          <w:bottom w:w="0" w:type="dxa"/>
          <w:right w:w="0" w:type="dxa"/>
        </w:tblCellMar>
        <w:tblLook w:val="01E0"/>
      </w:tblPr>
      <w:tblGrid>
        <w:gridCol w:w="3195"/>
        <w:gridCol w:w="3322"/>
        <w:gridCol w:w="3051"/>
      </w:tblGrid>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3"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5"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300" w:lineRule="auto" w:before="51"/>
              <w:ind w:left="24" w:right="46"/>
              <w:jc w:val="left"/>
              <w:rPr>
                <w:rFonts w:ascii="宋体" w:hAnsi="宋体" w:cs="宋体" w:eastAsia="宋体" w:hint="default"/>
                <w:sz w:val="18"/>
                <w:szCs w:val="18"/>
              </w:rPr>
            </w:pPr>
            <w:r>
              <w:rPr>
                <w:rFonts w:ascii="宋体" w:hAnsi="宋体" w:cs="宋体" w:eastAsia="宋体" w:hint="default"/>
                <w:spacing w:val="-5"/>
                <w:sz w:val="18"/>
                <w:szCs w:val="18"/>
              </w:rPr>
              <w:t>重大缺陷：（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）公司董事、监事和高级管</w:t>
            </w:r>
            <w:r>
              <w:rPr>
                <w:rFonts w:ascii="宋体" w:hAnsi="宋体" w:cs="宋体" w:eastAsia="宋体" w:hint="default"/>
                <w:spacing w:val="-86"/>
                <w:sz w:val="18"/>
                <w:szCs w:val="18"/>
              </w:rPr>
              <w:t> </w:t>
            </w:r>
            <w:r>
              <w:rPr>
                <w:rFonts w:ascii="宋体" w:hAnsi="宋体" w:cs="宋体" w:eastAsia="宋体" w:hint="default"/>
                <w:sz w:val="18"/>
                <w:szCs w:val="18"/>
              </w:rPr>
              <w:t>理人员滥用职权</w:t>
            </w:r>
            <w:r>
              <w:rPr>
                <w:rFonts w:ascii="Times New Roman" w:hAnsi="Times New Roman" w:cs="Times New Roman" w:eastAsia="Times New Roman" w:hint="default"/>
                <w:sz w:val="18"/>
                <w:szCs w:val="18"/>
              </w:rPr>
              <w:t>,</w:t>
            </w:r>
            <w:r>
              <w:rPr>
                <w:rFonts w:ascii="宋体" w:hAnsi="宋体" w:cs="宋体" w:eastAsia="宋体" w:hint="default"/>
                <w:sz w:val="18"/>
                <w:szCs w:val="18"/>
              </w:rPr>
              <w:t>发生贪污、受贿、挪用 公款等舞弊行为，给公司造成重大损失；</w:t>
            </w:r>
          </w:p>
          <w:p>
            <w:pPr>
              <w:pStyle w:val="TableParagraph"/>
              <w:spacing w:line="309" w:lineRule="auto" w:before="31"/>
              <w:ind w:left="24" w:right="4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）外部审计发现当期财务报告存在重 大错报，公司在运行过程中未能发现该错 </w:t>
            </w:r>
            <w:r>
              <w:rPr>
                <w:rFonts w:ascii="宋体" w:hAnsi="宋体" w:cs="宋体" w:eastAsia="宋体" w:hint="default"/>
                <w:spacing w:val="-5"/>
                <w:sz w:val="18"/>
                <w:szCs w:val="18"/>
              </w:rPr>
              <w:t>报；（</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）已经发现并报告给管理层的重大</w:t>
            </w:r>
            <w:r>
              <w:rPr>
                <w:rFonts w:ascii="宋体" w:hAnsi="宋体" w:cs="宋体" w:eastAsia="宋体" w:hint="default"/>
                <w:spacing w:val="-86"/>
                <w:sz w:val="18"/>
                <w:szCs w:val="18"/>
              </w:rPr>
              <w:t> </w:t>
            </w:r>
            <w:r>
              <w:rPr>
                <w:rFonts w:ascii="宋体" w:hAnsi="宋体" w:cs="宋体" w:eastAsia="宋体" w:hint="default"/>
                <w:spacing w:val="-5"/>
                <w:sz w:val="18"/>
                <w:szCs w:val="18"/>
              </w:rPr>
              <w:t>缺陷在合理的时间内未加以改正；（</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w:t>
            </w:r>
            <w:r>
              <w:rPr>
                <w:rFonts w:ascii="宋体" w:hAnsi="宋体" w:cs="宋体" w:eastAsia="宋体" w:hint="default"/>
                <w:spacing w:val="-86"/>
                <w:sz w:val="18"/>
                <w:szCs w:val="18"/>
              </w:rPr>
              <w:t> </w:t>
            </w:r>
            <w:r>
              <w:rPr>
                <w:rFonts w:ascii="宋体" w:hAnsi="宋体" w:cs="宋体" w:eastAsia="宋体" w:hint="default"/>
                <w:sz w:val="18"/>
                <w:szCs w:val="18"/>
              </w:rPr>
              <w:t>司审计委员会和公司内审内控部对内部控 </w:t>
            </w:r>
            <w:r>
              <w:rPr>
                <w:rFonts w:ascii="宋体" w:hAnsi="宋体" w:cs="宋体" w:eastAsia="宋体" w:hint="default"/>
                <w:spacing w:val="-5"/>
                <w:sz w:val="18"/>
                <w:szCs w:val="18"/>
              </w:rPr>
              <w:t>制的监督无效。重要缺陷：（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w:t>
            </w:r>
            <w:r>
              <w:rPr>
                <w:rFonts w:ascii="宋体" w:hAnsi="宋体" w:cs="宋体" w:eastAsia="宋体" w:hint="default"/>
                <w:spacing w:val="-86"/>
                <w:sz w:val="18"/>
                <w:szCs w:val="18"/>
              </w:rPr>
              <w:t> </w:t>
            </w:r>
            <w:r>
              <w:rPr>
                <w:rFonts w:ascii="宋体" w:hAnsi="宋体" w:cs="宋体" w:eastAsia="宋体" w:hint="default"/>
                <w:spacing w:val="-5"/>
                <w:sz w:val="18"/>
                <w:szCs w:val="18"/>
              </w:rPr>
              <w:t>认的会计准则和会计政策；（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w:t>
            </w:r>
            <w:r>
              <w:rPr>
                <w:rFonts w:ascii="宋体" w:hAnsi="宋体" w:cs="宋体" w:eastAsia="宋体" w:hint="default"/>
                <w:spacing w:val="-86"/>
                <w:sz w:val="18"/>
                <w:szCs w:val="18"/>
              </w:rPr>
              <w:t> </w:t>
            </w:r>
            <w:r>
              <w:rPr>
                <w:rFonts w:ascii="宋体" w:hAnsi="宋体" w:cs="宋体" w:eastAsia="宋体" w:hint="default"/>
                <w:spacing w:val="-5"/>
                <w:sz w:val="18"/>
                <w:szCs w:val="18"/>
              </w:rPr>
              <w:t>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）对于期末财务</w:t>
            </w:r>
            <w:r>
              <w:rPr>
                <w:rFonts w:ascii="宋体" w:hAnsi="宋体" w:cs="宋体" w:eastAsia="宋体" w:hint="default"/>
                <w:spacing w:val="-86"/>
                <w:sz w:val="18"/>
                <w:szCs w:val="18"/>
              </w:rPr>
              <w:t> </w:t>
            </w:r>
            <w:r>
              <w:rPr>
                <w:rFonts w:ascii="宋体" w:hAnsi="宋体" w:cs="宋体" w:eastAsia="宋体" w:hint="default"/>
                <w:sz w:val="18"/>
                <w:szCs w:val="18"/>
              </w:rPr>
              <w:t>报告过程的控制存在一项或多项内部控制 缺陷且不能合理保证编制的财务报表达到 真实、准确的目标。一般缺陷：未构成重 大缺陷、重要缺陷标准的其他内部控制缺 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135"/>
              <w:jc w:val="left"/>
              <w:rPr>
                <w:rFonts w:ascii="宋体" w:hAnsi="宋体" w:cs="宋体" w:eastAsia="宋体" w:hint="default"/>
                <w:sz w:val="18"/>
                <w:szCs w:val="18"/>
              </w:rPr>
            </w:pPr>
            <w:r>
              <w:rPr>
                <w:rFonts w:ascii="宋体" w:hAnsi="宋体" w:cs="宋体" w:eastAsia="宋体" w:hint="default"/>
                <w:sz w:val="18"/>
                <w:szCs w:val="18"/>
              </w:rPr>
              <w:t>重大缺陷：决策程序导致重大失误， 重要业务缺乏制度控制或系统性失 效，且缺乏有效的补偿性控制、内部 控制评价的结果特别是重大缺陷未得 到整改等可能造成直接或潜在的重大 赔偿、罚款或投资风险等损失。重要 缺陷：决策程序导致出现一般性失 误、重要业务制度或系统存在缺陷、 内部控制评价的结果特别是重要缺陷 未得到整改等可能造成的直接或潜在 的负面影响严重程度低于重大缺陷， 但仍有可能导致公司偏离控制目标的 内部控制缺陷。一般缺陷：未构成重 大缺陷、重要缺陷标准的其他内部控 制缺陷。</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4" w:space="0" w:color="000000"/>
            </w:tcBorders>
          </w:tcPr>
          <w:p>
            <w:pPr/>
          </w:p>
        </w:tc>
        <w:tc>
          <w:tcPr>
            <w:tcW w:w="3051" w:type="dxa"/>
            <w:vMerge/>
            <w:tcBorders>
              <w:left w:val="single" w:sz="4" w:space="0" w:color="000000"/>
              <w:right w:val="single" w:sz="4" w:space="0" w:color="000000"/>
            </w:tcBorders>
          </w:tcPr>
          <w:p>
            <w:pPr/>
          </w:p>
        </w:tc>
      </w:tr>
      <w:tr>
        <w:trPr>
          <w:trHeight w:val="2345"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723"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300" w:lineRule="auto" w:before="53"/>
              <w:ind w:left="24" w:right="23"/>
              <w:jc w:val="left"/>
              <w:rPr>
                <w:rFonts w:ascii="宋体" w:hAnsi="宋体" w:cs="宋体" w:eastAsia="宋体" w:hint="default"/>
                <w:sz w:val="18"/>
                <w:szCs w:val="18"/>
              </w:rPr>
            </w:pP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 缺陷：利润总额的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错报＜资产总额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错报＜营 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，所有者权益总额的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 般缺陷：错报＜利润总额的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 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，错报＜营业收入总额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，错报＜所有者权益总额的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23" w:right="43"/>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万元及以上；重要缺 陷：</w:t>
            </w:r>
            <w:r>
              <w:rPr>
                <w:rFonts w:ascii="Times New Roman" w:hAnsi="Times New Roman" w:cs="Times New Roman" w:eastAsia="Times New Roman" w:hint="default"/>
                <w:sz w:val="18"/>
                <w:szCs w:val="18"/>
              </w:rPr>
              <w:t>1500 </w:t>
            </w:r>
            <w:r>
              <w:rPr>
                <w:rFonts w:ascii="宋体" w:hAnsi="宋体" w:cs="宋体" w:eastAsia="宋体" w:hint="default"/>
                <w:sz w:val="18"/>
                <w:szCs w:val="18"/>
              </w:rPr>
              <w:t>万元（含）～</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万元；一 般缺陷：</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万元（含）～</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4" w:space="0" w:color="000000"/>
              <w:right w:val="single" w:sz="4" w:space="0" w:color="000000"/>
            </w:tcBorders>
          </w:tcPr>
          <w:p>
            <w:pPr/>
          </w:p>
        </w:tc>
        <w:tc>
          <w:tcPr>
            <w:tcW w:w="3051" w:type="dxa"/>
            <w:vMerge/>
            <w:tcBorders>
              <w:left w:val="single" w:sz="4" w:space="0" w:color="000000"/>
              <w:right w:val="single" w:sz="4" w:space="0" w:color="000000"/>
            </w:tcBorders>
          </w:tcPr>
          <w:p>
            <w:pPr/>
          </w:p>
        </w:tc>
      </w:tr>
      <w:tr>
        <w:trPr>
          <w:trHeight w:val="172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8"/>
          <w:szCs w:val="18"/>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不适用</w:t>
      </w:r>
    </w:p>
    <w:p>
      <w:pPr>
        <w:spacing w:after="0" w:line="240" w:lineRule="auto"/>
        <w:jc w:val="left"/>
        <w:sectPr>
          <w:pgSz w:w="11910" w:h="16840"/>
          <w:pgMar w:header="880" w:footer="974"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125" w:right="1133"/>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80" w:footer="974"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607" w:right="1133"/>
        <w:jc w:val="left"/>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安永华明</w:t>
            </w:r>
            <w:r>
              <w:rPr>
                <w:rFonts w:ascii="Times New Roman" w:hAnsi="Times New Roman" w:cs="Times New Roman" w:eastAsia="Times New Roman" w:hint="default"/>
                <w:sz w:val="18"/>
                <w:szCs w:val="18"/>
              </w:rPr>
              <w:t>(2019)</w:t>
            </w:r>
            <w:r>
              <w:rPr>
                <w:rFonts w:ascii="宋体" w:hAnsi="宋体" w:cs="宋体" w:eastAsia="宋体" w:hint="default"/>
                <w:sz w:val="18"/>
                <w:szCs w:val="18"/>
              </w:rPr>
              <w:t>审字第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61098952_H01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李剑光、邓冬梅</w:t>
            </w:r>
          </w:p>
        </w:tc>
      </w:tr>
    </w:tbl>
    <w:p>
      <w:pPr>
        <w:spacing w:line="357" w:lineRule="auto" w:before="51"/>
        <w:ind w:left="4432" w:right="5411" w:firstLine="0"/>
        <w:jc w:val="center"/>
        <w:rPr>
          <w:rFonts w:ascii="宋体" w:hAnsi="宋体" w:cs="宋体" w:eastAsia="宋体" w:hint="default"/>
          <w:sz w:val="18"/>
          <w:szCs w:val="18"/>
        </w:rPr>
      </w:pPr>
      <w:r>
        <w:rPr>
          <w:rFonts w:ascii="宋体" w:hAnsi="宋体" w:cs="宋体" w:eastAsia="宋体" w:hint="default"/>
          <w:sz w:val="18"/>
          <w:szCs w:val="18"/>
        </w:rPr>
        <w:t>审计报告正文 </w:t>
      </w:r>
      <w:r>
        <w:rPr>
          <w:rFonts w:ascii="宋体" w:hAnsi="宋体" w:cs="宋体" w:eastAsia="宋体" w:hint="default"/>
          <w:b/>
          <w:bCs/>
          <w:sz w:val="18"/>
          <w:szCs w:val="18"/>
        </w:rPr>
        <w:t>审计报告</w:t>
      </w:r>
      <w:r>
        <w:rPr>
          <w:rFonts w:ascii="宋体" w:hAnsi="宋体" w:cs="宋体" w:eastAsia="宋体" w:hint="default"/>
          <w:sz w:val="18"/>
          <w:szCs w:val="18"/>
        </w:rPr>
      </w:r>
    </w:p>
    <w:p>
      <w:pPr>
        <w:spacing w:line="240" w:lineRule="auto" w:before="7"/>
        <w:rPr>
          <w:rFonts w:ascii="宋体" w:hAnsi="宋体" w:cs="宋体" w:eastAsia="宋体" w:hint="default"/>
          <w:b/>
          <w:bCs/>
          <w:sz w:val="19"/>
          <w:szCs w:val="19"/>
        </w:rPr>
      </w:pPr>
    </w:p>
    <w:p>
      <w:pPr>
        <w:pStyle w:val="BodyText"/>
        <w:spacing w:line="240" w:lineRule="auto" w:before="44"/>
        <w:ind w:left="6751" w:right="986"/>
        <w:jc w:val="left"/>
      </w:pPr>
      <w:r>
        <w:rPr/>
        <w:t>安永华明</w:t>
      </w:r>
      <w:r>
        <w:rPr>
          <w:rFonts w:ascii="Times New Roman" w:hAnsi="Times New Roman" w:cs="Times New Roman" w:eastAsia="Times New Roman" w:hint="default"/>
        </w:rPr>
        <w:t>(2019)</w:t>
      </w:r>
      <w:r>
        <w:rPr/>
        <w:t>审字第</w:t>
      </w:r>
      <w:r>
        <w:rPr>
          <w:rFonts w:ascii="Times New Roman" w:hAnsi="Times New Roman" w:cs="Times New Roman" w:eastAsia="Times New Roman" w:hint="default"/>
        </w:rPr>
        <w:t>61098952_H01</w:t>
      </w:r>
      <w:r>
        <w:rPr/>
        <w:t>号</w:t>
      </w:r>
    </w:p>
    <w:p>
      <w:pPr>
        <w:spacing w:line="240" w:lineRule="auto" w:before="3"/>
        <w:rPr>
          <w:rFonts w:ascii="宋体" w:hAnsi="宋体" w:cs="宋体" w:eastAsia="宋体" w:hint="default"/>
          <w:sz w:val="25"/>
          <w:szCs w:val="25"/>
        </w:rPr>
      </w:pPr>
    </w:p>
    <w:p>
      <w:pPr>
        <w:spacing w:line="636" w:lineRule="auto" w:before="44"/>
        <w:ind w:left="152" w:right="7694" w:firstLine="0"/>
        <w:jc w:val="left"/>
        <w:rPr>
          <w:rFonts w:ascii="宋体" w:hAnsi="宋体" w:cs="宋体" w:eastAsia="宋体" w:hint="default"/>
          <w:sz w:val="18"/>
          <w:szCs w:val="18"/>
        </w:rPr>
      </w:pPr>
      <w:r>
        <w:rPr>
          <w:rFonts w:ascii="宋体" w:hAnsi="宋体" w:cs="宋体" w:eastAsia="宋体" w:hint="default"/>
          <w:sz w:val="18"/>
          <w:szCs w:val="18"/>
        </w:rPr>
        <w:t>深圳华大基因股份有限公司全体股东：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300" w:lineRule="auto" w:before="92"/>
        <w:ind w:right="1131" w:firstLine="427"/>
        <w:jc w:val="both"/>
      </w:pPr>
      <w:r>
        <w:rPr/>
        <w:t>我们审计了深圳华大基因股份有限公司的财务报表，包括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日的合并及公司资产负债表，</w:t>
      </w:r>
      <w:r>
        <w:rPr>
          <w:rFonts w:ascii="Times New Roman" w:hAnsi="Times New Roman" w:cs="Times New Roman" w:eastAsia="Times New Roman" w:hint="default"/>
        </w:rPr>
        <w:t>2018</w:t>
      </w:r>
      <w:r>
        <w:rPr/>
        <w:t>年度的合并 及公司利润表、股东权益变动表和现金流量表以及相关财务报表附注。</w:t>
      </w:r>
    </w:p>
    <w:p>
      <w:pPr>
        <w:pStyle w:val="BodyText"/>
        <w:spacing w:line="316" w:lineRule="auto" w:before="31"/>
        <w:ind w:right="1136" w:firstLine="427"/>
        <w:jc w:val="both"/>
      </w:pPr>
      <w:r>
        <w:rPr/>
        <w:t>我们认为，后附的深圳华大基因股份有限公司的财务报表在所有重大方面按照企业会计准则的规定编制，公允反映了 深圳华大基因股份有限公司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2018</w:t>
      </w:r>
      <w:r>
        <w:rPr/>
        <w:t>年度的合并及公司经营成果和现金流量。</w:t>
      </w:r>
    </w:p>
    <w:p>
      <w:pPr>
        <w:pStyle w:val="BodyText"/>
        <w:spacing w:line="624" w:lineRule="exact" w:before="22"/>
        <w:ind w:left="580" w:right="1133" w:hanging="428"/>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213" w:lineRule="exact"/>
        <w:ind w:right="986"/>
        <w:jc w:val="left"/>
      </w:pPr>
      <w:r>
        <w:rPr/>
        <w:t>步阐述了我们在这些准则下的责任。按照中国注册会计师职业道德守则，我们独立于深圳华大基因股份有限公司，并履行了</w:t>
      </w:r>
    </w:p>
    <w:p>
      <w:pPr>
        <w:pStyle w:val="BodyText"/>
        <w:spacing w:line="636" w:lineRule="auto" w:before="76"/>
        <w:ind w:right="2294"/>
        <w:jc w:val="left"/>
        <w:rPr>
          <w:rFonts w:ascii="宋体" w:hAnsi="宋体" w:cs="宋体" w:eastAsia="宋体" w:hint="default"/>
        </w:rPr>
      </w:pPr>
      <w:r>
        <w:rPr/>
        <w:t>职业道德方面的其他责任。我们相信，我们获取的审计证据是充分、适当的，为发表审计意见提供了基础。 </w:t>
      </w:r>
      <w:r>
        <w:rPr>
          <w:rFonts w:ascii="宋体" w:hAnsi="宋体" w:cs="宋体" w:eastAsia="宋体" w:hint="default"/>
          <w:b/>
          <w:bCs/>
        </w:rPr>
        <w:t>三、关键审计事项</w:t>
      </w:r>
      <w:r>
        <w:rPr>
          <w:rFonts w:ascii="宋体" w:hAnsi="宋体" w:cs="宋体" w:eastAsia="宋体" w:hint="default"/>
        </w:rPr>
      </w:r>
    </w:p>
    <w:p>
      <w:pPr>
        <w:pStyle w:val="BodyText"/>
        <w:spacing w:line="316" w:lineRule="auto" w:before="91"/>
        <w:ind w:right="1133" w:firstLine="427"/>
        <w:jc w:val="both"/>
      </w:pPr>
      <w:r>
        <w:rPr/>
        <w:t>关键审计事项是我们根据职业判断，认为对本期财务报表审计最为重要的事项。这些事项的应对以对财务报表整体进 </w:t>
      </w:r>
      <w:r>
        <w:rPr>
          <w:spacing w:val="-2"/>
        </w:rPr>
        <w:t>行审计并形成审计意见为背景，我们不对这些事项单独发表意见。我们对下述每一事项在审计中是如何应对的描述也以此为</w:t>
      </w:r>
      <w:r>
        <w:rPr>
          <w:spacing w:val="-64"/>
        </w:rPr>
        <w:t> </w:t>
      </w:r>
      <w:r>
        <w:rPr>
          <w:spacing w:val="-64"/>
        </w:rPr>
      </w:r>
      <w:r>
        <w:rPr/>
        <w:t>背景。</w:t>
      </w:r>
    </w:p>
    <w:p>
      <w:pPr>
        <w:pStyle w:val="BodyText"/>
        <w:spacing w:line="309" w:lineRule="auto" w:before="19"/>
        <w:ind w:right="1133" w:firstLine="427"/>
        <w:jc w:val="both"/>
      </w:pPr>
      <w:r>
        <w:rPr/>
        <w:t>我们已经履行了本报告</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部分阐述的责任，包括与这些关键审计事项相关的责任。 </w:t>
      </w:r>
      <w:r>
        <w:rPr>
          <w:spacing w:val="-2"/>
        </w:rPr>
        <w:t>相应地，我们的审计工作包括执行为应对评估的财务报表重大错报风险而设计的审计程序。我们执行审计程序的结果，包括</w:t>
      </w:r>
      <w:r>
        <w:rPr>
          <w:spacing w:val="-65"/>
        </w:rPr>
        <w:t> </w:t>
      </w:r>
      <w:r>
        <w:rPr>
          <w:spacing w:val="-65"/>
        </w:rPr>
      </w:r>
      <w:r>
        <w:rPr/>
        <w:t>应对下述关键审计事项所执行的程序，为财务报表整体发表审计意见提供了基础。</w:t>
      </w:r>
    </w:p>
    <w:p>
      <w:pPr>
        <w:spacing w:line="240" w:lineRule="auto" w:before="12"/>
        <w:rPr>
          <w:rFonts w:ascii="宋体" w:hAnsi="宋体" w:cs="宋体" w:eastAsia="宋体" w:hint="default"/>
          <w:sz w:val="24"/>
          <w:szCs w:val="24"/>
        </w:rPr>
      </w:pPr>
    </w:p>
    <w:tbl>
      <w:tblPr>
        <w:tblW w:w="0" w:type="auto"/>
        <w:jc w:val="left"/>
        <w:tblInd w:w="186" w:type="dxa"/>
        <w:tblLayout w:type="fixed"/>
        <w:tblCellMar>
          <w:top w:w="0" w:type="dxa"/>
          <w:left w:w="0" w:type="dxa"/>
          <w:bottom w:w="0" w:type="dxa"/>
          <w:right w:w="0" w:type="dxa"/>
        </w:tblCellMar>
        <w:tblLook w:val="01E0"/>
      </w:tblPr>
      <w:tblGrid>
        <w:gridCol w:w="4532"/>
        <w:gridCol w:w="4679"/>
      </w:tblGrid>
      <w:tr>
        <w:trPr>
          <w:trHeight w:val="348" w:hRule="exact"/>
        </w:trPr>
        <w:tc>
          <w:tcPr>
            <w:tcW w:w="4532" w:type="dxa"/>
            <w:tcBorders>
              <w:top w:val="single" w:sz="6" w:space="0" w:color="000000"/>
              <w:left w:val="single" w:sz="6" w:space="0" w:color="000000"/>
              <w:bottom w:val="single" w:sz="6" w:space="0" w:color="000000"/>
              <w:right w:val="single" w:sz="6" w:space="0" w:color="000000"/>
            </w:tcBorders>
            <w:shd w:val="clear" w:color="auto" w:fill="999999"/>
          </w:tcPr>
          <w:p>
            <w:pPr>
              <w:pStyle w:val="TableParagraph"/>
              <w:spacing w:line="240" w:lineRule="auto" w:before="20"/>
              <w:ind w:left="48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关键审计事项</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4679" w:type="dxa"/>
            <w:tcBorders>
              <w:top w:val="single" w:sz="6" w:space="0" w:color="000000"/>
              <w:left w:val="single" w:sz="6" w:space="0" w:color="000000"/>
              <w:bottom w:val="single" w:sz="6" w:space="0" w:color="000000"/>
              <w:right w:val="single" w:sz="6" w:space="0" w:color="000000"/>
            </w:tcBorders>
            <w:shd w:val="clear" w:color="auto" w:fill="999999"/>
          </w:tcPr>
          <w:p>
            <w:pPr>
              <w:pStyle w:val="TableParagraph"/>
              <w:spacing w:line="240" w:lineRule="auto" w:before="20"/>
              <w:ind w:left="484"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该事项在审计中是如何应对</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6" w:hRule="exact"/>
        </w:trPr>
        <w:tc>
          <w:tcPr>
            <w:tcW w:w="92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5" w:right="0"/>
              <w:jc w:val="left"/>
              <w:rPr>
                <w:rFonts w:ascii="宋体" w:hAnsi="宋体" w:cs="宋体" w:eastAsia="宋体" w:hint="default"/>
                <w:sz w:val="18"/>
                <w:szCs w:val="18"/>
              </w:rPr>
            </w:pPr>
            <w:r>
              <w:rPr>
                <w:rFonts w:ascii="宋体" w:hAnsi="宋体" w:cs="宋体" w:eastAsia="宋体" w:hint="default"/>
                <w:b/>
                <w:bCs/>
                <w:sz w:val="18"/>
                <w:szCs w:val="18"/>
              </w:rPr>
              <w:t>应收账款的坏账准备</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6" w:type="dxa"/>
        <w:tblLayout w:type="fixed"/>
        <w:tblCellMar>
          <w:top w:w="0" w:type="dxa"/>
          <w:left w:w="0" w:type="dxa"/>
          <w:bottom w:w="0" w:type="dxa"/>
          <w:right w:w="0" w:type="dxa"/>
        </w:tblCellMar>
        <w:tblLook w:val="01E0"/>
      </w:tblPr>
      <w:tblGrid>
        <w:gridCol w:w="4532"/>
        <w:gridCol w:w="4679"/>
      </w:tblGrid>
      <w:tr>
        <w:trPr>
          <w:trHeight w:val="8101"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8" w:firstLine="360"/>
              <w:jc w:val="both"/>
              <w:rPr>
                <w:rFonts w:ascii="宋体" w:hAnsi="宋体" w:cs="宋体" w:eastAsia="宋体" w:hint="default"/>
                <w:sz w:val="18"/>
                <w:szCs w:val="18"/>
              </w:rPr>
            </w:pPr>
            <w:r>
              <w:rPr>
                <w:rFonts w:ascii="宋体" w:hAnsi="宋体" w:cs="宋体" w:eastAsia="宋体" w:hint="default"/>
                <w:sz w:val="18"/>
                <w:szCs w:val="18"/>
              </w:rPr>
              <w:t>深圳华大基因股份有限公司及其子公司应收账款金额 重大，于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日，应收账款在合并财务报表的账 面价值为人民币</w:t>
            </w:r>
            <w:r>
              <w:rPr>
                <w:rFonts w:ascii="Times New Roman" w:hAnsi="Times New Roman" w:cs="Times New Roman" w:eastAsia="Times New Roman" w:hint="default"/>
                <w:sz w:val="18"/>
                <w:szCs w:val="18"/>
              </w:rPr>
              <w:t>1,250,386,007.63</w:t>
            </w:r>
            <w:r>
              <w:rPr>
                <w:rFonts w:ascii="宋体" w:hAnsi="宋体" w:cs="宋体" w:eastAsia="宋体" w:hint="default"/>
                <w:sz w:val="18"/>
                <w:szCs w:val="18"/>
              </w:rPr>
              <w:t>元，占流动资产和资产总 额的比例分别为</w:t>
            </w:r>
            <w:r>
              <w:rPr>
                <w:rFonts w:ascii="Times New Roman" w:hAnsi="Times New Roman" w:cs="Times New Roman" w:eastAsia="Times New Roman" w:hint="default"/>
                <w:sz w:val="18"/>
                <w:szCs w:val="18"/>
              </w:rPr>
              <w:t>38.10%</w:t>
            </w:r>
            <w:r>
              <w:rPr>
                <w:rFonts w:ascii="宋体" w:hAnsi="宋体" w:cs="宋体" w:eastAsia="宋体" w:hint="default"/>
                <w:sz w:val="18"/>
                <w:szCs w:val="18"/>
              </w:rPr>
              <w:t>和</w:t>
            </w:r>
            <w:r>
              <w:rPr>
                <w:rFonts w:ascii="Times New Roman" w:hAnsi="Times New Roman" w:cs="Times New Roman" w:eastAsia="Times New Roman" w:hint="default"/>
                <w:sz w:val="18"/>
                <w:szCs w:val="18"/>
              </w:rPr>
              <w:t>23.81%</w:t>
            </w:r>
            <w:r>
              <w:rPr>
                <w:rFonts w:ascii="宋体" w:hAnsi="宋体" w:cs="宋体" w:eastAsia="宋体" w:hint="default"/>
                <w:sz w:val="18"/>
                <w:szCs w:val="18"/>
              </w:rPr>
              <w:t>。</w:t>
            </w:r>
          </w:p>
          <w:p>
            <w:pPr>
              <w:pStyle w:val="TableParagraph"/>
              <w:spacing w:line="316" w:lineRule="auto" w:before="7"/>
              <w:ind w:left="4" w:right="11" w:firstLine="360"/>
              <w:jc w:val="both"/>
              <w:rPr>
                <w:rFonts w:ascii="宋体" w:hAnsi="宋体" w:cs="宋体" w:eastAsia="宋体" w:hint="default"/>
                <w:sz w:val="18"/>
                <w:szCs w:val="18"/>
              </w:rPr>
            </w:pPr>
            <w:r>
              <w:rPr>
                <w:rFonts w:ascii="宋体" w:hAnsi="宋体" w:cs="宋体" w:eastAsia="宋体" w:hint="default"/>
                <w:sz w:val="18"/>
                <w:szCs w:val="18"/>
              </w:rPr>
              <w:t>应收账款主要对象是部分医院、政府机构、大专院校 和代理商，账龄较长，应收账款的坏账准备取决于深圳华 大基因股份有限公司管理层基于应收账款的账龄、是否存 在回款纠纷、以往付款情况以及其他影响对方信用的信息 而作出的综合判断。</w:t>
            </w:r>
          </w:p>
          <w:p>
            <w:pPr>
              <w:pStyle w:val="TableParagraph"/>
              <w:spacing w:line="304" w:lineRule="auto" w:before="19"/>
              <w:ind w:left="4" w:right="10" w:firstLine="360"/>
              <w:jc w:val="left"/>
              <w:rPr>
                <w:rFonts w:ascii="宋体" w:hAnsi="宋体" w:cs="宋体" w:eastAsia="宋体" w:hint="default"/>
                <w:sz w:val="18"/>
                <w:szCs w:val="18"/>
              </w:rPr>
            </w:pPr>
            <w:r>
              <w:rPr>
                <w:rFonts w:ascii="宋体" w:hAnsi="宋体" w:cs="宋体" w:eastAsia="宋体" w:hint="default"/>
                <w:sz w:val="18"/>
                <w:szCs w:val="18"/>
              </w:rPr>
              <w:t>该会计政策、重大会计判断和估计以及相关财务报表 披露参见第十一节财务报告附注五</w:t>
            </w:r>
            <w:r>
              <w:rPr>
                <w:rFonts w:ascii="Times New Roman" w:hAnsi="Times New Roman" w:cs="Times New Roman" w:eastAsia="Times New Roman" w:hint="default"/>
                <w:sz w:val="18"/>
                <w:szCs w:val="18"/>
              </w:rPr>
              <w:t>“</w:t>
            </w:r>
            <w:r>
              <w:rPr>
                <w:rFonts w:ascii="宋体" w:hAnsi="宋体" w:cs="宋体" w:eastAsia="宋体" w:hint="default"/>
                <w:sz w:val="18"/>
                <w:szCs w:val="18"/>
              </w:rPr>
              <w:t>重要会计政策及会计 估计</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Times New Roman" w:hAnsi="Times New Roman" w:cs="Times New Roman" w:eastAsia="Times New Roman" w:hint="default"/>
                <w:sz w:val="18"/>
                <w:szCs w:val="18"/>
              </w:rPr>
              <w:t>“11</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“27</w:t>
            </w:r>
            <w:r>
              <w:rPr>
                <w:rFonts w:ascii="宋体" w:hAnsi="宋体" w:cs="宋体" w:eastAsia="宋体" w:hint="default"/>
                <w:sz w:val="18"/>
                <w:szCs w:val="18"/>
              </w:rPr>
              <w:t>、重要会计政策 和会计估计变更</w:t>
            </w:r>
            <w:r>
              <w:rPr>
                <w:rFonts w:ascii="Times New Roman" w:hAnsi="Times New Roman" w:cs="Times New Roman" w:eastAsia="Times New Roman" w:hint="default"/>
                <w:sz w:val="18"/>
                <w:szCs w:val="18"/>
              </w:rPr>
              <w:t>”</w:t>
            </w:r>
            <w:r>
              <w:rPr>
                <w:rFonts w:ascii="宋体" w:hAnsi="宋体" w:cs="宋体" w:eastAsia="宋体" w:hint="default"/>
                <w:sz w:val="18"/>
                <w:szCs w:val="18"/>
              </w:rPr>
              <w:t>以及第十一节财务报告附注七</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 报表项目注释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Times New Roman" w:hAnsi="Times New Roman" w:cs="Times New Roman" w:eastAsia="Times New Roman" w:hint="default"/>
                <w:sz w:val="18"/>
                <w:szCs w:val="18"/>
              </w:rPr>
              <w:t>“2</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7" w:firstLine="360"/>
              <w:jc w:val="left"/>
              <w:rPr>
                <w:rFonts w:ascii="宋体" w:hAnsi="宋体" w:cs="宋体" w:eastAsia="宋体" w:hint="default"/>
                <w:sz w:val="18"/>
                <w:szCs w:val="18"/>
              </w:rPr>
            </w:pPr>
            <w:r>
              <w:rPr>
                <w:rFonts w:ascii="宋体" w:hAnsi="宋体" w:cs="宋体" w:eastAsia="宋体" w:hint="default"/>
                <w:sz w:val="18"/>
                <w:szCs w:val="18"/>
              </w:rPr>
              <w:t>我们在审计过程中对应收账款的坏账准备执行了以下 工作：</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364" w:right="158" w:hanging="360"/>
              <w:jc w:val="both"/>
              <w:rPr>
                <w:rFonts w:ascii="宋体" w:hAnsi="宋体" w:cs="宋体" w:eastAsia="宋体" w:hint="default"/>
                <w:sz w:val="18"/>
                <w:szCs w:val="18"/>
              </w:rPr>
            </w:pPr>
            <w:r>
              <w:rPr>
                <w:rFonts w:ascii="宋体" w:hAnsi="宋体" w:cs="宋体" w:eastAsia="宋体" w:hint="default"/>
                <w:sz w:val="18"/>
                <w:szCs w:val="18"/>
              </w:rPr>
              <w:t>· 对应收账款减值测试的内部控制的设计和运行有效性 进行测试；</w:t>
            </w: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364" w:right="157" w:hanging="360"/>
              <w:jc w:val="both"/>
              <w:rPr>
                <w:rFonts w:ascii="宋体" w:hAnsi="宋体" w:cs="宋体" w:eastAsia="宋体" w:hint="default"/>
                <w:sz w:val="18"/>
                <w:szCs w:val="18"/>
              </w:rPr>
            </w:pPr>
            <w:r>
              <w:rPr>
                <w:rFonts w:ascii="宋体" w:hAnsi="宋体" w:cs="宋体" w:eastAsia="宋体" w:hint="default"/>
                <w:sz w:val="18"/>
                <w:szCs w:val="18"/>
              </w:rPr>
              <w:t>· 针对单项金额重大的应收账款，我们执行的审计程序 主要包括：了解客户背景及信用评价，检查表明应收 账款发生减值的相关客观证据，了解并检查是否存在 客观证据表明应收账款价值已经恢复的情况，检查资 产负债表日至报告日是否收回款项；</w:t>
            </w: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4" w:lineRule="auto"/>
              <w:ind w:left="364" w:right="111" w:hanging="360"/>
              <w:jc w:val="both"/>
              <w:rPr>
                <w:rFonts w:ascii="宋体" w:hAnsi="宋体" w:cs="宋体" w:eastAsia="宋体" w:hint="default"/>
                <w:sz w:val="18"/>
                <w:szCs w:val="18"/>
              </w:rPr>
            </w:pPr>
            <w:r>
              <w:rPr>
                <w:rFonts w:ascii="宋体" w:hAnsi="宋体" w:cs="宋体" w:eastAsia="宋体" w:hint="default"/>
                <w:sz w:val="18"/>
                <w:szCs w:val="18"/>
              </w:rPr>
              <w:t>· 针对单项金额不重大</w:t>
            </w:r>
            <w:r>
              <w:rPr>
                <w:rFonts w:ascii="Times New Roman" w:hAnsi="Times New Roman" w:cs="Times New Roman" w:eastAsia="Times New Roman" w:hint="default"/>
                <w:sz w:val="18"/>
                <w:szCs w:val="18"/>
              </w:rPr>
              <w:t>,</w:t>
            </w:r>
            <w:r>
              <w:rPr>
                <w:rFonts w:ascii="宋体" w:hAnsi="宋体" w:cs="宋体" w:eastAsia="宋体" w:hint="default"/>
                <w:sz w:val="18"/>
                <w:szCs w:val="18"/>
              </w:rPr>
              <w:t>但管理层单独计提坏账准备的应 收账款，我们执行的审计程序主要包括：检查账龄划 分的正确性；了解客户背景及信用评价；获取相关交 易进展；了解终止销售业务的原因；检查表明应收账 款发生减值的相关客观证据；</w:t>
            </w: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6" w:lineRule="auto"/>
              <w:ind w:left="364" w:right="156" w:hanging="360"/>
              <w:jc w:val="left"/>
              <w:rPr>
                <w:rFonts w:ascii="宋体" w:hAnsi="宋体" w:cs="宋体" w:eastAsia="宋体" w:hint="default"/>
                <w:sz w:val="18"/>
                <w:szCs w:val="18"/>
              </w:rPr>
            </w:pPr>
            <w:r>
              <w:rPr>
                <w:rFonts w:ascii="宋体" w:hAnsi="宋体" w:cs="宋体" w:eastAsia="宋体" w:hint="default"/>
                <w:sz w:val="18"/>
                <w:szCs w:val="18"/>
              </w:rPr>
              <w:t>· 针对单项金额不重大及在单项减值测试中没有客观证 据表明需要单独计提坏账准备的应收账款，我们执行 的审计程序包括：检查账龄划分的正确性；考虑行业 公司坏账计提水平以及通过检查各账龄段的历史还款 记录和坏账率，评价对于各账龄段坏账准备计提比率 的合理性；检查资产负债表日至报告日是否收回款 项；</w:t>
            </w: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  复核财务报表附注中相关披露的充分性和完整性。</w:t>
            </w:r>
          </w:p>
        </w:tc>
      </w:tr>
      <w:tr>
        <w:trPr>
          <w:trHeight w:val="346" w:hRule="exact"/>
        </w:trPr>
        <w:tc>
          <w:tcPr>
            <w:tcW w:w="92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5" w:right="0"/>
              <w:jc w:val="left"/>
              <w:rPr>
                <w:rFonts w:ascii="宋体" w:hAnsi="宋体" w:cs="宋体" w:eastAsia="宋体" w:hint="default"/>
                <w:sz w:val="18"/>
                <w:szCs w:val="18"/>
              </w:rPr>
            </w:pPr>
            <w:r>
              <w:rPr>
                <w:rFonts w:ascii="宋体" w:hAnsi="宋体" w:cs="宋体" w:eastAsia="宋体" w:hint="default"/>
                <w:b/>
                <w:bCs/>
                <w:sz w:val="18"/>
                <w:szCs w:val="18"/>
              </w:rPr>
              <w:t>收入确认</w:t>
            </w:r>
            <w:r>
              <w:rPr>
                <w:rFonts w:ascii="宋体" w:hAnsi="宋体" w:cs="宋体" w:eastAsia="宋体" w:hint="default"/>
                <w:sz w:val="18"/>
                <w:szCs w:val="18"/>
              </w:rPr>
            </w:r>
          </w:p>
        </w:tc>
      </w:tr>
      <w:tr>
        <w:trPr>
          <w:trHeight w:val="5341"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2"/>
              <w:ind w:left="4" w:right="7" w:firstLine="360"/>
              <w:jc w:val="both"/>
              <w:rPr>
                <w:rFonts w:ascii="宋体" w:hAnsi="宋体" w:cs="宋体" w:eastAsia="宋体" w:hint="default"/>
                <w:sz w:val="18"/>
                <w:szCs w:val="18"/>
              </w:rPr>
            </w:pPr>
            <w:r>
              <w:rPr>
                <w:rFonts w:ascii="宋体" w:hAnsi="宋体" w:cs="宋体" w:eastAsia="宋体" w:hint="default"/>
                <w:sz w:val="18"/>
                <w:szCs w:val="18"/>
              </w:rPr>
              <w:t>深圳华大基因股份有限公司的营业收入主要来源于提 供订单型服务和提供项目型服务。</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年度营业收入人民 币</w:t>
            </w:r>
            <w:r>
              <w:rPr>
                <w:rFonts w:ascii="Times New Roman" w:hAnsi="Times New Roman" w:cs="Times New Roman" w:eastAsia="Times New Roman" w:hint="default"/>
                <w:sz w:val="18"/>
                <w:szCs w:val="18"/>
              </w:rPr>
              <w:t>2,536,406,105.62</w:t>
            </w:r>
            <w:r>
              <w:rPr>
                <w:rFonts w:ascii="宋体" w:hAnsi="宋体" w:cs="宋体" w:eastAsia="宋体" w:hint="default"/>
                <w:sz w:val="18"/>
                <w:szCs w:val="18"/>
              </w:rPr>
              <w:t>元，较上年增长</w:t>
            </w:r>
            <w:r>
              <w:rPr>
                <w:rFonts w:ascii="Times New Roman" w:hAnsi="Times New Roman" w:cs="Times New Roman" w:eastAsia="Times New Roman" w:hint="default"/>
                <w:sz w:val="18"/>
                <w:szCs w:val="18"/>
              </w:rPr>
              <w:t>21.04%</w:t>
            </w:r>
            <w:r>
              <w:rPr>
                <w:rFonts w:ascii="宋体" w:hAnsi="宋体" w:cs="宋体" w:eastAsia="宋体" w:hint="default"/>
                <w:sz w:val="18"/>
                <w:szCs w:val="18"/>
              </w:rPr>
              <w:t>。</w:t>
            </w:r>
          </w:p>
          <w:p>
            <w:pPr>
              <w:pStyle w:val="TableParagraph"/>
              <w:spacing w:line="316" w:lineRule="auto" w:before="5"/>
              <w:ind w:left="4" w:right="10" w:firstLine="360"/>
              <w:jc w:val="left"/>
              <w:rPr>
                <w:rFonts w:ascii="宋体" w:hAnsi="宋体" w:cs="宋体" w:eastAsia="宋体" w:hint="default"/>
                <w:sz w:val="18"/>
                <w:szCs w:val="18"/>
              </w:rPr>
            </w:pPr>
            <w:r>
              <w:rPr>
                <w:rFonts w:ascii="宋体" w:hAnsi="宋体" w:cs="宋体" w:eastAsia="宋体" w:hint="default"/>
                <w:sz w:val="18"/>
                <w:szCs w:val="18"/>
              </w:rPr>
              <w:t>订单型服务在检测报告交付客户或者将报告通过电子 邮件发送至客户时确认收入的实现。</w:t>
            </w:r>
          </w:p>
          <w:p>
            <w:pPr>
              <w:pStyle w:val="TableParagraph"/>
              <w:spacing w:line="316" w:lineRule="auto" w:before="19"/>
              <w:ind w:left="4" w:right="12" w:firstLine="360"/>
              <w:jc w:val="left"/>
              <w:rPr>
                <w:rFonts w:ascii="宋体" w:hAnsi="宋体" w:cs="宋体" w:eastAsia="宋体" w:hint="default"/>
                <w:sz w:val="18"/>
                <w:szCs w:val="18"/>
              </w:rPr>
            </w:pPr>
            <w:r>
              <w:rPr>
                <w:rFonts w:ascii="宋体" w:hAnsi="宋体" w:cs="宋体" w:eastAsia="宋体" w:hint="default"/>
                <w:sz w:val="18"/>
                <w:szCs w:val="18"/>
              </w:rPr>
              <w:t>项目型服务按照《企业会计准则第</w:t>
            </w:r>
            <w:r>
              <w:rPr>
                <w:rFonts w:ascii="宋体" w:hAnsi="宋体" w:cs="宋体" w:eastAsia="宋体" w:hint="default"/>
                <w:sz w:val="18"/>
                <w:szCs w:val="18"/>
              </w:rPr>
              <w:t>14</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收入》关于 提供劳务收入的规定，项目型服务如果服务周期较短，则 在当期完成合同约定的所有样本测序，发送完毕测序分析 结果确认收入；项目型服务如果服务周期较长，资产负债 表日提供劳务交易的结果能够可靠估计的，采用完工百分 比法（项目完工进度）确认收入；提供服务交易的结果在 资产负债表日不能够可靠估计的，若已经发生的项目成本 预计能够得到补偿，按已经发生的项目成本金额确认提供 服务收入，并按相同金额结转服务成本；在项目完全完成 的时候，确认该项目的毛利。于资产负债表日收入确认涉 及管理层的重要判断和估计。</w:t>
            </w:r>
          </w:p>
          <w:p>
            <w:pPr>
              <w:pStyle w:val="TableParagraph"/>
              <w:spacing w:line="240" w:lineRule="auto" w:before="19"/>
              <w:ind w:left="365" w:right="0"/>
              <w:jc w:val="left"/>
              <w:rPr>
                <w:rFonts w:ascii="宋体" w:hAnsi="宋体" w:cs="宋体" w:eastAsia="宋体" w:hint="default"/>
                <w:sz w:val="18"/>
                <w:szCs w:val="18"/>
              </w:rPr>
            </w:pPr>
            <w:r>
              <w:rPr>
                <w:rFonts w:ascii="宋体" w:hAnsi="宋体" w:cs="宋体" w:eastAsia="宋体" w:hint="default"/>
                <w:sz w:val="18"/>
                <w:szCs w:val="18"/>
              </w:rPr>
              <w:t>由于营业收入是深圳华大基因股份有限公司的关键业</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64" w:right="0"/>
              <w:jc w:val="left"/>
              <w:rPr>
                <w:rFonts w:ascii="宋体" w:hAnsi="宋体" w:cs="宋体" w:eastAsia="宋体" w:hint="default"/>
                <w:sz w:val="18"/>
                <w:szCs w:val="18"/>
              </w:rPr>
            </w:pPr>
            <w:r>
              <w:rPr>
                <w:rFonts w:ascii="宋体" w:hAnsi="宋体" w:cs="宋体" w:eastAsia="宋体" w:hint="default"/>
                <w:sz w:val="18"/>
                <w:szCs w:val="18"/>
              </w:rPr>
              <w:t>我们在审计过程中对收入执行了以下工作：</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9" w:lineRule="auto"/>
              <w:ind w:left="364" w:right="157" w:hanging="360"/>
              <w:jc w:val="both"/>
              <w:rPr>
                <w:rFonts w:ascii="宋体" w:hAnsi="宋体" w:cs="宋体" w:eastAsia="宋体" w:hint="default"/>
                <w:sz w:val="18"/>
                <w:szCs w:val="18"/>
              </w:rPr>
            </w:pPr>
            <w:r>
              <w:rPr>
                <w:rFonts w:ascii="宋体" w:hAnsi="宋体" w:cs="宋体" w:eastAsia="宋体" w:hint="default"/>
                <w:sz w:val="18"/>
                <w:szCs w:val="18"/>
              </w:rPr>
              <w:t>· 了解收入确认相关流程与内部控制，执行穿行测试确 认内部控制设计是否合理，考虑到深圳华大基因股份 有限公司收入确认依赖信息系统，对信息系统一般控 制和主要应用控制进行测试；</w:t>
            </w: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364" w:right="157" w:hanging="360"/>
              <w:jc w:val="both"/>
              <w:rPr>
                <w:rFonts w:ascii="宋体" w:hAnsi="宋体" w:cs="宋体" w:eastAsia="宋体" w:hint="default"/>
                <w:sz w:val="18"/>
                <w:szCs w:val="18"/>
              </w:rPr>
            </w:pPr>
            <w:r>
              <w:rPr>
                <w:rFonts w:ascii="宋体" w:hAnsi="宋体" w:cs="宋体" w:eastAsia="宋体" w:hint="default"/>
                <w:sz w:val="18"/>
                <w:szCs w:val="18"/>
              </w:rPr>
              <w:t>· 检查深圳华大基因股份有限公司与其重要客户签订的 销售合同，识别与商品所有权上主要风险和报酬转移 相关的条款，评价收入确认政策的适当性；</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364" w:right="157" w:hanging="360"/>
              <w:jc w:val="left"/>
              <w:rPr>
                <w:rFonts w:ascii="宋体" w:hAnsi="宋体" w:cs="宋体" w:eastAsia="宋体" w:hint="default"/>
                <w:sz w:val="18"/>
                <w:szCs w:val="18"/>
              </w:rPr>
            </w:pPr>
            <w:r>
              <w:rPr>
                <w:rFonts w:ascii="宋体" w:hAnsi="宋体" w:cs="宋体" w:eastAsia="宋体" w:hint="default"/>
                <w:sz w:val="18"/>
                <w:szCs w:val="18"/>
              </w:rPr>
              <w:t>· 对收入执行细节测试。订单型服务主要检查销售合同 及原始单据包括交付样本清单、知情同意书、送检 单、检测报告等；项目型服务主要检查结题确认函、 结题报告、回款单据等等；选择重要项目型服务进行 函证；对收入执行截止性测试，核对报告交付时间与 收入确认时间是否在同一期间；检查项目的结题确认</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6" w:type="dxa"/>
        <w:tblLayout w:type="fixed"/>
        <w:tblCellMar>
          <w:top w:w="0" w:type="dxa"/>
          <w:left w:w="0" w:type="dxa"/>
          <w:bottom w:w="0" w:type="dxa"/>
          <w:right w:w="0" w:type="dxa"/>
        </w:tblCellMar>
        <w:tblLook w:val="01E0"/>
      </w:tblPr>
      <w:tblGrid>
        <w:gridCol w:w="4532"/>
        <w:gridCol w:w="4679"/>
      </w:tblGrid>
      <w:tr>
        <w:trPr>
          <w:trHeight w:val="4268" w:hRule="exact"/>
        </w:trPr>
        <w:tc>
          <w:tcPr>
            <w:tcW w:w="453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2"/>
              <w:jc w:val="both"/>
              <w:rPr>
                <w:rFonts w:ascii="宋体" w:hAnsi="宋体" w:cs="宋体" w:eastAsia="宋体" w:hint="default"/>
                <w:sz w:val="18"/>
                <w:szCs w:val="18"/>
              </w:rPr>
            </w:pPr>
            <w:r>
              <w:rPr>
                <w:rFonts w:ascii="宋体" w:hAnsi="宋体" w:cs="宋体" w:eastAsia="宋体" w:hint="default"/>
                <w:sz w:val="18"/>
                <w:szCs w:val="18"/>
              </w:rPr>
              <w:t>绩指标之一，存在其管理层为达到特定目标或者期望而操 纵确认时点的固有风险，因此我们将营业收入识别为关键 审计事项。</w:t>
            </w:r>
          </w:p>
          <w:p>
            <w:pPr>
              <w:pStyle w:val="TableParagraph"/>
              <w:spacing w:line="307" w:lineRule="auto" w:before="19"/>
              <w:ind w:left="4" w:right="10" w:firstLine="360"/>
              <w:jc w:val="left"/>
              <w:rPr>
                <w:rFonts w:ascii="宋体" w:hAnsi="宋体" w:cs="宋体" w:eastAsia="宋体" w:hint="default"/>
                <w:sz w:val="18"/>
                <w:szCs w:val="18"/>
              </w:rPr>
            </w:pPr>
            <w:r>
              <w:rPr>
                <w:rFonts w:ascii="宋体" w:hAnsi="宋体" w:cs="宋体" w:eastAsia="宋体" w:hint="default"/>
                <w:sz w:val="18"/>
                <w:szCs w:val="18"/>
              </w:rPr>
              <w:t>该会计政策、重大会计判断和估计以及相关财务报表 披露参见第十一节财务报告附注五</w:t>
            </w:r>
            <w:r>
              <w:rPr>
                <w:rFonts w:ascii="Times New Roman" w:hAnsi="Times New Roman" w:cs="Times New Roman" w:eastAsia="Times New Roman" w:hint="default"/>
                <w:sz w:val="18"/>
                <w:szCs w:val="18"/>
              </w:rPr>
              <w:t>“</w:t>
            </w:r>
            <w:r>
              <w:rPr>
                <w:rFonts w:ascii="宋体" w:hAnsi="宋体" w:cs="宋体" w:eastAsia="宋体" w:hint="default"/>
                <w:sz w:val="18"/>
                <w:szCs w:val="18"/>
              </w:rPr>
              <w:t>重要会计政策及会计 估计</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Times New Roman" w:hAnsi="Times New Roman" w:cs="Times New Roman" w:eastAsia="Times New Roman" w:hint="default"/>
                <w:sz w:val="18"/>
                <w:szCs w:val="18"/>
              </w:rPr>
              <w:t>“22</w:t>
            </w:r>
            <w:r>
              <w:rPr>
                <w:rFonts w:ascii="宋体" w:hAnsi="宋体" w:cs="宋体" w:eastAsia="宋体" w:hint="default"/>
                <w:sz w:val="18"/>
                <w:szCs w:val="18"/>
              </w:rPr>
              <w:t>、收入</w:t>
            </w:r>
            <w:r>
              <w:rPr>
                <w:rFonts w:ascii="Times New Roman" w:hAnsi="Times New Roman" w:cs="Times New Roman" w:eastAsia="Times New Roman" w:hint="default"/>
                <w:sz w:val="18"/>
                <w:szCs w:val="18"/>
              </w:rPr>
              <w:t>”</w:t>
            </w:r>
            <w:r>
              <w:rPr>
                <w:rFonts w:ascii="宋体" w:hAnsi="宋体" w:cs="宋体" w:eastAsia="宋体" w:hint="default"/>
                <w:sz w:val="18"/>
                <w:szCs w:val="18"/>
              </w:rPr>
              <w:t>，以及附注七</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合并财务报表项目注 释</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Times New Roman" w:hAnsi="Times New Roman" w:cs="Times New Roman" w:eastAsia="Times New Roman" w:hint="default"/>
                <w:sz w:val="18"/>
                <w:szCs w:val="18"/>
              </w:rPr>
              <w:t>“33</w:t>
            </w:r>
            <w:r>
              <w:rPr>
                <w:rFonts w:ascii="宋体" w:hAnsi="宋体" w:cs="宋体" w:eastAsia="宋体" w:hint="default"/>
                <w:sz w:val="18"/>
                <w:szCs w:val="18"/>
              </w:rPr>
              <w:t>、营业收入和营业成本</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函与收入确认时间是否一致；</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364" w:right="158" w:hanging="360"/>
              <w:jc w:val="both"/>
              <w:rPr>
                <w:rFonts w:ascii="宋体" w:hAnsi="宋体" w:cs="宋体" w:eastAsia="宋体" w:hint="default"/>
                <w:sz w:val="18"/>
                <w:szCs w:val="18"/>
              </w:rPr>
            </w:pPr>
            <w:r>
              <w:rPr>
                <w:rFonts w:ascii="宋体" w:hAnsi="宋体" w:cs="宋体" w:eastAsia="宋体" w:hint="default"/>
                <w:sz w:val="18"/>
                <w:szCs w:val="18"/>
              </w:rPr>
              <w:t>· 选择重大的及异常情况的凭证，包括但不限于大额收 入的冲销，检查收入确认相关支持性文件，包括财务 凭证、合同、交付确认单、结题确认函、回款单、签 收记录等以验证收入确认的真实性、准确性。询问异 常凭证产生的原因，检查相关的内部审核程序；测试 管理层作出会计估计以及相关的依据和数据，确定其 预估的准确性；</w:t>
            </w: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364" w:right="157" w:hanging="360"/>
              <w:jc w:val="both"/>
              <w:rPr>
                <w:rFonts w:ascii="宋体" w:hAnsi="宋体" w:cs="宋体" w:eastAsia="宋体" w:hint="default"/>
                <w:sz w:val="18"/>
                <w:szCs w:val="18"/>
              </w:rPr>
            </w:pPr>
            <w:r>
              <w:rPr>
                <w:rFonts w:ascii="宋体" w:hAnsi="宋体" w:cs="宋体" w:eastAsia="宋体" w:hint="default"/>
                <w:sz w:val="18"/>
                <w:szCs w:val="18"/>
              </w:rPr>
              <w:t>· 按产品维度分析收入、单位成本、毛利率变动，寻找 变化原因，确认是否存在异常等。</w:t>
            </w: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  复核财务报表附注中相关披露的充分性和完整性。</w:t>
            </w:r>
          </w:p>
        </w:tc>
      </w:tr>
    </w:tbl>
    <w:p>
      <w:pPr>
        <w:spacing w:line="240" w:lineRule="auto" w:before="2"/>
        <w:rPr>
          <w:rFonts w:ascii="Times New Roman" w:hAnsi="Times New Roman" w:cs="Times New Roman" w:eastAsia="Times New Roman" w:hint="default"/>
          <w:sz w:val="24"/>
          <w:szCs w:val="24"/>
        </w:rPr>
      </w:pPr>
    </w:p>
    <w:p>
      <w:pPr>
        <w:pStyle w:val="Heading5"/>
        <w:spacing w:line="240" w:lineRule="auto"/>
        <w:ind w:left="152" w:right="1133"/>
        <w:jc w:val="left"/>
        <w:rPr>
          <w:b w:val="0"/>
          <w:bCs w:val="0"/>
        </w:rPr>
      </w:pPr>
      <w:r>
        <w:rPr/>
        <w:t>四、其他信息</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53"/>
        <w:ind w:right="1133" w:firstLine="427"/>
        <w:jc w:val="left"/>
      </w:pPr>
      <w:r>
        <w:rPr/>
        <w:t>深圳华大基因股份有限公司管理层对其他信息负责。其他信息包括年度报告中涵盖的信息，但不包括财务报表和我们 的审计报告。</w:t>
      </w:r>
    </w:p>
    <w:p>
      <w:pPr>
        <w:pStyle w:val="BodyText"/>
        <w:spacing w:line="316" w:lineRule="auto" w:before="19"/>
        <w:ind w:left="580" w:right="1133"/>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319" w:lineRule="auto" w:before="19"/>
        <w:ind w:left="580" w:right="1133" w:hanging="428"/>
        <w:jc w:val="left"/>
      </w:pPr>
      <w:r>
        <w:rPr/>
        <w:t>过程中了解到的情况存在重大不一致或者似乎存在重大错报。 基于我们已执行的工作，如果我们确定其他信息存在重大错报，我们应当报告该事实。在这方面，我们无任何事项需</w:t>
      </w:r>
    </w:p>
    <w:p>
      <w:pPr>
        <w:spacing w:line="636" w:lineRule="auto" w:before="17"/>
        <w:ind w:left="152" w:right="7682" w:firstLine="0"/>
        <w:jc w:val="left"/>
        <w:rPr>
          <w:rFonts w:ascii="宋体" w:hAnsi="宋体" w:cs="宋体" w:eastAsia="宋体" w:hint="default"/>
          <w:sz w:val="18"/>
          <w:szCs w:val="18"/>
        </w:rPr>
      </w:pPr>
      <w:r>
        <w:rPr>
          <w:rFonts w:ascii="宋体" w:hAnsi="宋体" w:cs="宋体" w:eastAsia="宋体" w:hint="default"/>
          <w:sz w:val="18"/>
          <w:szCs w:val="18"/>
        </w:rPr>
        <w:t>要报告。 </w:t>
      </w:r>
      <w:r>
        <w:rPr>
          <w:rFonts w:ascii="宋体" w:hAnsi="宋体" w:cs="宋体" w:eastAsia="宋体" w:hint="default"/>
          <w:b/>
          <w:bCs/>
          <w:sz w:val="18"/>
          <w:szCs w:val="18"/>
        </w:rPr>
        <w:t>五、管理层和治理层对财务报表的责任</w:t>
      </w:r>
      <w:r>
        <w:rPr>
          <w:rFonts w:ascii="宋体" w:hAnsi="宋体" w:cs="宋体" w:eastAsia="宋体" w:hint="default"/>
          <w:sz w:val="18"/>
          <w:szCs w:val="18"/>
        </w:rPr>
      </w:r>
    </w:p>
    <w:p>
      <w:pPr>
        <w:pStyle w:val="BodyText"/>
        <w:spacing w:line="316" w:lineRule="auto" w:before="91"/>
        <w:ind w:right="1133" w:firstLine="427"/>
        <w:jc w:val="left"/>
      </w:pPr>
      <w:r>
        <w:rPr/>
        <w:t>管理层负责按照企业会计准则的规定编制财务报表，使其实现公允反映，并设计、执行和维护必要的内部控制，以使 财务报表不存在由于舞弊或错误导致的重大错报。</w:t>
      </w:r>
    </w:p>
    <w:p>
      <w:pPr>
        <w:pStyle w:val="BodyText"/>
        <w:spacing w:line="316" w:lineRule="auto" w:before="19"/>
        <w:ind w:right="986" w:firstLine="427"/>
        <w:jc w:val="left"/>
      </w:pPr>
      <w:r>
        <w:rPr/>
        <w:t>在编制财务报表时，管理层负责评估深圳华大基因股份有限公司的持续经营能力，披露与持续经营相关的事项（如适 用），并运用持续经营假设，除非计划进行清算、终止运营或别无其他现实的选择。</w:t>
      </w:r>
    </w:p>
    <w:p>
      <w:pPr>
        <w:spacing w:line="636" w:lineRule="auto" w:before="19"/>
        <w:ind w:left="152" w:right="5467" w:firstLine="427"/>
        <w:jc w:val="left"/>
        <w:rPr>
          <w:rFonts w:ascii="宋体" w:hAnsi="宋体" w:cs="宋体" w:eastAsia="宋体" w:hint="default"/>
          <w:sz w:val="18"/>
          <w:szCs w:val="18"/>
        </w:rPr>
      </w:pPr>
      <w:r>
        <w:rPr>
          <w:rFonts w:ascii="宋体" w:hAnsi="宋体" w:cs="宋体" w:eastAsia="宋体" w:hint="default"/>
          <w:sz w:val="18"/>
          <w:szCs w:val="18"/>
        </w:rPr>
        <w:t>治理层负责监督深圳华大基因股份有限公司的财务报告过程。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91"/>
        <w:ind w:right="1130" w:firstLine="425"/>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9"/>
        <w:ind w:left="513" w:right="1133"/>
        <w:jc w:val="left"/>
      </w:pPr>
      <w:r>
        <w:rPr/>
        <w:t>在按照审计准则执行审计工作的过程中，我们运用职业判断，并保持职业怀疑。同时，我们也执行以下工作：</w:t>
      </w:r>
    </w:p>
    <w:p>
      <w:pPr>
        <w:pStyle w:val="BodyText"/>
        <w:spacing w:line="309" w:lineRule="auto" w:before="76"/>
        <w:ind w:right="1214" w:firstLine="360"/>
        <w:jc w:val="left"/>
      </w:pPr>
      <w:r>
        <w:rPr/>
        <w:t>（</w:t>
      </w:r>
      <w:r>
        <w:rPr>
          <w:rFonts w:ascii="Times New Roman" w:hAnsi="Times New Roman" w:cs="Times New Roman" w:eastAsia="Times New Roman" w:hint="default"/>
        </w:rPr>
        <w:t>1</w:t>
      </w:r>
      <w:r>
        <w:rPr/>
        <w:t>）</w:t>
      </w:r>
      <w:r>
        <w:rPr>
          <w:spacing w:val="-62"/>
        </w:rPr>
        <w:t> </w:t>
      </w:r>
      <w:r>
        <w:rPr/>
        <w:t>识别和评估由于舞弊或错误导致的财务报表重大错报风险，设计和实施审计程序以应对这些风险，并获取充</w:t>
      </w:r>
      <w:r>
        <w:rPr/>
        <w:t> 分、适当的审计证据，作为发表审计意见的基础。由于舞弊可能涉及串通、伪造、故意遗漏、虚假陈述或凌驾于内部控制 之上，未能发现由于舞弊导致的重大错报的风险高于未能发现由于错误导致的重大错报的风险。</w:t>
      </w:r>
    </w:p>
    <w:p>
      <w:pPr>
        <w:pStyle w:val="BodyText"/>
        <w:spacing w:line="240" w:lineRule="auto" w:before="24"/>
        <w:ind w:left="513" w:right="1133"/>
        <w:jc w:val="left"/>
      </w:pPr>
      <w:r>
        <w:rPr/>
        <w:t>（</w:t>
      </w:r>
      <w:r>
        <w:rPr>
          <w:rFonts w:ascii="Times New Roman" w:hAnsi="Times New Roman" w:cs="Times New Roman" w:eastAsia="Times New Roman" w:hint="default"/>
        </w:rPr>
        <w:t>2</w:t>
      </w:r>
      <w:r>
        <w:rPr/>
        <w:t>）</w:t>
      </w:r>
      <w:r>
        <w:rPr>
          <w:spacing w:val="-61"/>
        </w:rPr>
        <w:t> </w:t>
      </w:r>
      <w:r>
        <w:rPr/>
        <w:t>了解与审计相关的内部控制，以设计恰当的审计程序，但目的并非对内部控制的有效性发表意见。</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w:t>
      </w:r>
      <w:r>
        <w:rPr>
          <w:spacing w:val="-61"/>
        </w:rPr>
        <w:t> </w:t>
      </w:r>
      <w:r>
        <w:rPr/>
        <w:t>评价管理层选用会计政策的恰当性和作出会计估计及相关披露的合理性。</w:t>
      </w:r>
    </w:p>
    <w:p>
      <w:pPr>
        <w:spacing w:after="0" w:line="240" w:lineRule="auto"/>
        <w:jc w:val="left"/>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14" w:lineRule="auto" w:before="44"/>
        <w:ind w:left="272" w:right="1214" w:firstLine="360"/>
        <w:jc w:val="left"/>
      </w:pPr>
      <w:r>
        <w:rPr/>
        <w:t>（</w:t>
      </w:r>
      <w:r>
        <w:rPr>
          <w:rFonts w:ascii="Times New Roman" w:hAnsi="Times New Roman" w:cs="Times New Roman" w:eastAsia="Times New Roman" w:hint="default"/>
        </w:rPr>
        <w:t>4</w:t>
      </w:r>
      <w:r>
        <w:rPr/>
        <w:t>）</w:t>
      </w:r>
      <w:r>
        <w:rPr>
          <w:spacing w:val="-62"/>
        </w:rPr>
        <w:t> </w:t>
      </w:r>
      <w:r>
        <w:rPr/>
        <w:t>对管理层使用持续经营假设的恰当性得出结论。同时，根据获取的审计证据，就可能导致对深圳华大基因股份</w:t>
      </w:r>
      <w:r>
        <w:rPr/>
        <w:t> 有限公司持续经营能力产生重大疑虑的事项或情况是否存在重大不确定性得出结论。如果我们得出结论认为存在重大不确 定性，审计准则要求我们在审计报告中提请报表使用者注意财务报表中的相关披露；如果披露不充分，我们应当发表非无 保留意见。我们的结论基于截至审计报告日可获得的信息。然而，未来的事项或情况可能导致深圳华大基因股份有限公司 不能持续经营。</w:t>
      </w:r>
    </w:p>
    <w:p>
      <w:pPr>
        <w:pStyle w:val="BodyText"/>
        <w:spacing w:line="240" w:lineRule="auto" w:before="20"/>
        <w:ind w:left="633" w:right="1214"/>
        <w:jc w:val="left"/>
      </w:pPr>
      <w:r>
        <w:rPr/>
        <w:t>（</w:t>
      </w:r>
      <w:r>
        <w:rPr>
          <w:rFonts w:ascii="Times New Roman" w:hAnsi="Times New Roman" w:cs="Times New Roman" w:eastAsia="Times New Roman" w:hint="default"/>
        </w:rPr>
        <w:t>5</w:t>
      </w:r>
      <w:r>
        <w:rPr/>
        <w:t>）</w:t>
      </w:r>
      <w:r>
        <w:rPr>
          <w:spacing w:val="-61"/>
        </w:rPr>
        <w:t> </w:t>
      </w:r>
      <w:r>
        <w:rPr/>
        <w:t>评价财务报表的总体列报、结构和内容（包括披露），并评价财务报表是否公允反映相关交易和事项。</w:t>
      </w:r>
    </w:p>
    <w:p>
      <w:pPr>
        <w:pStyle w:val="BodyText"/>
        <w:spacing w:line="300" w:lineRule="auto" w:before="63"/>
        <w:ind w:left="272" w:right="1276" w:firstLine="360"/>
        <w:jc w:val="left"/>
      </w:pPr>
      <w:r>
        <w:rPr/>
        <w:t>（</w:t>
      </w:r>
      <w:r>
        <w:rPr>
          <w:rFonts w:ascii="Times New Roman" w:hAnsi="Times New Roman" w:cs="Times New Roman" w:eastAsia="Times New Roman" w:hint="default"/>
        </w:rPr>
        <w:t>6</w:t>
      </w:r>
      <w:r>
        <w:rPr/>
        <w:t>）</w:t>
      </w:r>
      <w:r>
        <w:rPr>
          <w:spacing w:val="-62"/>
        </w:rPr>
        <w:t> </w:t>
      </w:r>
      <w:r>
        <w:rPr/>
        <w:t>就深圳华大基因股份有限公司中实体或业务活动的财务信息获取充分、适当的审计证据，以对财务报表发表审</w:t>
      </w:r>
      <w:r>
        <w:rPr/>
        <w:t> 计意见。我们负责指导、监督和执行集团审计，并对审计意见承担全部责任。</w:t>
      </w:r>
    </w:p>
    <w:p>
      <w:pPr>
        <w:pStyle w:val="BodyText"/>
        <w:spacing w:line="316" w:lineRule="auto" w:before="31"/>
        <w:ind w:left="272" w:right="0"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319" w:lineRule="auto" w:before="19"/>
        <w:ind w:left="272" w:right="0" w:firstLine="360"/>
        <w:jc w:val="left"/>
      </w:pPr>
      <w:r>
        <w:rPr/>
        <w:t>我们还就已遵守与独立性相关的职业道德要求向治理层提供声明，并与治理层沟通可能被合理认为影响我们独立性的</w:t>
      </w:r>
      <w:r>
        <w:rPr>
          <w:spacing w:val="2"/>
        </w:rPr>
        <w:t> </w:t>
      </w:r>
      <w:r>
        <w:rPr/>
        <w:t>所有关系和其他事项，以及相关的防范措施（如适用）。</w:t>
      </w:r>
    </w:p>
    <w:p>
      <w:pPr>
        <w:pStyle w:val="BodyText"/>
        <w:spacing w:line="316" w:lineRule="auto" w:before="17"/>
        <w:ind w:left="272" w:right="1129"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2"/>
        </w:rPr>
        <w:t> </w:t>
      </w:r>
      <w:r>
        <w:rPr>
          <w:spacing w:val="-62"/>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4159"/>
        <w:gridCol w:w="2972"/>
      </w:tblGrid>
      <w:tr>
        <w:trPr>
          <w:trHeight w:val="1660" w:hRule="exact"/>
        </w:trPr>
        <w:tc>
          <w:tcPr>
            <w:tcW w:w="4159"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c>
          <w:tcPr>
            <w:tcW w:w="2972" w:type="dxa"/>
            <w:tcBorders>
              <w:top w:val="nil" w:sz="6" w:space="0" w:color="auto"/>
              <w:left w:val="nil" w:sz="6" w:space="0" w:color="auto"/>
              <w:bottom w:val="nil" w:sz="6" w:space="0" w:color="auto"/>
              <w:right w:val="nil" w:sz="6" w:space="0" w:color="auto"/>
            </w:tcBorders>
          </w:tcPr>
          <w:p>
            <w:pPr>
              <w:pStyle w:val="TableParagraph"/>
              <w:spacing w:line="180" w:lineRule="exact"/>
              <w:ind w:left="719" w:right="0"/>
              <w:jc w:val="left"/>
              <w:rPr>
                <w:rFonts w:ascii="宋体" w:hAnsi="宋体" w:cs="宋体" w:eastAsia="宋体" w:hint="default"/>
                <w:sz w:val="18"/>
                <w:szCs w:val="18"/>
              </w:rPr>
            </w:pPr>
            <w:r>
              <w:rPr>
                <w:rFonts w:ascii="宋体" w:hAnsi="宋体" w:cs="宋体" w:eastAsia="宋体" w:hint="default"/>
                <w:sz w:val="18"/>
                <w:szCs w:val="18"/>
              </w:rPr>
              <w:t>中国注册会计师：</w:t>
            </w:r>
            <w:r>
              <w:rPr>
                <w:rFonts w:ascii="宋体" w:hAnsi="宋体" w:cs="宋体" w:eastAsia="宋体" w:hint="default"/>
                <w:spacing w:val="-18"/>
                <w:sz w:val="18"/>
                <w:szCs w:val="18"/>
              </w:rPr>
              <w:t> </w:t>
            </w:r>
            <w:r>
              <w:rPr>
                <w:rFonts w:ascii="宋体" w:hAnsi="宋体" w:cs="宋体" w:eastAsia="宋体" w:hint="default"/>
                <w:sz w:val="18"/>
                <w:szCs w:val="18"/>
              </w:rPr>
              <w:t>李剑光</w:t>
            </w:r>
          </w:p>
          <w:p>
            <w:pPr>
              <w:pStyle w:val="TableParagraph"/>
              <w:spacing w:line="240" w:lineRule="auto" w:before="76"/>
              <w:ind w:left="719" w:right="0"/>
              <w:jc w:val="left"/>
              <w:rPr>
                <w:rFonts w:ascii="宋体" w:hAnsi="宋体" w:cs="宋体" w:eastAsia="宋体" w:hint="default"/>
                <w:sz w:val="18"/>
                <w:szCs w:val="18"/>
              </w:rPr>
            </w:pPr>
            <w:r>
              <w:rPr>
                <w:rFonts w:ascii="宋体" w:hAnsi="宋体" w:cs="宋体" w:eastAsia="宋体" w:hint="default"/>
                <w:sz w:val="18"/>
                <w:szCs w:val="18"/>
              </w:rPr>
              <w:t>（项目合伙人）</w:t>
            </w:r>
          </w:p>
        </w:tc>
      </w:tr>
      <w:tr>
        <w:trPr>
          <w:trHeight w:val="2049" w:hRule="exact"/>
        </w:trPr>
        <w:tc>
          <w:tcPr>
            <w:tcW w:w="4159" w:type="dxa"/>
            <w:tcBorders>
              <w:top w:val="nil" w:sz="6" w:space="0" w:color="auto"/>
              <w:left w:val="nil" w:sz="6" w:space="0" w:color="auto"/>
              <w:bottom w:val="nil" w:sz="6" w:space="0" w:color="auto"/>
              <w:right w:val="nil" w:sz="6" w:space="0" w:color="auto"/>
            </w:tcBorders>
          </w:tcPr>
          <w:p>
            <w:pP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9" w:right="0"/>
              <w:jc w:val="left"/>
              <w:rPr>
                <w:rFonts w:ascii="宋体" w:hAnsi="宋体" w:cs="宋体" w:eastAsia="宋体" w:hint="default"/>
                <w:sz w:val="18"/>
                <w:szCs w:val="18"/>
              </w:rPr>
            </w:pPr>
            <w:r>
              <w:rPr>
                <w:rFonts w:ascii="宋体" w:hAnsi="宋体" w:cs="宋体" w:eastAsia="宋体" w:hint="default"/>
                <w:sz w:val="18"/>
                <w:szCs w:val="18"/>
              </w:rPr>
              <w:t>中国注册会计师：</w:t>
            </w:r>
            <w:r>
              <w:rPr>
                <w:rFonts w:ascii="宋体" w:hAnsi="宋体" w:cs="宋体" w:eastAsia="宋体" w:hint="default"/>
                <w:spacing w:val="-18"/>
                <w:sz w:val="18"/>
                <w:szCs w:val="18"/>
              </w:rPr>
              <w:t> </w:t>
            </w:r>
            <w:r>
              <w:rPr>
                <w:rFonts w:ascii="宋体" w:hAnsi="宋体" w:cs="宋体" w:eastAsia="宋体" w:hint="default"/>
                <w:sz w:val="18"/>
                <w:szCs w:val="18"/>
              </w:rPr>
              <w:t>邓冬梅</w:t>
            </w:r>
          </w:p>
        </w:tc>
      </w:tr>
      <w:tr>
        <w:trPr>
          <w:trHeight w:val="891" w:hRule="exact"/>
        </w:trPr>
        <w:tc>
          <w:tcPr>
            <w:tcW w:w="41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54"/>
                <w:sz w:val="18"/>
                <w:szCs w:val="18"/>
              </w:rPr>
              <w:t> </w:t>
            </w:r>
            <w:r>
              <w:rPr>
                <w:rFonts w:ascii="宋体" w:hAnsi="宋体" w:cs="宋体" w:eastAsia="宋体" w:hint="default"/>
                <w:sz w:val="18"/>
                <w:szCs w:val="18"/>
              </w:rPr>
              <w:t>北京</w:t>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80" w:footer="974" w:top="1100" w:bottom="1160" w:left="8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2"/>
        <w:spacing w:line="240" w:lineRule="auto" w:before="26"/>
        <w:ind w:right="113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80" w:footer="974" w:top="1100" w:bottom="1160" w:left="980" w:right="0"/>
        </w:sectPr>
      </w:pPr>
    </w:p>
    <w:p>
      <w:pPr>
        <w:pStyle w:val="BodyText"/>
        <w:spacing w:line="240" w:lineRule="auto" w:before="44"/>
        <w:ind w:right="-20"/>
        <w:jc w:val="left"/>
      </w:pPr>
      <w:r>
        <w:rPr/>
        <w:t>编制单位：深圳华大基因股份有限公司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3" w:space="863"/>
            <w:col w:w="1642" w:space="3202"/>
            <w:col w:w="2010"/>
          </w:cols>
        </w:sectPr>
      </w:pP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5"/>
        <w:gridCol w:w="3406"/>
        <w:gridCol w:w="2967"/>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1,070,060,809.23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946,644,902.62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6"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1,264,653,657.63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828,106,325.75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14,267,650.00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16,542,777.00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1,250,386,007.63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811,563,548.75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79,074,552.41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47,410,365.24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32,004,604.56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14,869,394.16</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61,369.86</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241,906,313.90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138,582,155.50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594,180,740.54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1,856,459,579.61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3,281,880,678.27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3,832,072,722.88</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3195"/>
        <w:gridCol w:w="3406"/>
        <w:gridCol w:w="2967"/>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250,978,298.59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206,391,334.95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1,946,750.96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2,240,346.27</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27,637,625.24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11,357,993.68</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1,065,603,948.96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724,701,471.93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86,917,656.56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14,737,276.69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156,516,368.98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160,142,795.29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3,907,554.18</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47,109,401.10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69,324,822.79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73,969,599.09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71,244,979.60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48,830,085.13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188,332,216.22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37,369,521.61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1,969,519,623.18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1,279,740,424.64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5,251,400,301.45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5,111,813,147.52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79"/>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139,034,161.03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119,658,078.74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406,816,819.30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392,504,232.24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89,421,386.38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98,461,395.41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66,833,201.24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43,375,210.23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204,054,293.13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115,696,142.84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5,926,216.16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4,676,216.16</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3195"/>
        <w:gridCol w:w="3406"/>
        <w:gridCol w:w="2967"/>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31,062,990.14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30,714,034.24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预计负债</w:t>
            </w:r>
            <w:r>
              <w:rPr>
                <w:rFonts w:ascii="Times New Roman" w:hAnsi="Times New Roman" w:cs="Times New Roman" w:eastAsia="Times New Roman" w:hint="default"/>
                <w:sz w:val="18"/>
                <w:szCs w:val="18"/>
              </w:rPr>
              <w:t>-</w:t>
            </w:r>
            <w:r>
              <w:rPr>
                <w:rFonts w:ascii="宋体" w:hAnsi="宋体" w:cs="宋体" w:eastAsia="宋体" w:hint="default"/>
                <w:sz w:val="18"/>
                <w:szCs w:val="18"/>
              </w:rPr>
              <w:t>流动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7,089,982.65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4,672,755.85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944,312,833.87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813,081,849.55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33,024,311.55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31,124,248.17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6,702,786.97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9,672,201.83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54,727,098.52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40,796,450.00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999,039,932.39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853,878,299.55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400,100,000.00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400,100,000.00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2,803,348,923.10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2,968,256,077.32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23,018,472.89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28,371,863.34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76,604,752.25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48,385,556.50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861,887,446.79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703,511,125.46</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3195"/>
        <w:gridCol w:w="3406"/>
        <w:gridCol w:w="2967"/>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4,164,959,595.03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4,148,624,622.62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87,400,774.03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109,310,225.35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4,252,360,369.06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4,257,934,847.97</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5,251,400,301.45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5,111,813,147.52</w:t>
            </w:r>
          </w:p>
        </w:tc>
      </w:tr>
    </w:tbl>
    <w:p>
      <w:pPr>
        <w:spacing w:line="240" w:lineRule="auto" w:before="2"/>
        <w:rPr>
          <w:rFonts w:ascii="Times New Roman" w:hAnsi="Times New Roman" w:cs="Times New Roman" w:eastAsia="Times New Roman" w:hint="default"/>
          <w:sz w:val="23"/>
          <w:szCs w:val="23"/>
        </w:rPr>
      </w:pPr>
    </w:p>
    <w:p>
      <w:pPr>
        <w:pStyle w:val="BodyText"/>
        <w:tabs>
          <w:tab w:pos="3334" w:val="left" w:leader="none"/>
          <w:tab w:pos="7566" w:val="left" w:leader="none"/>
        </w:tabs>
        <w:spacing w:line="240" w:lineRule="auto" w:before="44"/>
        <w:ind w:left="0" w:right="1225"/>
        <w:jc w:val="right"/>
      </w:pPr>
      <w:r>
        <w:rPr/>
        <w:t>法定代表人：尹烨</w:t>
        <w:tab/>
      </w:r>
      <w:r>
        <w:rPr>
          <w:spacing w:val="-1"/>
        </w:rPr>
        <w:t>主管会计工作负责人：陈轶青</w:t>
        <w:tab/>
      </w:r>
      <w:r>
        <w:rPr/>
        <w:t>会计机构负责人：付恬娇</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01"/>
        <w:gridCol w:w="3303"/>
        <w:gridCol w:w="2965"/>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215,628,733.50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232,147,190.58</w:t>
            </w: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4,438,584.86</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4,438,584.86</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2,937,801.21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1,873,298.42</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1,540,782,231.40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979,613,752.33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911,824.65</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88,750,000.00</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677,746.03</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468,288,691.55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1,513,405,039.41</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2,232,753,788.55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2,727,039,280.74</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196,764,269.00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123,464,269.00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3,012,822,661.88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2,987,785,012.32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6,180,097.96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3,286,159.04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2,040,000.00</w:t>
            </w: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3301"/>
        <w:gridCol w:w="3303"/>
        <w:gridCol w:w="296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130,968,066.60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149,104,482.42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876,641.68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1,037,134.79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9,498.20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132,399.93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40,377,008.80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346,851.28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3,390,038,244.12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3,265,156,308.78</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5,622,792,032.67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5,992,195,589.52</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17,568,619.70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4,100,395.75</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10,127,800.27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5,565,397.75</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24,807,835.48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26,472,483.66</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3,526,747.24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2,124,967.60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288,162,809.24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758,150,186.99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1,556,771.63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882,666.18</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345,750,583.56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797,296,097.93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3301"/>
        <w:gridCol w:w="3303"/>
        <w:gridCol w:w="296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345,750,583.56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797,296,097.93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400,100,000.00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400,100,000.00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4,625,889,053.05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4,625,889,053.05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76,604,752.25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48,385,556.50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174,447,643.81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120,524,882.04</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5,277,041,449.11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5,194,899,491.59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5,622,792,032.67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5,992,195,589.52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2,536,406,105.62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2,095,544,271.44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2,536,406,105.62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2,095,544,271.44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2,146,773,943.80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1,686,685,689.95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1,132,558,475.56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902,204,022.20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7,614,129.02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6,953,055.13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514,275,566.01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401,861,236.69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166,262,534.54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153,493,215.43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260,920,378.40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174,314,115.65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-22,774,334.05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3,018,972.04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270,553.21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307,169.47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4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6,341,464.61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2,323,731.20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87,917,194.32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44,841,072.81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38,068,878.65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28,755,462.69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50,468,816.19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66,342,432.57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-2,560,936.71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-2,311,774.45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246,439.86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178,626.58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478,416,296.52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504,135,103.33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1,714,757.31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5,111,752.52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5,215,321.02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13,113,472.41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474,915,732.81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496,133,383.44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67,071,503.57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72,447,287.27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407,844,229.24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423,686,096.17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407,844,229.24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423,686,096.17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386,645,517.08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398,091,510.29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21,198,712.16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25,594,585.88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-7,113,295.59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12,586,566.14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04"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-5,353,390.45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11,401,024.57</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-5,353,390.45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11,401,024.57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15,393.33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-23,874.36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-21,796,022.83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30,799,621.89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16,427,239.05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-19,374,722.96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-1,759,905.14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1,185,541.57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400,730,933.65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436,272,662.31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381,292,126.63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409,492,534.86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19,438,807.02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26,780,127.45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1.05</w:t>
            </w:r>
          </w:p>
        </w:tc>
      </w:tr>
    </w:tbl>
    <w:p>
      <w:pPr>
        <w:pStyle w:val="BodyText"/>
        <w:tabs>
          <w:tab w:pos="3487" w:val="left" w:leader="none"/>
          <w:tab w:pos="7718" w:val="left" w:leader="none"/>
        </w:tabs>
        <w:spacing w:line="595" w:lineRule="auto" w:before="51"/>
        <w:ind w:right="1225"/>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法定代表人：尹烨</w:t>
        <w:tab/>
      </w:r>
      <w:r>
        <w:rPr>
          <w:spacing w:val="-1"/>
        </w:rPr>
        <w:t>主管会计工作负责人：陈轶青</w:t>
        <w:tab/>
      </w:r>
      <w:r>
        <w:rPr/>
        <w:t>会计机构负责人：付恬娇</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2"/>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287,331,663.17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181,937,977.37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6,590,959.23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1,259,524.57</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96,188.42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1,214,954.04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95,115,371.97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56,728,809.85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80,535,613.56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73,903,093.99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74,091,764.11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58,150,078.16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-3,299,732.78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-1,282,768.05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4,346,329.45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1,418,175.96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28,277.73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4,918,511.88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250,252.70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249,898,144.69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167,904,599.06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-513,585.44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-1,074,033.71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289,027,877.50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160,119,936.57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311,436.64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2,650,406.74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354,904.90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104,863.54</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288,984,409.24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162,665,479.77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6,792,451.72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7,991,633.60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282,191,957.52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154,673,846.17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282,191,957.52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154,673,846.17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282,191,957.52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154,673,846.17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0.41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2,177,413,843.00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1,907,808,430.00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61,402,545.43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37,287,756.58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2,238,816,388.43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1,945,096,186.58</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1,050,794,143.90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761,643,607.16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613,653,076.83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504,575,259.89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153,034,422.79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141,722,902.22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406,647,418.24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293,493,989.33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2,224,129,061.76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1,701,435,758.60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14,687,326.67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243,660,427.98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9,969,899.20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71,134,197.51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57,242,937.15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1,466,518.45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2,455,031.86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5,237,750,480.00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5,694,103,303.74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5,320,321,095.16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5,753,801,272.75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678,125,949.39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291,329,745.86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161,361,354.76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84,327,711.92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31,835,682.09</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3,947,000,000.00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5,788,000,000.00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4,818,322,986.24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6,163,657,457.78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501,998,108.92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-409,856,185.03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494,195,200.00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502,195,200.00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202,070,553.21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112,526,269.75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3,996,007.92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278,091,395.65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14,120,020.00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488,161,948.86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129,646,289.75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-488,161,948.86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372,548,910.25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15,698,951.57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-8,351,375.06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44,222,438.30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198,001,778.14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946,450,202.62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748,448,424.48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990,672,640.92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946,450,202.62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122,060,898.69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58,032,594.90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178,321,331.18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191,500,358.97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300,382,229.87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249,532,953.87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19,225,742.48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4,485,193.45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144,697,630.58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95,454,801.17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21,213,609.96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13,157,848.58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991,451,088.57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315,609,103.85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1,176,588,071.59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428,706,947.05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-876,205,841.72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-179,173,993.18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186,086,773.97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159,341,399.89</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41,561.94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129,831.01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5,379,000,000.00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3,631,128,335.91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5,538,471,230.90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5,227,419.63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7,219,070.26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166,176,235.00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525,836,339.62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2,400,000,000.00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5,275,000,000.00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2,571,403,654.63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5,808,055,409.88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1,059,724,681.28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-269,584,178.98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494,195,200.00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494,195,200.00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78,091,395.65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14,120,020.00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278,141,395.65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122,120,020.00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-278,141,395.65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372,075,180.00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-94,622,556.09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-76,682,992.16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232,147,190.58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308,830,182.74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137,524,634.49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232,147,190.58</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0"/>
        </w:sectPr>
      </w:pPr>
    </w:p>
    <w:p>
      <w:pPr>
        <w:spacing w:line="240" w:lineRule="auto" w:before="11"/>
        <w:rPr>
          <w:rFonts w:ascii="Times New Roman" w:hAnsi="Times New Roman" w:cs="Times New Roman" w:eastAsia="Times New Roman" w:hint="default"/>
          <w:sz w:val="2"/>
          <w:szCs w:val="2"/>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40" w:right="0"/>
        <w:jc w:val="left"/>
      </w:pPr>
      <w:r>
        <w:rPr/>
        <w:t>本期金额</w:t>
      </w:r>
    </w:p>
    <w:p>
      <w:pPr>
        <w:pStyle w:val="BodyText"/>
        <w:spacing w:line="240" w:lineRule="auto" w:before="117"/>
        <w:ind w:left="0" w:right="137"/>
        <w:jc w:val="right"/>
      </w:pPr>
      <w:r>
        <w:rPr/>
        <w:t>单位：元</w:t>
      </w:r>
    </w:p>
    <w:p>
      <w:pPr>
        <w:spacing w:line="240" w:lineRule="auto" w:before="1"/>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2297"/>
        <w:gridCol w:w="1181"/>
        <w:gridCol w:w="437"/>
        <w:gridCol w:w="437"/>
        <w:gridCol w:w="338"/>
        <w:gridCol w:w="1315"/>
        <w:gridCol w:w="718"/>
        <w:gridCol w:w="1116"/>
        <w:gridCol w:w="538"/>
        <w:gridCol w:w="1092"/>
        <w:gridCol w:w="565"/>
        <w:gridCol w:w="1390"/>
        <w:gridCol w:w="1181"/>
        <w:gridCol w:w="1318"/>
      </w:tblGrid>
      <w:tr>
        <w:trPr>
          <w:trHeight w:val="402" w:hRule="exact"/>
        </w:trPr>
        <w:tc>
          <w:tcPr>
            <w:tcW w:w="22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297" w:type="dxa"/>
            <w:vMerge/>
            <w:tcBorders>
              <w:left w:val="single" w:sz="4" w:space="0" w:color="000000"/>
              <w:right w:val="single" w:sz="4" w:space="0" w:color="000000"/>
            </w:tcBorders>
            <w:shd w:val="clear" w:color="auto" w:fill="D2D2D2"/>
          </w:tcPr>
          <w:p>
            <w:pPr/>
          </w:p>
        </w:tc>
        <w:tc>
          <w:tcPr>
            <w:tcW w:w="912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297"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股本</w:t>
            </w:r>
          </w:p>
        </w:tc>
        <w:tc>
          <w:tcPr>
            <w:tcW w:w="121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172" w:right="84"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1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463" w:right="10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83" w:right="8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95" w:right="98"/>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713" w:hRule="exact"/>
        </w:trPr>
        <w:tc>
          <w:tcPr>
            <w:tcW w:w="2297"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4" w:right="31"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4" w:right="31"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4" w:right="72"/>
              <w:jc w:val="left"/>
              <w:rPr>
                <w:rFonts w:ascii="宋体" w:hAnsi="宋体" w:cs="宋体" w:eastAsia="宋体" w:hint="default"/>
                <w:sz w:val="18"/>
                <w:szCs w:val="18"/>
              </w:rPr>
            </w:pPr>
            <w:r>
              <w:rPr>
                <w:rFonts w:ascii="宋体" w:hAnsi="宋体" w:cs="宋体" w:eastAsia="宋体" w:hint="default"/>
                <w:sz w:val="18"/>
                <w:szCs w:val="18"/>
              </w:rPr>
              <w:t>其 他</w:t>
            </w:r>
          </w:p>
        </w:tc>
        <w:tc>
          <w:tcPr>
            <w:tcW w:w="1315" w:type="dxa"/>
            <w:vMerge/>
            <w:tcBorders>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1116" w:type="dxa"/>
            <w:vMerge/>
            <w:tcBorders>
              <w:left w:val="single" w:sz="4" w:space="0" w:color="000000"/>
              <w:bottom w:val="single" w:sz="4" w:space="0" w:color="000000"/>
              <w:right w:val="single" w:sz="4" w:space="0" w:color="000000"/>
            </w:tcBorders>
            <w:shd w:val="clear" w:color="auto" w:fill="D2D2D2"/>
          </w:tcPr>
          <w:p>
            <w:pPr/>
          </w:p>
        </w:tc>
        <w:tc>
          <w:tcPr>
            <w:tcW w:w="538"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565" w:type="dxa"/>
            <w:vMerge/>
            <w:tcBorders>
              <w:left w:val="single" w:sz="4" w:space="0" w:color="000000"/>
              <w:bottom w:val="single" w:sz="4" w:space="0" w:color="000000"/>
              <w:right w:val="single" w:sz="4" w:space="0" w:color="000000"/>
            </w:tcBorders>
            <w:shd w:val="clear" w:color="auto" w:fill="D2D2D2"/>
          </w:tcPr>
          <w:p>
            <w:pPr/>
          </w:p>
        </w:tc>
        <w:tc>
          <w:tcPr>
            <w:tcW w:w="139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400,100,000.00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2,968,256,077.32</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28,371,863.34</w:t>
            </w: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48,385,556.50</w:t>
            </w: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703,511,125.46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109,310,225.35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4,257,934,847.97</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400,100,000.00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2,968,256,077.32</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28,371,863.34</w:t>
            </w: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48,385,556.50</w:t>
            </w: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703,511,125.46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109,310,225.35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4,257,934,847.97</w:t>
            </w:r>
          </w:p>
        </w:tc>
      </w:tr>
      <w:tr>
        <w:trPr>
          <w:trHeight w:val="715"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1" w:right="105"/>
              <w:jc w:val="left"/>
              <w:rPr>
                <w:rFonts w:ascii="宋体" w:hAnsi="宋体" w:cs="宋体" w:eastAsia="宋体" w:hint="default"/>
                <w:sz w:val="18"/>
                <w:szCs w:val="18"/>
              </w:rPr>
            </w:pPr>
            <w:r>
              <w:rPr>
                <w:rFonts w:ascii="宋体" w:hAnsi="宋体" w:cs="宋体" w:eastAsia="宋体" w:hint="default"/>
                <w:sz w:val="18"/>
                <w:szCs w:val="18"/>
              </w:rPr>
              <w:t>三、本期增减变动金额（减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-164,907,154.22</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-5,353,390.45</w:t>
            </w: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28,219,195.75</w:t>
            </w: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158,376,321.33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-21,909,451.32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-5,574,478.91</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-5,353,390.45</w:t>
            </w: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386,645,517.08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19,438,807.02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400,730,933.65</w:t>
            </w:r>
          </w:p>
        </w:tc>
      </w:tr>
      <w:tr>
        <w:trPr>
          <w:trHeight w:val="716"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1" w:right="105"/>
              <w:jc w:val="left"/>
              <w:rPr>
                <w:rFonts w:ascii="宋体" w:hAnsi="宋体" w:cs="宋体" w:eastAsia="宋体" w:hint="default"/>
                <w:sz w:val="18"/>
                <w:szCs w:val="18"/>
              </w:rPr>
            </w:pPr>
            <w:r>
              <w:rPr>
                <w:rFonts w:ascii="宋体" w:hAnsi="宋体" w:cs="宋体" w:eastAsia="宋体" w:hint="default"/>
                <w:sz w:val="18"/>
                <w:szCs w:val="18"/>
              </w:rPr>
              <w:t>（二）所有者投入和减少资 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1"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 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7"/>
          <w:footerReference w:type="default" r:id="rId38"/>
          <w:pgSz w:w="16840" w:h="11910" w:orient="landscape"/>
          <w:pgMar w:header="870" w:footer="975" w:top="1060" w:bottom="1160" w:left="1300" w:right="1300"/>
          <w:pgNumType w:start="164"/>
        </w:sectPr>
      </w:pPr>
    </w:p>
    <w:p>
      <w:pPr>
        <w:spacing w:line="240" w:lineRule="auto" w:before="8"/>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297"/>
        <w:gridCol w:w="1181"/>
        <w:gridCol w:w="437"/>
        <w:gridCol w:w="437"/>
        <w:gridCol w:w="338"/>
        <w:gridCol w:w="1315"/>
        <w:gridCol w:w="718"/>
        <w:gridCol w:w="1116"/>
        <w:gridCol w:w="538"/>
        <w:gridCol w:w="1092"/>
        <w:gridCol w:w="565"/>
        <w:gridCol w:w="1390"/>
        <w:gridCol w:w="1181"/>
        <w:gridCol w:w="1318"/>
      </w:tblGrid>
      <w:tr>
        <w:trPr>
          <w:trHeight w:val="377" w:hRule="exact"/>
        </w:trPr>
        <w:tc>
          <w:tcPr>
            <w:tcW w:w="229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181" w:type="dxa"/>
            <w:tcBorders>
              <w:top w:val="single" w:sz="15" w:space="0" w:color="000000"/>
              <w:left w:val="single" w:sz="4" w:space="0" w:color="000000"/>
              <w:bottom w:val="single" w:sz="4" w:space="0" w:color="000000"/>
              <w:right w:val="single" w:sz="4" w:space="0" w:color="000000"/>
            </w:tcBorders>
          </w:tcPr>
          <w:p>
            <w:pPr/>
          </w:p>
        </w:tc>
        <w:tc>
          <w:tcPr>
            <w:tcW w:w="437" w:type="dxa"/>
            <w:tcBorders>
              <w:top w:val="single" w:sz="15" w:space="0" w:color="000000"/>
              <w:left w:val="single" w:sz="4" w:space="0" w:color="000000"/>
              <w:bottom w:val="single" w:sz="4" w:space="0" w:color="000000"/>
              <w:right w:val="single" w:sz="4" w:space="0" w:color="000000"/>
            </w:tcBorders>
          </w:tcPr>
          <w:p>
            <w:pPr/>
          </w:p>
        </w:tc>
        <w:tc>
          <w:tcPr>
            <w:tcW w:w="437" w:type="dxa"/>
            <w:tcBorders>
              <w:top w:val="single" w:sz="15" w:space="0" w:color="000000"/>
              <w:left w:val="single" w:sz="4" w:space="0" w:color="000000"/>
              <w:bottom w:val="single" w:sz="4" w:space="0" w:color="000000"/>
              <w:right w:val="single" w:sz="4" w:space="0" w:color="000000"/>
            </w:tcBorders>
          </w:tcPr>
          <w:p>
            <w:pPr/>
          </w:p>
        </w:tc>
        <w:tc>
          <w:tcPr>
            <w:tcW w:w="338"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
        </w:tc>
        <w:tc>
          <w:tcPr>
            <w:tcW w:w="718" w:type="dxa"/>
            <w:tcBorders>
              <w:top w:val="single" w:sz="15" w:space="0" w:color="000000"/>
              <w:left w:val="single" w:sz="4" w:space="0" w:color="000000"/>
              <w:bottom w:val="single" w:sz="4" w:space="0" w:color="000000"/>
              <w:right w:val="single" w:sz="4" w:space="0" w:color="000000"/>
            </w:tcBorders>
          </w:tcPr>
          <w:p>
            <w:pPr/>
          </w:p>
        </w:tc>
        <w:tc>
          <w:tcPr>
            <w:tcW w:w="1116" w:type="dxa"/>
            <w:tcBorders>
              <w:top w:val="single" w:sz="15" w:space="0" w:color="000000"/>
              <w:left w:val="single" w:sz="4" w:space="0" w:color="000000"/>
              <w:bottom w:val="single" w:sz="4" w:space="0" w:color="000000"/>
              <w:right w:val="single" w:sz="4" w:space="0" w:color="000000"/>
            </w:tcBorders>
          </w:tcPr>
          <w:p>
            <w:pPr/>
          </w:p>
        </w:tc>
        <w:tc>
          <w:tcPr>
            <w:tcW w:w="538"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565" w:type="dxa"/>
            <w:tcBorders>
              <w:top w:val="single" w:sz="15" w:space="0" w:color="000000"/>
              <w:left w:val="single" w:sz="4" w:space="0" w:color="000000"/>
              <w:bottom w:val="single" w:sz="4" w:space="0" w:color="000000"/>
              <w:right w:val="single" w:sz="4" w:space="0" w:color="000000"/>
            </w:tcBorders>
          </w:tcPr>
          <w:p>
            <w:pPr/>
          </w:p>
        </w:tc>
        <w:tc>
          <w:tcPr>
            <w:tcW w:w="139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28,219,195.75</w:t>
            </w: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-228,269,195.75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-203,050,000.00</w:t>
            </w: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28,219,195.75</w:t>
            </w: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-28,219,195.75</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 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-200,050,000.00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-203,050,000.00</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 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center"/>
              <w:rPr>
                <w:rFonts w:ascii="Times New Roman" w:hAnsi="Times New Roman" w:cs="Times New Roman" w:eastAsia="Times New Roman" w:hint="default"/>
                <w:sz w:val="18"/>
                <w:szCs w:val="18"/>
              </w:rPr>
            </w:pPr>
            <w:r>
              <w:rPr>
                <w:rFonts w:ascii="Times New Roman"/>
                <w:sz w:val="18"/>
              </w:rPr>
              <w:t>-164,907,154.22</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-38,348,258.34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3" w:right="0"/>
              <w:jc w:val="center"/>
              <w:rPr>
                <w:rFonts w:ascii="Times New Roman" w:hAnsi="Times New Roman" w:cs="Times New Roman" w:eastAsia="Times New Roman" w:hint="default"/>
                <w:sz w:val="18"/>
                <w:szCs w:val="18"/>
              </w:rPr>
            </w:pPr>
            <w:r>
              <w:rPr>
                <w:rFonts w:ascii="Times New Roman"/>
                <w:sz w:val="18"/>
              </w:rPr>
              <w:t>-203,255,412.56</w:t>
            </w: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400,100,000.00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2,803,348,923.10</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23,018,472.89</w:t>
            </w: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76,604,752.25</w:t>
            </w: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861,887,446.79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87,400,774.03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4,252,360,369.06</w:t>
            </w:r>
          </w:p>
        </w:tc>
      </w:tr>
    </w:tbl>
    <w:p>
      <w:pPr>
        <w:pStyle w:val="BodyText"/>
        <w:spacing w:line="240" w:lineRule="auto" w:before="51"/>
        <w:ind w:left="100" w:right="175"/>
        <w:jc w:val="left"/>
      </w:pPr>
      <w:r>
        <w:rPr/>
        <w:t>上期金额</w:t>
      </w:r>
    </w:p>
    <w:p>
      <w:pPr>
        <w:pStyle w:val="BodyText"/>
        <w:spacing w:line="240" w:lineRule="auto" w:before="114"/>
        <w:ind w:left="0" w:right="117"/>
        <w:jc w:val="right"/>
      </w:pPr>
      <w:r>
        <w:rPr/>
        <w:t>单位：元</w:t>
      </w:r>
    </w:p>
    <w:p>
      <w:pPr>
        <w:spacing w:after="0" w:line="240" w:lineRule="auto"/>
        <w:jc w:val="right"/>
        <w:sectPr>
          <w:pgSz w:w="16840" w:h="11910" w:orient="landscape"/>
          <w:pgMar w:header="870" w:footer="975" w:top="1060" w:bottom="1160" w:left="1340" w:right="1320"/>
        </w:sectPr>
      </w:pPr>
    </w:p>
    <w:p>
      <w:pPr>
        <w:spacing w:line="240" w:lineRule="auto" w:before="3"/>
        <w:rPr>
          <w:rFonts w:ascii="Times New Roman" w:hAnsi="Times New Roman" w:cs="Times New Roman" w:eastAsia="Times New Roman"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297"/>
        <w:gridCol w:w="1181"/>
        <w:gridCol w:w="437"/>
        <w:gridCol w:w="437"/>
        <w:gridCol w:w="338"/>
        <w:gridCol w:w="1315"/>
        <w:gridCol w:w="718"/>
        <w:gridCol w:w="1116"/>
        <w:gridCol w:w="538"/>
        <w:gridCol w:w="1092"/>
        <w:gridCol w:w="565"/>
        <w:gridCol w:w="1390"/>
        <w:gridCol w:w="1181"/>
        <w:gridCol w:w="1318"/>
      </w:tblGrid>
      <w:tr>
        <w:trPr>
          <w:trHeight w:val="417" w:hRule="exact"/>
        </w:trPr>
        <w:tc>
          <w:tcPr>
            <w:tcW w:w="2297"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5" w:type="dxa"/>
            <w:gridSpan w:val="13"/>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297" w:type="dxa"/>
            <w:vMerge/>
            <w:tcBorders>
              <w:left w:val="single" w:sz="4" w:space="0" w:color="000000"/>
              <w:right w:val="single" w:sz="4" w:space="0" w:color="000000"/>
            </w:tcBorders>
            <w:shd w:val="clear" w:color="auto" w:fill="D2D2D2"/>
          </w:tcPr>
          <w:p>
            <w:pPr/>
          </w:p>
        </w:tc>
        <w:tc>
          <w:tcPr>
            <w:tcW w:w="912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297" w:type="dxa"/>
            <w:vMerge/>
            <w:tcBorders>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股本</w:t>
            </w:r>
          </w:p>
        </w:tc>
        <w:tc>
          <w:tcPr>
            <w:tcW w:w="121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72" w:right="84"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1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463" w:right="10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83" w:right="8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5"/>
              <w:ind w:left="95" w:right="98"/>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713" w:hRule="exact"/>
        </w:trPr>
        <w:tc>
          <w:tcPr>
            <w:tcW w:w="2297"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24" w:right="31"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24" w:right="31"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74" w:right="72"/>
              <w:jc w:val="left"/>
              <w:rPr>
                <w:rFonts w:ascii="宋体" w:hAnsi="宋体" w:cs="宋体" w:eastAsia="宋体" w:hint="default"/>
                <w:sz w:val="18"/>
                <w:szCs w:val="18"/>
              </w:rPr>
            </w:pPr>
            <w:r>
              <w:rPr>
                <w:rFonts w:ascii="宋体" w:hAnsi="宋体" w:cs="宋体" w:eastAsia="宋体" w:hint="default"/>
                <w:sz w:val="18"/>
                <w:szCs w:val="18"/>
              </w:rPr>
              <w:t>其 他</w:t>
            </w:r>
          </w:p>
        </w:tc>
        <w:tc>
          <w:tcPr>
            <w:tcW w:w="1315" w:type="dxa"/>
            <w:vMerge/>
            <w:tcBorders>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1116" w:type="dxa"/>
            <w:vMerge/>
            <w:tcBorders>
              <w:left w:val="single" w:sz="4" w:space="0" w:color="000000"/>
              <w:bottom w:val="single" w:sz="4" w:space="0" w:color="000000"/>
              <w:right w:val="single" w:sz="4" w:space="0" w:color="000000"/>
            </w:tcBorders>
            <w:shd w:val="clear" w:color="auto" w:fill="D2D2D2"/>
          </w:tcPr>
          <w:p>
            <w:pPr/>
          </w:p>
        </w:tc>
        <w:tc>
          <w:tcPr>
            <w:tcW w:w="538"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565" w:type="dxa"/>
            <w:vMerge/>
            <w:tcBorders>
              <w:left w:val="single" w:sz="4" w:space="0" w:color="000000"/>
              <w:bottom w:val="single" w:sz="4" w:space="0" w:color="000000"/>
              <w:right w:val="single" w:sz="4" w:space="0" w:color="000000"/>
            </w:tcBorders>
            <w:shd w:val="clear" w:color="auto" w:fill="D2D2D2"/>
          </w:tcPr>
          <w:p>
            <w:pPr/>
          </w:p>
        </w:tc>
        <w:tc>
          <w:tcPr>
            <w:tcW w:w="139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360,000,000.00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2,520,985,989.03</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16,970,838.77</w:t>
            </w: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32,918,171.88</w:t>
            </w: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428,886,999.79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92,810,809.99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3,452,572,809.46</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4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41"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360,000,000.00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2,520,985,989.03</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16,970,838.77</w:t>
            </w: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Times New Roman" w:hAnsi="Times New Roman" w:cs="Times New Roman" w:eastAsia="Times New Roman" w:hint="default"/>
                <w:sz w:val="18"/>
                <w:szCs w:val="18"/>
              </w:rPr>
            </w:pPr>
            <w:r>
              <w:rPr>
                <w:rFonts w:ascii="Times New Roman"/>
                <w:sz w:val="18"/>
              </w:rPr>
              <w:t>32,918,171.88</w:t>
            </w: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428,886,999.79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92,810,809.99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3,452,572,809.46</w:t>
            </w:r>
          </w:p>
        </w:tc>
      </w:tr>
      <w:tr>
        <w:trPr>
          <w:trHeight w:val="716"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21" w:right="105"/>
              <w:jc w:val="left"/>
              <w:rPr>
                <w:rFonts w:ascii="宋体" w:hAnsi="宋体" w:cs="宋体" w:eastAsia="宋体" w:hint="default"/>
                <w:sz w:val="18"/>
                <w:szCs w:val="18"/>
              </w:rPr>
            </w:pPr>
            <w:r>
              <w:rPr>
                <w:rFonts w:ascii="宋体" w:hAnsi="宋体" w:cs="宋体" w:eastAsia="宋体" w:hint="default"/>
                <w:sz w:val="18"/>
                <w:szCs w:val="18"/>
              </w:rPr>
              <w:t>三、本期增减变动金额（减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447,270,088.29</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11,401,024.57</w:t>
            </w: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15,467,384.62</w:t>
            </w: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274,624,125.67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16,499,415.36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805,362,038.51</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11,401,024.57</w:t>
            </w: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398,091,510.29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26,780,127.45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436,272,662.31</w:t>
            </w:r>
          </w:p>
        </w:tc>
      </w:tr>
      <w:tr>
        <w:trPr>
          <w:trHeight w:val="715"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3"/>
              <w:ind w:left="21" w:right="105"/>
              <w:jc w:val="left"/>
              <w:rPr>
                <w:rFonts w:ascii="宋体" w:hAnsi="宋体" w:cs="宋体" w:eastAsia="宋体" w:hint="default"/>
                <w:sz w:val="18"/>
                <w:szCs w:val="18"/>
              </w:rPr>
            </w:pPr>
            <w:r>
              <w:rPr>
                <w:rFonts w:ascii="宋体" w:hAnsi="宋体" w:cs="宋体" w:eastAsia="宋体" w:hint="default"/>
                <w:sz w:val="18"/>
                <w:szCs w:val="18"/>
              </w:rPr>
              <w:t>（二）所有者投入和减少资 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443,761,339.62</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483,861,339.62</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40,100,000.00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443,761,339.62</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483,861,339.62</w:t>
            </w:r>
          </w:p>
        </w:tc>
      </w:tr>
      <w:tr>
        <w:trPr>
          <w:trHeight w:val="715"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63"/>
              <w:ind w:left="21"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 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1"/>
              <w:ind w:left="21"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 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Times New Roman" w:hAnsi="Times New Roman" w:cs="Times New Roman" w:eastAsia="Times New Roman" w:hint="default"/>
                <w:sz w:val="18"/>
                <w:szCs w:val="18"/>
              </w:rPr>
            </w:pPr>
            <w:r>
              <w:rPr>
                <w:rFonts w:ascii="Times New Roman"/>
                <w:sz w:val="18"/>
              </w:rPr>
              <w:t>15,467,384.62</w:t>
            </w: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-123,467,384.62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-6,771,963.42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-114,771,963.42</w:t>
            </w: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15,467,384.62</w:t>
            </w: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-15,467,384.62</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0" w:footer="975" w:top="1060" w:bottom="1260" w:left="1360" w:right="1320"/>
        </w:sectPr>
      </w:pPr>
    </w:p>
    <w:p>
      <w:pPr>
        <w:spacing w:line="240" w:lineRule="auto" w:before="11"/>
        <w:rPr>
          <w:rFonts w:ascii="Times New Roman" w:hAnsi="Times New Roman" w:cs="Times New Roman" w:eastAsia="Times New Roman"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2297"/>
        <w:gridCol w:w="1181"/>
        <w:gridCol w:w="437"/>
        <w:gridCol w:w="437"/>
        <w:gridCol w:w="338"/>
        <w:gridCol w:w="1315"/>
        <w:gridCol w:w="718"/>
        <w:gridCol w:w="1116"/>
        <w:gridCol w:w="538"/>
        <w:gridCol w:w="1092"/>
        <w:gridCol w:w="565"/>
        <w:gridCol w:w="1390"/>
        <w:gridCol w:w="1181"/>
        <w:gridCol w:w="1318"/>
      </w:tblGrid>
      <w:tr>
        <w:trPr>
          <w:trHeight w:val="418" w:hRule="exact"/>
        </w:trPr>
        <w:tc>
          <w:tcPr>
            <w:tcW w:w="229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15" w:space="0" w:color="000000"/>
              <w:left w:val="single" w:sz="4" w:space="0" w:color="000000"/>
              <w:bottom w:val="single" w:sz="4" w:space="0" w:color="000000"/>
              <w:right w:val="single" w:sz="4" w:space="0" w:color="000000"/>
            </w:tcBorders>
          </w:tcPr>
          <w:p>
            <w:pPr/>
          </w:p>
        </w:tc>
        <w:tc>
          <w:tcPr>
            <w:tcW w:w="437" w:type="dxa"/>
            <w:tcBorders>
              <w:top w:val="single" w:sz="15" w:space="0" w:color="000000"/>
              <w:left w:val="single" w:sz="4" w:space="0" w:color="000000"/>
              <w:bottom w:val="single" w:sz="4" w:space="0" w:color="000000"/>
              <w:right w:val="single" w:sz="4" w:space="0" w:color="000000"/>
            </w:tcBorders>
          </w:tcPr>
          <w:p>
            <w:pPr/>
          </w:p>
        </w:tc>
        <w:tc>
          <w:tcPr>
            <w:tcW w:w="437" w:type="dxa"/>
            <w:tcBorders>
              <w:top w:val="single" w:sz="15" w:space="0" w:color="000000"/>
              <w:left w:val="single" w:sz="4" w:space="0" w:color="000000"/>
              <w:bottom w:val="single" w:sz="4" w:space="0" w:color="000000"/>
              <w:right w:val="single" w:sz="4" w:space="0" w:color="000000"/>
            </w:tcBorders>
          </w:tcPr>
          <w:p>
            <w:pPr/>
          </w:p>
        </w:tc>
        <w:tc>
          <w:tcPr>
            <w:tcW w:w="338"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
        </w:tc>
        <w:tc>
          <w:tcPr>
            <w:tcW w:w="718" w:type="dxa"/>
            <w:tcBorders>
              <w:top w:val="single" w:sz="15" w:space="0" w:color="000000"/>
              <w:left w:val="single" w:sz="4" w:space="0" w:color="000000"/>
              <w:bottom w:val="single" w:sz="4" w:space="0" w:color="000000"/>
              <w:right w:val="single" w:sz="4" w:space="0" w:color="000000"/>
            </w:tcBorders>
          </w:tcPr>
          <w:p>
            <w:pPr/>
          </w:p>
        </w:tc>
        <w:tc>
          <w:tcPr>
            <w:tcW w:w="1116" w:type="dxa"/>
            <w:tcBorders>
              <w:top w:val="single" w:sz="15" w:space="0" w:color="000000"/>
              <w:left w:val="single" w:sz="4" w:space="0" w:color="000000"/>
              <w:bottom w:val="single" w:sz="4" w:space="0" w:color="000000"/>
              <w:right w:val="single" w:sz="4" w:space="0" w:color="000000"/>
            </w:tcBorders>
          </w:tcPr>
          <w:p>
            <w:pPr/>
          </w:p>
        </w:tc>
        <w:tc>
          <w:tcPr>
            <w:tcW w:w="538"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565" w:type="dxa"/>
            <w:tcBorders>
              <w:top w:val="single" w:sz="15" w:space="0" w:color="000000"/>
              <w:left w:val="single" w:sz="4" w:space="0" w:color="000000"/>
              <w:bottom w:val="single" w:sz="4" w:space="0" w:color="000000"/>
              <w:right w:val="single" w:sz="4" w:space="0" w:color="000000"/>
            </w:tcBorders>
          </w:tcPr>
          <w:p>
            <w:pPr/>
          </w:p>
        </w:tc>
        <w:tc>
          <w:tcPr>
            <w:tcW w:w="139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 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-6,771,963.42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-114,771,963.42</w:t>
            </w: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1"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1"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 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3,508,748.67</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-3,508,748.67</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400,100,000.00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2,968,256,077.32</w:t>
            </w:r>
          </w:p>
        </w:tc>
        <w:tc>
          <w:tcPr>
            <w:tcW w:w="71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28,371,863.34</w:t>
            </w:r>
          </w:p>
        </w:tc>
        <w:tc>
          <w:tcPr>
            <w:tcW w:w="53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48,385,556.50</w:t>
            </w:r>
          </w:p>
        </w:tc>
        <w:tc>
          <w:tcPr>
            <w:tcW w:w="56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703,511,125.46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109,310,225.35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4,257,934,847.97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100" w:right="175"/>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100" w:right="175"/>
        <w:jc w:val="left"/>
      </w:pPr>
      <w:r>
        <w:rPr/>
        <w:t>本期金额</w:t>
      </w:r>
    </w:p>
    <w:p>
      <w:pPr>
        <w:pStyle w:val="BodyText"/>
        <w:spacing w:line="240" w:lineRule="auto" w:before="117"/>
        <w:ind w:left="0" w:right="117"/>
        <w:jc w:val="right"/>
      </w:pPr>
      <w:r>
        <w:rPr/>
        <w:t>单位：元</w:t>
      </w:r>
    </w:p>
    <w:p>
      <w:pPr>
        <w:spacing w:line="240" w:lineRule="auto" w:before="2"/>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3408"/>
        <w:gridCol w:w="1181"/>
        <w:gridCol w:w="1541"/>
        <w:gridCol w:w="1316"/>
        <w:gridCol w:w="917"/>
        <w:gridCol w:w="1068"/>
        <w:gridCol w:w="646"/>
        <w:gridCol w:w="1090"/>
        <w:gridCol w:w="1438"/>
        <w:gridCol w:w="1320"/>
      </w:tblGrid>
      <w:tr>
        <w:trPr>
          <w:trHeight w:val="401" w:hRule="exact"/>
        </w:trPr>
        <w:tc>
          <w:tcPr>
            <w:tcW w:w="34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051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3408"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3"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9" w:right="0"/>
              <w:jc w:val="left"/>
              <w:rPr>
                <w:rFonts w:ascii="宋体" w:hAnsi="宋体" w:cs="宋体" w:eastAsia="宋体" w:hint="default"/>
                <w:sz w:val="18"/>
                <w:szCs w:val="18"/>
              </w:rPr>
            </w:pPr>
            <w:r>
              <w:rPr>
                <w:rFonts w:ascii="宋体" w:hAnsi="宋体" w:cs="宋体" w:eastAsia="宋体" w:hint="default"/>
                <w:sz w:val="18"/>
                <w:szCs w:val="18"/>
              </w:rPr>
              <w:t>其他综合收</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48"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bl>
    <w:p>
      <w:pPr>
        <w:spacing w:after="0" w:line="240" w:lineRule="auto"/>
        <w:jc w:val="left"/>
        <w:rPr>
          <w:rFonts w:ascii="宋体" w:hAnsi="宋体" w:cs="宋体" w:eastAsia="宋体" w:hint="default"/>
          <w:sz w:val="18"/>
          <w:szCs w:val="18"/>
        </w:rPr>
        <w:sectPr>
          <w:pgSz w:w="16840" w:h="11910" w:orient="landscape"/>
          <w:pgMar w:header="870" w:footer="975" w:top="1060" w:bottom="1160" w:left="1340" w:right="1320"/>
        </w:sectPr>
      </w:pPr>
    </w:p>
    <w:p>
      <w:pPr>
        <w:spacing w:line="240" w:lineRule="auto" w:before="1"/>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3408"/>
        <w:gridCol w:w="1181"/>
        <w:gridCol w:w="569"/>
        <w:gridCol w:w="569"/>
        <w:gridCol w:w="403"/>
        <w:gridCol w:w="1316"/>
        <w:gridCol w:w="917"/>
        <w:gridCol w:w="1068"/>
        <w:gridCol w:w="646"/>
        <w:gridCol w:w="1090"/>
        <w:gridCol w:w="1438"/>
        <w:gridCol w:w="1318"/>
      </w:tblGrid>
      <w:tr>
        <w:trPr>
          <w:trHeight w:val="729" w:hRule="exact"/>
        </w:trPr>
        <w:tc>
          <w:tcPr>
            <w:tcW w:w="3408"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56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89" w:right="9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89" w:right="9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0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08" w:right="103"/>
              <w:jc w:val="left"/>
              <w:rPr>
                <w:rFonts w:ascii="宋体" w:hAnsi="宋体" w:cs="宋体" w:eastAsia="宋体" w:hint="default"/>
                <w:sz w:val="18"/>
                <w:szCs w:val="18"/>
              </w:rPr>
            </w:pPr>
            <w:r>
              <w:rPr>
                <w:rFonts w:ascii="宋体" w:hAnsi="宋体" w:cs="宋体" w:eastAsia="宋体" w:hint="default"/>
                <w:sz w:val="18"/>
                <w:szCs w:val="18"/>
              </w:rPr>
              <w:t>其 他</w:t>
            </w:r>
          </w:p>
        </w:tc>
        <w:tc>
          <w:tcPr>
            <w:tcW w:w="131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1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0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64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09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438"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318" w:type="dxa"/>
            <w:tcBorders>
              <w:top w:val="single" w:sz="15"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400,100,000.00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4,625,889,053.05</w:t>
            </w: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48,385,556.50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120,524,882.04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5,194,899,491.59</w:t>
            </w:r>
          </w:p>
        </w:tc>
      </w:tr>
      <w:tr>
        <w:trPr>
          <w:trHeight w:val="403"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400,100,000.00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4,625,889,053.05</w:t>
            </w: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48,385,556.50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120,524,882.04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5,194,899,491.59</w:t>
            </w:r>
          </w:p>
        </w:tc>
      </w:tr>
      <w:tr>
        <w:trPr>
          <w:trHeight w:val="715"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1" w:right="156"/>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81" w:type="dxa"/>
            <w:tcBorders>
              <w:top w:val="single" w:sz="4" w:space="0" w:color="000000"/>
              <w:left w:val="single" w:sz="13" w:space="0" w:color="D2D2D2"/>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28,219,195.75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53,922,761.77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82,141,957.52</w:t>
            </w:r>
          </w:p>
        </w:tc>
      </w:tr>
      <w:tr>
        <w:trPr>
          <w:trHeight w:val="401"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282,191,957.52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282,191,957.52</w:t>
            </w:r>
          </w:p>
        </w:tc>
      </w:tr>
      <w:tr>
        <w:trPr>
          <w:trHeight w:val="403"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28,219,195.75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-228,269,195.75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-200,050,000.00</w:t>
            </w:r>
          </w:p>
        </w:tc>
      </w:tr>
      <w:tr>
        <w:trPr>
          <w:trHeight w:val="403"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28,219,195.75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-28,219,195.75</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-200,050,000.00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-200,050,000.00</w:t>
            </w:r>
          </w:p>
        </w:tc>
      </w:tr>
      <w:tr>
        <w:trPr>
          <w:trHeight w:val="403"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0" w:footer="975" w:top="1060" w:bottom="1160" w:left="1360" w:right="1320"/>
        </w:sectPr>
      </w:pPr>
    </w:p>
    <w:p>
      <w:pPr>
        <w:spacing w:line="240" w:lineRule="auto" w:before="11"/>
        <w:rPr>
          <w:rFonts w:ascii="Times New Roman" w:hAnsi="Times New Roman" w:cs="Times New Roman" w:eastAsia="Times New Roman"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3408"/>
        <w:gridCol w:w="1181"/>
        <w:gridCol w:w="569"/>
        <w:gridCol w:w="569"/>
        <w:gridCol w:w="403"/>
        <w:gridCol w:w="1316"/>
        <w:gridCol w:w="917"/>
        <w:gridCol w:w="1068"/>
        <w:gridCol w:w="646"/>
        <w:gridCol w:w="1090"/>
        <w:gridCol w:w="1438"/>
        <w:gridCol w:w="1318"/>
      </w:tblGrid>
      <w:tr>
        <w:trPr>
          <w:trHeight w:val="418" w:hRule="exact"/>
        </w:trPr>
        <w:tc>
          <w:tcPr>
            <w:tcW w:w="34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403"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917" w:type="dxa"/>
            <w:tcBorders>
              <w:top w:val="single" w:sz="15" w:space="0" w:color="000000"/>
              <w:left w:val="single" w:sz="4" w:space="0" w:color="000000"/>
              <w:bottom w:val="single" w:sz="4" w:space="0" w:color="000000"/>
              <w:right w:val="single" w:sz="4" w:space="0" w:color="000000"/>
            </w:tcBorders>
          </w:tcPr>
          <w:p>
            <w:pPr/>
          </w:p>
        </w:tc>
        <w:tc>
          <w:tcPr>
            <w:tcW w:w="1068" w:type="dxa"/>
            <w:tcBorders>
              <w:top w:val="single" w:sz="15" w:space="0" w:color="000000"/>
              <w:left w:val="single" w:sz="4" w:space="0" w:color="000000"/>
              <w:bottom w:val="single" w:sz="4" w:space="0" w:color="000000"/>
              <w:right w:val="single" w:sz="4" w:space="0" w:color="000000"/>
            </w:tcBorders>
          </w:tcPr>
          <w:p>
            <w:pPr/>
          </w:p>
        </w:tc>
        <w:tc>
          <w:tcPr>
            <w:tcW w:w="646"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438"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400,100,000.00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4,625,889,053.05</w:t>
            </w:r>
          </w:p>
        </w:tc>
        <w:tc>
          <w:tcPr>
            <w:tcW w:w="917"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76,604,752.25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0" w:right="0"/>
              <w:jc w:val="left"/>
              <w:rPr>
                <w:rFonts w:ascii="Times New Roman" w:hAnsi="Times New Roman" w:cs="Times New Roman" w:eastAsia="Times New Roman" w:hint="default"/>
                <w:sz w:val="18"/>
                <w:szCs w:val="18"/>
              </w:rPr>
            </w:pPr>
            <w:r>
              <w:rPr>
                <w:rFonts w:ascii="Times New Roman"/>
                <w:sz w:val="18"/>
              </w:rPr>
              <w:t>174,447,643.81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5,277,041,449.11</w:t>
            </w:r>
          </w:p>
        </w:tc>
      </w:tr>
    </w:tbl>
    <w:p>
      <w:pPr>
        <w:pStyle w:val="BodyText"/>
        <w:spacing w:line="240" w:lineRule="auto" w:before="52"/>
        <w:ind w:left="100" w:right="175"/>
        <w:jc w:val="left"/>
      </w:pPr>
      <w:r>
        <w:rPr/>
        <w:t>上期金额</w:t>
      </w:r>
    </w:p>
    <w:p>
      <w:pPr>
        <w:pStyle w:val="BodyText"/>
        <w:spacing w:line="240" w:lineRule="auto" w:before="115"/>
        <w:ind w:left="0" w:right="117"/>
        <w:jc w:val="right"/>
      </w:pPr>
      <w:r>
        <w:rPr/>
        <w:t>单位：元</w:t>
      </w:r>
    </w:p>
    <w:p>
      <w:pPr>
        <w:spacing w:line="240" w:lineRule="auto" w:before="2"/>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3464"/>
        <w:gridCol w:w="1181"/>
        <w:gridCol w:w="576"/>
        <w:gridCol w:w="576"/>
        <w:gridCol w:w="406"/>
        <w:gridCol w:w="1318"/>
        <w:gridCol w:w="924"/>
        <w:gridCol w:w="1085"/>
        <w:gridCol w:w="505"/>
        <w:gridCol w:w="1133"/>
        <w:gridCol w:w="1438"/>
        <w:gridCol w:w="1318"/>
      </w:tblGrid>
      <w:tr>
        <w:trPr>
          <w:trHeight w:val="401" w:hRule="exact"/>
        </w:trPr>
        <w:tc>
          <w:tcPr>
            <w:tcW w:w="3464" w:type="dxa"/>
            <w:vMerge w:val="restart"/>
            <w:tcBorders>
              <w:top w:val="single" w:sz="4" w:space="0" w:color="000000"/>
              <w:left w:val="single" w:sz="4" w:space="0" w:color="000000"/>
              <w:right w:val="single" w:sz="4" w:space="0" w:color="000000"/>
            </w:tcBorders>
            <w:shd w:val="clear" w:color="auto" w:fill="D2D2D2"/>
          </w:tcPr>
          <w:p>
            <w:pPr/>
          </w:p>
        </w:tc>
        <w:tc>
          <w:tcPr>
            <w:tcW w:w="1045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61" w:hRule="exact"/>
        </w:trPr>
        <w:tc>
          <w:tcPr>
            <w:tcW w:w="3464"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5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64" w:right="96"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48" w:right="84"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2" w:hRule="exact"/>
        </w:trPr>
        <w:tc>
          <w:tcPr>
            <w:tcW w:w="34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1" w:type="dxa"/>
            <w:vMerge/>
            <w:tcBorders>
              <w:left w:val="single" w:sz="4" w:space="0" w:color="000000"/>
              <w:right w:val="single" w:sz="4" w:space="0" w:color="000000"/>
            </w:tcBorders>
            <w:shd w:val="clear" w:color="auto" w:fill="D2D2D2"/>
          </w:tcPr>
          <w:p>
            <w:pPr/>
          </w:p>
        </w:tc>
        <w:tc>
          <w:tcPr>
            <w:tcW w:w="1558" w:type="dxa"/>
            <w:gridSpan w:val="3"/>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1085" w:type="dxa"/>
            <w:vMerge/>
            <w:tcBorders>
              <w:left w:val="single" w:sz="4" w:space="0" w:color="000000"/>
              <w:right w:val="single" w:sz="4" w:space="0" w:color="000000"/>
            </w:tcBorders>
            <w:shd w:val="clear" w:color="auto" w:fill="D2D2D2"/>
          </w:tcPr>
          <w:p>
            <w:pPr/>
          </w:p>
        </w:tc>
        <w:tc>
          <w:tcPr>
            <w:tcW w:w="505"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438"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51" w:hRule="exact"/>
        </w:trPr>
        <w:tc>
          <w:tcPr>
            <w:tcW w:w="3464"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94" w:right="101"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94" w:right="101"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0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07" w:right="107"/>
              <w:jc w:val="left"/>
              <w:rPr>
                <w:rFonts w:ascii="宋体" w:hAnsi="宋体" w:cs="宋体" w:eastAsia="宋体" w:hint="default"/>
                <w:sz w:val="18"/>
                <w:szCs w:val="18"/>
              </w:rPr>
            </w:pPr>
            <w:r>
              <w:rPr>
                <w:rFonts w:ascii="宋体" w:hAnsi="宋体" w:cs="宋体" w:eastAsia="宋体" w:hint="default"/>
                <w:sz w:val="18"/>
                <w:szCs w:val="18"/>
              </w:rPr>
              <w:t>其 他</w:t>
            </w:r>
          </w:p>
        </w:tc>
        <w:tc>
          <w:tcPr>
            <w:tcW w:w="1318" w:type="dxa"/>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1085" w:type="dxa"/>
            <w:vMerge/>
            <w:tcBorders>
              <w:left w:val="single" w:sz="4" w:space="0" w:color="000000"/>
              <w:right w:val="single" w:sz="4" w:space="0" w:color="000000"/>
            </w:tcBorders>
            <w:shd w:val="clear" w:color="auto" w:fill="D2D2D2"/>
          </w:tcPr>
          <w:p>
            <w:pPr/>
          </w:p>
        </w:tc>
        <w:tc>
          <w:tcPr>
            <w:tcW w:w="505"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438"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562" w:hRule="exact"/>
        </w:trPr>
        <w:tc>
          <w:tcPr>
            <w:tcW w:w="34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406"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505"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438"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360,000,000.00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4,182,127,713.43</w:t>
            </w: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32,918,171.88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89,318,420.49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4,664,364,305.80</w:t>
            </w: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360,000,000.00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4,182,127,713.43</w:t>
            </w: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32,918,171.88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89,318,420.49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4,664,364,305.80</w:t>
            </w:r>
          </w:p>
        </w:tc>
      </w:tr>
      <w:tr>
        <w:trPr>
          <w:trHeight w:val="71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1" w:right="212"/>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40,100,000.00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443,761,339.62</w:t>
            </w: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15,467,384.62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31,206,461.55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530,535,185.79</w:t>
            </w:r>
          </w:p>
        </w:tc>
      </w:tr>
      <w:tr>
        <w:trPr>
          <w:trHeight w:val="404"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154,673,846.17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154,673,846.17</w:t>
            </w: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40,100,000.00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443,761,339.62</w:t>
            </w: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483,861,339.62</w:t>
            </w: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40,100,000.00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443,761,339.62</w:t>
            </w: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483,861,339.62</w:t>
            </w: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0" w:footer="975" w:top="1060" w:bottom="1160" w:left="1340" w:right="1320"/>
        </w:sectPr>
      </w:pPr>
    </w:p>
    <w:p>
      <w:pPr>
        <w:spacing w:line="240" w:lineRule="auto" w:before="11"/>
        <w:rPr>
          <w:rFonts w:ascii="Times New Roman" w:hAnsi="Times New Roman" w:cs="Times New Roman" w:eastAsia="Times New Roman"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464"/>
        <w:gridCol w:w="1181"/>
        <w:gridCol w:w="576"/>
        <w:gridCol w:w="576"/>
        <w:gridCol w:w="406"/>
        <w:gridCol w:w="1318"/>
        <w:gridCol w:w="924"/>
        <w:gridCol w:w="1085"/>
        <w:gridCol w:w="505"/>
        <w:gridCol w:w="1133"/>
        <w:gridCol w:w="1438"/>
        <w:gridCol w:w="1318"/>
      </w:tblGrid>
      <w:tr>
        <w:trPr>
          <w:trHeight w:val="418" w:hRule="exact"/>
        </w:trPr>
        <w:tc>
          <w:tcPr>
            <w:tcW w:w="346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406"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c>
          <w:tcPr>
            <w:tcW w:w="924" w:type="dxa"/>
            <w:tcBorders>
              <w:top w:val="single" w:sz="15" w:space="0" w:color="000000"/>
              <w:left w:val="single" w:sz="4" w:space="0" w:color="000000"/>
              <w:bottom w:val="single" w:sz="4" w:space="0" w:color="000000"/>
              <w:right w:val="single" w:sz="4" w:space="0" w:color="000000"/>
            </w:tcBorders>
          </w:tcPr>
          <w:p>
            <w:pPr/>
          </w:p>
        </w:tc>
        <w:tc>
          <w:tcPr>
            <w:tcW w:w="1085" w:type="dxa"/>
            <w:tcBorders>
              <w:top w:val="single" w:sz="15" w:space="0" w:color="000000"/>
              <w:left w:val="single" w:sz="4" w:space="0" w:color="000000"/>
              <w:bottom w:val="single" w:sz="4" w:space="0" w:color="000000"/>
              <w:right w:val="single" w:sz="4" w:space="0" w:color="000000"/>
            </w:tcBorders>
          </w:tcPr>
          <w:p>
            <w:pPr/>
          </w:p>
        </w:tc>
        <w:tc>
          <w:tcPr>
            <w:tcW w:w="505"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438"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15,467,384.62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-123,467,384.62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-108,000,000.00</w:t>
            </w: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15,467,384.62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-15,467,384.62</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-108,000,000.00</w:t>
            </w: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400,100,000.00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4,625,889,053.05</w:t>
            </w:r>
          </w:p>
        </w:tc>
        <w:tc>
          <w:tcPr>
            <w:tcW w:w="92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48,385,556.50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120,524,882.04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5,194,899,491.59</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70" w:footer="975" w:top="1060" w:bottom="1160" w:left="1360" w:right="1320"/>
        </w:sectPr>
      </w:pPr>
    </w:p>
    <w:p>
      <w:pPr>
        <w:spacing w:line="240" w:lineRule="auto" w:before="8"/>
        <w:rPr>
          <w:rFonts w:ascii="Times New Roman" w:hAnsi="Times New Roman" w:cs="Times New Roman" w:eastAsia="Times New Roman" w:hint="default"/>
          <w:sz w:val="22"/>
          <w:szCs w:val="22"/>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9" w:firstLine="360"/>
        <w:jc w:val="both"/>
      </w:pPr>
      <w:r>
        <w:rPr>
          <w:spacing w:val="-1"/>
        </w:rPr>
        <w:t>深圳华大基因股份有限公司（以下简称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华大基因</w:t>
      </w:r>
      <w:r>
        <w:rPr>
          <w:rFonts w:ascii="Times New Roman" w:hAnsi="Times New Roman" w:cs="Times New Roman" w:eastAsia="Times New Roman" w:hint="default"/>
          <w:spacing w:val="-1"/>
        </w:rPr>
        <w:t>”</w:t>
      </w:r>
      <w:r>
        <w:rPr>
          <w:spacing w:val="-1"/>
        </w:rPr>
        <w:t>），原注册名称为深圳华大基因健康科技有限公司，成立</w:t>
      </w:r>
      <w:r>
        <w:rPr/>
        <w:t> 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日，注册地为深圳市盐田区北山工业区综合楼科技创业园</w:t>
      </w:r>
      <w:r>
        <w:rPr>
          <w:rFonts w:ascii="Times New Roman" w:hAnsi="Times New Roman" w:cs="Times New Roman" w:eastAsia="Times New Roman" w:hint="default"/>
        </w:rPr>
        <w:t>9F-7</w:t>
      </w:r>
      <w:r>
        <w:rPr/>
        <w:t>，注册号为</w:t>
      </w:r>
      <w:r>
        <w:rPr>
          <w:rFonts w:ascii="Times New Roman" w:hAnsi="Times New Roman" w:cs="Times New Roman" w:eastAsia="Times New Roman" w:hint="default"/>
        </w:rPr>
        <w:t>440301104800923</w:t>
      </w:r>
      <w:r>
        <w:rPr/>
        <w:t>，注册资本为人民</w:t>
      </w:r>
      <w:r>
        <w:rPr>
          <w:spacing w:val="-72"/>
        </w:rPr>
        <w:t> </w:t>
      </w:r>
      <w:r>
        <w:rPr>
          <w:spacing w:val="-72"/>
        </w:rPr>
      </w:r>
      <w:r>
        <w:rPr>
          <w:spacing w:val="-2"/>
        </w:rPr>
        <w:t>币</w:t>
      </w:r>
      <w:r>
        <w:rPr>
          <w:rFonts w:ascii="Times New Roman" w:hAnsi="Times New Roman" w:cs="Times New Roman" w:eastAsia="Times New Roman" w:hint="default"/>
          <w:spacing w:val="-2"/>
        </w:rPr>
        <w:t>1,000</w:t>
      </w:r>
      <w:r>
        <w:rPr>
          <w:spacing w:val="-2"/>
        </w:rPr>
        <w:t>万元，实收资本为人民币</w:t>
      </w:r>
      <w:r>
        <w:rPr>
          <w:rFonts w:ascii="Times New Roman" w:hAnsi="Times New Roman" w:cs="Times New Roman" w:eastAsia="Times New Roman" w:hint="default"/>
          <w:spacing w:val="-2"/>
        </w:rPr>
        <w:t>200</w:t>
      </w:r>
      <w:r>
        <w:rPr>
          <w:spacing w:val="-2"/>
        </w:rPr>
        <w:t>万元。其中，深圳华大基因科技有限公司（</w:t>
      </w:r>
      <w:r>
        <w:rPr>
          <w:rFonts w:ascii="Times New Roman" w:hAnsi="Times New Roman" w:cs="Times New Roman" w:eastAsia="Times New Roman" w:hint="default"/>
          <w:spacing w:val="-2"/>
        </w:rPr>
        <w:t>“</w:t>
      </w:r>
      <w:r>
        <w:rPr>
          <w:spacing w:val="-2"/>
        </w:rPr>
        <w:t>华大控股</w:t>
      </w:r>
      <w:r>
        <w:rPr>
          <w:rFonts w:ascii="Times New Roman" w:hAnsi="Times New Roman" w:cs="Times New Roman" w:eastAsia="Times New Roman" w:hint="default"/>
          <w:spacing w:val="-2"/>
        </w:rPr>
        <w:t>”</w:t>
      </w:r>
      <w:r>
        <w:rPr>
          <w:spacing w:val="-2"/>
        </w:rPr>
        <w:t>）出资人民币</w:t>
      </w:r>
      <w:r>
        <w:rPr>
          <w:rFonts w:ascii="Times New Roman" w:hAnsi="Times New Roman" w:cs="Times New Roman" w:eastAsia="Times New Roman" w:hint="default"/>
          <w:spacing w:val="-2"/>
        </w:rPr>
        <w:t>190</w:t>
      </w:r>
      <w:r>
        <w:rPr>
          <w:spacing w:val="-2"/>
        </w:rPr>
        <w:t>万元，出资比例</w:t>
      </w:r>
      <w:r>
        <w:rPr>
          <w:spacing w:val="-85"/>
        </w:rPr>
        <w:t> </w:t>
      </w:r>
      <w:r>
        <w:rPr>
          <w:spacing w:val="-85"/>
        </w:rPr>
      </w:r>
      <w:r>
        <w:rPr>
          <w:spacing w:val="-2"/>
        </w:rPr>
        <w:t>为</w:t>
      </w:r>
      <w:r>
        <w:rPr>
          <w:rFonts w:ascii="Times New Roman" w:hAnsi="Times New Roman" w:cs="Times New Roman" w:eastAsia="Times New Roman" w:hint="default"/>
          <w:spacing w:val="-2"/>
        </w:rPr>
        <w:t>95%</w:t>
      </w:r>
      <w:r>
        <w:rPr>
          <w:spacing w:val="-2"/>
        </w:rPr>
        <w:t>，深圳华大三生园科技有限公司（</w:t>
      </w:r>
      <w:r>
        <w:rPr>
          <w:rFonts w:ascii="Times New Roman" w:hAnsi="Times New Roman" w:cs="Times New Roman" w:eastAsia="Times New Roman" w:hint="default"/>
          <w:spacing w:val="-2"/>
        </w:rPr>
        <w:t>“</w:t>
      </w:r>
      <w:r>
        <w:rPr>
          <w:spacing w:val="-2"/>
        </w:rPr>
        <w:t>华大三生园</w:t>
      </w:r>
      <w:r>
        <w:rPr>
          <w:rFonts w:ascii="Times New Roman" w:hAnsi="Times New Roman" w:cs="Times New Roman" w:eastAsia="Times New Roman" w:hint="default"/>
          <w:spacing w:val="-2"/>
        </w:rPr>
        <w:t>”</w:t>
      </w:r>
      <w:r>
        <w:rPr>
          <w:spacing w:val="-2"/>
        </w:rPr>
        <w:t>），出资人民币</w:t>
      </w:r>
      <w:r>
        <w:rPr>
          <w:rFonts w:ascii="Times New Roman" w:hAnsi="Times New Roman" w:cs="Times New Roman" w:eastAsia="Times New Roman" w:hint="default"/>
          <w:spacing w:val="-2"/>
        </w:rPr>
        <w:t>10</w:t>
      </w:r>
      <w:r>
        <w:rPr>
          <w:spacing w:val="-2"/>
        </w:rPr>
        <w:t>万元，出资比例为</w:t>
      </w:r>
      <w:r>
        <w:rPr>
          <w:rFonts w:ascii="Times New Roman" w:hAnsi="Times New Roman" w:cs="Times New Roman" w:eastAsia="Times New Roman" w:hint="default"/>
          <w:spacing w:val="-2"/>
        </w:rPr>
        <w:t>5%</w:t>
      </w:r>
      <w:r>
        <w:rPr>
          <w:spacing w:val="-2"/>
        </w:rPr>
        <w:t>，华大三生园名称变更前为深</w:t>
      </w:r>
      <w:r>
        <w:rPr>
          <w:spacing w:val="-74"/>
        </w:rPr>
        <w:t> </w:t>
      </w:r>
      <w:r>
        <w:rPr>
          <w:spacing w:val="-74"/>
        </w:rPr>
      </w:r>
      <w:r>
        <w:rPr/>
        <w:t>圳华大农业与循环经济科技有限公司。</w:t>
      </w:r>
    </w:p>
    <w:p>
      <w:pPr>
        <w:pStyle w:val="BodyText"/>
        <w:spacing w:line="240" w:lineRule="auto" w:before="31"/>
        <w:ind w:left="513" w:right="1133"/>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日，华大控股增加实收资本人民币</w:t>
      </w:r>
      <w:r>
        <w:rPr>
          <w:rFonts w:ascii="Times New Roman" w:hAnsi="Times New Roman" w:cs="Times New Roman" w:eastAsia="Times New Roman" w:hint="default"/>
        </w:rPr>
        <w:t>760</w:t>
      </w:r>
      <w:r>
        <w:rPr/>
        <w:t>万元，华大三生园增加实收资本人民币</w:t>
      </w:r>
      <w:r>
        <w:rPr>
          <w:rFonts w:ascii="Times New Roman" w:hAnsi="Times New Roman" w:cs="Times New Roman" w:eastAsia="Times New Roman" w:hint="default"/>
        </w:rPr>
        <w:t>40</w:t>
      </w:r>
      <w:r>
        <w:rPr/>
        <w:t>万元，出资完毕。</w:t>
      </w:r>
    </w:p>
    <w:p>
      <w:pPr>
        <w:pStyle w:val="BodyText"/>
        <w:spacing w:line="300" w:lineRule="auto" w:before="63"/>
        <w:ind w:right="1128"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日，本公司注册资本变更为人民币</w:t>
      </w:r>
      <w:r>
        <w:rPr>
          <w:rFonts w:ascii="Times New Roman" w:hAnsi="Times New Roman" w:cs="Times New Roman" w:eastAsia="Times New Roman" w:hint="default"/>
        </w:rPr>
        <w:t>6,000</w:t>
      </w:r>
      <w:r>
        <w:rPr/>
        <w:t>万元。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 </w:t>
      </w:r>
      <w:r>
        <w:rPr/>
        <w:t>华大控股增加实收资本人民币</w:t>
      </w:r>
      <w:r>
        <w:rPr>
          <w:rFonts w:ascii="Times New Roman" w:hAnsi="Times New Roman" w:cs="Times New Roman" w:eastAsia="Times New Roman" w:hint="default"/>
        </w:rPr>
        <w:t>950</w:t>
      </w:r>
      <w:r>
        <w:rPr/>
        <w:t>万元</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华 大三生园增加实收资本人民币</w:t>
      </w:r>
      <w:r>
        <w:rPr>
          <w:rFonts w:ascii="Times New Roman" w:hAnsi="Times New Roman" w:cs="Times New Roman" w:eastAsia="Times New Roman" w:hint="default"/>
        </w:rPr>
        <w:t>50</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日，华大控股增加实收资本人民币</w:t>
      </w:r>
      <w:r>
        <w:rPr>
          <w:rFonts w:ascii="Times New Roman" w:hAnsi="Times New Roman" w:cs="Times New Roman" w:eastAsia="Times New Roman" w:hint="default"/>
        </w:rPr>
        <w:t>2,375</w:t>
      </w:r>
      <w:r>
        <w:rPr/>
        <w:t>万元，华大三生园增加实收资本</w:t>
      </w:r>
      <w:r>
        <w:rPr>
          <w:spacing w:val="-50"/>
        </w:rPr>
        <w:t> </w:t>
      </w:r>
      <w:r>
        <w:rPr>
          <w:spacing w:val="-50"/>
        </w:rPr>
      </w:r>
      <w:r>
        <w:rPr>
          <w:spacing w:val="-2"/>
        </w:rPr>
        <w:t>人民币</w:t>
      </w:r>
      <w:r>
        <w:rPr>
          <w:rFonts w:ascii="Times New Roman" w:hAnsi="Times New Roman" w:cs="Times New Roman" w:eastAsia="Times New Roman" w:hint="default"/>
          <w:spacing w:val="-2"/>
        </w:rPr>
        <w:t>125</w:t>
      </w:r>
      <w:r>
        <w:rPr>
          <w:spacing w:val="-2"/>
        </w:rPr>
        <w:t>万元。至此，华大控股已认缴出资人民币</w:t>
      </w:r>
      <w:r>
        <w:rPr>
          <w:rFonts w:ascii="Times New Roman" w:hAnsi="Times New Roman" w:cs="Times New Roman" w:eastAsia="Times New Roman" w:hint="default"/>
          <w:spacing w:val="-2"/>
        </w:rPr>
        <w:t>4,275</w:t>
      </w:r>
      <w:r>
        <w:rPr>
          <w:spacing w:val="-2"/>
        </w:rPr>
        <w:t>万元，出资比例为</w:t>
      </w:r>
      <w:r>
        <w:rPr>
          <w:rFonts w:ascii="Times New Roman" w:hAnsi="Times New Roman" w:cs="Times New Roman" w:eastAsia="Times New Roman" w:hint="default"/>
          <w:spacing w:val="-2"/>
        </w:rPr>
        <w:t>95%</w:t>
      </w:r>
      <w:r>
        <w:rPr>
          <w:spacing w:val="-2"/>
        </w:rPr>
        <w:t>，华大三生园已认缴出资人民币</w:t>
      </w:r>
      <w:r>
        <w:rPr>
          <w:rFonts w:ascii="Times New Roman" w:hAnsi="Times New Roman" w:cs="Times New Roman" w:eastAsia="Times New Roman" w:hint="default"/>
          <w:spacing w:val="-2"/>
        </w:rPr>
        <w:t>225</w:t>
      </w:r>
      <w:r>
        <w:rPr>
          <w:spacing w:val="-2"/>
        </w:rPr>
        <w:t>万元，出</w:t>
      </w:r>
      <w:r>
        <w:rPr>
          <w:spacing w:val="-76"/>
        </w:rPr>
        <w:t> </w:t>
      </w:r>
      <w:r>
        <w:rPr>
          <w:spacing w:val="-76"/>
        </w:rPr>
      </w:r>
      <w:r>
        <w:rPr/>
        <w:t>资比例为</w:t>
      </w:r>
      <w:r>
        <w:rPr>
          <w:rFonts w:ascii="Times New Roman" w:hAnsi="Times New Roman" w:cs="Times New Roman" w:eastAsia="Times New Roman" w:hint="default"/>
        </w:rPr>
        <w:t>5%</w:t>
      </w:r>
      <w:r>
        <w:rPr/>
        <w:t>。</w:t>
      </w:r>
    </w:p>
    <w:p>
      <w:pPr>
        <w:pStyle w:val="BodyText"/>
        <w:spacing w:line="300" w:lineRule="auto" w:before="13"/>
        <w:ind w:right="1133"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日，深圳市市场监督管理局批复本公司名称变更申请，本公司名称由</w:t>
      </w:r>
      <w:r>
        <w:rPr>
          <w:rFonts w:ascii="Times New Roman" w:hAnsi="Times New Roman" w:cs="Times New Roman" w:eastAsia="Times New Roman" w:hint="default"/>
        </w:rPr>
        <w:t>“</w:t>
      </w:r>
      <w:r>
        <w:rPr/>
        <w:t>深圳华大基因健康科技有限公司</w:t>
      </w:r>
      <w:r>
        <w:rPr>
          <w:rFonts w:ascii="Times New Roman" w:hAnsi="Times New Roman" w:cs="Times New Roman" w:eastAsia="Times New Roman" w:hint="default"/>
        </w:rPr>
        <w:t>”</w:t>
      </w:r>
      <w:r>
        <w:rPr/>
        <w:t>变 更为</w:t>
      </w:r>
      <w:r>
        <w:rPr>
          <w:rFonts w:ascii="Times New Roman" w:hAnsi="Times New Roman" w:cs="Times New Roman" w:eastAsia="Times New Roman" w:hint="default"/>
        </w:rPr>
        <w:t>“</w:t>
      </w:r>
      <w:r>
        <w:rPr/>
        <w:t>深圳华大基因医学有限公司</w:t>
      </w:r>
      <w:r>
        <w:rPr>
          <w:rFonts w:ascii="Times New Roman" w:hAnsi="Times New Roman" w:cs="Times New Roman" w:eastAsia="Times New Roman" w:hint="default"/>
        </w:rPr>
        <w:t>”</w:t>
      </w:r>
      <w:r>
        <w:rPr/>
        <w:t>。</w:t>
      </w:r>
    </w:p>
    <w:p>
      <w:pPr>
        <w:pStyle w:val="BodyText"/>
        <w:spacing w:line="300" w:lineRule="auto" w:before="13"/>
        <w:ind w:right="104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日，华大三生园将其持有本公司的</w:t>
      </w:r>
      <w:r>
        <w:rPr>
          <w:rFonts w:ascii="Times New Roman" w:hAnsi="Times New Roman" w:cs="Times New Roman" w:eastAsia="Times New Roman" w:hint="default"/>
        </w:rPr>
        <w:t>5%</w:t>
      </w:r>
      <w:r>
        <w:rPr/>
        <w:t>股份以人民币</w:t>
      </w:r>
      <w:r>
        <w:rPr>
          <w:rFonts w:ascii="Times New Roman" w:hAnsi="Times New Roman" w:cs="Times New Roman" w:eastAsia="Times New Roman" w:hint="default"/>
        </w:rPr>
        <w:t>626.169256</w:t>
      </w:r>
      <w:r>
        <w:rPr/>
        <w:t>万元价格转让予华大控股。该股权转让后， 华大控股持有本公司</w:t>
      </w:r>
      <w:r>
        <w:rPr>
          <w:rFonts w:ascii="Times New Roman" w:hAnsi="Times New Roman" w:cs="Times New Roman" w:eastAsia="Times New Roman" w:hint="default"/>
        </w:rPr>
        <w:t>100%</w:t>
      </w:r>
      <w:r>
        <w:rPr/>
        <w:t>股权。</w:t>
      </w:r>
    </w:p>
    <w:p>
      <w:pPr>
        <w:pStyle w:val="BodyText"/>
        <w:spacing w:line="240" w:lineRule="auto" w:before="13"/>
        <w:ind w:left="513" w:right="986"/>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日，华大控股增加实收资本人民币</w:t>
      </w:r>
      <w:r>
        <w:rPr>
          <w:rFonts w:ascii="Times New Roman" w:hAnsi="Times New Roman" w:cs="Times New Roman" w:eastAsia="Times New Roman" w:hint="default"/>
        </w:rPr>
        <w:t>1,500</w:t>
      </w:r>
      <w:r>
        <w:rPr/>
        <w:t>万元，至此本公司注册资本人民币</w:t>
      </w:r>
      <w:r>
        <w:rPr>
          <w:rFonts w:ascii="Times New Roman" w:hAnsi="Times New Roman" w:cs="Times New Roman" w:eastAsia="Times New Roman" w:hint="default"/>
        </w:rPr>
        <w:t>6,000</w:t>
      </w:r>
      <w:r>
        <w:rPr/>
        <w:t>万元，实收资本人民币</w:t>
      </w:r>
      <w:r>
        <w:rPr>
          <w:rFonts w:ascii="Times New Roman" w:hAnsi="Times New Roman" w:cs="Times New Roman" w:eastAsia="Times New Roman" w:hint="default"/>
        </w:rPr>
        <w:t>6,000</w:t>
      </w:r>
    </w:p>
    <w:p>
      <w:pPr>
        <w:pStyle w:val="BodyText"/>
        <w:spacing w:line="240" w:lineRule="auto" w:before="63"/>
        <w:ind w:right="0"/>
        <w:jc w:val="both"/>
      </w:pPr>
      <w:r>
        <w:rPr/>
        <w:t>万元。</w:t>
      </w:r>
    </w:p>
    <w:p>
      <w:pPr>
        <w:pStyle w:val="BodyText"/>
        <w:spacing w:line="240" w:lineRule="auto" w:before="76"/>
        <w:ind w:left="513" w:right="98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日，华大控股与深圳前海华大基因投资企业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华大投资</w:t>
      </w:r>
      <w:r>
        <w:rPr>
          <w:rFonts w:ascii="Times New Roman" w:hAnsi="Times New Roman" w:cs="Times New Roman" w:eastAsia="Times New Roman" w:hint="default"/>
        </w:rPr>
        <w:t>”)</w:t>
      </w:r>
      <w:r>
        <w:rPr/>
        <w:t>签署股权转让协议，华大控股以人民币</w:t>
      </w:r>
    </w:p>
    <w:p>
      <w:pPr>
        <w:pStyle w:val="BodyText"/>
        <w:spacing w:line="300" w:lineRule="auto" w:before="63"/>
        <w:ind w:right="1129"/>
        <w:jc w:val="both"/>
      </w:pPr>
      <w:r>
        <w:rPr>
          <w:rFonts w:ascii="Times New Roman" w:hAnsi="Times New Roman" w:cs="Times New Roman" w:eastAsia="Times New Roman" w:hint="default"/>
          <w:spacing w:val="-1"/>
        </w:rPr>
        <w:t>4,480</w:t>
      </w:r>
      <w:r>
        <w:rPr>
          <w:spacing w:val="-1"/>
        </w:rPr>
        <w:t>万元的对价出让其持有的本公司</w:t>
      </w:r>
      <w:r>
        <w:rPr>
          <w:rFonts w:ascii="Times New Roman" w:hAnsi="Times New Roman" w:cs="Times New Roman" w:eastAsia="Times New Roman" w:hint="default"/>
          <w:spacing w:val="-1"/>
        </w:rPr>
        <w:t>32%</w:t>
      </w:r>
      <w:r>
        <w:rPr>
          <w:spacing w:val="-1"/>
        </w:rPr>
        <w:t>之股份予华大投资，上述股份变更于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12</w:t>
      </w:r>
      <w:r>
        <w:rPr>
          <w:spacing w:val="-1"/>
        </w:rPr>
        <w:t>日完成工商变更。该股权转让完</w:t>
      </w:r>
      <w:r>
        <w:rPr>
          <w:spacing w:val="-41"/>
        </w:rPr>
        <w:t> </w:t>
      </w:r>
      <w:r>
        <w:rPr>
          <w:spacing w:val="-41"/>
        </w:rPr>
      </w:r>
      <w:r>
        <w:rPr/>
        <w:t>成后，华大投资持有本公司</w:t>
      </w:r>
      <w:r>
        <w:rPr>
          <w:rFonts w:ascii="Times New Roman" w:hAnsi="Times New Roman" w:cs="Times New Roman" w:eastAsia="Times New Roman" w:hint="default"/>
        </w:rPr>
        <w:t>32%</w:t>
      </w:r>
      <w:r>
        <w:rPr/>
        <w:t>股份。</w:t>
      </w:r>
    </w:p>
    <w:p>
      <w:pPr>
        <w:pStyle w:val="BodyText"/>
        <w:spacing w:line="314" w:lineRule="auto" w:before="13"/>
        <w:ind w:right="1126"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日及</w:t>
      </w:r>
      <w:r>
        <w:rPr>
          <w:rFonts w:ascii="Times New Roman" w:hAnsi="Times New Roman" w:cs="Times New Roman" w:eastAsia="Times New Roman" w:hint="default"/>
        </w:rPr>
        <w:t>15</w:t>
      </w:r>
      <w:r>
        <w:rPr/>
        <w:t>日股东大会决议通过，引进</w:t>
      </w:r>
      <w:r>
        <w:rPr>
          <w:rFonts w:ascii="Times New Roman" w:hAnsi="Times New Roman" w:cs="Times New Roman" w:eastAsia="Times New Roman" w:hint="default"/>
        </w:rPr>
        <w:t>10</w:t>
      </w:r>
      <w:r>
        <w:rPr/>
        <w:t>位非关联方股东，分别为上海腾希投资合伙企业（有限合伙）、深圳 </w:t>
      </w:r>
      <w:r>
        <w:rPr>
          <w:spacing w:val="-5"/>
        </w:rPr>
        <w:t>市华弘资本管理有限公司、中金佳成（天津）医疗投资中心（有限合伙）、深圳市南海成长创赢投资合伙企业（有限合伙）、</w:t>
      </w:r>
      <w:r>
        <w:rPr>
          <w:spacing w:val="-83"/>
        </w:rPr>
        <w:t> </w:t>
      </w:r>
      <w:r>
        <w:rPr>
          <w:spacing w:val="-83"/>
        </w:rPr>
      </w:r>
      <w:r>
        <w:rPr>
          <w:spacing w:val="-2"/>
        </w:rPr>
        <w:t>苏州软银天维创业投资合伙企业（有限合伙）、上海国和现代服务业股权投资基金合伙企业（有限合伙）、上海景林景麒投</w:t>
      </w:r>
      <w:r>
        <w:rPr>
          <w:spacing w:val="-68"/>
        </w:rPr>
        <w:t> </w:t>
      </w:r>
      <w:r>
        <w:rPr>
          <w:spacing w:val="-68"/>
        </w:rPr>
      </w:r>
      <w:r>
        <w:rPr>
          <w:spacing w:val="-2"/>
        </w:rPr>
        <w:t>资中心（有限合伙）、深圳市盛桥新领域投资合伙企业（有限合伙）、北京荣之联科技股份有限公司、深圳市红土生物创业</w:t>
      </w:r>
      <w:r>
        <w:rPr>
          <w:spacing w:val="-73"/>
        </w:rPr>
        <w:t> </w:t>
      </w:r>
      <w:r>
        <w:rPr>
          <w:spacing w:val="-73"/>
        </w:rPr>
      </w:r>
      <w:r>
        <w:rPr>
          <w:spacing w:val="-5"/>
        </w:rPr>
        <w:t>投资有限公司、深圳市创新投资集团有限公司、成都光控西部创业投资有限公司。上述少数股东分别持有本公司股权比例为：</w:t>
      </w:r>
      <w:r>
        <w:rPr>
          <w:spacing w:val="-76"/>
        </w:rPr>
        <w:t> </w:t>
      </w:r>
      <w:r>
        <w:rPr>
          <w:spacing w:val="-76"/>
        </w:rPr>
      </w:r>
      <w:r>
        <w:rPr>
          <w:rFonts w:ascii="Times New Roman" w:hAnsi="Times New Roman" w:cs="Times New Roman" w:eastAsia="Times New Roman" w:hint="default"/>
          <w:spacing w:val="-3"/>
        </w:rPr>
        <w:t>0.1887%</w:t>
      </w:r>
      <w:r>
        <w:rPr>
          <w:spacing w:val="-3"/>
        </w:rPr>
        <w:t>、</w:t>
      </w:r>
      <w:r>
        <w:rPr>
          <w:rFonts w:ascii="Times New Roman" w:hAnsi="Times New Roman" w:cs="Times New Roman" w:eastAsia="Times New Roman" w:hint="default"/>
          <w:spacing w:val="-3"/>
        </w:rPr>
        <w:t>0.4717%</w:t>
      </w:r>
      <w:r>
        <w:rPr>
          <w:spacing w:val="-3"/>
        </w:rPr>
        <w:t>、</w:t>
      </w:r>
      <w:r>
        <w:rPr>
          <w:rFonts w:ascii="Times New Roman" w:hAnsi="Times New Roman" w:cs="Times New Roman" w:eastAsia="Times New Roman" w:hint="default"/>
          <w:spacing w:val="-3"/>
        </w:rPr>
        <w:t>0.8491%</w:t>
      </w:r>
      <w:r>
        <w:rPr>
          <w:spacing w:val="-3"/>
        </w:rPr>
        <w:t>、</w:t>
      </w:r>
      <w:r>
        <w:rPr>
          <w:rFonts w:ascii="Times New Roman" w:hAnsi="Times New Roman" w:cs="Times New Roman" w:eastAsia="Times New Roman" w:hint="default"/>
          <w:spacing w:val="-3"/>
        </w:rPr>
        <w:t>0.8491%</w:t>
      </w:r>
      <w:r>
        <w:rPr>
          <w:spacing w:val="-3"/>
        </w:rPr>
        <w:t>、</w:t>
      </w:r>
      <w:r>
        <w:rPr>
          <w:rFonts w:ascii="Times New Roman" w:hAnsi="Times New Roman" w:cs="Times New Roman" w:eastAsia="Times New Roman" w:hint="default"/>
          <w:spacing w:val="-3"/>
        </w:rPr>
        <w:t>0.2209%</w:t>
      </w:r>
      <w:r>
        <w:rPr>
          <w:spacing w:val="-3"/>
        </w:rPr>
        <w:t>、</w:t>
      </w:r>
      <w:r>
        <w:rPr>
          <w:rFonts w:ascii="Times New Roman" w:hAnsi="Times New Roman" w:cs="Times New Roman" w:eastAsia="Times New Roman" w:hint="default"/>
          <w:spacing w:val="-3"/>
        </w:rPr>
        <w:t>0.4969%</w:t>
      </w:r>
      <w:r>
        <w:rPr>
          <w:spacing w:val="-3"/>
        </w:rPr>
        <w:t>、</w:t>
      </w:r>
      <w:r>
        <w:rPr>
          <w:rFonts w:ascii="Times New Roman" w:hAnsi="Times New Roman" w:cs="Times New Roman" w:eastAsia="Times New Roman" w:hint="default"/>
          <w:spacing w:val="-3"/>
        </w:rPr>
        <w:t>0.4969%</w:t>
      </w:r>
      <w:r>
        <w:rPr>
          <w:spacing w:val="-3"/>
        </w:rPr>
        <w:t>、</w:t>
      </w:r>
      <w:r>
        <w:rPr>
          <w:rFonts w:ascii="Times New Roman" w:hAnsi="Times New Roman" w:cs="Times New Roman" w:eastAsia="Times New Roman" w:hint="default"/>
          <w:spacing w:val="-3"/>
        </w:rPr>
        <w:t>1.5760%</w:t>
      </w:r>
      <w:r>
        <w:rPr>
          <w:spacing w:val="-3"/>
        </w:rPr>
        <w:t>、</w:t>
      </w:r>
      <w:r>
        <w:rPr>
          <w:rFonts w:ascii="Times New Roman" w:hAnsi="Times New Roman" w:cs="Times New Roman" w:eastAsia="Times New Roman" w:hint="default"/>
          <w:spacing w:val="-3"/>
        </w:rPr>
        <w:t>0.2128%</w:t>
      </w:r>
      <w:r>
        <w:rPr>
          <w:spacing w:val="-3"/>
        </w:rPr>
        <w:t>、</w:t>
      </w:r>
      <w:r>
        <w:rPr>
          <w:rFonts w:ascii="Times New Roman" w:hAnsi="Times New Roman" w:cs="Times New Roman" w:eastAsia="Times New Roman" w:hint="default"/>
          <w:spacing w:val="-3"/>
        </w:rPr>
        <w:t>0.1104%</w:t>
      </w:r>
      <w:r>
        <w:rPr>
          <w:spacing w:val="-3"/>
        </w:rPr>
        <w:t>、</w:t>
      </w:r>
      <w:r>
        <w:rPr>
          <w:rFonts w:ascii="Times New Roman" w:hAnsi="Times New Roman" w:cs="Times New Roman" w:eastAsia="Times New Roman" w:hint="default"/>
          <w:spacing w:val="-3"/>
        </w:rPr>
        <w:t>0.1104%</w:t>
      </w:r>
      <w:r>
        <w:rPr>
          <w:spacing w:val="-3"/>
        </w:rPr>
        <w:t>、</w:t>
      </w:r>
      <w:r>
        <w:rPr>
          <w:rFonts w:ascii="Times New Roman" w:hAnsi="Times New Roman" w:cs="Times New Roman" w:eastAsia="Times New Roman" w:hint="default"/>
          <w:spacing w:val="-3"/>
        </w:rPr>
        <w:t>0.5521%</w:t>
      </w:r>
      <w:r>
        <w:rPr>
          <w:spacing w:val="-3"/>
        </w:rPr>
        <w:t>。</w:t>
      </w:r>
    </w:p>
    <w:p>
      <w:pPr>
        <w:pStyle w:val="BodyText"/>
        <w:spacing w:line="302" w:lineRule="auto" w:before="1"/>
        <w:ind w:right="1129"/>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日，根据《股权转让协议》，经过双方协商确定本次股权转让价格，成都光控西部创业投资有限公司将其持有</w:t>
      </w:r>
      <w:r>
        <w:rPr>
          <w:spacing w:val="-86"/>
        </w:rPr>
        <w:t> </w:t>
      </w:r>
      <w:r>
        <w:rPr>
          <w:spacing w:val="-86"/>
        </w:rPr>
      </w:r>
      <w:r>
        <w:rPr>
          <w:spacing w:val="-1"/>
        </w:rPr>
        <w:t>的公司</w:t>
      </w:r>
      <w:r>
        <w:rPr>
          <w:rFonts w:ascii="Times New Roman" w:hAnsi="Times New Roman" w:cs="Times New Roman" w:eastAsia="Times New Roman" w:hint="default"/>
          <w:spacing w:val="-1"/>
        </w:rPr>
        <w:t>0.5521%</w:t>
      </w:r>
      <w:r>
        <w:rPr>
          <w:spacing w:val="-1"/>
        </w:rPr>
        <w:t>股权以</w:t>
      </w:r>
      <w:r>
        <w:rPr>
          <w:rFonts w:ascii="Times New Roman" w:hAnsi="Times New Roman" w:cs="Times New Roman" w:eastAsia="Times New Roman" w:hint="default"/>
          <w:spacing w:val="-1"/>
        </w:rPr>
        <w:t>1</w:t>
      </w:r>
      <w:r>
        <w:rPr>
          <w:spacing w:val="-1"/>
        </w:rPr>
        <w:t>元的价格转让给华大控股。成都光控自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14</w:t>
      </w:r>
      <w:r>
        <w:rPr>
          <w:spacing w:val="-1"/>
        </w:rPr>
        <w:t>日认缴出资额人民币</w:t>
      </w:r>
      <w:r>
        <w:rPr>
          <w:rFonts w:ascii="Times New Roman" w:hAnsi="Times New Roman" w:cs="Times New Roman" w:eastAsia="Times New Roman" w:hint="default"/>
          <w:spacing w:val="-1"/>
        </w:rPr>
        <w:t>352,941</w:t>
      </w:r>
      <w:r>
        <w:rPr>
          <w:spacing w:val="-1"/>
        </w:rPr>
        <w:t>元至本次股权转让之</w:t>
      </w:r>
      <w:r>
        <w:rPr>
          <w:spacing w:val="-87"/>
        </w:rPr>
        <w:t> </w:t>
      </w:r>
      <w:r>
        <w:rPr>
          <w:spacing w:val="-87"/>
        </w:rPr>
      </w:r>
      <w:r>
        <w:rPr>
          <w:spacing w:val="-2"/>
        </w:rPr>
        <w:t>日，未实缴出资额，故本次股权转让以象征性的价格作为对价，成都光控西部创投认缴出资额由华大控股实缴出资。上述少</w:t>
      </w:r>
      <w:r>
        <w:rPr>
          <w:spacing w:val="-64"/>
        </w:rPr>
        <w:t> </w:t>
      </w:r>
      <w:r>
        <w:rPr>
          <w:spacing w:val="-64"/>
        </w:rPr>
      </w:r>
      <w:r>
        <w:rPr>
          <w:spacing w:val="-1"/>
        </w:rPr>
        <w:t>数股东合计对本公司投资人民币</w:t>
      </w:r>
      <w:r>
        <w:rPr>
          <w:rFonts w:ascii="Times New Roman" w:hAnsi="Times New Roman" w:cs="Times New Roman" w:eastAsia="Times New Roman" w:hint="default"/>
          <w:spacing w:val="-1"/>
        </w:rPr>
        <w:t>5.5</w:t>
      </w:r>
      <w:r>
        <w:rPr>
          <w:spacing w:val="-1"/>
        </w:rPr>
        <w:t>亿元，另外华大控股新增对本公司投资人民币</w:t>
      </w:r>
      <w:r>
        <w:rPr>
          <w:rFonts w:ascii="Times New Roman" w:hAnsi="Times New Roman" w:cs="Times New Roman" w:eastAsia="Times New Roman" w:hint="default"/>
          <w:spacing w:val="-1"/>
        </w:rPr>
        <w:t>5,000</w:t>
      </w:r>
      <w:r>
        <w:rPr>
          <w:spacing w:val="-1"/>
        </w:rPr>
        <w:t>万元，持股比例</w:t>
      </w:r>
      <w:r>
        <w:rPr>
          <w:rFonts w:ascii="Times New Roman" w:hAnsi="Times New Roman" w:cs="Times New Roman" w:eastAsia="Times New Roman" w:hint="default"/>
          <w:spacing w:val="-1"/>
        </w:rPr>
        <w:t>0.4717%</w:t>
      </w:r>
      <w:r>
        <w:rPr>
          <w:spacing w:val="-1"/>
        </w:rPr>
        <w:t>；并于同年</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3"/>
        </w:rPr>
        <w:t> </w:t>
      </w:r>
      <w:r>
        <w:rPr>
          <w:spacing w:val="-1"/>
        </w:rPr>
        <w:t>月</w:t>
      </w:r>
      <w:r>
        <w:rPr>
          <w:rFonts w:ascii="Times New Roman" w:hAnsi="Times New Roman" w:cs="Times New Roman" w:eastAsia="Times New Roman" w:hint="default"/>
          <w:spacing w:val="-1"/>
        </w:rPr>
        <w:t>24</w:t>
      </w:r>
      <w:r>
        <w:rPr>
          <w:spacing w:val="-1"/>
        </w:rPr>
        <w:t>日，将该等</w:t>
      </w:r>
      <w:r>
        <w:rPr>
          <w:rFonts w:ascii="Times New Roman" w:hAnsi="Times New Roman" w:cs="Times New Roman" w:eastAsia="Times New Roman" w:hint="default"/>
          <w:spacing w:val="-1"/>
        </w:rPr>
        <w:t>0.4717%</w:t>
      </w:r>
      <w:r>
        <w:rPr>
          <w:spacing w:val="-1"/>
        </w:rPr>
        <w:t>的股权作价人民币</w:t>
      </w:r>
      <w:r>
        <w:rPr>
          <w:rFonts w:ascii="Times New Roman" w:hAnsi="Times New Roman" w:cs="Times New Roman" w:eastAsia="Times New Roman" w:hint="default"/>
          <w:spacing w:val="-1"/>
        </w:rPr>
        <w:t>5,000</w:t>
      </w:r>
      <w:r>
        <w:rPr>
          <w:spacing w:val="-1"/>
        </w:rPr>
        <w:t>万元转让予上海腾希投资合伙企业（有限合伙）及深圳市华弘资本管理有限</w:t>
      </w:r>
      <w:r>
        <w:rPr>
          <w:spacing w:val="-85"/>
        </w:rPr>
        <w:t> </w:t>
      </w:r>
      <w:r>
        <w:rPr>
          <w:spacing w:val="-85"/>
        </w:rPr>
      </w:r>
      <w:r>
        <w:rPr/>
        <w:t>公司，合计新增对本公司投资人民币</w:t>
      </w:r>
      <w:r>
        <w:rPr>
          <w:rFonts w:ascii="Times New Roman" w:hAnsi="Times New Roman" w:cs="Times New Roman" w:eastAsia="Times New Roman" w:hint="default"/>
        </w:rPr>
        <w:t>6</w:t>
      </w:r>
      <w:r>
        <w:rPr/>
        <w:t>亿元。注册资本由人民币</w:t>
      </w:r>
      <w:r>
        <w:rPr>
          <w:rFonts w:ascii="Times New Roman" w:hAnsi="Times New Roman" w:cs="Times New Roman" w:eastAsia="Times New Roman" w:hint="default"/>
        </w:rPr>
        <w:t>6,000</w:t>
      </w:r>
      <w:r>
        <w:rPr/>
        <w:t>万元增加到人民币</w:t>
      </w:r>
      <w:r>
        <w:rPr>
          <w:rFonts w:ascii="Times New Roman" w:hAnsi="Times New Roman" w:cs="Times New Roman" w:eastAsia="Times New Roman" w:hint="default"/>
        </w:rPr>
        <w:t>6,392.1607</w:t>
      </w:r>
      <w:r>
        <w:rPr/>
        <w:t>万元，资本公积增加人民</w:t>
      </w:r>
      <w:r>
        <w:rPr>
          <w:spacing w:val="-47"/>
        </w:rPr>
        <w:t> </w:t>
      </w:r>
      <w:r>
        <w:rPr>
          <w:spacing w:val="-47"/>
        </w:rPr>
      </w:r>
      <w:r>
        <w:rPr/>
        <w:t>币</w:t>
      </w:r>
      <w:r>
        <w:rPr>
          <w:rFonts w:ascii="Times New Roman" w:hAnsi="Times New Roman" w:cs="Times New Roman" w:eastAsia="Times New Roman" w:hint="default"/>
        </w:rPr>
        <w:t>59,607.8393</w:t>
      </w:r>
      <w:r>
        <w:rPr/>
        <w:t>万元。</w:t>
      </w:r>
    </w:p>
    <w:p>
      <w:pPr>
        <w:pStyle w:val="BodyText"/>
        <w:spacing w:line="309" w:lineRule="auto" w:before="11"/>
        <w:ind w:right="1126"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日股东大会决议通过，华大控股将其持有本公司的</w:t>
      </w:r>
      <w:r>
        <w:rPr>
          <w:rFonts w:ascii="Times New Roman" w:hAnsi="Times New Roman" w:cs="Times New Roman" w:eastAsia="Times New Roman" w:hint="default"/>
        </w:rPr>
        <w:t>13.2076%</w:t>
      </w:r>
      <w:r>
        <w:rPr/>
        <w:t>股份，作价人民币</w:t>
      </w:r>
      <w:r>
        <w:rPr>
          <w:rFonts w:ascii="Times New Roman" w:hAnsi="Times New Roman" w:cs="Times New Roman" w:eastAsia="Times New Roman" w:hint="default"/>
        </w:rPr>
        <w:t>14</w:t>
      </w:r>
      <w:r>
        <w:rPr/>
        <w:t>亿元，转让给另外</w:t>
      </w:r>
      <w:r>
        <w:rPr>
          <w:rFonts w:ascii="Times New Roman" w:hAnsi="Times New Roman" w:cs="Times New Roman" w:eastAsia="Times New Roman" w:hint="default"/>
        </w:rPr>
        <w:t>10</w:t>
      </w:r>
      <w:r>
        <w:rPr/>
        <w:t>个非 关联方股东，分别为深圳市创新投资集团有限公司、深圳市红土生物创业投资有限公司、上海腾希投资合伙企业（有限合</w:t>
      </w:r>
      <w:r>
        <w:rPr>
          <w:spacing w:val="-11"/>
        </w:rPr>
        <w:t> </w:t>
      </w:r>
      <w:r>
        <w:rPr>
          <w:spacing w:val="-11"/>
        </w:rPr>
      </w:r>
      <w:r>
        <w:rPr>
          <w:spacing w:val="-2"/>
        </w:rPr>
        <w:t>伙）、苏州松禾成长二号创业投资中心（有限合伙）、北京国投协力华大股权投资中心（有限合伙）、青岛金石灏汭投资有</w:t>
      </w:r>
      <w:r>
        <w:rPr>
          <w:spacing w:val="-64"/>
        </w:rPr>
        <w:t> </w:t>
      </w:r>
      <w:r>
        <w:rPr>
          <w:spacing w:val="-64"/>
        </w:rPr>
      </w:r>
      <w:r>
        <w:rPr>
          <w:spacing w:val="-2"/>
        </w:rPr>
        <w:t>限公司、深圳乐华源城投资有限公司、深圳市金翼汇顺健康产业投资合伙企业（有限合伙）、深圳国华腾飞创新投资基金企</w:t>
      </w:r>
      <w:r>
        <w:rPr>
          <w:spacing w:val="-67"/>
        </w:rPr>
        <w:t> </w:t>
      </w:r>
      <w:r>
        <w:rPr>
          <w:spacing w:val="-67"/>
        </w:rPr>
      </w:r>
      <w:r>
        <w:rPr>
          <w:spacing w:val="-3"/>
        </w:rPr>
        <w:t>业（有限合伙）、深圳市有孚创业投资企业（有限合伙），分别转让的股份比例为</w:t>
      </w:r>
      <w:r>
        <w:rPr>
          <w:rFonts w:ascii="Times New Roman" w:hAnsi="Times New Roman" w:cs="Times New Roman" w:eastAsia="Times New Roman" w:hint="default"/>
          <w:spacing w:val="-3"/>
        </w:rPr>
        <w:t>0.3774%</w:t>
      </w:r>
      <w:r>
        <w:rPr>
          <w:spacing w:val="-3"/>
        </w:rPr>
        <w:t>、</w:t>
      </w:r>
      <w:r>
        <w:rPr>
          <w:rFonts w:ascii="Times New Roman" w:hAnsi="Times New Roman" w:cs="Times New Roman" w:eastAsia="Times New Roman" w:hint="default"/>
          <w:spacing w:val="-3"/>
        </w:rPr>
        <w:t>0.3774%</w:t>
      </w:r>
      <w:r>
        <w:rPr>
          <w:spacing w:val="-3"/>
        </w:rPr>
        <w:t>、</w:t>
      </w:r>
      <w:r>
        <w:rPr>
          <w:rFonts w:ascii="Times New Roman" w:hAnsi="Times New Roman" w:cs="Times New Roman" w:eastAsia="Times New Roman" w:hint="default"/>
          <w:spacing w:val="-3"/>
        </w:rPr>
        <w:t>0.3774%</w:t>
      </w:r>
      <w:r>
        <w:rPr>
          <w:spacing w:val="-3"/>
        </w:rPr>
        <w:t>、</w:t>
      </w:r>
      <w:r>
        <w:rPr>
          <w:rFonts w:ascii="Times New Roman" w:hAnsi="Times New Roman" w:cs="Times New Roman" w:eastAsia="Times New Roman" w:hint="default"/>
          <w:spacing w:val="-3"/>
        </w:rPr>
        <w:t>0.9434%</w:t>
      </w:r>
      <w:r>
        <w:rPr>
          <w:spacing w:val="-3"/>
        </w:rPr>
        <w:t>、</w:t>
      </w:r>
      <w:r>
        <w:rPr>
          <w:spacing w:val="-37"/>
        </w:rPr>
        <w:t> </w:t>
      </w:r>
      <w:r>
        <w:rPr>
          <w:rFonts w:ascii="Times New Roman" w:hAnsi="Times New Roman" w:cs="Times New Roman" w:eastAsia="Times New Roman" w:hint="default"/>
        </w:rPr>
        <w:t>1.6981%</w:t>
      </w:r>
      <w:r>
        <w:rPr/>
        <w:t>、</w:t>
      </w:r>
      <w:r>
        <w:rPr>
          <w:rFonts w:ascii="Times New Roman" w:hAnsi="Times New Roman" w:cs="Times New Roman" w:eastAsia="Times New Roman" w:hint="default"/>
        </w:rPr>
        <w:t>1.8868%</w:t>
      </w:r>
      <w:r>
        <w:rPr/>
        <w:t>、</w:t>
      </w:r>
      <w:r>
        <w:rPr>
          <w:rFonts w:ascii="Times New Roman" w:hAnsi="Times New Roman" w:cs="Times New Roman" w:eastAsia="Times New Roman" w:hint="default"/>
        </w:rPr>
        <w:t>1.8868%</w:t>
      </w:r>
      <w:r>
        <w:rPr/>
        <w:t>、</w:t>
      </w:r>
      <w:r>
        <w:rPr>
          <w:rFonts w:ascii="Times New Roman" w:hAnsi="Times New Roman" w:cs="Times New Roman" w:eastAsia="Times New Roman" w:hint="default"/>
        </w:rPr>
        <w:t>1.8868%</w:t>
      </w:r>
      <w:r>
        <w:rPr/>
        <w:t>、</w:t>
      </w:r>
      <w:r>
        <w:rPr>
          <w:rFonts w:ascii="Times New Roman" w:hAnsi="Times New Roman" w:cs="Times New Roman" w:eastAsia="Times New Roman" w:hint="default"/>
        </w:rPr>
        <w:t>1.8868%</w:t>
      </w:r>
      <w:r>
        <w:rPr/>
        <w:t>、</w:t>
      </w:r>
      <w:r>
        <w:rPr>
          <w:rFonts w:ascii="Times New Roman" w:hAnsi="Times New Roman" w:cs="Times New Roman" w:eastAsia="Times New Roman" w:hint="default"/>
        </w:rPr>
        <w:t>1.8868%</w:t>
      </w:r>
      <w:r>
        <w:rPr/>
        <w:t>。</w:t>
      </w:r>
    </w:p>
    <w:p>
      <w:pPr>
        <w:pStyle w:val="BodyText"/>
        <w:spacing w:line="300" w:lineRule="auto" w:before="5"/>
        <w:ind w:right="1133"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日，根据签订《关于深圳华大基因医学有限公司之股权转让协议》，经各方协商确定本次股权转让价格， 华大控股将其持有本公司</w:t>
      </w:r>
      <w:r>
        <w:rPr>
          <w:rFonts w:ascii="Times New Roman" w:hAnsi="Times New Roman" w:cs="Times New Roman" w:eastAsia="Times New Roman" w:hint="default"/>
        </w:rPr>
        <w:t>0.1887%</w:t>
      </w:r>
      <w:r>
        <w:rPr/>
        <w:t>的股权以人民币</w:t>
      </w:r>
      <w:r>
        <w:rPr>
          <w:rFonts w:ascii="Times New Roman" w:hAnsi="Times New Roman" w:cs="Times New Roman" w:eastAsia="Times New Roman" w:hint="default"/>
        </w:rPr>
        <w:t>2,000</w:t>
      </w:r>
      <w:r>
        <w:rPr/>
        <w:t>万元的价格转让给上海腾希、将其持有的本公司</w:t>
      </w:r>
      <w:r>
        <w:rPr>
          <w:rFonts w:ascii="Times New Roman" w:hAnsi="Times New Roman" w:cs="Times New Roman" w:eastAsia="Times New Roman" w:hint="default"/>
        </w:rPr>
        <w:t>0.2830%</w:t>
      </w:r>
      <w:r>
        <w:rPr/>
        <w:t>的股权以人</w:t>
      </w:r>
      <w:r>
        <w:rPr>
          <w:spacing w:val="-77"/>
        </w:rPr>
        <w:t> </w:t>
      </w:r>
      <w:r>
        <w:rPr/>
        <w:t>民币</w:t>
      </w:r>
      <w:r>
        <w:rPr>
          <w:rFonts w:ascii="Times New Roman" w:hAnsi="Times New Roman" w:cs="Times New Roman" w:eastAsia="Times New Roman" w:hint="default"/>
        </w:rPr>
        <w:t>3,000</w:t>
      </w:r>
      <w:r>
        <w:rPr/>
        <w:t>万元的价格转让给华弘资本。该股权转让完成后，华大控股持有本公司股份下降为</w:t>
      </w:r>
      <w:r>
        <w:rPr>
          <w:rFonts w:ascii="Times New Roman" w:hAnsi="Times New Roman" w:cs="Times New Roman" w:eastAsia="Times New Roman" w:hint="default"/>
        </w:rPr>
        <w:t>50.7010%</w:t>
      </w:r>
      <w:r>
        <w:rPr/>
        <w:t>。</w:t>
      </w:r>
    </w:p>
    <w:p>
      <w:pPr>
        <w:pStyle w:val="BodyText"/>
        <w:spacing w:line="240" w:lineRule="auto" w:before="13"/>
        <w:ind w:left="513" w:right="113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日，公司股东会会议作出决议，同意华大控股以人民币</w:t>
      </w:r>
      <w:r>
        <w:rPr>
          <w:rFonts w:ascii="Times New Roman" w:hAnsi="Times New Roman" w:cs="Times New Roman" w:eastAsia="Times New Roman" w:hint="default"/>
        </w:rPr>
        <w:t>70,603,738.65</w:t>
      </w:r>
      <w:r>
        <w:rPr/>
        <w:t>元向公司进行现金增资，将公司注册</w:t>
      </w:r>
    </w:p>
    <w:p>
      <w:pPr>
        <w:spacing w:after="0" w:line="240" w:lineRule="auto"/>
        <w:jc w:val="left"/>
        <w:sectPr>
          <w:headerReference w:type="default" r:id="rId39"/>
          <w:footerReference w:type="default" r:id="rId40"/>
          <w:pgSz w:w="11910" w:h="16840"/>
          <w:pgMar w:header="880" w:footer="974" w:top="1100" w:bottom="1160" w:left="980" w:right="0"/>
          <w:pgNumType w:start="171"/>
        </w:sectPr>
      </w:pPr>
    </w:p>
    <w:p>
      <w:pPr>
        <w:spacing w:line="240" w:lineRule="auto" w:before="0"/>
        <w:rPr>
          <w:rFonts w:ascii="宋体" w:hAnsi="宋体" w:cs="宋体" w:eastAsia="宋体" w:hint="default"/>
          <w:sz w:val="22"/>
          <w:szCs w:val="22"/>
        </w:rPr>
      </w:pPr>
    </w:p>
    <w:p>
      <w:pPr>
        <w:pStyle w:val="BodyText"/>
        <w:spacing w:line="300" w:lineRule="auto" w:before="44"/>
        <w:ind w:right="1129"/>
        <w:jc w:val="both"/>
      </w:pPr>
      <w:r>
        <w:rPr>
          <w:spacing w:val="-2"/>
        </w:rPr>
        <w:t>资本由人民币</w:t>
      </w:r>
      <w:r>
        <w:rPr>
          <w:rFonts w:ascii="Times New Roman" w:hAnsi="Times New Roman" w:cs="Times New Roman" w:eastAsia="Times New Roman" w:hint="default"/>
          <w:spacing w:val="-2"/>
        </w:rPr>
        <w:t>6,392.1607</w:t>
      </w:r>
      <w:r>
        <w:rPr>
          <w:spacing w:val="-2"/>
        </w:rPr>
        <w:t>万元增加至人民币</w:t>
      </w:r>
      <w:r>
        <w:rPr>
          <w:rFonts w:ascii="Times New Roman" w:hAnsi="Times New Roman" w:cs="Times New Roman" w:eastAsia="Times New Roman" w:hint="default"/>
          <w:spacing w:val="-2"/>
        </w:rPr>
        <w:t>6,995.1947</w:t>
      </w:r>
      <w:r>
        <w:rPr>
          <w:spacing w:val="-2"/>
        </w:rPr>
        <w:t>万元。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日，公司股东会会议作出决议，同意华大控股、华</w:t>
      </w:r>
      <w:r>
        <w:rPr>
          <w:spacing w:val="-43"/>
        </w:rPr>
        <w:t> </w:t>
      </w:r>
      <w:r>
        <w:rPr>
          <w:spacing w:val="-43"/>
        </w:rPr>
      </w:r>
      <w:r>
        <w:rPr>
          <w:spacing w:val="-1"/>
        </w:rPr>
        <w:t>大三生园以其持有的深圳华大基因科技服务有限公司</w:t>
      </w:r>
      <w:r>
        <w:rPr>
          <w:rFonts w:ascii="Times New Roman" w:hAnsi="Times New Roman" w:cs="Times New Roman" w:eastAsia="Times New Roman" w:hint="default"/>
          <w:spacing w:val="-1"/>
        </w:rPr>
        <w:t>(“</w:t>
      </w:r>
      <w:r>
        <w:rPr>
          <w:spacing w:val="-1"/>
        </w:rPr>
        <w:t>华大科技</w:t>
      </w:r>
      <w:r>
        <w:rPr>
          <w:rFonts w:ascii="Times New Roman" w:hAnsi="Times New Roman" w:cs="Times New Roman" w:eastAsia="Times New Roman" w:hint="default"/>
          <w:spacing w:val="-1"/>
        </w:rPr>
        <w:t>”)</w:t>
      </w:r>
      <w:r>
        <w:rPr>
          <w:spacing w:val="-1"/>
        </w:rPr>
        <w:t>共计</w:t>
      </w:r>
      <w:r>
        <w:rPr>
          <w:rFonts w:ascii="Times New Roman" w:hAnsi="Times New Roman" w:cs="Times New Roman" w:eastAsia="Times New Roman" w:hint="default"/>
          <w:spacing w:val="-1"/>
        </w:rPr>
        <w:t>57.6225%</w:t>
      </w:r>
      <w:r>
        <w:rPr>
          <w:spacing w:val="-1"/>
        </w:rPr>
        <w:t>的股权对本公司进行增资，将公司注册资本</w:t>
      </w:r>
      <w:r>
        <w:rPr>
          <w:spacing w:val="-49"/>
        </w:rPr>
        <w:t> </w:t>
      </w:r>
      <w:r>
        <w:rPr>
          <w:spacing w:val="-49"/>
        </w:rPr>
      </w:r>
      <w:r>
        <w:rPr>
          <w:spacing w:val="6"/>
        </w:rPr>
        <w:t>由人民币</w:t>
      </w:r>
      <w:r>
        <w:rPr>
          <w:rFonts w:ascii="Times New Roman" w:hAnsi="Times New Roman" w:cs="Times New Roman" w:eastAsia="Times New Roman" w:hint="default"/>
          <w:spacing w:val="6"/>
        </w:rPr>
        <w:t>6,995.1947</w:t>
      </w:r>
      <w:r>
        <w:rPr>
          <w:spacing w:val="6"/>
        </w:rPr>
        <w:t>万元增加至人民币</w:t>
      </w:r>
      <w:r>
        <w:rPr>
          <w:rFonts w:ascii="Times New Roman" w:hAnsi="Times New Roman" w:cs="Times New Roman" w:eastAsia="Times New Roman" w:hint="default"/>
          <w:spacing w:val="6"/>
        </w:rPr>
        <w:t>8,585.8836</w:t>
      </w:r>
      <w:r>
        <w:rPr>
          <w:spacing w:val="6"/>
        </w:rPr>
        <w:t>万元。至此，华大控股和华大三生园分别持有本公司股份</w:t>
      </w:r>
      <w:r>
        <w:rPr>
          <w:rFonts w:ascii="Times New Roman" w:hAnsi="Times New Roman" w:cs="Times New Roman" w:eastAsia="Times New Roman" w:hint="default"/>
          <w:spacing w:val="6"/>
        </w:rPr>
        <w:t>61.9818%</w:t>
      </w:r>
      <w:r>
        <w:rPr>
          <w:spacing w:val="6"/>
        </w:rPr>
        <w:t>和</w:t>
      </w:r>
      <w:r>
        <w:rPr>
          <w:spacing w:val="-74"/>
        </w:rPr>
        <w:t> </w:t>
      </w:r>
      <w:r>
        <w:rPr>
          <w:rFonts w:ascii="Times New Roman" w:hAnsi="Times New Roman" w:cs="Times New Roman" w:eastAsia="Times New Roman" w:hint="default"/>
        </w:rPr>
        <w:t>1.3153%</w:t>
      </w:r>
      <w:r>
        <w:rPr/>
        <w:t>。</w:t>
      </w:r>
    </w:p>
    <w:p>
      <w:pPr>
        <w:pStyle w:val="BodyText"/>
        <w:spacing w:line="300" w:lineRule="auto" w:before="13"/>
        <w:ind w:right="1034"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日，根据签订《关于深圳华大基因医学有限公司之股权转让协议》，经各方协商确定本次股权转让价格， </w:t>
      </w:r>
      <w:r>
        <w:rPr>
          <w:spacing w:val="5"/>
        </w:rPr>
        <w:t>上海景林将其所持</w:t>
      </w:r>
      <w:r>
        <w:rPr>
          <w:rFonts w:ascii="Times New Roman" w:hAnsi="Times New Roman" w:cs="Times New Roman" w:eastAsia="Times New Roman" w:hint="default"/>
          <w:spacing w:val="5"/>
        </w:rPr>
        <w:t>0.2056%</w:t>
      </w:r>
      <w:r>
        <w:rPr>
          <w:spacing w:val="5"/>
        </w:rPr>
        <w:t>的股权作价人民币</w:t>
      </w:r>
      <w:r>
        <w:rPr>
          <w:rFonts w:ascii="Times New Roman" w:hAnsi="Times New Roman" w:cs="Times New Roman" w:eastAsia="Times New Roman" w:hint="default"/>
          <w:spacing w:val="5"/>
        </w:rPr>
        <w:t>2,628.0822</w:t>
      </w:r>
      <w:r>
        <w:rPr>
          <w:spacing w:val="5"/>
        </w:rPr>
        <w:t>万元价格转让给南海成长、将其所持</w:t>
      </w:r>
      <w:r>
        <w:rPr>
          <w:rFonts w:ascii="Times New Roman" w:hAnsi="Times New Roman" w:cs="Times New Roman" w:eastAsia="Times New Roman" w:hint="default"/>
          <w:spacing w:val="5"/>
        </w:rPr>
        <w:t>0.1644%</w:t>
      </w:r>
      <w:r>
        <w:rPr>
          <w:spacing w:val="5"/>
        </w:rPr>
        <w:t>的股权作价人民币</w:t>
      </w:r>
      <w:r>
        <w:rPr>
          <w:spacing w:val="-85"/>
        </w:rPr>
        <w:t> </w:t>
      </w:r>
      <w:r>
        <w:rPr>
          <w:spacing w:val="-85"/>
        </w:rPr>
      </w:r>
      <w:r>
        <w:rPr>
          <w:rFonts w:ascii="Times New Roman" w:hAnsi="Times New Roman" w:cs="Times New Roman" w:eastAsia="Times New Roman" w:hint="default"/>
        </w:rPr>
        <w:t>2,102.4658</w:t>
      </w:r>
      <w:r>
        <w:rPr/>
        <w:t>万元价格转让给华弘资本。</w:t>
      </w:r>
    </w:p>
    <w:p>
      <w:pPr>
        <w:pStyle w:val="BodyText"/>
        <w:spacing w:line="300" w:lineRule="auto" w:before="13"/>
        <w:ind w:right="986" w:firstLine="360"/>
        <w:jc w:val="left"/>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日董事会决议，本公司与华大控股、深圳和玉高林股权投资合伙企业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和玉高林</w:t>
      </w:r>
      <w:r>
        <w:rPr>
          <w:rFonts w:ascii="Times New Roman" w:hAnsi="Times New Roman" w:cs="Times New Roman" w:eastAsia="Times New Roman" w:hint="default"/>
        </w:rPr>
        <w:t>”</w:t>
      </w:r>
      <w:r>
        <w:rPr/>
        <w:t>）签订的 </w:t>
      </w:r>
      <w:r>
        <w:rPr>
          <w:spacing w:val="-4"/>
        </w:rPr>
        <w:t>投资协议，和玉高林对本公司投资人民币</w:t>
      </w:r>
      <w:r>
        <w:rPr>
          <w:rFonts w:ascii="Times New Roman" w:hAnsi="Times New Roman" w:cs="Times New Roman" w:eastAsia="Times New Roman" w:hint="default"/>
          <w:spacing w:val="-4"/>
        </w:rPr>
        <w:t>15</w:t>
      </w:r>
      <w:r>
        <w:rPr>
          <w:spacing w:val="-4"/>
        </w:rPr>
        <w:t>亿元，将公司注册资本由</w:t>
      </w:r>
      <w:r>
        <w:rPr>
          <w:rFonts w:ascii="Times New Roman" w:hAnsi="Times New Roman" w:cs="Times New Roman" w:eastAsia="Times New Roman" w:hint="default"/>
          <w:spacing w:val="-4"/>
        </w:rPr>
        <w:t>8,585.8836</w:t>
      </w:r>
      <w:r>
        <w:rPr>
          <w:spacing w:val="-4"/>
        </w:rPr>
        <w:t>万元增加至</w:t>
      </w:r>
      <w:r>
        <w:rPr>
          <w:rFonts w:ascii="Times New Roman" w:hAnsi="Times New Roman" w:cs="Times New Roman" w:eastAsia="Times New Roman" w:hint="default"/>
          <w:spacing w:val="-4"/>
        </w:rPr>
        <w:t>9,353.8864</w:t>
      </w:r>
      <w:r>
        <w:rPr>
          <w:spacing w:val="-4"/>
        </w:rPr>
        <w:t>万元，持有本公司</w:t>
      </w:r>
      <w:r>
        <w:rPr>
          <w:rFonts w:ascii="Times New Roman" w:hAnsi="Times New Roman" w:cs="Times New Roman" w:eastAsia="Times New Roman" w:hint="default"/>
          <w:spacing w:val="-4"/>
        </w:rPr>
        <w:t>8.2105%</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股份。至此，华大控股持有本公司的股权稀释为</w:t>
      </w:r>
      <w:r>
        <w:rPr>
          <w:rFonts w:ascii="Times New Roman" w:hAnsi="Times New Roman" w:cs="Times New Roman" w:eastAsia="Times New Roman" w:hint="default"/>
        </w:rPr>
        <w:t>56.8928%</w:t>
      </w:r>
      <w:r>
        <w:rPr/>
        <w:t>。</w:t>
      </w:r>
    </w:p>
    <w:p>
      <w:pPr>
        <w:pStyle w:val="BodyText"/>
        <w:spacing w:line="300" w:lineRule="auto" w:before="13"/>
        <w:ind w:right="1135"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日，根据签订《关于深圳华大基因医学有限公司之股权转让协议》，经双方协商确定本次股权转让价格， 华大控股将其所持</w:t>
      </w:r>
      <w:r>
        <w:rPr>
          <w:rFonts w:ascii="Times New Roman" w:hAnsi="Times New Roman" w:cs="Times New Roman" w:eastAsia="Times New Roman" w:hint="default"/>
        </w:rPr>
        <w:t>2.7368%</w:t>
      </w:r>
      <w:r>
        <w:rPr/>
        <w:t>的股权以人民币</w:t>
      </w:r>
      <w:r>
        <w:rPr>
          <w:rFonts w:ascii="Times New Roman" w:hAnsi="Times New Roman" w:cs="Times New Roman" w:eastAsia="Times New Roman" w:hint="default"/>
        </w:rPr>
        <w:t>50,000</w:t>
      </w:r>
      <w:r>
        <w:rPr/>
        <w:t>万元的价格转让给和玉高林。</w:t>
      </w:r>
    </w:p>
    <w:p>
      <w:pPr>
        <w:pStyle w:val="BodyText"/>
        <w:spacing w:line="304" w:lineRule="auto" w:before="13"/>
        <w:ind w:right="1128" w:firstLine="360"/>
        <w:jc w:val="both"/>
      </w:pPr>
      <w:r>
        <w:rPr>
          <w:spacing w:val="-2"/>
        </w:rPr>
        <w:t>根据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29</w:t>
      </w:r>
      <w:r>
        <w:rPr>
          <w:spacing w:val="-2"/>
        </w:rPr>
        <w:t>日董事会决议，根据相关股权转让协议，华大控股向</w:t>
      </w:r>
      <w:r>
        <w:rPr>
          <w:rFonts w:ascii="Times New Roman" w:hAnsi="Times New Roman" w:cs="Times New Roman" w:eastAsia="Times New Roman" w:hint="default"/>
          <w:spacing w:val="-2"/>
        </w:rPr>
        <w:t>7</w:t>
      </w:r>
      <w:r>
        <w:rPr>
          <w:spacing w:val="-2"/>
        </w:rPr>
        <w:t>个投资者转让本公司</w:t>
      </w:r>
      <w:r>
        <w:rPr>
          <w:rFonts w:ascii="Times New Roman" w:hAnsi="Times New Roman" w:cs="Times New Roman" w:eastAsia="Times New Roman" w:hint="default"/>
          <w:spacing w:val="-2"/>
        </w:rPr>
        <w:t>8.2104%</w:t>
      </w:r>
      <w:r>
        <w:rPr>
          <w:spacing w:val="-2"/>
        </w:rPr>
        <w:t>的</w:t>
      </w:r>
      <w:r>
        <w:rPr/>
        <w:t> 股权，</w:t>
      </w:r>
      <w:r>
        <w:rPr>
          <w:rFonts w:ascii="Times New Roman" w:hAnsi="Times New Roman" w:cs="Times New Roman" w:eastAsia="Times New Roman" w:hint="default"/>
        </w:rPr>
        <w:t>7</w:t>
      </w:r>
      <w:r>
        <w:rPr/>
        <w:t>个外部投资者中金佳成（天津）医疗投资中心（有限合伙）、北京丰悦泰和股权投资合伙企业（有限合伙）、萍乡</w:t>
      </w:r>
      <w:r>
        <w:rPr>
          <w:spacing w:val="-84"/>
        </w:rPr>
        <w:t> </w:t>
      </w:r>
      <w:r>
        <w:rPr>
          <w:spacing w:val="-84"/>
        </w:rPr>
      </w:r>
      <w:r>
        <w:rPr>
          <w:spacing w:val="-2"/>
        </w:rPr>
        <w:t>市汇晟资产管理合伙企业（有限合伙）、深圳春藤股权投资合伙企业（有限合伙）、深圳市东土盛唐投资管理合伙企业（有</w:t>
      </w:r>
      <w:r>
        <w:rPr>
          <w:spacing w:val="-71"/>
        </w:rPr>
        <w:t> </w:t>
      </w:r>
      <w:r>
        <w:rPr>
          <w:spacing w:val="-71"/>
        </w:rPr>
      </w:r>
      <w:r>
        <w:rPr>
          <w:spacing w:val="-3"/>
        </w:rPr>
        <w:t>限合伙）、深圳市盛桥新健康投资合伙企业（有限合伙）、中国人寿保险（集团）公司，分别以人民币</w:t>
      </w:r>
      <w:r>
        <w:rPr>
          <w:rFonts w:ascii="Times New Roman" w:hAnsi="Times New Roman" w:cs="Times New Roman" w:eastAsia="Times New Roman" w:hint="default"/>
          <w:spacing w:val="-3"/>
        </w:rPr>
        <w:t>1</w:t>
      </w:r>
      <w:r>
        <w:rPr>
          <w:spacing w:val="-3"/>
        </w:rPr>
        <w:t>亿元、</w:t>
      </w:r>
      <w:r>
        <w:rPr>
          <w:rFonts w:ascii="Times New Roman" w:hAnsi="Times New Roman" w:cs="Times New Roman" w:eastAsia="Times New Roman" w:hint="default"/>
          <w:spacing w:val="-3"/>
        </w:rPr>
        <w:t>5</w:t>
      </w:r>
      <w:r>
        <w:rPr>
          <w:spacing w:val="-3"/>
        </w:rPr>
        <w:t>亿元、</w:t>
      </w:r>
      <w:r>
        <w:rPr>
          <w:rFonts w:ascii="Times New Roman" w:hAnsi="Times New Roman" w:cs="Times New Roman" w:eastAsia="Times New Roman" w:hint="default"/>
          <w:spacing w:val="-3"/>
        </w:rPr>
        <w:t>0.6</w:t>
      </w:r>
      <w:r>
        <w:rPr>
          <w:spacing w:val="-3"/>
        </w:rPr>
        <w:t>亿</w:t>
      </w:r>
      <w:r>
        <w:rPr>
          <w:spacing w:val="-54"/>
        </w:rPr>
        <w:t> </w:t>
      </w:r>
      <w:r>
        <w:rPr>
          <w:spacing w:val="-7"/>
        </w:rPr>
        <w:t>元、</w:t>
      </w:r>
      <w:r>
        <w:rPr>
          <w:rFonts w:ascii="Times New Roman" w:hAnsi="Times New Roman" w:cs="Times New Roman" w:eastAsia="Times New Roman" w:hint="default"/>
          <w:spacing w:val="-7"/>
        </w:rPr>
        <w:t>0.8</w:t>
      </w:r>
      <w:r>
        <w:rPr>
          <w:spacing w:val="-7"/>
        </w:rPr>
        <w:t>亿元、</w:t>
      </w:r>
      <w:r>
        <w:rPr>
          <w:rFonts w:ascii="Times New Roman" w:hAnsi="Times New Roman" w:cs="Times New Roman" w:eastAsia="Times New Roman" w:hint="default"/>
          <w:spacing w:val="-7"/>
        </w:rPr>
        <w:t>1.2</w:t>
      </w:r>
      <w:r>
        <w:rPr>
          <w:spacing w:val="-7"/>
        </w:rPr>
        <w:t>亿元、</w:t>
      </w:r>
      <w:r>
        <w:rPr>
          <w:rFonts w:ascii="Times New Roman" w:hAnsi="Times New Roman" w:cs="Times New Roman" w:eastAsia="Times New Roman" w:hint="default"/>
          <w:spacing w:val="-7"/>
        </w:rPr>
        <w:t>1.4</w:t>
      </w:r>
      <w:r>
        <w:rPr>
          <w:spacing w:val="-7"/>
        </w:rPr>
        <w:t>亿元、</w:t>
      </w:r>
      <w:r>
        <w:rPr>
          <w:rFonts w:ascii="Times New Roman" w:hAnsi="Times New Roman" w:cs="Times New Roman" w:eastAsia="Times New Roman" w:hint="default"/>
          <w:spacing w:val="-7"/>
        </w:rPr>
        <w:t>5</w:t>
      </w:r>
      <w:r>
        <w:rPr>
          <w:spacing w:val="-7"/>
        </w:rPr>
        <w:t>亿元的对价换取了华大控股持有本公司的</w:t>
      </w:r>
      <w:r>
        <w:rPr>
          <w:rFonts w:ascii="Times New Roman" w:hAnsi="Times New Roman" w:cs="Times New Roman" w:eastAsia="Times New Roman" w:hint="default"/>
          <w:spacing w:val="-7"/>
        </w:rPr>
        <w:t>0.5474%</w:t>
      </w:r>
      <w:r>
        <w:rPr>
          <w:spacing w:val="-7"/>
        </w:rPr>
        <w:t>、</w:t>
      </w:r>
      <w:r>
        <w:rPr>
          <w:rFonts w:ascii="Times New Roman" w:hAnsi="Times New Roman" w:cs="Times New Roman" w:eastAsia="Times New Roman" w:hint="default"/>
          <w:spacing w:val="-7"/>
        </w:rPr>
        <w:t>2.7368%</w:t>
      </w:r>
      <w:r>
        <w:rPr>
          <w:spacing w:val="-7"/>
        </w:rPr>
        <w:t>、</w:t>
      </w:r>
      <w:r>
        <w:rPr>
          <w:rFonts w:ascii="Times New Roman" w:hAnsi="Times New Roman" w:cs="Times New Roman" w:eastAsia="Times New Roman" w:hint="default"/>
          <w:spacing w:val="-7"/>
        </w:rPr>
        <w:t>0.3284%</w:t>
      </w:r>
      <w:r>
        <w:rPr>
          <w:spacing w:val="-7"/>
        </w:rPr>
        <w:t>、</w:t>
      </w:r>
      <w:r>
        <w:rPr>
          <w:rFonts w:ascii="Times New Roman" w:hAnsi="Times New Roman" w:cs="Times New Roman" w:eastAsia="Times New Roman" w:hint="default"/>
          <w:spacing w:val="-7"/>
        </w:rPr>
        <w:t>0.4379%</w:t>
      </w:r>
      <w:r>
        <w:rPr>
          <w:spacing w:val="-7"/>
        </w:rPr>
        <w:t>、</w:t>
      </w:r>
      <w:r>
        <w:rPr>
          <w:rFonts w:ascii="Times New Roman" w:hAnsi="Times New Roman" w:cs="Times New Roman" w:eastAsia="Times New Roman" w:hint="default"/>
          <w:spacing w:val="-7"/>
        </w:rPr>
        <w:t>0.6568%</w:t>
      </w:r>
      <w:r>
        <w:rPr>
          <w:spacing w:val="-7"/>
        </w:rPr>
        <w:t>、</w:t>
      </w:r>
      <w:r>
        <w:rPr>
          <w:spacing w:val="-21"/>
        </w:rPr>
        <w:t> </w:t>
      </w:r>
      <w:r>
        <w:rPr>
          <w:rFonts w:ascii="Times New Roman" w:hAnsi="Times New Roman" w:cs="Times New Roman" w:eastAsia="Times New Roman" w:hint="default"/>
        </w:rPr>
        <w:t>0.7663%</w:t>
      </w:r>
      <w:r>
        <w:rPr/>
        <w:t>、</w:t>
      </w:r>
      <w:r>
        <w:rPr>
          <w:rFonts w:ascii="Times New Roman" w:hAnsi="Times New Roman" w:cs="Times New Roman" w:eastAsia="Times New Roman" w:hint="default"/>
        </w:rPr>
        <w:t>2.7368%</w:t>
      </w:r>
      <w:r>
        <w:rPr/>
        <w:t>的股份。至此，华大控股持有本公司</w:t>
      </w:r>
      <w:r>
        <w:rPr>
          <w:rFonts w:ascii="Times New Roman" w:hAnsi="Times New Roman" w:cs="Times New Roman" w:eastAsia="Times New Roman" w:hint="default"/>
        </w:rPr>
        <w:t>45.9455%</w:t>
      </w:r>
      <w:r>
        <w:rPr/>
        <w:t>股权。</w:t>
      </w:r>
    </w:p>
    <w:p>
      <w:pPr>
        <w:pStyle w:val="BodyText"/>
        <w:spacing w:line="300" w:lineRule="auto" w:before="9"/>
        <w:ind w:right="1129" w:firstLine="360"/>
        <w:jc w:val="both"/>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日股东会决议，本公司股东华大控股将其持有本公司的</w:t>
      </w:r>
      <w:r>
        <w:rPr>
          <w:rFonts w:ascii="Times New Roman" w:hAnsi="Times New Roman" w:cs="Times New Roman" w:eastAsia="Times New Roman" w:hint="default"/>
        </w:rPr>
        <w:t>0.0744%</w:t>
      </w:r>
      <w:r>
        <w:rPr/>
        <w:t>、</w:t>
      </w:r>
      <w:r>
        <w:rPr>
          <w:rFonts w:ascii="Times New Roman" w:hAnsi="Times New Roman" w:cs="Times New Roman" w:eastAsia="Times New Roman" w:hint="default"/>
        </w:rPr>
        <w:t>0.0744%</w:t>
      </w:r>
      <w:r>
        <w:rPr/>
        <w:t>和</w:t>
      </w:r>
      <w:r>
        <w:rPr>
          <w:rFonts w:ascii="Times New Roman" w:hAnsi="Times New Roman" w:cs="Times New Roman" w:eastAsia="Times New Roman" w:hint="default"/>
        </w:rPr>
        <w:t>0.1095%</w:t>
      </w:r>
      <w:r>
        <w:rPr/>
        <w:t>的股份分别以人 </w:t>
      </w:r>
      <w:r>
        <w:rPr>
          <w:spacing w:val="-1"/>
        </w:rPr>
        <w:t>民币</w:t>
      </w:r>
      <w:r>
        <w:rPr>
          <w:rFonts w:ascii="Times New Roman" w:hAnsi="Times New Roman" w:cs="Times New Roman" w:eastAsia="Times New Roman" w:hint="default"/>
          <w:spacing w:val="-1"/>
        </w:rPr>
        <w:t>1,360</w:t>
      </w:r>
      <w:r>
        <w:rPr>
          <w:spacing w:val="-1"/>
        </w:rPr>
        <w:t>万元、人民币</w:t>
      </w:r>
      <w:r>
        <w:rPr>
          <w:rFonts w:ascii="Times New Roman" w:hAnsi="Times New Roman" w:cs="Times New Roman" w:eastAsia="Times New Roman" w:hint="default"/>
          <w:spacing w:val="-1"/>
        </w:rPr>
        <w:t>1,360</w:t>
      </w:r>
      <w:r>
        <w:rPr>
          <w:spacing w:val="-1"/>
        </w:rPr>
        <w:t>万元、人民币</w:t>
      </w:r>
      <w:r>
        <w:rPr>
          <w:rFonts w:ascii="Times New Roman" w:hAnsi="Times New Roman" w:cs="Times New Roman" w:eastAsia="Times New Roman" w:hint="default"/>
          <w:spacing w:val="-1"/>
        </w:rPr>
        <w:t>2,000</w:t>
      </w:r>
      <w:r>
        <w:rPr>
          <w:spacing w:val="-1"/>
        </w:rPr>
        <w:t>万元，转让给深圳市红土生物创业投资有限公司、深圳市创新投资集团有限</w:t>
      </w:r>
      <w:r>
        <w:rPr>
          <w:spacing w:val="-74"/>
        </w:rPr>
        <w:t> </w:t>
      </w:r>
      <w:r>
        <w:rPr>
          <w:spacing w:val="-74"/>
        </w:rPr>
      </w:r>
      <w:r>
        <w:rPr/>
        <w:t>公司和深圳市深港产学研创业投资有限公司，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日，本公司完成工商变更登记手续，至此，华大控股持有本公司</w:t>
      </w:r>
      <w:r>
        <w:rPr>
          <w:spacing w:val="-85"/>
        </w:rPr>
        <w:t> </w:t>
      </w:r>
      <w:r>
        <w:rPr>
          <w:spacing w:val="-85"/>
        </w:rPr>
      </w:r>
      <w:r>
        <w:rPr>
          <w:rFonts w:ascii="Times New Roman" w:hAnsi="Times New Roman" w:cs="Times New Roman" w:eastAsia="Times New Roman" w:hint="default"/>
        </w:rPr>
        <w:t>45.6871%</w:t>
      </w:r>
      <w:r>
        <w:rPr/>
        <w:t>股权。</w:t>
      </w:r>
    </w:p>
    <w:p>
      <w:pPr>
        <w:pStyle w:val="BodyText"/>
        <w:spacing w:line="300" w:lineRule="auto" w:before="13"/>
        <w:ind w:right="1128" w:firstLine="360"/>
        <w:jc w:val="both"/>
      </w:pPr>
      <w:r>
        <w:rPr>
          <w:spacing w:val="-2"/>
        </w:rPr>
        <w:t>根据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22</w:t>
      </w:r>
      <w:r>
        <w:rPr>
          <w:spacing w:val="-2"/>
        </w:rPr>
        <w:t>日股东会议决议，同意以本公司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日经审计后的净资产金额计人民币</w:t>
      </w:r>
      <w:r>
        <w:rPr>
          <w:rFonts w:ascii="Times New Roman" w:hAnsi="Times New Roman" w:cs="Times New Roman" w:eastAsia="Times New Roman" w:hint="default"/>
          <w:spacing w:val="-2"/>
        </w:rPr>
        <w:t>2,627,064,895.20</w:t>
      </w:r>
      <w:r>
        <w:rPr>
          <w:spacing w:val="-2"/>
        </w:rPr>
        <w:t>元，作</w:t>
      </w:r>
      <w:r>
        <w:rPr/>
        <w:t> 为对拟设立股份有限公司投资入股，其中人民币</w:t>
      </w:r>
      <w:r>
        <w:rPr>
          <w:rFonts w:ascii="Times New Roman" w:hAnsi="Times New Roman" w:cs="Times New Roman" w:eastAsia="Times New Roman" w:hint="default"/>
        </w:rPr>
        <w:t>326,119,339.00</w:t>
      </w:r>
      <w:r>
        <w:rPr/>
        <w:t>元折为股份有限公司普通股</w:t>
      </w:r>
      <w:r>
        <w:rPr>
          <w:rFonts w:ascii="Times New Roman" w:hAnsi="Times New Roman" w:cs="Times New Roman" w:eastAsia="Times New Roman" w:hint="default"/>
        </w:rPr>
        <w:t>326,119,339</w:t>
      </w:r>
      <w:r>
        <w:rPr/>
        <w:t>股，注册资本变更为</w:t>
      </w:r>
      <w:r>
        <w:rPr>
          <w:spacing w:val="-47"/>
        </w:rPr>
        <w:t> </w:t>
      </w:r>
      <w:r>
        <w:rPr>
          <w:spacing w:val="-47"/>
        </w:rPr>
      </w:r>
      <w:r>
        <w:rPr>
          <w:spacing w:val="-1"/>
        </w:rPr>
        <w:t>人民币</w:t>
      </w:r>
      <w:r>
        <w:rPr>
          <w:rFonts w:ascii="Times New Roman" w:hAnsi="Times New Roman" w:cs="Times New Roman" w:eastAsia="Times New Roman" w:hint="default"/>
          <w:spacing w:val="-1"/>
        </w:rPr>
        <w:t>326,119,339.00</w:t>
      </w:r>
      <w:r>
        <w:rPr>
          <w:spacing w:val="-1"/>
        </w:rPr>
        <w:t>元。同日，本公司召开股东大会，全体发行人一致决定将本公司整体变更为股份有限公司，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spacing w:val="-70"/>
        </w:rPr>
        <w:t> </w:t>
      </w:r>
      <w:r>
        <w:rPr>
          <w:rFonts w:ascii="Times New Roman" w:hAnsi="Times New Roman" w:cs="Times New Roman" w:eastAsia="Times New Roman" w:hint="default"/>
          <w:spacing w:val="-2"/>
        </w:rPr>
        <w:t>23</w:t>
      </w:r>
      <w:r>
        <w:rPr>
          <w:spacing w:val="-2"/>
        </w:rPr>
        <w:t>日完成股改相关的工商登记手续，股份制改制后，本公司更名为深圳华大基因股份有限公司。注册地变更为深圳市盐田区</w:t>
      </w:r>
      <w:r>
        <w:rPr>
          <w:spacing w:val="-65"/>
        </w:rPr>
        <w:t> </w:t>
      </w:r>
      <w:r>
        <w:rPr>
          <w:spacing w:val="-65"/>
        </w:rPr>
      </w:r>
      <w:r>
        <w:rPr/>
        <w:t>洪安三街</w:t>
      </w:r>
      <w:r>
        <w:rPr>
          <w:rFonts w:ascii="Times New Roman" w:hAnsi="Times New Roman" w:cs="Times New Roman" w:eastAsia="Times New Roman" w:hint="default"/>
        </w:rPr>
        <w:t>21</w:t>
      </w:r>
      <w:r>
        <w:rPr/>
        <w:t>号华大综合园</w:t>
      </w:r>
      <w:r>
        <w:rPr>
          <w:rFonts w:ascii="Times New Roman" w:hAnsi="Times New Roman" w:cs="Times New Roman" w:eastAsia="Times New Roman" w:hint="default"/>
        </w:rPr>
        <w:t>7</w:t>
      </w:r>
      <w:r>
        <w:rPr/>
        <w:t>栋</w:t>
      </w:r>
      <w:r>
        <w:rPr>
          <w:rFonts w:ascii="Times New Roman" w:hAnsi="Times New Roman" w:cs="Times New Roman" w:eastAsia="Times New Roman" w:hint="default"/>
        </w:rPr>
        <w:t>7</w:t>
      </w:r>
      <w:r>
        <w:rPr/>
        <w:t>层</w:t>
      </w:r>
      <w:r>
        <w:rPr>
          <w:rFonts w:ascii="Times New Roman" w:hAnsi="Times New Roman" w:cs="Times New Roman" w:eastAsia="Times New Roman" w:hint="default"/>
        </w:rPr>
        <w:t>-14</w:t>
      </w:r>
      <w:r>
        <w:rPr/>
        <w:t>层。</w:t>
      </w:r>
    </w:p>
    <w:p>
      <w:pPr>
        <w:pStyle w:val="BodyText"/>
        <w:spacing w:line="300" w:lineRule="auto" w:before="13"/>
        <w:ind w:right="1128" w:firstLine="360"/>
        <w:jc w:val="both"/>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日股东大会决议，本公司增发股份收购其子公司华大科技的</w:t>
      </w:r>
      <w:r>
        <w:rPr>
          <w:rFonts w:ascii="Times New Roman" w:hAnsi="Times New Roman" w:cs="Times New Roman" w:eastAsia="Times New Roman" w:hint="default"/>
        </w:rPr>
        <w:t>18</w:t>
      </w:r>
      <w:r>
        <w:rPr/>
        <w:t>个少数股东所持有华大科技的</w:t>
      </w:r>
      <w:r>
        <w:rPr>
          <w:rFonts w:ascii="Times New Roman" w:hAnsi="Times New Roman" w:cs="Times New Roman" w:eastAsia="Times New Roman" w:hint="default"/>
        </w:rPr>
        <w:t>33.2865% </w:t>
      </w:r>
      <w:r>
        <w:rPr/>
        <w:t>股权，在原股份</w:t>
      </w:r>
      <w:r>
        <w:rPr>
          <w:rFonts w:ascii="Times New Roman" w:hAnsi="Times New Roman" w:cs="Times New Roman" w:eastAsia="Times New Roman" w:hint="default"/>
        </w:rPr>
        <w:t>326,119,339</w:t>
      </w:r>
      <w:r>
        <w:rPr/>
        <w:t>股的基础上，增发股份</w:t>
      </w:r>
      <w:r>
        <w:rPr>
          <w:rFonts w:ascii="Times New Roman" w:hAnsi="Times New Roman" w:cs="Times New Roman" w:eastAsia="Times New Roman" w:hint="default"/>
        </w:rPr>
        <w:t>33,880,661</w:t>
      </w:r>
      <w:r>
        <w:rPr/>
        <w:t>股，累计发行股本总数为</w:t>
      </w:r>
      <w:r>
        <w:rPr>
          <w:rFonts w:ascii="Times New Roman" w:hAnsi="Times New Roman" w:cs="Times New Roman" w:eastAsia="Times New Roman" w:hint="default"/>
        </w:rPr>
        <w:t>360,000,000</w:t>
      </w:r>
      <w:r>
        <w:rPr/>
        <w:t>股，注册资本变更为人民 币</w:t>
      </w:r>
      <w:r>
        <w:rPr>
          <w:rFonts w:ascii="Times New Roman" w:hAnsi="Times New Roman" w:cs="Times New Roman" w:eastAsia="Times New Roman" w:hint="default"/>
        </w:rPr>
        <w:t>360,000,000</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日完成相关的工商登记手续；至此，华大控股持有本公司股份稀释为</w:t>
      </w:r>
      <w:r>
        <w:rPr>
          <w:rFonts w:ascii="Times New Roman" w:hAnsi="Times New Roman" w:cs="Times New Roman" w:eastAsia="Times New Roman" w:hint="default"/>
        </w:rPr>
        <w:t>41.33%</w:t>
      </w:r>
      <w:r>
        <w:rPr/>
        <w:t>。</w:t>
      </w:r>
    </w:p>
    <w:p>
      <w:pPr>
        <w:pStyle w:val="BodyText"/>
        <w:spacing w:line="300" w:lineRule="auto" w:before="13"/>
        <w:ind w:right="1128" w:firstLine="360"/>
        <w:jc w:val="both"/>
      </w:pPr>
      <w:r>
        <w:rPr>
          <w:spacing w:val="-1"/>
        </w:rPr>
        <w:t>根据本公司在</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8</w:t>
      </w:r>
      <w:r>
        <w:rPr>
          <w:spacing w:val="-1"/>
        </w:rPr>
        <w:t>日召开股东大会审议通过的《关于公司首次公开发行人民币普通股（</w:t>
      </w:r>
      <w:r>
        <w:rPr>
          <w:rFonts w:ascii="Times New Roman" w:hAnsi="Times New Roman" w:cs="Times New Roman" w:eastAsia="Times New Roman" w:hint="default"/>
          <w:spacing w:val="-1"/>
        </w:rPr>
        <w:t>A</w:t>
      </w:r>
      <w:r>
        <w:rPr>
          <w:spacing w:val="-1"/>
        </w:rPr>
        <w:t>股）并在创业板上市方</w:t>
      </w:r>
      <w:r>
        <w:rPr/>
        <w:t> </w:t>
      </w:r>
      <w:r>
        <w:rPr>
          <w:spacing w:val="-3"/>
        </w:rPr>
        <w:t>案的议案》和在</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17</w:t>
      </w:r>
      <w:r>
        <w:rPr>
          <w:spacing w:val="-3"/>
        </w:rPr>
        <w:t>日召开</w:t>
      </w:r>
      <w:r>
        <w:rPr>
          <w:rFonts w:ascii="Times New Roman" w:hAnsi="Times New Roman" w:cs="Times New Roman" w:eastAsia="Times New Roman" w:hint="default"/>
          <w:spacing w:val="-3"/>
        </w:rPr>
        <w:t>2016</w:t>
      </w:r>
      <w:r>
        <w:rPr>
          <w:spacing w:val="-3"/>
        </w:rPr>
        <w:t>年年度股东大会通过的《关于修改公司首次公开发行人民币普通股（</w:t>
      </w:r>
      <w:r>
        <w:rPr>
          <w:rFonts w:ascii="Times New Roman" w:hAnsi="Times New Roman" w:cs="Times New Roman" w:eastAsia="Times New Roman" w:hint="default"/>
          <w:spacing w:val="-3"/>
        </w:rPr>
        <w:t>A</w:t>
      </w:r>
      <w:r>
        <w:rPr>
          <w:spacing w:val="-3"/>
        </w:rPr>
        <w:t>股）股票并在</w:t>
      </w:r>
      <w:r>
        <w:rPr>
          <w:spacing w:val="-40"/>
        </w:rPr>
        <w:t> </w:t>
      </w:r>
      <w:r>
        <w:rPr>
          <w:spacing w:val="-40"/>
        </w:rPr>
      </w:r>
      <w:r>
        <w:rPr/>
        <w:t>创业板上市的议案》以及于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日收到中国证券监督管理委员会《关于核准深圳华大基因股份有限公司首次公开发</w:t>
      </w:r>
      <w:r>
        <w:rPr>
          <w:spacing w:val="-85"/>
        </w:rPr>
        <w:t> </w:t>
      </w:r>
      <w:r>
        <w:rPr>
          <w:spacing w:val="-85"/>
        </w:rPr>
      </w:r>
      <w:r>
        <w:rPr>
          <w:spacing w:val="-1"/>
        </w:rPr>
        <w:t>行股票的批复》（证监许可</w:t>
      </w:r>
      <w:r>
        <w:rPr>
          <w:rFonts w:ascii="Times New Roman" w:hAnsi="Times New Roman" w:cs="Times New Roman" w:eastAsia="Times New Roman" w:hint="default"/>
          <w:spacing w:val="-1"/>
        </w:rPr>
        <w:t>[2017]1023</w:t>
      </w:r>
      <w:r>
        <w:rPr>
          <w:spacing w:val="-1"/>
        </w:rPr>
        <w:t>号），截止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11</w:t>
      </w:r>
      <w:r>
        <w:rPr>
          <w:spacing w:val="-1"/>
        </w:rPr>
        <w:t>日，本公司向社会公开发行人民币普通股</w:t>
      </w:r>
      <w:r>
        <w:rPr>
          <w:rFonts w:ascii="Times New Roman" w:hAnsi="Times New Roman" w:cs="Times New Roman" w:eastAsia="Times New Roman" w:hint="default"/>
          <w:spacing w:val="-1"/>
        </w:rPr>
        <w:t>40,100,000</w:t>
      </w:r>
      <w:r>
        <w:rPr>
          <w:spacing w:val="-1"/>
        </w:rPr>
        <w:t>股，面值</w:t>
      </w:r>
      <w:r>
        <w:rPr>
          <w:spacing w:val="-50"/>
        </w:rPr>
        <w:t> </w:t>
      </w:r>
      <w:r>
        <w:rPr>
          <w:spacing w:val="-50"/>
        </w:rPr>
      </w:r>
      <w:r>
        <w:rPr>
          <w:spacing w:val="-2"/>
        </w:rPr>
        <w:t>为每股人民币</w:t>
      </w:r>
      <w:r>
        <w:rPr>
          <w:rFonts w:ascii="Times New Roman" w:hAnsi="Times New Roman" w:cs="Times New Roman" w:eastAsia="Times New Roman" w:hint="default"/>
          <w:spacing w:val="-2"/>
        </w:rPr>
        <w:t>1.00</w:t>
      </w:r>
      <w:r>
        <w:rPr>
          <w:spacing w:val="-2"/>
        </w:rPr>
        <w:t>元，发行后的注册资本为人民币</w:t>
      </w:r>
      <w:r>
        <w:rPr>
          <w:rFonts w:ascii="Times New Roman" w:hAnsi="Times New Roman" w:cs="Times New Roman" w:eastAsia="Times New Roman" w:hint="default"/>
          <w:spacing w:val="-2"/>
        </w:rPr>
        <w:t>400,100,000</w:t>
      </w:r>
      <w:r>
        <w:rPr>
          <w:spacing w:val="-2"/>
        </w:rPr>
        <w:t>元。本次发行新股募集资金总额</w:t>
      </w:r>
      <w:r>
        <w:rPr>
          <w:rFonts w:ascii="Times New Roman" w:hAnsi="Times New Roman" w:cs="Times New Roman" w:eastAsia="Times New Roman" w:hint="default"/>
          <w:spacing w:val="-2"/>
        </w:rPr>
        <w:t>546,964,000.00</w:t>
      </w:r>
      <w:r>
        <w:rPr>
          <w:spacing w:val="-2"/>
        </w:rPr>
        <w:t>元，扣减不含税</w:t>
      </w:r>
      <w:r>
        <w:rPr>
          <w:spacing w:val="-44"/>
        </w:rPr>
        <w:t> </w:t>
      </w:r>
      <w:r>
        <w:rPr>
          <w:spacing w:val="-44"/>
        </w:rPr>
      </w:r>
      <w:r>
        <w:rPr>
          <w:spacing w:val="-2"/>
        </w:rPr>
        <w:t>发行费用人民币</w:t>
      </w:r>
      <w:r>
        <w:rPr>
          <w:rFonts w:ascii="Times New Roman" w:hAnsi="Times New Roman" w:cs="Times New Roman" w:eastAsia="Times New Roman" w:hint="default"/>
          <w:spacing w:val="-2"/>
        </w:rPr>
        <w:t>63,102,660.37</w:t>
      </w:r>
      <w:r>
        <w:rPr>
          <w:spacing w:val="-2"/>
        </w:rPr>
        <w:t>元，实际募集资金净额</w:t>
      </w:r>
      <w:r>
        <w:rPr>
          <w:rFonts w:ascii="Times New Roman" w:hAnsi="Times New Roman" w:cs="Times New Roman" w:eastAsia="Times New Roman" w:hint="default"/>
          <w:spacing w:val="-2"/>
        </w:rPr>
        <w:t>483,861,339.62</w:t>
      </w:r>
      <w:r>
        <w:rPr>
          <w:spacing w:val="-2"/>
        </w:rPr>
        <w:t>元。经深圳证券交易所《关于深圳华大基因股份有限公司</w:t>
      </w:r>
      <w:r>
        <w:rPr>
          <w:spacing w:val="-45"/>
        </w:rPr>
        <w:t> </w:t>
      </w:r>
      <w:r>
        <w:rPr>
          <w:spacing w:val="-45"/>
        </w:rPr>
      </w:r>
      <w:r>
        <w:rPr>
          <w:spacing w:val="-2"/>
        </w:rPr>
        <w:t>人民币普通股股票在创业板上市的通知》（深证上</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rFonts w:ascii="Times New Roman" w:hAnsi="Times New Roman" w:cs="Times New Roman" w:eastAsia="Times New Roman" w:hint="default"/>
          <w:spacing w:val="-2"/>
        </w:rPr>
        <w:t>440</w:t>
      </w:r>
      <w:r>
        <w:rPr>
          <w:spacing w:val="-2"/>
        </w:rPr>
        <w:t>号）同意，本公司发行的人民币普通股股票于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14</w:t>
      </w:r>
      <w:r>
        <w:rPr>
          <w:spacing w:val="-2"/>
        </w:rPr>
        <w:t>日在</w:t>
      </w:r>
      <w:r>
        <w:rPr>
          <w:spacing w:val="-43"/>
        </w:rPr>
        <w:t> </w:t>
      </w:r>
      <w:r>
        <w:rPr/>
        <w:t>深圳证券交易所创业板上市，股票简称</w:t>
      </w:r>
      <w:r>
        <w:rPr>
          <w:rFonts w:ascii="Times New Roman" w:hAnsi="Times New Roman" w:cs="Times New Roman" w:eastAsia="Times New Roman" w:hint="default"/>
        </w:rPr>
        <w:t>“</w:t>
      </w:r>
      <w:r>
        <w:rPr/>
        <w:t>华大基因</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“300676”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日，本公司完成相关工商变更登记手</w:t>
      </w:r>
      <w:r>
        <w:rPr>
          <w:spacing w:val="-53"/>
        </w:rPr>
        <w:t> </w:t>
      </w:r>
      <w:r>
        <w:rPr>
          <w:spacing w:val="-53"/>
        </w:rPr>
      </w:r>
      <w:r>
        <w:rPr/>
        <w:t>续，至此，华大控股持有本公司</w:t>
      </w:r>
      <w:r>
        <w:rPr>
          <w:rFonts w:ascii="Times New Roman" w:hAnsi="Times New Roman" w:cs="Times New Roman" w:eastAsia="Times New Roman" w:hint="default"/>
        </w:rPr>
        <w:t>37.18%</w:t>
      </w:r>
      <w:r>
        <w:rPr/>
        <w:t>股权。</w:t>
      </w:r>
    </w:p>
    <w:p>
      <w:pPr>
        <w:pStyle w:val="BodyText"/>
        <w:spacing w:line="316" w:lineRule="auto" w:before="13"/>
        <w:ind w:left="513" w:right="1133"/>
        <w:jc w:val="left"/>
      </w:pPr>
      <w:r>
        <w:rPr/>
        <w:t>上述历史沿革事项均已完成工商登记变更。 </w:t>
      </w:r>
      <w:r>
        <w:rPr>
          <w:spacing w:val="-2"/>
        </w:rPr>
        <w:t>本公司及子公司经营范围为：贸易经纪与代理；医学研究和试验发展；临床检验服务；医疗用品及器械研发、制造、批</w:t>
      </w:r>
    </w:p>
    <w:p>
      <w:pPr>
        <w:pStyle w:val="BodyText"/>
        <w:spacing w:line="240" w:lineRule="auto" w:before="19"/>
        <w:ind w:right="0"/>
        <w:jc w:val="both"/>
      </w:pPr>
      <w:r>
        <w:rPr/>
        <w:t>发、零售。</w:t>
      </w:r>
    </w:p>
    <w:p>
      <w:pPr>
        <w:pStyle w:val="BodyText"/>
        <w:spacing w:line="316" w:lineRule="auto" w:before="77"/>
        <w:ind w:left="513" w:right="4633"/>
        <w:jc w:val="left"/>
      </w:pPr>
      <w:r>
        <w:rPr/>
        <w:t>本公司的母公司和最终母公司为华大控股，最终控股股东为自然人汪建。 本财务报表经公司董事会于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日决议批准。</w:t>
      </w:r>
    </w:p>
    <w:p>
      <w:pPr>
        <w:spacing w:after="0" w:line="316" w:lineRule="auto"/>
        <w:jc w:val="left"/>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16" w:lineRule="auto" w:before="44"/>
        <w:ind w:right="1286" w:firstLine="288"/>
        <w:jc w:val="left"/>
      </w:pPr>
      <w:r>
        <w:rPr/>
        <w:t>合并财务报表的合并范围以控制为基础确定，报告期内纳入合并范围和新纳入合并范围的主要子公司详见第十一节财 务报告附注八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和附注九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“1</w:t>
      </w:r>
      <w:r>
        <w:rPr/>
        <w:t>、在子公司中的权益</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92" w:lineRule="auto"/>
        <w:ind w:right="1118" w:firstLine="360"/>
        <w:jc w:val="left"/>
      </w:pPr>
      <w:r>
        <w:rPr>
          <w:spacing w:val="-2"/>
        </w:rPr>
        <w:t>本财务报表按照财政部颁布的《企业会计准则</w:t>
      </w:r>
      <w:r>
        <w:rPr>
          <w:rFonts w:ascii="Times New Roman" w:hAnsi="Times New Roman" w:cs="Times New Roman" w:eastAsia="Times New Roman" w:hint="default"/>
          <w:spacing w:val="-2"/>
          <w:sz w:val="20"/>
          <w:szCs w:val="20"/>
        </w:rPr>
        <w:t>—</w:t>
      </w:r>
      <w:r>
        <w:rPr>
          <w:spacing w:val="-2"/>
        </w:rPr>
        <w:t>基本准则》以及其后颁布及修订的具体会计准则、应用指南、解释以及</w:t>
      </w:r>
      <w:r>
        <w:rPr/>
        <w:t> 其他相关规定</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3" w:firstLine="360"/>
        <w:jc w:val="left"/>
      </w:pPr>
      <w:r>
        <w:rPr/>
        <w:t>公司已评价自报告期末起至少</w:t>
      </w:r>
      <w:r>
        <w:rPr>
          <w:rFonts w:ascii="Times New Roman" w:hAnsi="Times New Roman" w:cs="Times New Roman" w:eastAsia="Times New Roman" w:hint="default"/>
        </w:rPr>
        <w:t>12</w:t>
      </w:r>
      <w:r>
        <w:rPr/>
        <w:t>个月的持续经营能力，公司管理层相信公司能自本财务报表批准日后不短于</w:t>
      </w:r>
      <w:r>
        <w:rPr>
          <w:rFonts w:ascii="Times New Roman" w:hAnsi="Times New Roman" w:cs="Times New Roman" w:eastAsia="Times New Roman" w:hint="default"/>
        </w:rPr>
        <w:t>12</w:t>
      </w:r>
      <w:r>
        <w:rPr/>
        <w:t>个月的</w:t>
      </w:r>
      <w:r>
        <w:rPr>
          <w:spacing w:val="2"/>
        </w:rPr>
        <w:t> </w:t>
      </w:r>
      <w:r>
        <w:rPr/>
        <w:t>可预见未来期间内持续经营。因此，公司以持续经营为基础编制截至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日止的财务报表。</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360" w:lineRule="auto" w:before="25"/>
        <w:ind w:right="8234"/>
        <w:jc w:val="left"/>
      </w:pPr>
      <w:r>
        <w:rPr/>
        <w:t>医疗器械业 具体会计政策和会计估计提示：</w:t>
      </w:r>
    </w:p>
    <w:p>
      <w:pPr>
        <w:pStyle w:val="BodyText"/>
        <w:spacing w:line="316" w:lineRule="auto" w:before="27"/>
        <w:ind w:right="986" w:firstLine="360"/>
        <w:jc w:val="left"/>
      </w:pPr>
      <w:r>
        <w:rPr>
          <w:spacing w:val="-2"/>
        </w:rPr>
        <w:t>公司根据实际生产经营特点制定了具体会计政策和会计估计，主要体现在应收款项坏账准备的计提、收入确认和计量以</w:t>
      </w:r>
      <w:r>
        <w:rPr/>
        <w:t> 及研发费用资本化条件。</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firstLine="360"/>
        <w:jc w:val="left"/>
      </w:pPr>
      <w:r>
        <w:rPr>
          <w:spacing w:val="-2"/>
        </w:rPr>
        <w:t>本财务报表符合企业会计准则的要求，真实、完整地反映了本公司于</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日的财务状况以及</w:t>
      </w:r>
      <w:r>
        <w:rPr>
          <w:rFonts w:ascii="宋体" w:hAnsi="宋体" w:cs="宋体" w:eastAsia="宋体" w:hint="default"/>
          <w:spacing w:val="-2"/>
        </w:rPr>
        <w:t>2018</w:t>
      </w:r>
      <w:r>
        <w:rPr>
          <w:spacing w:val="-2"/>
        </w:rPr>
        <w:t>年度的经营成</w:t>
      </w:r>
      <w:r>
        <w:rPr/>
        <w:t> 果和现金流量。</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公司会计年度釆用公历年度，即每年自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公司营业周期为</w:t>
      </w:r>
      <w:r>
        <w:rPr>
          <w:rFonts w:ascii="宋体" w:hAnsi="宋体" w:cs="宋体" w:eastAsia="宋体" w:hint="default"/>
        </w:rPr>
        <w:t>12</w:t>
      </w:r>
      <w:r>
        <w:rPr/>
        <w:t>个月。</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86"/>
        <w:jc w:val="left"/>
      </w:pPr>
      <w:r>
        <w:rPr/>
        <w:t>公司记账本位币和编制本财务报表所采用的货币均为人民币。除有特别说明外，均以人民币元为单位表示。 </w:t>
      </w:r>
      <w:r>
        <w:rPr>
          <w:spacing w:val="-2"/>
        </w:rPr>
        <w:t>公司下属子公司、合营企业及联营企业，根据其经营所处的主要经济环境自行决定其记账本位币，编制本财务报表时折</w:t>
      </w:r>
    </w:p>
    <w:p>
      <w:pPr>
        <w:pStyle w:val="BodyText"/>
        <w:spacing w:line="240" w:lineRule="auto" w:before="19"/>
        <w:ind w:right="1133"/>
        <w:jc w:val="left"/>
      </w:pPr>
      <w:r>
        <w:rPr/>
        <w:t>算为人民币。</w:t>
      </w:r>
    </w:p>
    <w:p>
      <w:pPr>
        <w:spacing w:after="0" w:line="240" w:lineRule="auto"/>
        <w:jc w:val="left"/>
        <w:sectPr>
          <w:pgSz w:w="11910" w:h="16840"/>
          <w:pgMar w:header="88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left="513" w:right="1133" w:hanging="361"/>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spacing w:line="360" w:lineRule="auto" w:before="0"/>
        <w:ind w:left="513" w:right="5533" w:firstLine="0"/>
        <w:jc w:val="left"/>
        <w:rPr>
          <w:rFonts w:ascii="宋体" w:hAnsi="宋体" w:cs="宋体" w:eastAsia="宋体" w:hint="default"/>
          <w:sz w:val="18"/>
          <w:szCs w:val="18"/>
        </w:rPr>
      </w:pPr>
      <w:r>
        <w:rPr>
          <w:rFonts w:ascii="宋体" w:hAnsi="宋体" w:cs="宋体" w:eastAsia="宋体" w:hint="default"/>
          <w:sz w:val="18"/>
          <w:szCs w:val="18"/>
        </w:rPr>
        <w:t>企业合并分为同一控制下企业合并和非同一控制下企业合并。 </w:t>
      </w:r>
      <w:r>
        <w:rPr>
          <w:rFonts w:ascii="宋体" w:hAnsi="宋体" w:cs="宋体" w:eastAsia="宋体" w:hint="default"/>
          <w:b/>
          <w:bCs/>
          <w:sz w:val="18"/>
          <w:szCs w:val="18"/>
        </w:rPr>
        <w:t>同一控制下企业合并</w:t>
      </w:r>
      <w:r>
        <w:rPr>
          <w:rFonts w:ascii="宋体" w:hAnsi="宋体" w:cs="宋体" w:eastAsia="宋体" w:hint="default"/>
          <w:sz w:val="18"/>
          <w:szCs w:val="18"/>
        </w:rPr>
      </w:r>
    </w:p>
    <w:p>
      <w:pPr>
        <w:pStyle w:val="BodyText"/>
        <w:spacing w:line="316" w:lineRule="auto" w:before="25"/>
        <w:ind w:right="1129" w:firstLine="360"/>
        <w:jc w:val="both"/>
      </w:pPr>
      <w:r>
        <w:rPr>
          <w:spacing w:val="-2"/>
        </w:rPr>
        <w:t>参与合并的企业在合并前后均受同一方或相同的多方最终控制，且该控制并非暂时性的，为同一控制下的企业合并。同</w:t>
      </w:r>
      <w:r>
        <w:rPr/>
        <w:t> </w:t>
      </w:r>
      <w:r>
        <w:rPr>
          <w:spacing w:val="-5"/>
        </w:rPr>
        <w:t>一控制下的企业合并，在合并日取得对其他参与合并企业控制权的一方为合并方，参与合并的其他企业为被合并方。合并日，</w:t>
      </w:r>
      <w:r>
        <w:rPr>
          <w:spacing w:val="-75"/>
        </w:rPr>
        <w:t> </w:t>
      </w:r>
      <w:r>
        <w:rPr>
          <w:spacing w:val="-75"/>
        </w:rPr>
      </w:r>
      <w:r>
        <w:rPr/>
        <w:t>是指合并方实际取得对被合并方控制权的日期。</w:t>
      </w:r>
    </w:p>
    <w:p>
      <w:pPr>
        <w:pStyle w:val="BodyText"/>
        <w:spacing w:line="316" w:lineRule="auto" w:before="19"/>
        <w:ind w:right="1131" w:firstLine="360"/>
        <w:jc w:val="both"/>
      </w:pPr>
      <w:r>
        <w:rPr/>
        <w:t>合并方在同一控制下企业合并中取得的资产和负债</w:t>
      </w:r>
      <w:r>
        <w:rPr>
          <w:rFonts w:ascii="宋体" w:hAnsi="宋体" w:cs="宋体" w:eastAsia="宋体" w:hint="default"/>
        </w:rPr>
        <w:t>(</w:t>
      </w:r>
      <w:r>
        <w:rPr/>
        <w:t>包括最终控制方收购被合并方而形成的商誉</w:t>
      </w:r>
      <w:r>
        <w:rPr>
          <w:rFonts w:ascii="宋体" w:hAnsi="宋体" w:cs="宋体" w:eastAsia="宋体" w:hint="default"/>
        </w:rPr>
        <w:t>)</w:t>
      </w:r>
      <w:r>
        <w:rPr/>
        <w:t>，按合并日在最终控 制方财务报表中的账面价值为基础进行相关会计处理。合并方取得的净资产账面价值与支付的合并对价的账面价值</w:t>
      </w:r>
      <w:r>
        <w:rPr>
          <w:rFonts w:ascii="宋体" w:hAnsi="宋体" w:cs="宋体" w:eastAsia="宋体" w:hint="default"/>
        </w:rPr>
        <w:t>(</w:t>
      </w:r>
      <w:r>
        <w:rPr/>
        <w:t>或发行</w:t>
      </w:r>
      <w:r>
        <w:rPr>
          <w:spacing w:val="-82"/>
        </w:rPr>
        <w:t> </w:t>
      </w:r>
      <w:r>
        <w:rPr/>
        <w:t>股份面值总额</w:t>
      </w:r>
      <w:r>
        <w:rPr>
          <w:rFonts w:ascii="宋体" w:hAnsi="宋体" w:cs="宋体" w:eastAsia="宋体" w:hint="default"/>
        </w:rPr>
        <w:t>)</w:t>
      </w:r>
      <w:r>
        <w:rPr/>
        <w:t>的差额，调整资本公积中的股本溢价，不足冲减的则调整留存收益。</w:t>
      </w:r>
    </w:p>
    <w:p>
      <w:pPr>
        <w:pStyle w:val="BodyText"/>
        <w:spacing w:line="357" w:lineRule="auto" w:before="59"/>
        <w:ind w:left="513" w:right="986"/>
        <w:jc w:val="left"/>
      </w:pPr>
      <w:r>
        <w:rPr>
          <w:rFonts w:ascii="宋体" w:hAnsi="宋体" w:cs="宋体" w:eastAsia="宋体" w:hint="default"/>
          <w:b/>
          <w:bCs/>
        </w:rPr>
        <w:t>非同一控制下的企业合并</w:t>
      </w:r>
      <w:r>
        <w:rPr>
          <w:rFonts w:ascii="宋体" w:hAnsi="宋体" w:cs="宋体" w:eastAsia="宋体" w:hint="default"/>
          <w:b/>
          <w:bCs/>
          <w:w w:val="99"/>
        </w:rPr>
        <w:t> </w:t>
      </w:r>
      <w:r>
        <w:rPr>
          <w:spacing w:val="-2"/>
        </w:rPr>
        <w:t>参与合并的企业在合并前后不受同一方或相同的多方最终控制的，为非同一控制下的企业合并。非同一控制下的企业合</w:t>
      </w:r>
    </w:p>
    <w:p>
      <w:pPr>
        <w:pStyle w:val="BodyText"/>
        <w:spacing w:line="224" w:lineRule="exact"/>
        <w:ind w:right="986"/>
        <w:jc w:val="left"/>
      </w:pPr>
      <w:r>
        <w:rPr/>
        <w:t>并，在购买日取得对其他参与合并企业控制权的一方为购买方，参与合并的其他企业为被购买方。购买日，是指为购买方实</w:t>
      </w:r>
    </w:p>
    <w:p>
      <w:pPr>
        <w:pStyle w:val="BodyText"/>
        <w:spacing w:line="316" w:lineRule="auto" w:before="76"/>
        <w:ind w:left="513" w:right="1133" w:hanging="361"/>
        <w:jc w:val="left"/>
      </w:pPr>
      <w:r>
        <w:rPr/>
        <w:t>际取得对被购买方控制权的日期。 非同一控制下企业合并中所取得的被购买方可辨认资产、负债及或有负债在收购日以公允价值计量。 支付的合并对价的公允价值</w:t>
      </w:r>
      <w:r>
        <w:rPr>
          <w:rFonts w:ascii="宋体" w:hAnsi="宋体" w:cs="宋体" w:eastAsia="宋体" w:hint="default"/>
        </w:rPr>
        <w:t>(</w:t>
      </w:r>
      <w:r>
        <w:rPr/>
        <w:t>或发行的权益性证券的公允价值</w:t>
      </w:r>
      <w:r>
        <w:rPr>
          <w:rFonts w:ascii="宋体" w:hAnsi="宋体" w:cs="宋体" w:eastAsia="宋体" w:hint="default"/>
        </w:rPr>
        <w:t>)</w:t>
      </w:r>
      <w:r>
        <w:rPr/>
        <w:t>与购买日之前持有的被购买方的股权的公允价值之和大</w:t>
      </w:r>
    </w:p>
    <w:p>
      <w:pPr>
        <w:pStyle w:val="BodyText"/>
        <w:spacing w:line="316" w:lineRule="auto" w:before="19"/>
        <w:ind w:right="1131"/>
        <w:jc w:val="both"/>
      </w:pPr>
      <w:r>
        <w:rPr>
          <w:spacing w:val="-2"/>
        </w:rPr>
        <w:t>于合并中取得的被购买方可辨认净资产公允价值份额的差额，确认为商誉，并以成本减去累计减值损失进行后续计量。支付</w:t>
      </w:r>
      <w:r>
        <w:rPr>
          <w:spacing w:val="-65"/>
        </w:rPr>
        <w:t> </w:t>
      </w:r>
      <w:r>
        <w:rPr>
          <w:spacing w:val="-65"/>
        </w:rPr>
      </w:r>
      <w:r>
        <w:rPr/>
        <w:t>的合并对价的公允价值</w:t>
      </w:r>
      <w:r>
        <w:rPr>
          <w:rFonts w:ascii="宋体" w:hAnsi="宋体" w:cs="宋体" w:eastAsia="宋体" w:hint="default"/>
        </w:rPr>
        <w:t>(</w:t>
      </w:r>
      <w:r>
        <w:rPr/>
        <w:t>或发行的权益性证券的公允价值</w:t>
      </w:r>
      <w:r>
        <w:rPr>
          <w:rFonts w:ascii="宋体" w:hAnsi="宋体" w:cs="宋体" w:eastAsia="宋体" w:hint="default"/>
        </w:rPr>
        <w:t>)</w:t>
      </w:r>
      <w:r>
        <w:rPr/>
        <w:t>与购买日之前持有的被购买方的股权的公允价值之和小于合并中</w:t>
      </w:r>
      <w:r>
        <w:rPr>
          <w:spacing w:val="-4"/>
        </w:rPr>
        <w:t> </w:t>
      </w:r>
      <w:r>
        <w:rPr>
          <w:spacing w:val="-4"/>
        </w:rPr>
      </w:r>
      <w:r>
        <w:rPr>
          <w:spacing w:val="-2"/>
        </w:rPr>
        <w:t>取得的被购买方可辨认净资产公允价值份额的，对取得的被购买方各项可辨认资产、负债及或有负债的公允价值以及支付的</w:t>
      </w:r>
      <w:r>
        <w:rPr>
          <w:spacing w:val="-64"/>
        </w:rPr>
        <w:t> </w:t>
      </w:r>
      <w:r>
        <w:rPr>
          <w:spacing w:val="-64"/>
        </w:rPr>
      </w:r>
      <w:r>
        <w:rPr/>
        <w:t>合并对价的公允价值</w:t>
      </w:r>
      <w:r>
        <w:rPr>
          <w:rFonts w:ascii="宋体" w:hAnsi="宋体" w:cs="宋体" w:eastAsia="宋体" w:hint="default"/>
        </w:rPr>
        <w:t>(</w:t>
      </w:r>
      <w:r>
        <w:rPr/>
        <w:t>或发行的权益性证券的公允价值</w:t>
      </w:r>
      <w:r>
        <w:rPr>
          <w:rFonts w:ascii="宋体" w:hAnsi="宋体" w:cs="宋体" w:eastAsia="宋体" w:hint="default"/>
        </w:rPr>
        <w:t>)</w:t>
      </w:r>
      <w:r>
        <w:rPr/>
        <w:t>及购买日之前持有的被购买方的股权的公允价值的计量进行复核，</w:t>
      </w:r>
      <w:r>
        <w:rPr>
          <w:spacing w:val="-4"/>
        </w:rPr>
        <w:t> </w:t>
      </w:r>
      <w:r>
        <w:rPr>
          <w:spacing w:val="-4"/>
        </w:rPr>
      </w:r>
      <w:r>
        <w:rPr/>
        <w:t>复核后支付的合并对价的公允价值</w:t>
      </w:r>
      <w:r>
        <w:rPr>
          <w:rFonts w:ascii="宋体" w:hAnsi="宋体" w:cs="宋体" w:eastAsia="宋体" w:hint="default"/>
        </w:rPr>
        <w:t>(</w:t>
      </w:r>
      <w:r>
        <w:rPr/>
        <w:t>或发行的权益性证券的公允价值</w:t>
      </w:r>
      <w:r>
        <w:rPr>
          <w:rFonts w:ascii="宋体" w:hAnsi="宋体" w:cs="宋体" w:eastAsia="宋体" w:hint="default"/>
        </w:rPr>
        <w:t>)</w:t>
      </w:r>
      <w:r>
        <w:rPr/>
        <w:t>与购买日之前持有的被购买方的股权的公允价值之和</w:t>
      </w:r>
      <w:r>
        <w:rPr>
          <w:spacing w:val="-3"/>
        </w:rPr>
        <w:t> </w:t>
      </w:r>
      <w:r>
        <w:rPr>
          <w:spacing w:val="-3"/>
        </w:rPr>
      </w:r>
      <w:r>
        <w:rPr/>
        <w:t>仍小于合并中取得的被购买方可辨认净资产公允价值份额的，其差额计入当期损益。</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合并财务报表的合并范围以控制为基础确定，包括本公司及全部子公司财务报表。子公司，是指被公司控制的主体（含</w:t>
      </w:r>
      <w:r>
        <w:rPr/>
        <w:t> 企业、被投资单位中可分割的部分，以及公司所控制的结构化主体等）。</w:t>
      </w:r>
    </w:p>
    <w:p>
      <w:pPr>
        <w:pStyle w:val="BodyText"/>
        <w:spacing w:line="316" w:lineRule="auto" w:before="19"/>
        <w:ind w:right="1130" w:firstLine="360"/>
        <w:jc w:val="both"/>
      </w:pPr>
      <w:r>
        <w:rPr>
          <w:spacing w:val="-2"/>
        </w:rPr>
        <w:t>编制合并财务报表时，子公司采用与公司一致的会计年度和会计政策。公司内部各公司之间的所有交易产生的资产、负</w:t>
      </w:r>
      <w:r>
        <w:rPr/>
        <w:t> 债、权益、收入、费用和现金流量于合并时全额抵销。</w:t>
      </w:r>
    </w:p>
    <w:p>
      <w:pPr>
        <w:pStyle w:val="BodyText"/>
        <w:spacing w:line="316" w:lineRule="auto" w:before="19"/>
        <w:ind w:right="1125" w:firstLine="360"/>
        <w:jc w:val="both"/>
      </w:pPr>
      <w:r>
        <w:rPr/>
        <w:t>子公司少数股东分担的当期亏损超过了少数股东在该子公司期初股东权益中所享有的份额的，其余额仍冲减少数股东</w:t>
      </w:r>
      <w:r>
        <w:rPr>
          <w:spacing w:val="2"/>
        </w:rPr>
        <w:t> </w:t>
      </w:r>
      <w:r>
        <w:rPr/>
        <w:t>权益。</w:t>
      </w:r>
    </w:p>
    <w:p>
      <w:pPr>
        <w:pStyle w:val="BodyText"/>
        <w:spacing w:line="316" w:lineRule="auto" w:before="19"/>
        <w:ind w:right="1125" w:firstLine="360"/>
        <w:jc w:val="both"/>
      </w:pPr>
      <w:r>
        <w:rPr/>
        <w:t>对于通过非同一控制下的企业合并取得的子公司，被购买方的经营成果和现金流量自公司取得控制权之日起纳入合并</w:t>
      </w:r>
      <w:r>
        <w:rPr>
          <w:spacing w:val="2"/>
        </w:rPr>
        <w:t> </w:t>
      </w:r>
      <w:r>
        <w:rPr>
          <w:spacing w:val="-2"/>
        </w:rPr>
        <w:t>财务报表，直至公司对其控制权终止。在编制合并财务报表时，以购买日确定的各项可辨认资产、负债及或有负债的公允价</w:t>
      </w:r>
      <w:r>
        <w:rPr>
          <w:spacing w:val="-65"/>
        </w:rPr>
        <w:t> </w:t>
      </w:r>
      <w:r>
        <w:rPr>
          <w:spacing w:val="-65"/>
        </w:rPr>
      </w:r>
      <w:r>
        <w:rPr/>
        <w:t>值为基础对子公司的财务报表进行调整。</w:t>
      </w:r>
    </w:p>
    <w:p>
      <w:pPr>
        <w:pStyle w:val="BodyText"/>
        <w:spacing w:line="316" w:lineRule="auto" w:before="19"/>
        <w:ind w:right="1125" w:firstLine="360"/>
        <w:jc w:val="both"/>
      </w:pPr>
      <w:r>
        <w:rPr/>
        <w:t>对于通过同一控制下的企业合并取得的子公司及业务，被合并方的经营成果和现金流量自合并当期期初纳入合并财务</w:t>
      </w:r>
      <w:r>
        <w:rPr>
          <w:spacing w:val="2"/>
        </w:rPr>
        <w:t> </w:t>
      </w:r>
      <w:r>
        <w:rPr>
          <w:spacing w:val="-2"/>
        </w:rPr>
        <w:t>报表。编制比较合并财务报表时，对前期财务报表的相关项目进行调整，视同合并后形成的报告主体自最终控制方开始实施</w:t>
      </w:r>
      <w:r>
        <w:rPr>
          <w:spacing w:val="-63"/>
        </w:rPr>
        <w:t> </w:t>
      </w:r>
      <w:r>
        <w:rPr>
          <w:spacing w:val="-63"/>
        </w:rPr>
      </w:r>
      <w:r>
        <w:rPr/>
        <w:t>控制时一直存在。</w:t>
      </w:r>
    </w:p>
    <w:p>
      <w:pPr>
        <w:pStyle w:val="BodyText"/>
        <w:spacing w:line="316" w:lineRule="auto" w:before="19"/>
        <w:ind w:left="513" w:right="1933"/>
        <w:jc w:val="left"/>
      </w:pPr>
      <w:r>
        <w:rPr/>
        <w:t>如果相关事实和情况的变化导致对控制要素中的一项或多项发生变化的，公司重新评估是否控制被投资方。 不丧失控制权情况下少数股东权益发生变化作为权益性交易。</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0" w:firstLine="360"/>
        <w:jc w:val="both"/>
      </w:pPr>
      <w:r>
        <w:rPr>
          <w:spacing w:val="-2"/>
        </w:rPr>
        <w:t>合营安排分为共同经营和合营企业。共同经营，是指合营方享有该安排相关资产且承担该安排相关负债的合营安排。合</w:t>
      </w:r>
      <w:r>
        <w:rPr/>
        <w:t> </w:t>
      </w:r>
      <w:r>
        <w:rPr>
          <w:spacing w:val="-2"/>
        </w:rPr>
        <w:t>营企业，是指合营方仅对该安排的净资产享有权利的合营安排。合营方确认其与共同经营中利益份额相关的下列项目：确认</w:t>
      </w:r>
    </w:p>
    <w:p>
      <w:pPr>
        <w:spacing w:after="0" w:line="316" w:lineRule="auto"/>
        <w:jc w:val="both"/>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16" w:lineRule="auto" w:before="44"/>
        <w:ind w:right="1034"/>
        <w:jc w:val="left"/>
      </w:pPr>
      <w:r>
        <w:rPr>
          <w:spacing w:val="-2"/>
        </w:rPr>
        <w:t>单独所持有的资产，以及按其份额确认共同持有的资产；确认单独所承担的负债，以及按其份额确认共同承担的负债；确认</w:t>
      </w:r>
      <w:r>
        <w:rPr>
          <w:spacing w:val="-65"/>
        </w:rPr>
        <w:t> </w:t>
      </w:r>
      <w:r>
        <w:rPr>
          <w:spacing w:val="-65"/>
        </w:rPr>
      </w:r>
      <w:r>
        <w:rPr/>
        <w:t>出售其享有的共同经营产出份额所产生的收入；按其份额确认共同经营因出售产出所产生的收入；确认单独所发生的费用，</w:t>
      </w:r>
      <w:r>
        <w:rPr>
          <w:spacing w:val="-83"/>
        </w:rPr>
        <w:t> </w:t>
      </w:r>
      <w:r>
        <w:rPr>
          <w:spacing w:val="-83"/>
        </w:rPr>
      </w:r>
      <w:r>
        <w:rPr/>
        <w:t>以及按其份额确认共同经营发生的费用。</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4" w:firstLine="360"/>
        <w:jc w:val="both"/>
      </w:pPr>
      <w:r>
        <w:rPr>
          <w:spacing w:val="-2"/>
        </w:rPr>
        <w:t>现金，是指公司的库存现金以及可以随时用于支付的存款；现金等价物，是指公司持有的期限短、流动性强、易于转换</w:t>
      </w:r>
      <w:r>
        <w:rPr/>
        <w:t> 为已知金额的现金、价值变动风险很小的投资。</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left="513" w:right="986"/>
        <w:jc w:val="left"/>
      </w:pPr>
      <w:r>
        <w:rPr/>
        <w:t>公司对于发生的外币交易，将外币金额折算为记账本位币金额。 </w:t>
      </w:r>
      <w:r>
        <w:rPr>
          <w:spacing w:val="-2"/>
        </w:rPr>
        <w:t>外币交易在初始确认时，采用交易发生日的即期汇率将外币金额折算为记账本位币金额。于资产负债表日，对于外币货</w:t>
      </w:r>
    </w:p>
    <w:p>
      <w:pPr>
        <w:pStyle w:val="BodyText"/>
        <w:spacing w:line="222" w:lineRule="exact"/>
        <w:ind w:right="986"/>
        <w:jc w:val="left"/>
      </w:pPr>
      <w:r>
        <w:rPr/>
        <w:t>币性项目采用资产负债表日即期汇率折算。由此产生的结算和货币性项目折算差额，除属于与购建符合资本化条件的资产相</w:t>
      </w:r>
    </w:p>
    <w:p>
      <w:pPr>
        <w:pStyle w:val="BodyText"/>
        <w:spacing w:line="316" w:lineRule="auto" w:before="76"/>
        <w:ind w:right="1034"/>
        <w:jc w:val="left"/>
      </w:pPr>
      <w:r>
        <w:rPr/>
        <w:t>关的外币专门借款产生的差额按照借款费用资本化的原则处理外，均计入当期损益。以历史成本计量的外币非货币性项目，</w:t>
      </w:r>
      <w:r>
        <w:rPr>
          <w:spacing w:val="-83"/>
        </w:rPr>
        <w:t> </w:t>
      </w:r>
      <w:r>
        <w:rPr>
          <w:spacing w:val="-83"/>
        </w:rPr>
      </w:r>
      <w:r>
        <w:rPr>
          <w:spacing w:val="-2"/>
        </w:rPr>
        <w:t>仍采用交易发生日的即期汇率折算，不改变其记账本位币金额。以公允价值计量的外币非货币性项目，采用公允价值确定日</w:t>
      </w:r>
      <w:r>
        <w:rPr>
          <w:spacing w:val="-62"/>
        </w:rPr>
        <w:t> </w:t>
      </w:r>
      <w:r>
        <w:rPr>
          <w:spacing w:val="-62"/>
        </w:rPr>
      </w:r>
      <w:r>
        <w:rPr/>
        <w:t>的即期汇率折算，由此产生的差额根据非货币性项目的性质计入当期损益或其他综合收益。</w:t>
      </w:r>
    </w:p>
    <w:p>
      <w:pPr>
        <w:pStyle w:val="BodyText"/>
        <w:spacing w:line="312" w:lineRule="auto" w:before="59"/>
        <w:ind w:right="1130" w:firstLine="360"/>
        <w:jc w:val="both"/>
      </w:pPr>
      <w:r>
        <w:rPr>
          <w:spacing w:val="-2"/>
        </w:rPr>
        <w:t>对于境外经营，公司在编制财务报表时将其记账本位币折算为人民币：对资产负债表中的资产和负债项目，采用资产负</w:t>
      </w:r>
      <w:r>
        <w:rPr/>
        <w:t> </w:t>
      </w:r>
      <w:r>
        <w:rPr>
          <w:spacing w:val="-2"/>
        </w:rPr>
        <w:t>债表日的即期汇率折算，股东权益项目除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w:t>
      </w:r>
      <w:r>
        <w:rPr>
          <w:spacing w:val="-45"/>
        </w:rPr>
        <w:t> </w:t>
      </w:r>
      <w:r>
        <w:rPr>
          <w:spacing w:val="-45"/>
        </w:rPr>
      </w:r>
      <w:r>
        <w:rPr>
          <w:spacing w:val="-2"/>
        </w:rPr>
        <w:t>用项目，采用交易发生当期平均汇率折算。按照上述折算产生的外币财务报表折算差额，确认为其他综合收益。处置境外经</w:t>
      </w:r>
      <w:r>
        <w:rPr>
          <w:spacing w:val="-65"/>
        </w:rPr>
        <w:t> </w:t>
      </w:r>
      <w:r>
        <w:rPr>
          <w:spacing w:val="-65"/>
        </w:rPr>
      </w:r>
      <w:r>
        <w:rPr/>
        <w:t>营时，将与该境外经营相关的其他综合收益转入处置当期损益，部分处置的按处置比例计算。</w:t>
      </w:r>
    </w:p>
    <w:p>
      <w:pPr>
        <w:pStyle w:val="BodyText"/>
        <w:spacing w:line="316" w:lineRule="auto" w:before="63"/>
        <w:ind w:right="1132" w:firstLine="288"/>
        <w:jc w:val="both"/>
      </w:pPr>
      <w:r>
        <w:rPr>
          <w:spacing w:val="-1"/>
        </w:rPr>
        <w:t>外币现金流量以及境外子公司的现金流量，采用现金流量发生当期平均汇率折算。汇率变动对现金的影响额作为调节项</w:t>
      </w:r>
      <w:r>
        <w:rPr/>
        <w:t> 目，在现金流量表中单独列报。</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3193"/>
        <w:jc w:val="left"/>
      </w:pPr>
      <w:r>
        <w:rPr/>
        <w:t>金融工具，是指形成一个企业的金融资产，并形成其他单位的金融负债或权益工具的合同。 </w:t>
      </w:r>
      <w:r>
        <w:rPr>
          <w:rFonts w:ascii="宋体" w:hAnsi="宋体" w:cs="宋体" w:eastAsia="宋体" w:hint="default"/>
          <w:b/>
          <w:bCs/>
        </w:rPr>
        <w:t>金融工具的确认和终止确认</w:t>
      </w:r>
      <w:r>
        <w:rPr>
          <w:rFonts w:ascii="宋体" w:hAnsi="宋体" w:cs="宋体" w:eastAsia="宋体" w:hint="default"/>
          <w:b/>
          <w:bCs/>
          <w:spacing w:val="2"/>
          <w:w w:val="99"/>
        </w:rPr>
        <w:t> </w:t>
      </w:r>
      <w:r>
        <w:rPr/>
        <w:t>公司于成为金融工具合同的一方时确认一项金融资产或金融负债。</w:t>
      </w:r>
    </w:p>
    <w:p>
      <w:pPr>
        <w:pStyle w:val="BodyText"/>
        <w:spacing w:line="316" w:lineRule="auto" w:before="41"/>
        <w:ind w:right="1129" w:firstLine="360"/>
        <w:jc w:val="both"/>
      </w:pPr>
      <w:r>
        <w:rPr/>
        <w:t>满足下列条件的，终止确认金融资产</w:t>
      </w:r>
      <w:r>
        <w:rPr>
          <w:rFonts w:ascii="宋体" w:hAnsi="宋体" w:cs="宋体" w:eastAsia="宋体" w:hint="default"/>
        </w:rPr>
        <w:t>(</w:t>
      </w:r>
      <w:r>
        <w:rPr/>
        <w:t>或金融资产的一部分，或一组类似金融资产的一部分</w:t>
      </w:r>
      <w:r>
        <w:rPr>
          <w:rFonts w:ascii="宋体" w:hAnsi="宋体" w:cs="宋体" w:eastAsia="宋体" w:hint="default"/>
        </w:rPr>
        <w:t>)</w:t>
      </w:r>
      <w:r>
        <w:rPr>
          <w:rFonts w:ascii="宋体" w:hAnsi="宋体" w:cs="宋体" w:eastAsia="宋体" w:hint="default"/>
          <w:spacing w:val="9"/>
        </w:rPr>
        <w:t> </w:t>
      </w:r>
      <w:r>
        <w:rPr/>
        <w:t>，即从其账户和资产负债 表内予以转销：</w:t>
      </w:r>
    </w:p>
    <w:p>
      <w:pPr>
        <w:pStyle w:val="BodyText"/>
        <w:tabs>
          <w:tab w:pos="993" w:val="left" w:leader="none"/>
        </w:tabs>
        <w:spacing w:line="240" w:lineRule="auto" w:before="60"/>
        <w:ind w:left="513" w:right="1133"/>
        <w:jc w:val="left"/>
      </w:pPr>
      <w:r>
        <w:rPr>
          <w:rFonts w:ascii="宋体" w:hAnsi="宋体" w:cs="宋体" w:eastAsia="宋体" w:hint="default"/>
        </w:rPr>
        <w:t>(1)</w:t>
        <w:tab/>
      </w:r>
      <w:r>
        <w:rPr/>
        <w:t>收取金融资产现金流量的权利届满；</w:t>
      </w:r>
    </w:p>
    <w:p>
      <w:pPr>
        <w:pStyle w:val="BodyText"/>
        <w:spacing w:line="316" w:lineRule="auto" w:before="117"/>
        <w:ind w:right="1132" w:firstLine="360"/>
        <w:jc w:val="both"/>
      </w:pPr>
      <w:r>
        <w:rPr>
          <w:rFonts w:ascii="宋体" w:hAnsi="宋体" w:cs="宋体" w:eastAsia="宋体" w:hint="default"/>
        </w:rPr>
        <w:t>(2)</w:t>
      </w:r>
      <w:r>
        <w:rPr>
          <w:rFonts w:ascii="宋体" w:hAnsi="宋体" w:cs="宋体" w:eastAsia="宋体" w:hint="default"/>
          <w:spacing w:val="7"/>
        </w:rPr>
        <w:t> </w:t>
      </w:r>
      <w:r>
        <w:rPr/>
        <w:t>转移了收取金融资产现金流量的权利，或在“过手”协议下承担了及时将收取的现金流量全额支付给第三方的义 </w:t>
      </w:r>
      <w:r>
        <w:rPr>
          <w:spacing w:val="-2"/>
        </w:rPr>
        <w:t>务；并且</w:t>
      </w:r>
      <w:r>
        <w:rPr>
          <w:rFonts w:ascii="宋体" w:hAnsi="宋体" w:cs="宋体" w:eastAsia="宋体" w:hint="default"/>
          <w:spacing w:val="-2"/>
        </w:rPr>
        <w:t>(a)</w:t>
      </w:r>
      <w:r>
        <w:rPr>
          <w:spacing w:val="-2"/>
        </w:rPr>
        <w:t>实质上转让了金融资产所有权上几乎所有的风险和报酬，或</w:t>
      </w:r>
      <w:r>
        <w:rPr>
          <w:rFonts w:ascii="宋体" w:hAnsi="宋体" w:cs="宋体" w:eastAsia="宋体" w:hint="default"/>
          <w:spacing w:val="-2"/>
        </w:rPr>
        <w:t>(b)</w:t>
      </w:r>
      <w:r>
        <w:rPr>
          <w:spacing w:val="-2"/>
        </w:rPr>
        <w:t>虽然实质上既没有转移也没有保留金融资产所有</w:t>
      </w:r>
      <w:r>
        <w:rPr>
          <w:spacing w:val="-63"/>
        </w:rPr>
        <w:t> </w:t>
      </w:r>
      <w:r>
        <w:rPr>
          <w:spacing w:val="-63"/>
        </w:rPr>
      </w:r>
      <w:r>
        <w:rPr/>
        <w:t>权上几乎所有的风险和报酬，但放弃了对该金融资产的控制。</w:t>
      </w:r>
    </w:p>
    <w:p>
      <w:pPr>
        <w:pStyle w:val="BodyText"/>
        <w:spacing w:line="316" w:lineRule="auto" w:before="59"/>
        <w:ind w:right="1130" w:firstLine="360"/>
        <w:jc w:val="both"/>
      </w:pPr>
      <w:r>
        <w:rPr>
          <w:spacing w:val="-2"/>
        </w:rPr>
        <w:t>如果金融负债的责任已履行、撤销或届满，则对金融负债进行终止确认。如果现有金融负债被同一债权人以实质上几乎</w:t>
      </w:r>
      <w:r>
        <w:rPr/>
        <w:t> </w:t>
      </w:r>
      <w:r>
        <w:rPr>
          <w:spacing w:val="-2"/>
        </w:rPr>
        <w:t>完全不同条款的另一金融负债所取代，或现有负债的条款几乎全部被实质性修改，则此类替换或修改作为终止确认原负债和</w:t>
      </w:r>
      <w:r>
        <w:rPr>
          <w:spacing w:val="-64"/>
        </w:rPr>
        <w:t> </w:t>
      </w:r>
      <w:r>
        <w:rPr>
          <w:spacing w:val="-64"/>
        </w:rPr>
      </w:r>
      <w:r>
        <w:rPr/>
        <w:t>确认新负债处理，差额计入当期损益。</w:t>
      </w:r>
    </w:p>
    <w:p>
      <w:pPr>
        <w:pStyle w:val="BodyText"/>
        <w:spacing w:line="316" w:lineRule="auto" w:before="59"/>
        <w:ind w:right="1133" w:firstLine="360"/>
        <w:jc w:val="both"/>
      </w:pPr>
      <w:r>
        <w:rPr>
          <w:spacing w:val="-2"/>
        </w:rPr>
        <w:t>以常规方式买卖金融资产，按交易日会计进行确认和终止确认。常规方式买卖金融资产，是指按照合同条款的约定，在</w:t>
      </w:r>
      <w:r>
        <w:rPr/>
        <w:t> 法规或通行惯例规定的期限内收取或交付金融资产。交易日，是指公司承诺买入或卖出金融资产的日期。</w:t>
      </w:r>
    </w:p>
    <w:p>
      <w:pPr>
        <w:pStyle w:val="BodyText"/>
        <w:spacing w:line="319" w:lineRule="auto" w:before="19"/>
        <w:ind w:left="513" w:right="1033"/>
        <w:jc w:val="left"/>
      </w:pPr>
      <w:r>
        <w:rPr>
          <w:rFonts w:ascii="宋体" w:hAnsi="宋体" w:cs="宋体" w:eastAsia="宋体" w:hint="default"/>
          <w:b/>
          <w:bCs/>
        </w:rPr>
        <w:t>金融资产分类和计量</w:t>
      </w:r>
      <w:r>
        <w:rPr>
          <w:rFonts w:ascii="宋体" w:hAnsi="宋体" w:cs="宋体" w:eastAsia="宋体" w:hint="default"/>
          <w:b/>
          <w:bCs/>
          <w:w w:val="99"/>
        </w:rPr>
        <w:t> </w:t>
      </w:r>
      <w:r>
        <w:rPr/>
        <w:t>公司的金融资产于初始确认时分类为：可供出售金融资产、贷款和应收款项。金融资产在初始确认时以公允价值计量。</w:t>
      </w:r>
    </w:p>
    <w:p>
      <w:pPr>
        <w:pStyle w:val="BodyText"/>
        <w:spacing w:line="240" w:lineRule="auto" w:before="17"/>
        <w:ind w:right="986"/>
        <w:jc w:val="left"/>
      </w:pPr>
      <w:r>
        <w:rPr/>
        <w:t>对于以公允价值计量且其变动计入当期损益的金融资产，相关交易费用直接计入当期损益，其他类别的金融资产相关交易费</w:t>
      </w:r>
    </w:p>
    <w:p>
      <w:pPr>
        <w:spacing w:after="0" w:line="240" w:lineRule="auto"/>
        <w:jc w:val="left"/>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16" w:lineRule="auto" w:before="44"/>
        <w:ind w:left="513" w:right="7513" w:hanging="361"/>
        <w:jc w:val="left"/>
      </w:pPr>
      <w:r>
        <w:rPr/>
        <w:t>用计入其初始确认金额。 金融资产的后续计量取决于其分类：</w:t>
      </w:r>
    </w:p>
    <w:p>
      <w:pPr>
        <w:pStyle w:val="BodyText"/>
        <w:spacing w:line="300" w:lineRule="auto" w:before="19"/>
        <w:ind w:left="513" w:right="986"/>
        <w:jc w:val="left"/>
      </w:pPr>
      <w:r>
        <w:rPr/>
        <w:t>（</w:t>
      </w:r>
      <w:r>
        <w:rPr>
          <w:rFonts w:ascii="Times New Roman" w:hAnsi="Times New Roman" w:cs="Times New Roman" w:eastAsia="Times New Roman" w:hint="default"/>
        </w:rPr>
        <w:t>1</w:t>
      </w:r>
      <w:r>
        <w:rPr/>
        <w:t>）贷款和应收款项 </w:t>
      </w:r>
      <w:r>
        <w:rPr>
          <w:spacing w:val="-2"/>
        </w:rPr>
        <w:t>贷款和应收款项，是指在活跃市场中没有报价、回收金额固定或可确定的非衍生金融资产。对于此类金融资产，采用实</w:t>
      </w:r>
    </w:p>
    <w:p>
      <w:pPr>
        <w:pStyle w:val="BodyText"/>
        <w:spacing w:line="240" w:lineRule="auto" w:before="31"/>
        <w:ind w:right="0"/>
        <w:jc w:val="both"/>
      </w:pPr>
      <w:r>
        <w:rPr/>
        <w:t>际利率法，按照摊余成本进行后续计量，其摊销或减值产生的利得或损失，均计入当期损益。</w:t>
      </w:r>
    </w:p>
    <w:p>
      <w:pPr>
        <w:pStyle w:val="BodyText"/>
        <w:spacing w:line="300" w:lineRule="auto" w:before="76"/>
        <w:ind w:left="513" w:right="1033"/>
        <w:jc w:val="left"/>
      </w:pPr>
      <w:r>
        <w:rPr/>
        <w:t>（</w:t>
      </w:r>
      <w:r>
        <w:rPr>
          <w:rFonts w:ascii="Times New Roman" w:hAnsi="Times New Roman" w:cs="Times New Roman" w:eastAsia="Times New Roman" w:hint="default"/>
        </w:rPr>
        <w:t>2</w:t>
      </w:r>
      <w:r>
        <w:rPr/>
        <w:t>）可供出售金融资产 可供出售金融资产，是指初始确认时即指定为可供出售的非衍生金融资产，以及除上述金融资产类别以外的金融资产。</w:t>
      </w:r>
    </w:p>
    <w:p>
      <w:pPr>
        <w:pStyle w:val="BodyText"/>
        <w:spacing w:line="316" w:lineRule="auto" w:before="31"/>
        <w:ind w:right="1130"/>
        <w:jc w:val="both"/>
      </w:pPr>
      <w:r>
        <w:rPr>
          <w:spacing w:val="-2"/>
        </w:rPr>
        <w:t>对于此类金融资产，采用公允价值进行后续计量。其折价或溢价采用实际利率法进行摊销并确认为利息收入或费用。除减值</w:t>
      </w:r>
      <w:r>
        <w:rPr>
          <w:spacing w:val="-63"/>
        </w:rPr>
        <w:t> </w:t>
      </w:r>
      <w:r>
        <w:rPr>
          <w:spacing w:val="-63"/>
        </w:rPr>
      </w:r>
      <w:r>
        <w:rPr>
          <w:spacing w:val="-2"/>
        </w:rPr>
        <w:t>损失及外币货币性金融资产的汇兑差额确认为当期损益外，可供出售金融资产的公允价值变动作为其他综合收益确认，直到</w:t>
      </w:r>
      <w:r>
        <w:rPr>
          <w:spacing w:val="-62"/>
        </w:rPr>
        <w:t> </w:t>
      </w:r>
      <w:r>
        <w:rPr>
          <w:spacing w:val="-62"/>
        </w:rPr>
      </w:r>
      <w:r>
        <w:rPr>
          <w:spacing w:val="-2"/>
        </w:rPr>
        <w:t>该金融资产终止确认或发生减值时，其累计利得或损失转入当期损益。与可供出售金融资产相关的股利或利息收入，计入当</w:t>
      </w:r>
      <w:r>
        <w:rPr>
          <w:spacing w:val="-63"/>
        </w:rPr>
        <w:t> </w:t>
      </w:r>
      <w:r>
        <w:rPr>
          <w:spacing w:val="-63"/>
        </w:rPr>
      </w:r>
      <w:r>
        <w:rPr/>
        <w:t>期损益。</w:t>
      </w:r>
    </w:p>
    <w:p>
      <w:pPr>
        <w:pStyle w:val="BodyText"/>
        <w:spacing w:line="316" w:lineRule="auto" w:before="19"/>
        <w:ind w:left="513" w:right="3553"/>
        <w:jc w:val="left"/>
        <w:rPr>
          <w:rFonts w:ascii="宋体" w:hAnsi="宋体" w:cs="宋体" w:eastAsia="宋体" w:hint="default"/>
        </w:rPr>
      </w:pPr>
      <w:r>
        <w:rPr/>
        <w:t>对于在活跃市场中没有报价且其公允价值不能可靠计量的权益工具投资，按成本计量。 </w:t>
      </w:r>
      <w:r>
        <w:rPr>
          <w:rFonts w:ascii="宋体" w:hAnsi="宋体" w:cs="宋体" w:eastAsia="宋体" w:hint="default"/>
          <w:b/>
          <w:bCs/>
        </w:rPr>
        <w:t>金融负债分类和计量</w:t>
      </w:r>
      <w:r>
        <w:rPr>
          <w:rFonts w:ascii="宋体" w:hAnsi="宋体" w:cs="宋体" w:eastAsia="宋体" w:hint="default"/>
        </w:rPr>
      </w:r>
    </w:p>
    <w:p>
      <w:pPr>
        <w:pStyle w:val="BodyText"/>
        <w:spacing w:line="316" w:lineRule="auto" w:before="19"/>
        <w:ind w:left="513" w:right="1753"/>
        <w:jc w:val="left"/>
      </w:pPr>
      <w:r>
        <w:rPr/>
        <w:t>公司的金融负债于初始确认时分类为其他金融负债。其他金融负债的相关交易费用直接计入其初始确认金额。 金融负债的后续计量取决于其分类：</w:t>
      </w:r>
    </w:p>
    <w:p>
      <w:pPr>
        <w:pStyle w:val="BodyText"/>
        <w:spacing w:line="316" w:lineRule="auto" w:before="19"/>
        <w:ind w:left="513" w:right="4993"/>
        <w:jc w:val="left"/>
        <w:rPr>
          <w:rFonts w:ascii="宋体" w:hAnsi="宋体" w:cs="宋体" w:eastAsia="宋体" w:hint="default"/>
        </w:rPr>
      </w:pPr>
      <w:r>
        <w:rPr/>
        <w:t>其他金融负债 对于此类金融负债，采用实际利率法，按照摊余成本进行后续计量。 </w:t>
      </w:r>
      <w:r>
        <w:rPr>
          <w:rFonts w:ascii="宋体" w:hAnsi="宋体" w:cs="宋体" w:eastAsia="宋体" w:hint="default"/>
          <w:b/>
          <w:bCs/>
        </w:rPr>
        <w:t>金融资产减值</w:t>
      </w:r>
      <w:r>
        <w:rPr>
          <w:rFonts w:ascii="宋体" w:hAnsi="宋体" w:cs="宋体" w:eastAsia="宋体" w:hint="default"/>
        </w:rPr>
      </w:r>
    </w:p>
    <w:p>
      <w:pPr>
        <w:pStyle w:val="BodyText"/>
        <w:spacing w:line="314" w:lineRule="auto" w:before="59"/>
        <w:ind w:right="1130" w:firstLine="288"/>
        <w:jc w:val="both"/>
      </w:pPr>
      <w:r>
        <w:rPr>
          <w:spacing w:val="-1"/>
        </w:rPr>
        <w:t>公司于资产负债表日对金融资产的账面价值进行检查，有客观证据表明该金融资产发生减值的，计提减值准备。表明金</w:t>
      </w:r>
      <w:r>
        <w:rPr/>
        <w:t> </w:t>
      </w:r>
      <w:r>
        <w:rPr>
          <w:spacing w:val="-2"/>
        </w:rPr>
        <w:t>融资产发生减值的客观证据，是指金融资产初始确认后实际发生的、对该金融资产的预计未来现金流量有影响，且企业能够</w:t>
      </w:r>
      <w:r>
        <w:rPr>
          <w:spacing w:val="-63"/>
        </w:rPr>
        <w:t> </w:t>
      </w:r>
      <w:r>
        <w:rPr>
          <w:spacing w:val="-63"/>
        </w:rPr>
      </w:r>
      <w:r>
        <w:rPr>
          <w:spacing w:val="-2"/>
        </w:rPr>
        <w:t>对该影响进行可靠计量的事项。金融资产发生减值的客观证据，包括发行人或债务人发生严重财务困难、债务人违反合同条</w:t>
      </w:r>
      <w:r>
        <w:rPr>
          <w:spacing w:val="-63"/>
        </w:rPr>
        <w:t> </w:t>
      </w:r>
      <w:r>
        <w:rPr>
          <w:spacing w:val="-63"/>
        </w:rPr>
      </w:r>
      <w:r>
        <w:rPr>
          <w:spacing w:val="-1"/>
        </w:rPr>
        <w:t>款</w:t>
      </w:r>
      <w:r>
        <w:rPr>
          <w:rFonts w:ascii="Times New Roman" w:hAnsi="Times New Roman" w:cs="Times New Roman" w:eastAsia="Times New Roman" w:hint="default"/>
          <w:spacing w:val="-1"/>
        </w:rPr>
        <w:t>(</w:t>
      </w:r>
      <w:r>
        <w:rPr>
          <w:spacing w:val="-1"/>
        </w:rPr>
        <w:t>如偿付利息或本金发生违约或逾期等</w:t>
      </w:r>
      <w:r>
        <w:rPr>
          <w:rFonts w:ascii="Times New Roman" w:hAnsi="Times New Roman" w:cs="Times New Roman" w:eastAsia="Times New Roman" w:hint="default"/>
          <w:spacing w:val="-1"/>
        </w:rPr>
        <w:t>)</w:t>
      </w:r>
      <w:r>
        <w:rPr>
          <w:spacing w:val="-1"/>
        </w:rPr>
        <w:t>、债务人很可能倒闭或进行其他财务重组，以及公开的数据显示预计未来现金流量</w:t>
      </w:r>
      <w:r>
        <w:rPr>
          <w:spacing w:val="-59"/>
        </w:rPr>
        <w:t> </w:t>
      </w:r>
      <w:r>
        <w:rPr>
          <w:spacing w:val="-59"/>
        </w:rPr>
      </w:r>
      <w:r>
        <w:rPr/>
        <w:t>确已减少且可计量。</w:t>
      </w:r>
    </w:p>
    <w:p>
      <w:pPr>
        <w:pStyle w:val="BodyText"/>
        <w:spacing w:line="316" w:lineRule="auto" w:before="59"/>
        <w:ind w:right="1132" w:firstLine="360"/>
        <w:jc w:val="both"/>
      </w:pPr>
      <w:r>
        <w:rPr>
          <w:spacing w:val="-2"/>
        </w:rPr>
        <w:t>对单项金额重大的金融资产单独进行减值测试，如有客观证据表明其已发生减值，确认减值损失，计入当期损益。对单</w:t>
      </w:r>
      <w:r>
        <w:rPr/>
        <w:t> </w:t>
      </w:r>
      <w:r>
        <w:rPr>
          <w:spacing w:val="-2"/>
        </w:rPr>
        <w:t>项金额不重大的金融资产，包括在具有类似信用风险特征的金融资产组合中进行减值测试。单独测试未发生减值的金融资产</w:t>
      </w:r>
    </w:p>
    <w:p>
      <w:pPr>
        <w:pStyle w:val="BodyText"/>
        <w:spacing w:line="316" w:lineRule="auto" w:before="19"/>
        <w:ind w:right="1133"/>
        <w:jc w:val="both"/>
      </w:pPr>
      <w:r>
        <w:rPr>
          <w:spacing w:val="-2"/>
        </w:rPr>
        <w:t>（包括单项金额重大和不重大的金融资产），包括在具有类似信用风险特征的金融资产组合中再进行减值测试。已单项确认</w:t>
      </w:r>
      <w:r>
        <w:rPr>
          <w:spacing w:val="-66"/>
        </w:rPr>
        <w:t> </w:t>
      </w:r>
      <w:r>
        <w:rPr>
          <w:spacing w:val="-66"/>
        </w:rPr>
      </w:r>
      <w:r>
        <w:rPr>
          <w:spacing w:val="-2"/>
        </w:rPr>
        <w:t>减值损失的金融资产，不包括在具有类似信用风险特征的金融资产组合中进行减值测试。减值后利息收入按照确定减值损失</w:t>
      </w:r>
      <w:r>
        <w:rPr>
          <w:spacing w:val="-64"/>
        </w:rPr>
        <w:t> </w:t>
      </w:r>
      <w:r>
        <w:rPr>
          <w:spacing w:val="-64"/>
        </w:rPr>
      </w:r>
      <w:r>
        <w:rPr/>
        <w:t>时对未来现金流量进行折现采用的折现率作为利率计算确认。</w:t>
      </w:r>
    </w:p>
    <w:p>
      <w:pPr>
        <w:pStyle w:val="BodyText"/>
        <w:spacing w:line="316" w:lineRule="auto" w:before="19"/>
        <w:ind w:left="513" w:right="986"/>
        <w:jc w:val="left"/>
      </w:pPr>
      <w:r>
        <w:rPr/>
        <w:t>可供出售金融资产 </w:t>
      </w:r>
      <w:r>
        <w:rPr>
          <w:spacing w:val="-2"/>
        </w:rPr>
        <w:t>如果有客观证据表明该金融资产发生减值，原计入其他综合收益的因公允价值下降形成的累计损失，予以转出，计入当</w:t>
      </w:r>
    </w:p>
    <w:p>
      <w:pPr>
        <w:pStyle w:val="BodyText"/>
        <w:spacing w:line="316" w:lineRule="auto" w:before="19"/>
        <w:ind w:right="1132"/>
        <w:jc w:val="both"/>
      </w:pPr>
      <w:r>
        <w:rPr>
          <w:spacing w:val="-2"/>
        </w:rPr>
        <w:t>期损益。该转出的累计损失，为可供出售金融资产的初始取得成本扣除已收回本金和已摊销金额、当前公允价值和原已计入</w:t>
      </w:r>
      <w:r>
        <w:rPr>
          <w:spacing w:val="-65"/>
        </w:rPr>
        <w:t> </w:t>
      </w:r>
      <w:r>
        <w:rPr>
          <w:spacing w:val="-65"/>
        </w:rPr>
      </w:r>
      <w:r>
        <w:rPr/>
        <w:t>损益的减值损失后的余额。</w:t>
      </w:r>
    </w:p>
    <w:p>
      <w:pPr>
        <w:pStyle w:val="BodyText"/>
        <w:spacing w:line="307" w:lineRule="auto" w:before="19"/>
        <w:ind w:right="1130" w:firstLine="360"/>
        <w:jc w:val="both"/>
      </w:pPr>
      <w:r>
        <w:rPr>
          <w:spacing w:val="-2"/>
        </w:rPr>
        <w:t>可供出售权益工具投资发生减值的客观证据，包括公允价值发生严重或非暂时性下跌。</w:t>
      </w:r>
      <w:r>
        <w:rPr>
          <w:rFonts w:ascii="Times New Roman" w:hAnsi="Times New Roman" w:cs="Times New Roman" w:eastAsia="Times New Roman" w:hint="default"/>
          <w:spacing w:val="-2"/>
        </w:rPr>
        <w:t>“</w:t>
      </w:r>
      <w:r>
        <w:rPr>
          <w:spacing w:val="-2"/>
        </w:rPr>
        <w:t>严重</w:t>
      </w:r>
      <w:r>
        <w:rPr>
          <w:rFonts w:ascii="Times New Roman" w:hAnsi="Times New Roman" w:cs="Times New Roman" w:eastAsia="Times New Roman" w:hint="default"/>
          <w:spacing w:val="-2"/>
        </w:rPr>
        <w:t>”</w:t>
      </w:r>
      <w:r>
        <w:rPr>
          <w:spacing w:val="-2"/>
        </w:rPr>
        <w:t>根据公允价值低于成本的</w:t>
      </w:r>
      <w:r>
        <w:rPr/>
        <w:t> </w:t>
      </w:r>
      <w:r>
        <w:rPr>
          <w:spacing w:val="-2"/>
        </w:rPr>
        <w:t>程度进行判断，</w:t>
      </w:r>
      <w:r>
        <w:rPr>
          <w:rFonts w:ascii="Times New Roman" w:hAnsi="Times New Roman" w:cs="Times New Roman" w:eastAsia="Times New Roman" w:hint="default"/>
          <w:spacing w:val="-2"/>
        </w:rPr>
        <w:t>“</w:t>
      </w:r>
      <w:r>
        <w:rPr>
          <w:spacing w:val="-2"/>
        </w:rPr>
        <w:t>非暂时性</w:t>
      </w:r>
      <w:r>
        <w:rPr>
          <w:rFonts w:ascii="Times New Roman" w:hAnsi="Times New Roman" w:cs="Times New Roman" w:eastAsia="Times New Roman" w:hint="default"/>
          <w:spacing w:val="-2"/>
        </w:rPr>
        <w:t>”</w:t>
      </w:r>
      <w:r>
        <w:rPr>
          <w:spacing w:val="-2"/>
        </w:rPr>
        <w:t>根据公允价值低于成本的期间长短进行判断。存在发生减值的客观证据的，转出的累计损失，为</w:t>
      </w:r>
      <w:r>
        <w:rPr>
          <w:spacing w:val="-41"/>
        </w:rPr>
        <w:t> </w:t>
      </w:r>
      <w:r>
        <w:rPr>
          <w:spacing w:val="-41"/>
        </w:rPr>
      </w:r>
      <w:r>
        <w:rPr/>
        <w:t>取得成本扣除当前公允价值和原已计入损益的减值损失后的余额。可供出售权益工具投资发生的减值损失，不通过损益转</w:t>
      </w:r>
      <w:r>
        <w:rPr>
          <w:spacing w:val="-11"/>
        </w:rPr>
        <w:t> </w:t>
      </w:r>
      <w:r>
        <w:rPr>
          <w:spacing w:val="-11"/>
        </w:rPr>
      </w:r>
      <w:r>
        <w:rPr/>
        <w:t>回，减值之后发生的公允价值增加直接在其他综合收益中确认。</w:t>
      </w:r>
    </w:p>
    <w:p>
      <w:pPr>
        <w:pStyle w:val="BodyText"/>
        <w:spacing w:line="300" w:lineRule="auto" w:before="26"/>
        <w:ind w:right="1132" w:firstLine="360"/>
        <w:jc w:val="both"/>
      </w:pPr>
      <w:r>
        <w:rPr>
          <w:spacing w:val="-1"/>
        </w:rPr>
        <w:t>在确定何谓</w:t>
      </w:r>
      <w:r>
        <w:rPr>
          <w:rFonts w:ascii="Times New Roman" w:hAnsi="Times New Roman" w:cs="Times New Roman" w:eastAsia="Times New Roman" w:hint="default"/>
          <w:spacing w:val="-1"/>
        </w:rPr>
        <w:t>“</w:t>
      </w:r>
      <w:r>
        <w:rPr>
          <w:spacing w:val="-1"/>
        </w:rPr>
        <w:t>严重</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非暂时性</w:t>
      </w:r>
      <w:r>
        <w:rPr>
          <w:rFonts w:ascii="Times New Roman" w:hAnsi="Times New Roman" w:cs="Times New Roman" w:eastAsia="Times New Roman" w:hint="default"/>
          <w:spacing w:val="-1"/>
        </w:rPr>
        <w:t>”</w:t>
      </w:r>
      <w:r>
        <w:rPr>
          <w:spacing w:val="-1"/>
        </w:rPr>
        <w:t>时，需要进行判断。公司根据公允价值低于成本的程度或期间长短，结合其他因素进行</w:t>
      </w:r>
      <w:r>
        <w:rPr/>
        <w:t> 判断。</w:t>
      </w:r>
    </w:p>
    <w:p>
      <w:pPr>
        <w:pStyle w:val="BodyText"/>
        <w:spacing w:line="316" w:lineRule="auto" w:before="31"/>
        <w:ind w:left="513" w:right="986"/>
        <w:jc w:val="left"/>
      </w:pPr>
      <w:r>
        <w:rPr/>
        <w:t>以成本计量的金融资产 </w:t>
      </w:r>
      <w:r>
        <w:rPr>
          <w:spacing w:val="-2"/>
        </w:rPr>
        <w:t>如果有客观证据表明该金融资产发生减值，将该金融资产的账面价值，与按照类似金融资产当时市场收益率对未来现金</w:t>
      </w:r>
    </w:p>
    <w:p>
      <w:pPr>
        <w:pStyle w:val="BodyText"/>
        <w:spacing w:line="316" w:lineRule="auto" w:before="19"/>
        <w:ind w:left="513" w:right="2294" w:hanging="361"/>
        <w:jc w:val="left"/>
        <w:rPr>
          <w:rFonts w:ascii="宋体" w:hAnsi="宋体" w:cs="宋体" w:eastAsia="宋体" w:hint="default"/>
        </w:rPr>
      </w:pPr>
      <w:r>
        <w:rPr/>
        <w:t>流量折现确定的现值之间的差额，确认为减值损失，计入当期损益。发生的减值损失一经确认，不再转回。 </w:t>
      </w:r>
      <w:r>
        <w:rPr>
          <w:rFonts w:ascii="宋体" w:hAnsi="宋体" w:cs="宋体" w:eastAsia="宋体" w:hint="default"/>
          <w:b/>
          <w:bCs/>
        </w:rPr>
        <w:t>金融资产转移</w:t>
      </w:r>
      <w:r>
        <w:rPr>
          <w:rFonts w:ascii="宋体" w:hAnsi="宋体" w:cs="宋体" w:eastAsia="宋体" w:hint="default"/>
        </w:rPr>
      </w:r>
    </w:p>
    <w:p>
      <w:pPr>
        <w:pStyle w:val="BodyText"/>
        <w:spacing w:line="316" w:lineRule="auto" w:before="19"/>
        <w:ind w:right="1132" w:firstLine="360"/>
        <w:jc w:val="both"/>
      </w:pPr>
      <w:r>
        <w:rPr>
          <w:spacing w:val="-2"/>
        </w:rPr>
        <w:t>公司已将金融资产所有权上几乎所有的风险和报酬转移给转入方的，终止确认该金融资产；保留了金融资产所有权上几</w:t>
      </w:r>
      <w:r>
        <w:rPr/>
        <w:t> 乎所有的风险和报酬的，不终止确认该金融资产。</w:t>
      </w:r>
    </w:p>
    <w:p>
      <w:pPr>
        <w:spacing w:after="0" w:line="316" w:lineRule="auto"/>
        <w:jc w:val="both"/>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16" w:lineRule="auto" w:before="44"/>
        <w:ind w:right="1130" w:firstLine="360"/>
        <w:jc w:val="both"/>
      </w:pPr>
      <w:r>
        <w:rPr>
          <w:spacing w:val="-2"/>
        </w:rPr>
        <w:t>公司既没有转移也没有保留金融资产所有权上几乎所有的风险和报酬的，分别下列情况处理：放弃了对该金融资产控制</w:t>
      </w:r>
      <w:r>
        <w:rPr/>
        <w:t> </w:t>
      </w:r>
      <w:r>
        <w:rPr>
          <w:spacing w:val="-2"/>
        </w:rPr>
        <w:t>的，终止确认该金融资产并确认产生的资产和负债；未放弃对该金融资产控制的，按照其继续涉入所转移金融资产的程度确</w:t>
      </w:r>
      <w:r>
        <w:rPr>
          <w:spacing w:val="-63"/>
        </w:rPr>
        <w:t> </w:t>
      </w:r>
      <w:r>
        <w:rPr>
          <w:spacing w:val="-63"/>
        </w:rPr>
      </w:r>
      <w:r>
        <w:rPr/>
        <w:t>认有关金融资产，并相应确认有关负债。</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公司将单项金额超过人民币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 收款项。</w:t>
            </w:r>
          </w:p>
        </w:tc>
      </w:tr>
      <w:tr>
        <w:trPr>
          <w:trHeight w:val="102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both"/>
              <w:rPr>
                <w:rFonts w:ascii="宋体" w:hAnsi="宋体" w:cs="宋体" w:eastAsia="宋体" w:hint="default"/>
                <w:sz w:val="18"/>
                <w:szCs w:val="18"/>
              </w:rPr>
            </w:pPr>
            <w:r>
              <w:rPr>
                <w:rFonts w:ascii="宋体" w:hAnsi="宋体" w:cs="宋体" w:eastAsia="宋体" w:hint="default"/>
                <w:sz w:val="18"/>
                <w:szCs w:val="18"/>
              </w:rPr>
              <w:t>当存在客观证据表明公司将无法按应收款项的原有条款收回 款项时，根据应收款项的预计未来现金流量现值低于其账面 价值的差额计提坏账准备。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单项金额重大未单独计提坏账准备及单项金额不重大未单独 计提坏账准备的应收账款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1133"/>
        <w:jc w:val="left"/>
      </w:pPr>
      <w:r>
        <w:rPr/>
        <w:t>组合中，采用账龄分析法计提坏账准备的：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1133"/>
        <w:jc w:val="left"/>
      </w:pPr>
      <w:r>
        <w:rPr/>
        <w:t>组合中，采用余额百分比法计提坏账准备的：</w:t>
      </w:r>
    </w:p>
    <w:p>
      <w:pPr>
        <w:pStyle w:val="BodyText"/>
        <w:spacing w:line="340" w:lineRule="auto" w:before="115"/>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102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单项金额虽不重大但应收款项的未来现金流量现值与以账龄 为信用风险特征的应收款项组合的未来现金流量现值存在显 著差异。</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额计提坏账准备。</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12"/>
        <w:rPr>
          <w:rFonts w:ascii="宋体" w:hAnsi="宋体" w:cs="宋体" w:eastAsia="宋体" w:hint="default"/>
          <w:b/>
          <w:bCs/>
          <w:sz w:val="20"/>
          <w:szCs w:val="20"/>
        </w:rPr>
      </w:pPr>
    </w:p>
    <w:p>
      <w:pPr>
        <w:pStyle w:val="Heading3"/>
        <w:spacing w:line="240" w:lineRule="auto" w:before="36"/>
        <w:ind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0"/>
        <w:jc w:val="both"/>
      </w:pPr>
      <w:r>
        <w:rPr/>
        <w:t>医疗器械业</w:t>
      </w:r>
    </w:p>
    <w:p>
      <w:pPr>
        <w:pStyle w:val="BodyText"/>
        <w:spacing w:line="316" w:lineRule="auto" w:before="117"/>
        <w:ind w:left="513" w:right="986"/>
        <w:jc w:val="left"/>
      </w:pPr>
      <w:r>
        <w:rPr/>
        <w:t>存货主要包括原材料、在产品、发出商品和库存商品。 </w:t>
      </w:r>
      <w:r>
        <w:rPr>
          <w:spacing w:val="-2"/>
        </w:rPr>
        <w:t>存货按照成本进行初始计量。存货成本包括采购成本、加工成本和其他成本。发出存货，采用加权平均法确定其实际成</w:t>
      </w:r>
    </w:p>
    <w:p>
      <w:pPr>
        <w:pStyle w:val="BodyText"/>
        <w:spacing w:line="316" w:lineRule="auto" w:before="19"/>
        <w:ind w:left="513" w:right="3914" w:hanging="361"/>
        <w:jc w:val="left"/>
      </w:pPr>
      <w:r>
        <w:rPr/>
        <w:t>本。周转材料包括低值易耗品和包装物等，低值易耗品和包装物采用一次摊销法核算。 存货的盘存制度采用永续盘存制。</w:t>
      </w:r>
    </w:p>
    <w:p>
      <w:pPr>
        <w:pStyle w:val="BodyText"/>
        <w:spacing w:line="319" w:lineRule="auto" w:before="19"/>
        <w:ind w:right="1130" w:firstLine="360"/>
        <w:jc w:val="both"/>
      </w:pPr>
      <w:r>
        <w:rPr>
          <w:spacing w:val="-5"/>
        </w:rPr>
        <w:t>于资产负债表日，存货按照成本与可变现净值孰低计量，对成本高于可变现净值的，计提存货跌价准备，计入当期损益。</w:t>
      </w:r>
      <w:r>
        <w:rPr/>
        <w:t> </w:t>
      </w:r>
      <w:r>
        <w:rPr>
          <w:spacing w:val="-2"/>
        </w:rPr>
        <w:t>如果以前计提存货跌价准备的影响因素已经消失，使得存货的可变现净值高于其账面价值，则在原已计提的存货跌价准备金</w:t>
      </w:r>
      <w:r>
        <w:rPr>
          <w:spacing w:val="-62"/>
        </w:rPr>
        <w:t> </w:t>
      </w:r>
      <w:r>
        <w:rPr>
          <w:spacing w:val="-62"/>
        </w:rPr>
      </w:r>
      <w:r>
        <w:rPr/>
        <w:t>额内，将以前减记的金额予以恢复，转回的金额计入当期损益。</w:t>
      </w:r>
    </w:p>
    <w:p>
      <w:pPr>
        <w:pStyle w:val="BodyText"/>
        <w:spacing w:line="316" w:lineRule="auto" w:before="17"/>
        <w:ind w:right="1130" w:firstLine="360"/>
        <w:jc w:val="both"/>
      </w:pPr>
      <w:r>
        <w:rPr>
          <w:spacing w:val="-2"/>
        </w:rPr>
        <w:t>可变现净值，是指在日常活动中，存货的估计售价减去至完工时估计将要发生的成本、估计的销售费用以及相关税费后</w:t>
      </w:r>
      <w:r>
        <w:rPr/>
        <w:t> 的金额。计提存货跌价准备时，产成品按单个存货项目计提，原材料、在产品及周转材料按类别计提。</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986"/>
        <w:jc w:val="left"/>
      </w:pPr>
      <w:r>
        <w:rPr/>
        <w:t>长期股权投资包括对子公司投资、合营企业和联营企业的权益性投资。 </w:t>
      </w:r>
      <w:r>
        <w:rPr>
          <w:spacing w:val="-2"/>
        </w:rPr>
        <w:t>长期股权投资在取得时以初始投资成本进行初始计量。通过同一控制下的企业合并取得的长期股权投资，以合并日取得</w:t>
      </w:r>
    </w:p>
    <w:p>
      <w:pPr>
        <w:pStyle w:val="BodyText"/>
        <w:spacing w:line="316" w:lineRule="auto" w:before="19"/>
        <w:ind w:right="1128"/>
        <w:jc w:val="both"/>
      </w:pPr>
      <w:r>
        <w:rPr/>
        <w:t>被合并方股东权益在最终控制方合并财务报表中的账面价值的份额作为初始投资成本；初始投资成本与合并对价账面价值</w:t>
      </w:r>
      <w:r>
        <w:rPr>
          <w:spacing w:val="-11"/>
        </w:rPr>
        <w:t> </w:t>
      </w:r>
      <w:r>
        <w:rPr>
          <w:spacing w:val="-11"/>
        </w:rPr>
      </w:r>
      <w:r>
        <w:rPr>
          <w:spacing w:val="-2"/>
        </w:rPr>
        <w:t>之间差额，调整资本公积（不足冲减的，冲减留存收益）；合并日之前的其他综合收益，在处置该项投资时采用与被投资单</w:t>
      </w:r>
      <w:r>
        <w:rPr>
          <w:spacing w:val="-68"/>
        </w:rPr>
        <w:t> </w:t>
      </w:r>
      <w:r>
        <w:rPr>
          <w:spacing w:val="-68"/>
        </w:rPr>
      </w:r>
      <w:r>
        <w:rPr>
          <w:spacing w:val="-2"/>
        </w:rPr>
        <w:t>位直接处置相关资产或负债相同的基础进行会计处理，因被投资方除净损益、其他综合收益和利润分配以外的其他股东权益</w:t>
      </w:r>
      <w:r>
        <w:rPr>
          <w:spacing w:val="-64"/>
        </w:rPr>
        <w:t> </w:t>
      </w:r>
      <w:r>
        <w:rPr>
          <w:spacing w:val="-64"/>
        </w:rPr>
      </w:r>
      <w:r>
        <w:rPr>
          <w:spacing w:val="-2"/>
        </w:rPr>
        <w:t>变动而确认的股东权益，在处置该项投资时转入当期损益；其中，处置后仍为长期股权投资的按比例结转，处置后转换为金</w:t>
      </w:r>
      <w:r>
        <w:rPr>
          <w:spacing w:val="-65"/>
        </w:rPr>
        <w:t> </w:t>
      </w:r>
      <w:r>
        <w:rPr>
          <w:spacing w:val="-65"/>
        </w:rPr>
      </w:r>
      <w:r>
        <w:rPr>
          <w:spacing w:val="-2"/>
        </w:rPr>
        <w:t>融工具的则全额结转。通过非同一控制下的企业合并取得的长期股权投资，以合并成本作为初始投资成本（通过多次交易分</w:t>
      </w:r>
      <w:r>
        <w:rPr>
          <w:spacing w:val="-62"/>
        </w:rPr>
        <w:t> </w:t>
      </w:r>
      <w:r>
        <w:rPr>
          <w:spacing w:val="-62"/>
        </w:rPr>
      </w:r>
      <w:r>
        <w:rPr/>
        <w:t>步实现非同一控制下的企业合并的，以购买日之前所持被购买方的股权投资的账面价值与购买日新增投资成本之和作为初</w:t>
      </w:r>
      <w:r>
        <w:rPr>
          <w:spacing w:val="-11"/>
        </w:rPr>
        <w:t> </w:t>
      </w:r>
      <w:r>
        <w:rPr>
          <w:spacing w:val="-11"/>
        </w:rPr>
      </w:r>
      <w:r>
        <w:rPr>
          <w:spacing w:val="-2"/>
        </w:rPr>
        <w:t>始投资成本），合并成本包括购买方付出的资产、发生或承担的负债、发行的权益性证券的公允价值之和</w:t>
      </w:r>
      <w:r>
        <w:rPr>
          <w:rFonts w:ascii="宋体" w:hAnsi="宋体" w:cs="宋体" w:eastAsia="宋体" w:hint="default"/>
          <w:spacing w:val="-2"/>
        </w:rPr>
        <w:t>,</w:t>
      </w:r>
      <w:r>
        <w:rPr>
          <w:rFonts w:ascii="宋体" w:hAnsi="宋体" w:cs="宋体" w:eastAsia="宋体" w:hint="default"/>
          <w:spacing w:val="18"/>
        </w:rPr>
        <w:t> </w:t>
      </w:r>
      <w:r>
        <w:rPr>
          <w:spacing w:val="-1"/>
        </w:rPr>
        <w:t>购买日之前持有</w:t>
      </w:r>
      <w:r>
        <w:rPr/>
        <w:t> 的因采用权益法核算而确认的其他综合收益，在处置该项投资时采用与被投资单位直接处置相关资产或负债相同的基础进</w:t>
      </w:r>
      <w:r>
        <w:rPr>
          <w:spacing w:val="-11"/>
        </w:rPr>
        <w:t> </w:t>
      </w:r>
      <w:r>
        <w:rPr>
          <w:spacing w:val="-11"/>
        </w:rPr>
      </w:r>
      <w:r>
        <w:rPr>
          <w:spacing w:val="-2"/>
        </w:rPr>
        <w:t>行会计处理，因被投资方除净损益、其他综合收益和利润分配以外的其他股东权益变动而确认的股东权益，在处置该项投资</w:t>
      </w:r>
      <w:r>
        <w:rPr>
          <w:spacing w:val="-63"/>
        </w:rPr>
        <w:t> </w:t>
      </w:r>
      <w:r>
        <w:rPr>
          <w:spacing w:val="-63"/>
        </w:rPr>
      </w:r>
      <w:r>
        <w:rPr>
          <w:spacing w:val="-2"/>
        </w:rPr>
        <w:t>时转入当期损益；其中，处置后仍为长期股权投资的按比例结转，处置后转换为金融工具的则全额结转。除企业合并形成的</w:t>
      </w:r>
      <w:r>
        <w:rPr>
          <w:spacing w:val="-63"/>
        </w:rPr>
        <w:t> </w:t>
      </w:r>
      <w:r>
        <w:rPr>
          <w:spacing w:val="-63"/>
        </w:rPr>
      </w:r>
      <w:r>
        <w:rPr>
          <w:spacing w:val="-2"/>
        </w:rPr>
        <w:t>长期股权投资以外方式取得的长期股权投资，按照下列方法确定初始投资成本：支付现金取得的，以实际支付的购买价款及</w:t>
      </w:r>
      <w:r>
        <w:rPr>
          <w:spacing w:val="-63"/>
        </w:rPr>
        <w:t> </w:t>
      </w:r>
      <w:r>
        <w:rPr>
          <w:spacing w:val="-63"/>
        </w:rPr>
      </w:r>
      <w:r>
        <w:rPr>
          <w:spacing w:val="-2"/>
        </w:rPr>
        <w:t>与取得长期股权投资直接相关的费用、税金及其他必要支出作为初始投资成本；发行权益性证券取得的，以发行权益性证券</w:t>
      </w:r>
      <w:r>
        <w:rPr>
          <w:spacing w:val="-63"/>
        </w:rPr>
        <w:t> </w:t>
      </w:r>
      <w:r>
        <w:rPr>
          <w:spacing w:val="-63"/>
        </w:rPr>
      </w:r>
      <w:r>
        <w:rPr/>
        <w:t>的公允价值作为初始投资成本。</w:t>
      </w:r>
    </w:p>
    <w:p>
      <w:pPr>
        <w:pStyle w:val="BodyText"/>
        <w:spacing w:line="316" w:lineRule="auto" w:before="19"/>
        <w:ind w:right="1130" w:firstLine="360"/>
        <w:jc w:val="both"/>
      </w:pPr>
      <w:r>
        <w:rPr>
          <w:spacing w:val="-2"/>
        </w:rPr>
        <w:t>公司能够对被投资单位实施控制的长期股权投资，在公司个别财务报表中采用成本法核算。控制，是指拥有对被投资方</w:t>
      </w:r>
      <w:r>
        <w:rPr/>
        <w:t> 的权力，通过参与被投资方的相关活动而享有可变回报，并且有能力运用对被投资方的权力影响回报金额。</w:t>
      </w:r>
    </w:p>
    <w:p>
      <w:pPr>
        <w:pStyle w:val="BodyText"/>
        <w:spacing w:line="316" w:lineRule="auto" w:before="19"/>
        <w:ind w:right="1133" w:firstLine="360"/>
        <w:jc w:val="both"/>
      </w:pPr>
      <w:r>
        <w:rPr>
          <w:spacing w:val="-2"/>
        </w:rPr>
        <w:t>采用成本法时，长期股权投资按初始投资成本计价，追加或收回投资的，调整长期股权投资的成本。被投资单位宣告分</w:t>
      </w:r>
      <w:r>
        <w:rPr/>
        <w:t> 派的现金股利或利润，确认为当期投资收益。</w:t>
      </w:r>
    </w:p>
    <w:p>
      <w:pPr>
        <w:pStyle w:val="BodyText"/>
        <w:spacing w:line="316" w:lineRule="auto" w:before="19"/>
        <w:ind w:right="1130" w:firstLine="360"/>
        <w:jc w:val="both"/>
      </w:pPr>
      <w:r>
        <w:rPr>
          <w:spacing w:val="-2"/>
        </w:rPr>
        <w:t>公司对被投资单位具有共同控制或重大影响的，长期股权投资采用权益法核算。共同控制，是指按照相关约定对某项安</w:t>
      </w:r>
      <w:r>
        <w:rPr/>
        <w:t> </w:t>
      </w:r>
      <w:r>
        <w:rPr>
          <w:spacing w:val="-2"/>
        </w:rPr>
        <w:t>排所共有的控制，并且该安排的相关活动必须经过分享控制权的参与方一致同意后才能决策。重大影响，是指对被投资单位</w:t>
      </w:r>
      <w:r>
        <w:rPr>
          <w:spacing w:val="-66"/>
        </w:rPr>
        <w:t> </w:t>
      </w:r>
      <w:r>
        <w:rPr>
          <w:spacing w:val="-66"/>
        </w:rPr>
      </w:r>
      <w:r>
        <w:rPr/>
        <w:t>的财务和经营政策有参与决策的权力，但并不能够控制或者与其他方一起共同控制这些政策的制定。</w:t>
      </w:r>
    </w:p>
    <w:p>
      <w:pPr>
        <w:pStyle w:val="BodyText"/>
        <w:spacing w:line="316" w:lineRule="auto" w:before="19"/>
        <w:ind w:right="1131" w:firstLine="360"/>
        <w:jc w:val="both"/>
      </w:pPr>
      <w:r>
        <w:rPr>
          <w:spacing w:val="-2"/>
        </w:rPr>
        <w:t>采用权益法时，长期股权投资的初始投资成本大于投资时应享有被投资单位可辨认净资产公允价值份额的，归入长期股</w:t>
      </w:r>
      <w:r>
        <w:rPr/>
        <w:t> </w:t>
      </w:r>
      <w:r>
        <w:rPr>
          <w:spacing w:val="-2"/>
        </w:rPr>
        <w:t>权投资的初始投资成本；长期股权投资的初始投资成本小于投资时应享有被投资单位可辨认净资产公允价值份额的，其差额</w:t>
      </w:r>
      <w:r>
        <w:rPr>
          <w:spacing w:val="-64"/>
        </w:rPr>
        <w:t> </w:t>
      </w:r>
      <w:r>
        <w:rPr>
          <w:spacing w:val="-64"/>
        </w:rPr>
      </w:r>
      <w:r>
        <w:rPr/>
        <w:t>计入当期损益，同时调整长期股权投资的成本。</w:t>
      </w:r>
    </w:p>
    <w:p>
      <w:pPr>
        <w:pStyle w:val="BodyText"/>
        <w:spacing w:line="316" w:lineRule="auto" w:before="19"/>
        <w:ind w:right="1130" w:firstLine="360"/>
        <w:jc w:val="both"/>
      </w:pPr>
      <w:r>
        <w:rPr>
          <w:spacing w:val="-2"/>
        </w:rPr>
        <w:t>采用权益法时，取得长期股权投资后，按照应享有或应分担的被投资单位实现的净损益和其他综合收益的份额，分别确</w:t>
      </w:r>
      <w:r>
        <w:rPr/>
        <w:t> </w:t>
      </w:r>
      <w:r>
        <w:rPr>
          <w:spacing w:val="-2"/>
        </w:rPr>
        <w:t>认投资损益和其他综合收益并调整长期股权投资的账面价值。在确认应享有被投资单位净损益的份额时，以取得投资时被投</w:t>
      </w:r>
    </w:p>
    <w:p>
      <w:pPr>
        <w:spacing w:after="0" w:line="316" w:lineRule="auto"/>
        <w:jc w:val="both"/>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16" w:lineRule="auto" w:before="44"/>
        <w:ind w:right="1130"/>
        <w:jc w:val="both"/>
      </w:pPr>
      <w:r>
        <w:rPr>
          <w:spacing w:val="-2"/>
        </w:rPr>
        <w:t>资单位可辨认资产等的公允价值为基础，按照公司的会计政策及会计期间，并抵销与联营企业及合营企业之间发生的内部交</w:t>
      </w:r>
      <w:r>
        <w:rPr>
          <w:spacing w:val="-64"/>
        </w:rPr>
        <w:t> </w:t>
      </w:r>
      <w:r>
        <w:rPr>
          <w:spacing w:val="-64"/>
        </w:rPr>
      </w:r>
      <w:r>
        <w:rPr>
          <w:spacing w:val="-2"/>
        </w:rPr>
        <w:t>易损益按照应享有的比例计算归属于投资方的部分（但内部交易损失属于资产减值损失的，应全额确认），对被投资单位的</w:t>
      </w:r>
      <w:r>
        <w:rPr>
          <w:spacing w:val="-66"/>
        </w:rPr>
        <w:t> </w:t>
      </w:r>
      <w:r>
        <w:rPr>
          <w:spacing w:val="-66"/>
        </w:rPr>
      </w:r>
      <w:r>
        <w:rPr>
          <w:spacing w:val="-2"/>
        </w:rPr>
        <w:t>净利润进行调整后确认，但投出或出售的资产构成业务的除外。按照被投资单位宣告分派的利润或现金股利计算应享有的部</w:t>
      </w:r>
      <w:r>
        <w:rPr>
          <w:spacing w:val="-64"/>
        </w:rPr>
        <w:t> </w:t>
      </w:r>
      <w:r>
        <w:rPr>
          <w:spacing w:val="-64"/>
        </w:rPr>
      </w:r>
      <w:r>
        <w:rPr>
          <w:spacing w:val="-2"/>
        </w:rPr>
        <w:t>分，相应减少长期股权投资的账面价值。公司确认被投资单位发生的净亏损，以长期股权投资的账面价值以及其他实质上构</w:t>
      </w:r>
      <w:r>
        <w:rPr>
          <w:spacing w:val="-63"/>
        </w:rPr>
        <w:t> </w:t>
      </w:r>
      <w:r>
        <w:rPr>
          <w:spacing w:val="-63"/>
        </w:rPr>
      </w:r>
      <w:r>
        <w:rPr>
          <w:spacing w:val="-2"/>
        </w:rPr>
        <w:t>成对被投资单位净投资的长期权益减记至零为限，公司负有承担额外损失义务的除外。对于被投资单位除净损益、其他综合</w:t>
      </w:r>
      <w:r>
        <w:rPr>
          <w:spacing w:val="-63"/>
        </w:rPr>
        <w:t> </w:t>
      </w:r>
      <w:r>
        <w:rPr>
          <w:spacing w:val="-63"/>
        </w:rPr>
      </w:r>
      <w:r>
        <w:rPr/>
        <w:t>收益和利润分配以外股东权益的其他变动，调整长期股权投资的账面价值并计入股东权益。</w:t>
      </w:r>
    </w:p>
    <w:p>
      <w:pPr>
        <w:pStyle w:val="BodyText"/>
        <w:spacing w:line="319" w:lineRule="auto" w:before="19"/>
        <w:ind w:right="1131" w:firstLine="360"/>
        <w:jc w:val="both"/>
      </w:pPr>
      <w:r>
        <w:rPr>
          <w:spacing w:val="-2"/>
        </w:rPr>
        <w:t>处置长期股权投资，其账面价值与实际取得价款的差额，计入当期损益。采用权益法核算的长期股权投资因处置，因处</w:t>
      </w:r>
      <w:r>
        <w:rPr>
          <w:spacing w:val="-3"/>
        </w:rPr>
        <w:t> </w:t>
      </w:r>
      <w:r>
        <w:rPr/>
        <w:t>置终止采用权益法的，原权益法核算的相关其他综合收益采用与被投资单位直接处置相关资产或负债相同的基础进行会计</w:t>
      </w:r>
      <w:r>
        <w:rPr>
          <w:spacing w:val="-11"/>
        </w:rPr>
        <w:t> </w:t>
      </w:r>
      <w:r>
        <w:rPr>
          <w:spacing w:val="-11"/>
        </w:rPr>
      </w:r>
      <w:r>
        <w:rPr>
          <w:spacing w:val="-2"/>
        </w:rPr>
        <w:t>处理，因被投资方除净损益、其他综合收益和利润分配以外的其他股东权益变动而确认的股东权益，全部转入当期损益；仍</w:t>
      </w:r>
      <w:r>
        <w:rPr>
          <w:spacing w:val="-66"/>
        </w:rPr>
        <w:t> </w:t>
      </w:r>
      <w:r>
        <w:rPr>
          <w:spacing w:val="-66"/>
        </w:rPr>
      </w:r>
      <w:r>
        <w:rPr/>
        <w:t>采用权益法的，原权益法核算的相关其他综合收益采用与被投资单位直接处置相关资产或负债相同的基础进行会计处理并</w:t>
      </w:r>
      <w:r>
        <w:rPr>
          <w:spacing w:val="-11"/>
        </w:rPr>
        <w:t> </w:t>
      </w:r>
      <w:r>
        <w:rPr>
          <w:spacing w:val="-11"/>
        </w:rPr>
      </w:r>
      <w:r>
        <w:rPr>
          <w:spacing w:val="-2"/>
        </w:rPr>
        <w:t>按比例转入当期损益，因被投资方除净损益、其他综合收益和利润分配以外的其他股东权益变动而确认的股东权益</w:t>
      </w:r>
      <w:r>
        <w:rPr>
          <w:rFonts w:ascii="宋体" w:hAnsi="宋体" w:cs="宋体" w:eastAsia="宋体" w:hint="default"/>
          <w:spacing w:val="-2"/>
        </w:rPr>
        <w:t>,</w:t>
      </w:r>
      <w:r>
        <w:rPr>
          <w:rFonts w:ascii="宋体" w:hAnsi="宋体" w:cs="宋体" w:eastAsia="宋体" w:hint="default"/>
          <w:spacing w:val="21"/>
        </w:rPr>
        <w:t> </w:t>
      </w:r>
      <w:r>
        <w:rPr>
          <w:spacing w:val="-1"/>
        </w:rPr>
        <w:t>按相应</w:t>
      </w:r>
      <w:r>
        <w:rPr/>
        <w:t> 的比例转入当期损益。</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231" w:firstLine="360"/>
        <w:jc w:val="both"/>
      </w:pPr>
      <w:r>
        <w:rPr/>
        <w:t>固定资产仅在与其有关的经济利益很可能流入公司，且其成本能够可靠地计量时才予以确认。与固定资产有关的后续 支出，符合该确认条件的，计入固定资产成本，并终止确认被替换部分的账面价值；否则，在发生时计入当期损益。</w:t>
      </w:r>
    </w:p>
    <w:p>
      <w:pPr>
        <w:pStyle w:val="BodyText"/>
        <w:spacing w:line="316" w:lineRule="auto" w:before="59"/>
        <w:ind w:right="1231" w:firstLine="360"/>
        <w:jc w:val="both"/>
      </w:pPr>
      <w:r>
        <w:rPr/>
        <w:t>固定资产按照成本进行初始计量，并考虑预计弃置费用因素的影响。购置固定资产的成本包括购买价款，相关税费、 使固定资产达到预定可使用状态前所发生的可直接归属于该资产的其他支出。</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9.5%-19.0%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1.9%-4.8%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15.8%-23.8%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9.5%-31.7%</w:t>
            </w:r>
          </w:p>
        </w:tc>
      </w:tr>
    </w:tbl>
    <w:p>
      <w:pPr>
        <w:pStyle w:val="BodyText"/>
        <w:spacing w:line="240" w:lineRule="auto" w:before="51"/>
        <w:ind w:left="513" w:right="1133"/>
        <w:jc w:val="left"/>
      </w:pPr>
      <w:r>
        <w:rPr/>
        <w:t>公司至少于每年年度终了，对固定资产的使用寿命、预计净残值和折旧方法进行复核，必要时进行调整。</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1133"/>
        <w:jc w:val="left"/>
      </w:pPr>
      <w:r>
        <w:rPr/>
        <w:t>医疗器械业</w:t>
      </w:r>
    </w:p>
    <w:p>
      <w:pPr>
        <w:pStyle w:val="BodyText"/>
        <w:spacing w:line="316" w:lineRule="auto" w:before="117"/>
        <w:ind w:right="1214" w:firstLine="360"/>
        <w:jc w:val="left"/>
      </w:pPr>
      <w:r>
        <w:rPr/>
        <w:t>在建工程成本按实际工程支出确定﹐包括在建期间发生的各项必要工程支出、工程达到预定可使用状态前的应予资本 化的借款费用以及其他相关费用等。</w:t>
      </w:r>
    </w:p>
    <w:p>
      <w:pPr>
        <w:pStyle w:val="BodyText"/>
        <w:spacing w:line="240" w:lineRule="auto" w:before="59"/>
        <w:ind w:left="513" w:right="1133"/>
        <w:jc w:val="left"/>
      </w:pPr>
      <w:r>
        <w:rPr/>
        <w:t>在建工程在达到预定可使用状态时转入固定资产或长期待摊费用。</w:t>
      </w:r>
    </w:p>
    <w:p>
      <w:pPr>
        <w:spacing w:after="0" w:line="240" w:lineRule="auto"/>
        <w:jc w:val="left"/>
        <w:sectPr>
          <w:pgSz w:w="11910" w:h="16840"/>
          <w:pgMar w:header="88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214" w:firstLine="360"/>
        <w:jc w:val="left"/>
      </w:pPr>
      <w:r>
        <w:rPr/>
        <w:t>借款费用，是指公司因借款而发生的利息及其他相关成本，包括借款利息、折价或者溢价的摊销、辅助费用以及因外 币借款而发生的汇兑差额等。</w:t>
      </w:r>
    </w:p>
    <w:p>
      <w:pPr>
        <w:pStyle w:val="BodyText"/>
        <w:spacing w:line="316" w:lineRule="auto" w:before="57"/>
        <w:ind w:right="1131" w:firstLine="360"/>
        <w:jc w:val="both"/>
      </w:pPr>
      <w:r>
        <w:rPr>
          <w:spacing w:val="-2"/>
        </w:rPr>
        <w:t>可直接归属于符合资本化条件的资产的购建或者生产的借款费用，予以资本化，其他借款费用计入当期损益。符合资本</w:t>
      </w:r>
      <w:r>
        <w:rPr/>
        <w:t> </w:t>
      </w:r>
      <w:r>
        <w:rPr>
          <w:spacing w:val="-2"/>
        </w:rPr>
        <w:t>化条件的资产，是指需要经过相当长时间的购建或者生产活动才能达到预定可使用或者可销售状态的固定资产、投资性房地</w:t>
      </w:r>
      <w:r>
        <w:rPr>
          <w:spacing w:val="-63"/>
        </w:rPr>
        <w:t> </w:t>
      </w:r>
      <w:r>
        <w:rPr>
          <w:spacing w:val="-63"/>
        </w:rPr>
      </w:r>
      <w:r>
        <w:rPr/>
        <w:t>产和存货等资产。</w:t>
      </w:r>
    </w:p>
    <w:p>
      <w:pPr>
        <w:pStyle w:val="BodyText"/>
        <w:spacing w:line="240" w:lineRule="auto" w:before="19"/>
        <w:ind w:left="513" w:right="1133"/>
        <w:jc w:val="left"/>
      </w:pPr>
      <w:r>
        <w:rPr/>
        <w:t>借款费用同时满足下列条件的，才能开始资本化：</w:t>
      </w:r>
    </w:p>
    <w:p>
      <w:pPr>
        <w:pStyle w:val="BodyText"/>
        <w:tabs>
          <w:tab w:pos="993" w:val="left" w:leader="none"/>
        </w:tabs>
        <w:spacing w:line="240" w:lineRule="auto" w:before="76"/>
        <w:ind w:left="513" w:right="1133"/>
        <w:jc w:val="left"/>
      </w:pPr>
      <w:r>
        <w:rPr>
          <w:rFonts w:ascii="Times New Roman" w:hAnsi="Times New Roman" w:cs="Times New Roman" w:eastAsia="Times New Roman" w:hint="default"/>
        </w:rPr>
        <w:t>(1)</w:t>
        <w:tab/>
      </w:r>
      <w:r>
        <w:rPr/>
        <w:t>资产支出已经发生；</w:t>
      </w:r>
    </w:p>
    <w:p>
      <w:pPr>
        <w:pStyle w:val="BodyText"/>
        <w:tabs>
          <w:tab w:pos="993" w:val="left" w:leader="none"/>
        </w:tabs>
        <w:spacing w:line="240" w:lineRule="auto" w:before="63"/>
        <w:ind w:left="513" w:right="1133"/>
        <w:jc w:val="left"/>
      </w:pPr>
      <w:r>
        <w:rPr>
          <w:rFonts w:ascii="Times New Roman" w:hAnsi="Times New Roman" w:cs="Times New Roman" w:eastAsia="Times New Roman" w:hint="default"/>
        </w:rPr>
        <w:t>(2)</w:t>
        <w:tab/>
      </w:r>
      <w:r>
        <w:rPr/>
        <w:t>借款费用已经发生；</w:t>
      </w:r>
    </w:p>
    <w:p>
      <w:pPr>
        <w:pStyle w:val="BodyText"/>
        <w:tabs>
          <w:tab w:pos="993" w:val="left" w:leader="none"/>
        </w:tabs>
        <w:spacing w:line="240" w:lineRule="auto" w:before="63"/>
        <w:ind w:left="513" w:right="1133"/>
        <w:jc w:val="left"/>
      </w:pPr>
      <w:r>
        <w:rPr>
          <w:rFonts w:ascii="Times New Roman" w:hAnsi="Times New Roman" w:cs="Times New Roman" w:eastAsia="Times New Roman" w:hint="default"/>
        </w:rPr>
        <w:t>(3)</w:t>
        <w:tab/>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BodyText"/>
        <w:spacing w:line="316" w:lineRule="auto" w:before="140"/>
        <w:ind w:right="986" w:firstLine="360"/>
        <w:jc w:val="left"/>
      </w:pPr>
      <w:r>
        <w:rPr>
          <w:spacing w:val="-2"/>
        </w:rPr>
        <w:t>购建或者生产符合资本化条件的资产达到预定可使用或者可销售状态时，借款费用停止资本化。之后发生的借款费用计</w:t>
      </w:r>
      <w:r>
        <w:rPr/>
        <w:t> 入当期损益。</w:t>
      </w:r>
    </w:p>
    <w:p>
      <w:pPr>
        <w:pStyle w:val="BodyText"/>
        <w:spacing w:line="240" w:lineRule="auto" w:before="19"/>
        <w:ind w:left="513" w:right="1133"/>
        <w:jc w:val="left"/>
      </w:pPr>
      <w:r>
        <w:rPr/>
        <w:t>在资本化期间内，每一会计期间的利息资本化金额，按照下列方法确定：</w:t>
      </w:r>
    </w:p>
    <w:p>
      <w:pPr>
        <w:pStyle w:val="BodyText"/>
        <w:tabs>
          <w:tab w:pos="993" w:val="left" w:leader="none"/>
        </w:tabs>
        <w:spacing w:line="240" w:lineRule="auto" w:before="76"/>
        <w:ind w:left="513" w:right="1133"/>
        <w:jc w:val="left"/>
      </w:pPr>
      <w:r>
        <w:rPr>
          <w:rFonts w:ascii="宋体" w:hAnsi="宋体" w:cs="宋体" w:eastAsia="宋体" w:hint="default"/>
        </w:rPr>
        <w:t>(1)</w:t>
        <w:tab/>
      </w:r>
      <w:r>
        <w:rPr/>
        <w:t>专门借款以当期实际发生的利息费用，减去暂时性的存款利息收入或投资收益后的金额确定。</w:t>
      </w:r>
    </w:p>
    <w:p>
      <w:pPr>
        <w:pStyle w:val="BodyText"/>
        <w:tabs>
          <w:tab w:pos="993" w:val="left" w:leader="none"/>
        </w:tabs>
        <w:spacing w:line="316" w:lineRule="auto" w:before="76"/>
        <w:ind w:right="1132" w:firstLine="360"/>
        <w:jc w:val="left"/>
      </w:pPr>
      <w:r>
        <w:rPr>
          <w:rFonts w:ascii="宋体" w:hAnsi="宋体" w:cs="宋体" w:eastAsia="宋体" w:hint="default"/>
        </w:rPr>
        <w:t>(2)</w:t>
        <w:tab/>
      </w:r>
      <w:r>
        <w:rPr>
          <w:spacing w:val="-1"/>
        </w:rPr>
        <w:t>占用的一般借款，根据累计资产支出超过专门借款部分的资产支出加权平均数乘以所占用一般借款的加权平均利</w:t>
      </w:r>
      <w:r>
        <w:rPr/>
        <w:t> 率计算确定。</w:t>
      </w:r>
    </w:p>
    <w:p>
      <w:pPr>
        <w:pStyle w:val="BodyText"/>
        <w:spacing w:line="316" w:lineRule="auto" w:before="19"/>
        <w:ind w:right="1034" w:firstLine="360"/>
        <w:jc w:val="left"/>
      </w:pPr>
      <w:r>
        <w:rPr/>
        <w:t>符合资本化条件的资产在购建或者生产过程中，发生除达到预定可使用或者可销售状态必要的程序之外的非正常中断、 且中断时间连续超过</w:t>
      </w:r>
      <w:r>
        <w:rPr>
          <w:rFonts w:ascii="宋体" w:hAnsi="宋体" w:cs="宋体" w:eastAsia="宋体" w:hint="default"/>
        </w:rPr>
        <w:t>3</w:t>
      </w:r>
      <w:r>
        <w:rPr/>
        <w:t>个月的，暂停借款费用的资本化。在中断期间发生的借款费用确认为费用，计入当期损益，直至资产</w:t>
      </w:r>
      <w:r>
        <w:rPr>
          <w:spacing w:val="-84"/>
        </w:rPr>
        <w:t> </w:t>
      </w:r>
      <w:r>
        <w:rPr>
          <w:spacing w:val="-84"/>
        </w:rPr>
      </w:r>
      <w:r>
        <w:rPr/>
        <w:t>的购建或者生产活动重新开始。</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7"/>
        <w:ind w:right="1133"/>
        <w:jc w:val="left"/>
      </w:pPr>
      <w:r>
        <w:rPr/>
        <w:t>医疗器械业</w:t>
      </w:r>
    </w:p>
    <w:p>
      <w:pPr>
        <w:pStyle w:val="BodyText"/>
        <w:spacing w:line="316" w:lineRule="auto" w:before="115"/>
        <w:ind w:right="1034" w:firstLine="360"/>
        <w:jc w:val="left"/>
      </w:pPr>
      <w:r>
        <w:rPr/>
        <w:t>无形资产仅在与其有关的经济利益很可能流入公司，且其成本能够可靠地计量时才予以确认，并以成本进行初始计量。 但非同一控制下企业合并中取得的无形资产，其公允价值能够可靠地计量的，即单独确认为无形资产并按照公允价值计量。</w:t>
      </w:r>
    </w:p>
    <w:p>
      <w:pPr>
        <w:pStyle w:val="BodyText"/>
        <w:spacing w:line="316" w:lineRule="auto" w:before="19"/>
        <w:ind w:right="1133" w:firstLine="360"/>
        <w:jc w:val="left"/>
      </w:pPr>
      <w:r>
        <w:rPr/>
        <w:t>无形资产按照其能为公司带来经济利益的期限确定使用寿命，无法预见其为公司带来经济利益期限的作为使用寿命不</w:t>
      </w:r>
      <w:r>
        <w:rPr>
          <w:spacing w:val="2"/>
        </w:rPr>
        <w:t> </w:t>
      </w:r>
      <w:r>
        <w:rPr/>
        <w:t>确定的无形资产。</w:t>
      </w:r>
    </w:p>
    <w:p>
      <w:pPr>
        <w:pStyle w:val="BodyText"/>
        <w:spacing w:line="240" w:lineRule="auto" w:before="19"/>
        <w:ind w:left="513" w:right="1133"/>
        <w:jc w:val="left"/>
      </w:pPr>
      <w:r>
        <w:rPr/>
        <w:t>各项无形资产的使用寿命如下：</w:t>
      </w:r>
    </w:p>
    <w:p>
      <w:pPr>
        <w:spacing w:line="240" w:lineRule="auto" w:before="0"/>
        <w:rPr>
          <w:rFonts w:ascii="宋体" w:hAnsi="宋体" w:cs="宋体" w:eastAsia="宋体" w:hint="default"/>
          <w:sz w:val="5"/>
          <w:szCs w:val="5"/>
        </w:rPr>
      </w:pPr>
    </w:p>
    <w:tbl>
      <w:tblPr>
        <w:tblW w:w="0" w:type="auto"/>
        <w:jc w:val="left"/>
        <w:tblInd w:w="181" w:type="dxa"/>
        <w:tblLayout w:type="fixed"/>
        <w:tblCellMar>
          <w:top w:w="0" w:type="dxa"/>
          <w:left w:w="0" w:type="dxa"/>
          <w:bottom w:w="0" w:type="dxa"/>
          <w:right w:w="0" w:type="dxa"/>
        </w:tblCellMar>
        <w:tblLook w:val="01E0"/>
      </w:tblPr>
      <w:tblGrid>
        <w:gridCol w:w="3546"/>
        <w:gridCol w:w="2835"/>
      </w:tblGrid>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8"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t>使用寿命</w:t>
            </w:r>
          </w:p>
        </w:tc>
      </w:tr>
      <w:tr>
        <w:trPr>
          <w:trHeight w:val="346"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10-20</w:t>
            </w:r>
            <w:r>
              <w:rPr>
                <w:rFonts w:ascii="宋体" w:hAnsi="宋体" w:cs="宋体" w:eastAsia="宋体" w:hint="default"/>
                <w:sz w:val="18"/>
                <w:szCs w:val="18"/>
              </w:rPr>
              <w:t>年</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3-10</w:t>
            </w:r>
            <w:r>
              <w:rPr>
                <w:rFonts w:ascii="宋体" w:hAnsi="宋体" w:cs="宋体" w:eastAsia="宋体" w:hint="default"/>
                <w:sz w:val="18"/>
                <w:szCs w:val="18"/>
              </w:rPr>
              <w:t>年</w:t>
            </w:r>
          </w:p>
        </w:tc>
      </w:tr>
    </w:tbl>
    <w:p>
      <w:pPr>
        <w:pStyle w:val="BodyText"/>
        <w:spacing w:line="314" w:lineRule="auto" w:before="51"/>
        <w:ind w:right="1133" w:firstLine="288"/>
        <w:jc w:val="left"/>
      </w:pPr>
      <w:r>
        <w:rPr>
          <w:spacing w:val="-1"/>
        </w:rPr>
        <w:t>使用寿命有限的无形资产，在其使用寿命内采用直线法摊销。公司至少于每年年度终了，对使用寿命有限的无形资产的</w:t>
      </w:r>
      <w:r>
        <w:rPr/>
        <w:t> 使用寿命及摊销方法进行复核，必要时进行调整。</w:t>
      </w:r>
    </w:p>
    <w:p>
      <w:pPr>
        <w:spacing w:after="0" w:line="314" w:lineRule="auto"/>
        <w:jc w:val="left"/>
        <w:sectPr>
          <w:pgSz w:w="11910" w:h="16840"/>
          <w:pgMar w:header="88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4633"/>
        <w:jc w:val="left"/>
      </w:pPr>
      <w:r>
        <w:rPr/>
        <w:t>公司将内部研究开发项目的支出，区分为研究阶段支出和开发阶段支出。 研究阶段的支出，于发生时计入当期损益。 开发阶段的支出，只有在同时满足下列条件时，才能予以资本化，即：</w:t>
      </w:r>
    </w:p>
    <w:p>
      <w:pPr>
        <w:pStyle w:val="BodyText"/>
        <w:spacing w:line="240" w:lineRule="auto" w:before="19"/>
        <w:ind w:left="513" w:right="1133"/>
        <w:jc w:val="left"/>
      </w:pPr>
      <w:r>
        <w:rPr/>
        <w:t>（</w:t>
      </w:r>
      <w:r>
        <w:rPr>
          <w:rFonts w:ascii="Times New Roman" w:hAnsi="Times New Roman" w:cs="Times New Roman" w:eastAsia="Times New Roman" w:hint="default"/>
        </w:rPr>
        <w:t>1</w:t>
      </w:r>
      <w:r>
        <w:rPr/>
        <w:t>）</w:t>
      </w:r>
      <w:r>
        <w:rPr>
          <w:spacing w:val="-18"/>
        </w:rPr>
        <w:t> </w:t>
      </w:r>
      <w:r>
        <w:rPr/>
        <w:t>完成该无形资产以使其能够使用或出售在技术上具有可行性；</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w:t>
      </w:r>
      <w:r>
        <w:rPr>
          <w:spacing w:val="-18"/>
        </w:rPr>
        <w:t> </w:t>
      </w:r>
      <w:r>
        <w:rPr/>
        <w:t>具有完成该无形资产并使用或出售的意图；</w:t>
      </w:r>
    </w:p>
    <w:p>
      <w:pPr>
        <w:pStyle w:val="BodyText"/>
        <w:spacing w:line="300" w:lineRule="auto" w:before="63"/>
        <w:ind w:right="1132" w:firstLine="360"/>
        <w:jc w:val="both"/>
      </w:pPr>
      <w:r>
        <w:rPr/>
        <w:t>（</w:t>
      </w:r>
      <w:r>
        <w:rPr>
          <w:rFonts w:ascii="Times New Roman" w:hAnsi="Times New Roman" w:cs="Times New Roman" w:eastAsia="Times New Roman" w:hint="default"/>
        </w:rPr>
        <w:t>3</w:t>
      </w:r>
      <w:r>
        <w:rPr/>
        <w:t>）</w:t>
      </w:r>
      <w:r>
        <w:rPr>
          <w:spacing w:val="-35"/>
        </w:rPr>
        <w:t> </w:t>
      </w:r>
      <w:r>
        <w:rPr>
          <w:spacing w:val="-1"/>
        </w:rPr>
        <w:t>无形资产产生经济利益的方式，包括能够证明运用该无形资产生产的产品存在市场或无形资产自身存在市场，无</w:t>
      </w:r>
      <w:r>
        <w:rPr/>
        <w:t> 形资产将在内部使用的，能够证明其有用性；</w:t>
      </w:r>
    </w:p>
    <w:p>
      <w:pPr>
        <w:pStyle w:val="BodyText"/>
        <w:spacing w:line="240" w:lineRule="auto" w:before="31"/>
        <w:ind w:left="513" w:right="1133"/>
        <w:jc w:val="left"/>
      </w:pPr>
      <w:r>
        <w:rPr/>
        <w:t>（</w:t>
      </w:r>
      <w:r>
        <w:rPr>
          <w:rFonts w:ascii="Times New Roman" w:hAnsi="Times New Roman" w:cs="Times New Roman" w:eastAsia="Times New Roman" w:hint="default"/>
        </w:rPr>
        <w:t>4</w:t>
      </w:r>
      <w:r>
        <w:rPr/>
        <w:t>）</w:t>
      </w:r>
      <w:r>
        <w:rPr>
          <w:spacing w:val="-18"/>
        </w:rPr>
        <w:t> </w:t>
      </w:r>
      <w:r>
        <w:rPr/>
        <w:t>有足够的技术、财务资源和其他资源支持，以完成该无形资产的开发，并有能力使用或出售该无形资产；</w:t>
      </w:r>
    </w:p>
    <w:p>
      <w:pPr>
        <w:pStyle w:val="BodyText"/>
        <w:spacing w:line="309" w:lineRule="auto" w:before="63"/>
        <w:ind w:left="513" w:right="986"/>
        <w:jc w:val="left"/>
      </w:pPr>
      <w:r>
        <w:rPr/>
        <w:t>（</w:t>
      </w:r>
      <w:r>
        <w:rPr>
          <w:rFonts w:ascii="Times New Roman" w:hAnsi="Times New Roman" w:cs="Times New Roman" w:eastAsia="Times New Roman" w:hint="default"/>
        </w:rPr>
        <w:t>5</w:t>
      </w:r>
      <w:r>
        <w:rPr/>
        <w:t>）</w:t>
      </w:r>
      <w:r>
        <w:rPr>
          <w:spacing w:val="-19"/>
        </w:rPr>
        <w:t> </w:t>
      </w:r>
      <w:r>
        <w:rPr/>
        <w:t>归属于该无形资产开发阶段的支出能够可靠地计量。</w:t>
      </w:r>
      <w:r>
        <w:rPr/>
        <w:t> 无法区分研究阶段支出和开发阶段支出的，将发生的研发支出全部计入当期损益。 </w:t>
      </w:r>
      <w:r>
        <w:rPr>
          <w:spacing w:val="-2"/>
        </w:rPr>
        <w:t>公司相应项目通过技术可行性及经济可行性研究，在小试环节进入开发阶段。满足资本化条件的开发阶段支出在资产负</w:t>
      </w:r>
    </w:p>
    <w:p>
      <w:pPr>
        <w:pStyle w:val="BodyText"/>
        <w:spacing w:line="360" w:lineRule="auto" w:before="24"/>
        <w:ind w:right="2444"/>
        <w:jc w:val="left"/>
      </w:pPr>
      <w:r>
        <w:rPr/>
        <w:t>债表上列示为开发支出，自该项目达到预定可使用状态之日起转为无形资产。 公司需遵守《深圳证券交易所创业板行业信息披露指引第</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w:t>
      </w:r>
    </w:p>
    <w:p>
      <w:pPr>
        <w:pStyle w:val="BodyText"/>
        <w:spacing w:line="240" w:lineRule="auto" w:before="1"/>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18</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986"/>
        <w:jc w:val="left"/>
      </w:pPr>
      <w:r>
        <w:rPr/>
        <w:t>公司对除存货、递延所得税、金融资产外的资产减值，按以下方法确定： </w:t>
      </w:r>
      <w:r>
        <w:rPr>
          <w:spacing w:val="-2"/>
        </w:rPr>
        <w:t>公司于资产负债表日判断资产是否存在可能发生减值的迹象，存在减值迹象的，公司将估计其可收回金额，进行减值测</w:t>
      </w:r>
    </w:p>
    <w:p>
      <w:pPr>
        <w:pStyle w:val="BodyText"/>
        <w:spacing w:line="316" w:lineRule="auto" w:before="19"/>
        <w:ind w:right="986"/>
        <w:jc w:val="left"/>
      </w:pPr>
      <w:r>
        <w:rPr>
          <w:spacing w:val="-2"/>
        </w:rPr>
        <w:t>试。对因企业合并所形成的商誉和使用寿命不确定的无形资产，无论是否存在减值迹象，至少于每年末进行减值测试。对于</w:t>
      </w:r>
      <w:r>
        <w:rPr>
          <w:spacing w:val="-64"/>
        </w:rPr>
        <w:t> </w:t>
      </w:r>
      <w:r>
        <w:rPr>
          <w:spacing w:val="-64"/>
        </w:rPr>
      </w:r>
      <w:r>
        <w:rPr/>
        <w:t>尚未达到可使用状态的无形资产，也每年进行减值测试。</w:t>
      </w:r>
    </w:p>
    <w:p>
      <w:pPr>
        <w:pStyle w:val="BodyText"/>
        <w:spacing w:line="316" w:lineRule="auto" w:before="19"/>
        <w:ind w:right="1125" w:firstLine="360"/>
        <w:jc w:val="both"/>
      </w:pPr>
      <w:r>
        <w:rPr/>
        <w:t>可收回金额根据资产的公允价值减去处置费用后的净额与资产预计未来现金流量的现值两者之间较高者确定。公司以</w:t>
      </w:r>
      <w:r>
        <w:rPr>
          <w:spacing w:val="2"/>
        </w:rPr>
        <w:t> </w:t>
      </w:r>
      <w:r>
        <w:rPr>
          <w:spacing w:val="-2"/>
        </w:rPr>
        <w:t>单项资产为基础估计其可收回金额；难以对单项资产的可收回金额进行估计的，以该资产所属的资产组为基础确定资产组的</w:t>
      </w:r>
      <w:r>
        <w:rPr>
          <w:spacing w:val="-64"/>
        </w:rPr>
        <w:t> </w:t>
      </w:r>
      <w:r>
        <w:rPr>
          <w:spacing w:val="-64"/>
        </w:rPr>
      </w:r>
      <w:r>
        <w:rPr/>
        <w:t>可收回金额。资产组的认定，以资产组产生的主要现金流入是否独立于其他资产或者资产组的现金流入为依据。</w:t>
      </w:r>
    </w:p>
    <w:p>
      <w:pPr>
        <w:pStyle w:val="BodyText"/>
        <w:spacing w:line="316" w:lineRule="auto" w:before="19"/>
        <w:ind w:right="1044" w:firstLine="360"/>
        <w:jc w:val="both"/>
      </w:pPr>
      <w:r>
        <w:rPr/>
        <w:t>当资产或者资产组的可收回金额低于其账面价值时，公司将其账面价值减记至可收回金额，减记的金额计入当期损益， 同时计提相应的资产减值准备。</w:t>
      </w:r>
    </w:p>
    <w:p>
      <w:pPr>
        <w:pStyle w:val="BodyText"/>
        <w:spacing w:line="316" w:lineRule="auto" w:before="19"/>
        <w:ind w:right="1130" w:firstLine="360"/>
        <w:jc w:val="both"/>
      </w:pPr>
      <w:r>
        <w:rPr>
          <w:spacing w:val="-2"/>
        </w:rPr>
        <w:t>就商誉的减值测试而言，对于因企业合并形成的商誉的账面价值，自购买日起按照合理的方法分摊至相关的资产组；难</w:t>
      </w:r>
      <w:r>
        <w:rPr/>
        <w:t> </w:t>
      </w:r>
      <w:r>
        <w:rPr>
          <w:spacing w:val="-2"/>
        </w:rPr>
        <w:t>以分摊至相关的资产组的，将其分摊至相关的资产组组合。相关的资产组或者资产组组合，是能够从企业合并的协同效应中</w:t>
      </w:r>
      <w:r>
        <w:rPr>
          <w:spacing w:val="-63"/>
        </w:rPr>
        <w:t> </w:t>
      </w:r>
      <w:r>
        <w:rPr>
          <w:spacing w:val="-63"/>
        </w:rPr>
      </w:r>
      <w:r>
        <w:rPr/>
        <w:t>受益的资产组或者资产组组合，且不大于公司确定的报告分部。</w:t>
      </w:r>
    </w:p>
    <w:p>
      <w:pPr>
        <w:pStyle w:val="BodyText"/>
        <w:spacing w:line="319" w:lineRule="auto" w:before="19"/>
        <w:ind w:right="1130" w:firstLine="360"/>
        <w:jc w:val="both"/>
      </w:pPr>
      <w:r>
        <w:rPr>
          <w:spacing w:val="-2"/>
        </w:rPr>
        <w:t>对包含商誉的相关资产组或者资产组组合进行减值测试时，如与商誉相关的资产组或者资产组组合存在减值迹象的，首</w:t>
      </w:r>
      <w:r>
        <w:rPr/>
        <w:t> </w:t>
      </w:r>
      <w:r>
        <w:rPr>
          <w:spacing w:val="-2"/>
        </w:rPr>
        <w:t>先对不包含商誉的资产组或者资产组组合进行减值测试，计算可收回金额，确认相应的减值损失。然后对包含商誉的资产组</w:t>
      </w:r>
      <w:r>
        <w:rPr>
          <w:spacing w:val="-63"/>
        </w:rPr>
        <w:t> </w:t>
      </w:r>
      <w:r>
        <w:rPr>
          <w:spacing w:val="-63"/>
        </w:rPr>
      </w:r>
      <w:r>
        <w:rPr>
          <w:spacing w:val="-2"/>
        </w:rPr>
        <w:t>或者资产组组合进行减值测试，比较其账面价值与可收回金额，如可收回金额低于账面价值的，减值损失金额首先抵减分摊</w:t>
      </w:r>
      <w:r>
        <w:rPr>
          <w:spacing w:val="-63"/>
        </w:rPr>
        <w:t> </w:t>
      </w:r>
      <w:r>
        <w:rPr>
          <w:spacing w:val="-63"/>
        </w:rPr>
      </w:r>
      <w:r>
        <w:rPr/>
        <w:t>至资产组或者资产组组合中商誉的账面价值，再根据资产组或者资产组组合中除商誉之外的其他各项资产的账面价值所占</w:t>
      </w:r>
      <w:r>
        <w:rPr>
          <w:spacing w:val="-11"/>
        </w:rPr>
        <w:t> </w:t>
      </w:r>
      <w:r>
        <w:rPr>
          <w:spacing w:val="-11"/>
        </w:rPr>
      </w:r>
      <w:r>
        <w:rPr/>
        <w:t>比重，按比例抵减其他各项资产的账面价值。</w:t>
      </w:r>
    </w:p>
    <w:p>
      <w:pPr>
        <w:pStyle w:val="BodyText"/>
        <w:spacing w:line="240" w:lineRule="auto" w:before="17"/>
        <w:ind w:left="513" w:right="1133"/>
        <w:jc w:val="left"/>
      </w:pPr>
      <w:r>
        <w:rPr/>
        <w:t>上述资产减值损失一经确认，在以后会计期间不再转回。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长期待摊费用包括租赁房屋建筑物装修支出、租入固定资产改良支出，采用直线法按</w:t>
      </w:r>
      <w:r>
        <w:rPr>
          <w:rFonts w:ascii="宋体" w:hAnsi="宋体" w:cs="宋体" w:eastAsia="宋体" w:hint="default"/>
        </w:rPr>
        <w:t>5</w:t>
      </w:r>
      <w:r>
        <w:rPr/>
        <w:t>年摊销。</w:t>
      </w:r>
    </w:p>
    <w:p>
      <w:pPr>
        <w:spacing w:after="0" w:line="240" w:lineRule="auto"/>
        <w:jc w:val="left"/>
        <w:sectPr>
          <w:pgSz w:w="11910" w:h="16840"/>
          <w:pgMar w:header="88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firstLine="360"/>
        <w:jc w:val="left"/>
      </w:pPr>
      <w:r>
        <w:rPr>
          <w:spacing w:val="-2"/>
        </w:rPr>
        <w:t>职工薪酬，指公司为获得职工提供的服务或解除劳动关系而给予的各种形式的报酬或补偿。职工薪酬包括短期薪酬和离</w:t>
      </w:r>
      <w:r>
        <w:rPr/>
        <w:t> 职后福利。公司提供给职工配偶、子女、受赡养人、已故员工遗属及其他受益人等的福利，也属于职工薪酬。</w:t>
      </w:r>
    </w:p>
    <w:p>
      <w:pPr>
        <w:pStyle w:val="BodyText"/>
        <w:spacing w:line="240" w:lineRule="auto" w:before="19"/>
        <w:ind w:left="513" w:right="1133"/>
        <w:jc w:val="left"/>
      </w:pPr>
      <w:r>
        <w:rPr/>
        <w:t>短期薪酬，在职工提供服务的会计期间，将实际发生的短期薪酬确认为负债，并计入当期损益或相关资产成本。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86" w:firstLine="360"/>
        <w:jc w:val="left"/>
      </w:pPr>
      <w:r>
        <w:rPr>
          <w:spacing w:val="-2"/>
        </w:rPr>
        <w:t>离职后福利（设定提存计划），公司的职工参加由当地政府管理的养老保险，相应支出在发生时计入相关资产成本或当</w:t>
      </w:r>
      <w:r>
        <w:rPr/>
        <w:t> 期损益。</w:t>
      </w:r>
    </w:p>
    <w:p>
      <w:pPr>
        <w:spacing w:line="240" w:lineRule="auto" w:before="6"/>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firstLine="360"/>
        <w:jc w:val="left"/>
      </w:pPr>
      <w:r>
        <w:rPr>
          <w:spacing w:val="-2"/>
        </w:rPr>
        <w:t>公司向职工提供辞退福利的，在下列两者孰早日确认辞退福利产生的职工薪酬负债，并计入当期损益：企业不能单方面</w:t>
      </w:r>
      <w:r>
        <w:rPr/>
        <w:t> 撤回因解除劳动关系计划或裁减建议所提供的辞退福利时；企业确认与涉及支付辞退福利的重组相关的成本或费用时。</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firstLine="360"/>
        <w:jc w:val="left"/>
      </w:pPr>
      <w:r>
        <w:rPr>
          <w:spacing w:val="-2"/>
        </w:rPr>
        <w:t>除了非同一控制下企业合并中的或有对价及承担的或有负债之外，当与或有事项相关的义务同时符合以下条件，公司将</w:t>
      </w:r>
      <w:r>
        <w:rPr/>
        <w:t> 其确认为预计负债：</w:t>
      </w:r>
    </w:p>
    <w:p>
      <w:pPr>
        <w:pStyle w:val="BodyText"/>
        <w:tabs>
          <w:tab w:pos="993" w:val="left" w:leader="none"/>
        </w:tabs>
        <w:spacing w:line="240" w:lineRule="auto" w:before="59"/>
        <w:ind w:left="513" w:right="1133"/>
        <w:jc w:val="left"/>
      </w:pPr>
      <w:r>
        <w:rPr>
          <w:rFonts w:ascii="Times New Roman" w:hAnsi="Times New Roman" w:cs="Times New Roman" w:eastAsia="Times New Roman" w:hint="default"/>
        </w:rPr>
        <w:t>(1)</w:t>
        <w:tab/>
      </w:r>
      <w:r>
        <w:rPr/>
        <w:t>该义务是公司承担的现时义务；</w:t>
      </w:r>
    </w:p>
    <w:p>
      <w:pPr>
        <w:pStyle w:val="BodyText"/>
        <w:tabs>
          <w:tab w:pos="993" w:val="left" w:leader="none"/>
        </w:tabs>
        <w:spacing w:line="240" w:lineRule="auto" w:before="103"/>
        <w:ind w:left="513" w:right="1133"/>
        <w:jc w:val="left"/>
      </w:pPr>
      <w:r>
        <w:rPr>
          <w:rFonts w:ascii="Times New Roman" w:hAnsi="Times New Roman" w:cs="Times New Roman" w:eastAsia="Times New Roman" w:hint="default"/>
        </w:rPr>
        <w:t>(2)</w:t>
        <w:tab/>
      </w:r>
      <w:r>
        <w:rPr/>
        <w:t>该义务的履行很可能导致经济利益流出公司；</w:t>
      </w:r>
    </w:p>
    <w:p>
      <w:pPr>
        <w:pStyle w:val="BodyText"/>
        <w:tabs>
          <w:tab w:pos="993" w:val="left" w:leader="none"/>
        </w:tabs>
        <w:spacing w:line="340" w:lineRule="auto" w:before="101"/>
        <w:ind w:left="513" w:right="1132"/>
        <w:jc w:val="left"/>
      </w:pPr>
      <w:r>
        <w:rPr>
          <w:rFonts w:ascii="Times New Roman" w:hAnsi="Times New Roman" w:cs="Times New Roman" w:eastAsia="Times New Roman" w:hint="default"/>
        </w:rPr>
        <w:t>(3)</w:t>
        <w:tab/>
      </w:r>
      <w:r>
        <w:rPr/>
        <w:t>该义务的金额能够可靠地计量。</w:t>
      </w:r>
      <w:r>
        <w:rPr>
          <w:w w:val="99"/>
        </w:rPr>
        <w:t> </w:t>
      </w:r>
      <w:r>
        <w:rPr>
          <w:spacing w:val="-2"/>
        </w:rPr>
        <w:t>预计负债按照履行相关现时义务所需支出的最佳估计数进行初始计量，并综合考虑与或有事项有关的风险、不确定性和</w:t>
      </w:r>
    </w:p>
    <w:p>
      <w:pPr>
        <w:pStyle w:val="BodyText"/>
        <w:spacing w:line="316" w:lineRule="auto" w:before="1"/>
        <w:ind w:right="986"/>
        <w:jc w:val="left"/>
      </w:pPr>
      <w:r>
        <w:rPr>
          <w:spacing w:val="-2"/>
        </w:rPr>
        <w:t>货币时间价值等因素。每个资产负债表日对预计负债的账面价值进行复核。有确凿证据表明该账面价值不能反映当前最佳估</w:t>
      </w:r>
      <w:r>
        <w:rPr>
          <w:spacing w:val="-64"/>
        </w:rPr>
        <w:t> </w:t>
      </w:r>
      <w:r>
        <w:rPr>
          <w:spacing w:val="-64"/>
        </w:rPr>
      </w:r>
      <w:r>
        <w:rPr/>
        <w:t>计数的，按照当前最佳估计数对该账面价值进行调整。</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22</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7"/>
        <w:ind w:right="1133"/>
        <w:jc w:val="left"/>
      </w:pPr>
      <w:r>
        <w:rPr/>
        <w:t>医疗器械业</w:t>
      </w:r>
    </w:p>
    <w:p>
      <w:pPr>
        <w:pStyle w:val="BodyText"/>
        <w:spacing w:line="316" w:lineRule="auto" w:before="115"/>
        <w:ind w:left="513" w:right="3193"/>
        <w:jc w:val="left"/>
      </w:pPr>
      <w:r>
        <w:rPr/>
        <w:t>收入在经济利益很可能流入公司、且金额能够可靠计量，并同时满足下列条件时予以确认。 收入确认标准</w:t>
      </w:r>
    </w:p>
    <w:p>
      <w:pPr>
        <w:pStyle w:val="BodyText"/>
        <w:tabs>
          <w:tab w:pos="993" w:val="left" w:leader="none"/>
        </w:tabs>
        <w:spacing w:line="300" w:lineRule="auto" w:before="19"/>
        <w:ind w:left="513" w:right="1132"/>
        <w:jc w:val="left"/>
      </w:pPr>
      <w:r>
        <w:rPr>
          <w:rFonts w:ascii="Times New Roman" w:hAnsi="Times New Roman" w:cs="Times New Roman" w:eastAsia="Times New Roman" w:hint="default"/>
        </w:rPr>
        <w:t>(1)</w:t>
        <w:tab/>
      </w:r>
      <w:r>
        <w:rPr/>
        <w:t>提供劳务的确认标准</w:t>
      </w:r>
      <w:r>
        <w:rPr>
          <w:w w:val="99"/>
        </w:rPr>
        <w:t> </w:t>
      </w:r>
      <w:r>
        <w:rPr>
          <w:spacing w:val="-2"/>
        </w:rPr>
        <w:t>在提供劳务交易的结果能够可靠估计的情况下，公司于资产负债表日按完工百分比法确认相关的劳务收入。如提供劳务</w:t>
      </w:r>
    </w:p>
    <w:p>
      <w:pPr>
        <w:pStyle w:val="BodyText"/>
        <w:spacing w:line="240" w:lineRule="auto" w:before="32"/>
        <w:ind w:right="1133"/>
        <w:jc w:val="left"/>
      </w:pPr>
      <w:r>
        <w:rPr/>
        <w:t>交易结果不能够可靠估计的，应当分别处理：</w:t>
      </w:r>
    </w:p>
    <w:p>
      <w:pPr>
        <w:pStyle w:val="BodyText"/>
        <w:spacing w:line="240" w:lineRule="auto" w:before="76"/>
        <w:ind w:left="513" w:right="986"/>
        <w:jc w:val="left"/>
      </w:pPr>
      <w:r>
        <w:rPr/>
        <w:t>①已经发生的劳务成本预计能够得到补偿的，按照已经发生的劳务成本金额确认提供劳务收入，并按相同金额结转劳务</w:t>
      </w:r>
    </w:p>
    <w:p>
      <w:pPr>
        <w:spacing w:after="0" w:line="240" w:lineRule="auto"/>
        <w:jc w:val="left"/>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240" w:lineRule="auto" w:before="44"/>
        <w:ind w:right="1133"/>
        <w:jc w:val="left"/>
      </w:pPr>
      <w:r>
        <w:rPr/>
        <w:t>成本；</w:t>
      </w:r>
    </w:p>
    <w:p>
      <w:pPr>
        <w:pStyle w:val="BodyText"/>
        <w:spacing w:line="316" w:lineRule="auto" w:before="76"/>
        <w:ind w:left="513" w:right="1393"/>
        <w:jc w:val="left"/>
      </w:pPr>
      <w:r>
        <w:rPr/>
        <w:t>②已经发生的劳务成本预计不能够得到补偿的，应当将已经发生的劳务成本计入当期损益，不确认提供劳务收入。 提供劳务交易的结果能够可靠估计是指：</w:t>
      </w:r>
    </w:p>
    <w:p>
      <w:pPr>
        <w:pStyle w:val="BodyText"/>
        <w:spacing w:line="240" w:lineRule="auto" w:before="19"/>
        <w:ind w:left="513" w:right="1133"/>
        <w:jc w:val="left"/>
      </w:pPr>
      <w:r>
        <w:rPr/>
        <w:t>①收入金额能够可靠计量；</w:t>
      </w:r>
    </w:p>
    <w:p>
      <w:pPr>
        <w:pStyle w:val="BodyText"/>
        <w:spacing w:line="240" w:lineRule="auto" w:before="76"/>
        <w:ind w:left="513" w:right="1133"/>
        <w:jc w:val="left"/>
      </w:pPr>
      <w:r>
        <w:rPr/>
        <w:t>②相关经济利益很可能流入公司；</w:t>
      </w:r>
    </w:p>
    <w:p>
      <w:pPr>
        <w:pStyle w:val="BodyText"/>
        <w:spacing w:line="240" w:lineRule="auto" w:before="76"/>
        <w:ind w:left="513" w:right="1133"/>
        <w:jc w:val="left"/>
      </w:pPr>
      <w:r>
        <w:rPr/>
        <w:t>③交易的完工进度能够可靠地确定；</w:t>
      </w:r>
    </w:p>
    <w:p>
      <w:pPr>
        <w:pStyle w:val="BodyText"/>
        <w:spacing w:line="240" w:lineRule="auto" w:before="76"/>
        <w:ind w:left="513" w:right="1133"/>
        <w:jc w:val="left"/>
      </w:pPr>
      <w:r>
        <w:rPr/>
        <w:t>④交易已发生和将发生的成本能够可靠计量。</w:t>
      </w:r>
    </w:p>
    <w:p>
      <w:pPr>
        <w:spacing w:line="240" w:lineRule="auto" w:before="0"/>
        <w:rPr>
          <w:rFonts w:ascii="宋体" w:hAnsi="宋体" w:cs="宋体" w:eastAsia="宋体" w:hint="default"/>
          <w:sz w:val="18"/>
          <w:szCs w:val="18"/>
        </w:rPr>
      </w:pPr>
    </w:p>
    <w:p>
      <w:pPr>
        <w:pStyle w:val="BodyText"/>
        <w:tabs>
          <w:tab w:pos="993" w:val="left" w:leader="none"/>
        </w:tabs>
        <w:spacing w:line="300" w:lineRule="auto" w:before="153"/>
        <w:ind w:left="513" w:right="6271"/>
        <w:jc w:val="left"/>
      </w:pPr>
      <w:r>
        <w:rPr>
          <w:rFonts w:ascii="Times New Roman" w:hAnsi="Times New Roman" w:cs="Times New Roman" w:eastAsia="Times New Roman" w:hint="default"/>
        </w:rPr>
        <w:t>(2)</w:t>
        <w:tab/>
      </w:r>
      <w:r>
        <w:rPr/>
        <w:t>销售商品的确认标准</w:t>
      </w:r>
      <w:r>
        <w:rPr>
          <w:w w:val="99"/>
        </w:rPr>
        <w:t> </w:t>
      </w:r>
      <w:r>
        <w:rPr/>
        <w:t>销售商品的收入，在下列条件均能满足时予以确认：</w:t>
      </w:r>
    </w:p>
    <w:p>
      <w:pPr>
        <w:pStyle w:val="BodyText"/>
        <w:spacing w:line="240" w:lineRule="auto" w:before="31"/>
        <w:ind w:left="513" w:right="1133"/>
        <w:jc w:val="left"/>
      </w:pPr>
      <w:r>
        <w:rPr/>
        <w:t>①已将商品所有权上的主要风险和报酬转移给购货方；</w:t>
      </w:r>
    </w:p>
    <w:p>
      <w:pPr>
        <w:pStyle w:val="BodyText"/>
        <w:spacing w:line="240" w:lineRule="auto" w:before="77"/>
        <w:ind w:left="513" w:right="1133"/>
        <w:jc w:val="left"/>
      </w:pPr>
      <w:r>
        <w:rPr/>
        <w:t>②既没有保留通常与所有权相联系的继续管理权，也没有对已售出的商品实施控制；</w:t>
      </w:r>
    </w:p>
    <w:p>
      <w:pPr>
        <w:pStyle w:val="BodyText"/>
        <w:spacing w:line="240" w:lineRule="auto" w:before="76"/>
        <w:ind w:left="513" w:right="1133"/>
        <w:jc w:val="left"/>
      </w:pPr>
      <w:r>
        <w:rPr/>
        <w:t>③与交易相关的经济利益很可能流入公司；</w:t>
      </w:r>
    </w:p>
    <w:p>
      <w:pPr>
        <w:pStyle w:val="BodyText"/>
        <w:spacing w:line="240" w:lineRule="auto" w:before="76"/>
        <w:ind w:left="513" w:right="1133"/>
        <w:jc w:val="left"/>
      </w:pPr>
      <w:r>
        <w:rPr/>
        <w:t>④相关的收入和已发生或将发生的成本能够可靠地计量。</w:t>
      </w:r>
    </w:p>
    <w:p>
      <w:pPr>
        <w:spacing w:line="240" w:lineRule="auto" w:before="0"/>
        <w:rPr>
          <w:rFonts w:ascii="宋体" w:hAnsi="宋体" w:cs="宋体" w:eastAsia="宋体" w:hint="default"/>
          <w:sz w:val="18"/>
          <w:szCs w:val="18"/>
        </w:rPr>
      </w:pPr>
    </w:p>
    <w:p>
      <w:pPr>
        <w:pStyle w:val="BodyText"/>
        <w:tabs>
          <w:tab w:pos="993" w:val="left" w:leader="none"/>
        </w:tabs>
        <w:spacing w:line="300" w:lineRule="auto" w:before="153"/>
        <w:ind w:left="513" w:right="1132"/>
        <w:jc w:val="left"/>
      </w:pPr>
      <w:r>
        <w:rPr>
          <w:rFonts w:ascii="Times New Roman" w:hAnsi="Times New Roman" w:cs="Times New Roman" w:eastAsia="Times New Roman" w:hint="default"/>
        </w:rPr>
        <w:t>(3)</w:t>
        <w:tab/>
      </w:r>
      <w:r>
        <w:rPr/>
        <w:t>利息收入</w:t>
      </w:r>
      <w:r>
        <w:rPr>
          <w:w w:val="99"/>
        </w:rPr>
        <w:t> </w:t>
      </w:r>
      <w:r>
        <w:rPr>
          <w:spacing w:val="-2"/>
        </w:rPr>
        <w:t>利息收入按使用货币资金的使用时间和适用利率计算确定。使用费收入金额，按照有关合同或协议约定的收费时间和方</w:t>
      </w:r>
    </w:p>
    <w:p>
      <w:pPr>
        <w:pStyle w:val="BodyText"/>
        <w:spacing w:line="240" w:lineRule="auto" w:before="31"/>
        <w:ind w:right="1133"/>
        <w:jc w:val="left"/>
      </w:pPr>
      <w:r>
        <w:rPr/>
        <w:t>法计算确定。</w:t>
      </w:r>
    </w:p>
    <w:p>
      <w:pPr>
        <w:spacing w:line="240" w:lineRule="auto" w:before="0"/>
        <w:rPr>
          <w:rFonts w:ascii="宋体" w:hAnsi="宋体" w:cs="宋体" w:eastAsia="宋体" w:hint="default"/>
          <w:sz w:val="18"/>
          <w:szCs w:val="18"/>
        </w:rPr>
      </w:pPr>
    </w:p>
    <w:p>
      <w:pPr>
        <w:pStyle w:val="BodyText"/>
        <w:tabs>
          <w:tab w:pos="993" w:val="left" w:leader="none"/>
        </w:tabs>
        <w:spacing w:line="319" w:lineRule="auto" w:before="153"/>
        <w:ind w:left="513" w:right="2851"/>
        <w:jc w:val="left"/>
      </w:pPr>
      <w:r>
        <w:rPr/>
        <w:t>提供劳务收入确认的具体原则及方法 报告期内，公司的营业收入主要包括提供项目型服务形成的收入与提供订单型服务形成的收入。 </w:t>
      </w:r>
      <w:r>
        <w:rPr>
          <w:rFonts w:ascii="Times New Roman" w:hAnsi="Times New Roman" w:cs="Times New Roman" w:eastAsia="Times New Roman" w:hint="default"/>
        </w:rPr>
        <w:t>(1)</w:t>
        <w:tab/>
      </w:r>
      <w:r>
        <w:rPr/>
        <w:t>提供项目型服务确认原则及方法</w:t>
      </w:r>
    </w:p>
    <w:p>
      <w:pPr>
        <w:pStyle w:val="BodyText"/>
        <w:spacing w:line="233" w:lineRule="exact"/>
        <w:ind w:left="513" w:right="1133"/>
        <w:jc w:val="left"/>
      </w:pPr>
      <w:r>
        <w:rPr/>
        <w:t>提供项目型服务，是指接受客户委托，按项目为客户提供相关服务，主要包括：提供多组学大数据服务与合成业务。</w:t>
      </w:r>
    </w:p>
    <w:p>
      <w:pPr>
        <w:pStyle w:val="BodyText"/>
        <w:spacing w:line="316" w:lineRule="auto" w:before="76"/>
        <w:ind w:right="1130" w:firstLine="360"/>
        <w:jc w:val="both"/>
      </w:pPr>
      <w:r>
        <w:rPr/>
        <w:t>①</w:t>
      </w:r>
      <w:r>
        <w:rPr>
          <w:spacing w:val="-2"/>
        </w:rPr>
        <w:t> </w:t>
      </w:r>
      <w:r>
        <w:rPr/>
        <w:t>项目型服务如果服务周期较短，则在当期完成合同约定的所有样本测序，发送完毕测序分析结果，相关收入的金额</w:t>
      </w:r>
      <w:r>
        <w:rPr/>
        <w:t> </w:t>
      </w:r>
      <w:r>
        <w:rPr>
          <w:spacing w:val="-2"/>
        </w:rPr>
        <w:t>能够可靠地计量、相关的经济利益很可能流入企业、交易中已发生和将发生的成本能够可靠地计量，公司在此时按照合同规</w:t>
      </w:r>
      <w:r>
        <w:rPr>
          <w:spacing w:val="-63"/>
        </w:rPr>
        <w:t> </w:t>
      </w:r>
      <w:r>
        <w:rPr>
          <w:spacing w:val="-63"/>
        </w:rPr>
      </w:r>
      <w:r>
        <w:rPr/>
        <w:t>定依据所提供的服务量及服务价格确认收入。</w:t>
      </w:r>
    </w:p>
    <w:p>
      <w:pPr>
        <w:pStyle w:val="BodyText"/>
        <w:spacing w:line="312" w:lineRule="auto" w:before="19"/>
        <w:ind w:left="195" w:right="1131" w:firstLine="360"/>
        <w:jc w:val="both"/>
      </w:pPr>
      <w:r>
        <w:rPr/>
        <w:t>②</w:t>
      </w:r>
      <w:r>
        <w:rPr>
          <w:spacing w:val="53"/>
        </w:rPr>
        <w:t> </w:t>
      </w:r>
      <w:r>
        <w:rPr/>
        <w:t>资产负债表日提供劳务交易的结果能够可靠估计的项目型服务，采用完工百分比法（项目完工进度）确认。资产</w:t>
      </w:r>
      <w:r>
        <w:rPr/>
        <w:t> 负债表日，根据已提供劳务收入总额乘以完工进度扣除以前会计期间累计已确认收入后的金额，确认当期提供劳务收入，</w:t>
      </w:r>
      <w:r>
        <w:rPr>
          <w:spacing w:val="-43"/>
        </w:rPr>
        <w:t> </w:t>
      </w:r>
      <w:r>
        <w:rPr>
          <w:spacing w:val="-43"/>
        </w:rPr>
      </w:r>
      <w:r>
        <w:rPr>
          <w:spacing w:val="-1"/>
        </w:rPr>
        <w:t>具体确认依据、时点和确认金额遵照下列公式：本期确认的收入</w:t>
      </w:r>
      <w:r>
        <w:rPr>
          <w:rFonts w:ascii="Times New Roman" w:hAnsi="Times New Roman" w:cs="Times New Roman" w:eastAsia="Times New Roman" w:hint="default"/>
          <w:spacing w:val="-1"/>
        </w:rPr>
        <w:t>=</w:t>
      </w:r>
      <w:r>
        <w:rPr>
          <w:spacing w:val="-1"/>
        </w:rPr>
        <w:t>劳务总收入</w:t>
      </w:r>
      <w:r>
        <w:rPr>
          <w:rFonts w:ascii="Times New Roman" w:hAnsi="Times New Roman" w:cs="Times New Roman" w:eastAsia="Times New Roman" w:hint="default"/>
          <w:spacing w:val="-1"/>
        </w:rPr>
        <w:t>×</w:t>
      </w:r>
      <w:r>
        <w:rPr>
          <w:spacing w:val="-1"/>
        </w:rPr>
        <w:t>本期末止劳务的完工进度</w:t>
      </w:r>
      <w:r>
        <w:rPr>
          <w:rFonts w:ascii="Times New Roman" w:hAnsi="Times New Roman" w:cs="Times New Roman" w:eastAsia="Times New Roman" w:hint="default"/>
          <w:spacing w:val="-1"/>
        </w:rPr>
        <w:t>-</w:t>
      </w:r>
      <w:r>
        <w:rPr>
          <w:spacing w:val="-1"/>
        </w:rPr>
        <w:t>以前期间已确认的</w:t>
      </w:r>
      <w:r>
        <w:rPr>
          <w:spacing w:val="-64"/>
        </w:rPr>
        <w:t> </w:t>
      </w:r>
      <w:r>
        <w:rPr/>
        <w:t>收入。完工百分比的确定方法：已经发生的成本总额占估计总成本的比例确定提供劳务交易的完工进度。</w:t>
      </w:r>
    </w:p>
    <w:p>
      <w:pPr>
        <w:pStyle w:val="BodyText"/>
        <w:spacing w:line="319" w:lineRule="auto" w:before="22"/>
        <w:ind w:left="195" w:right="1027" w:firstLine="360"/>
        <w:jc w:val="left"/>
      </w:pPr>
      <w:r>
        <w:rPr/>
        <w:t>③</w:t>
      </w:r>
      <w:r>
        <w:rPr>
          <w:spacing w:val="54"/>
        </w:rPr>
        <w:t> </w:t>
      </w:r>
      <w:r>
        <w:rPr/>
        <w:t>对在资产负债表日提供劳务交易结果不能可靠估计的项目型服务项目，如果已经发生的成本预计能够得到补偿的，</w:t>
      </w:r>
      <w:r>
        <w:rPr/>
        <w:t> 按能够得到补偿的金额确认收入，并按相同的金额结转成本；如果已经发生的成本预计不能全部得到补偿，按能够得到补</w:t>
      </w:r>
      <w:r>
        <w:rPr>
          <w:spacing w:val="-43"/>
        </w:rPr>
        <w:t> </w:t>
      </w:r>
      <w:r>
        <w:rPr>
          <w:spacing w:val="-43"/>
        </w:rPr>
      </w:r>
      <w:r>
        <w:rPr>
          <w:spacing w:val="-3"/>
        </w:rPr>
        <w:t>偿的金额确认收入，并按已发生的成本结转成本，确认的收入金额小于已经发生的成本的差额，确认为损失；如果已发生的</w:t>
      </w:r>
      <w:r>
        <w:rPr>
          <w:spacing w:val="-56"/>
        </w:rPr>
        <w:t> </w:t>
      </w:r>
      <w:r>
        <w:rPr>
          <w:spacing w:val="-56"/>
        </w:rPr>
      </w:r>
      <w:r>
        <w:rPr/>
        <w:t>成本全部不能得到补偿，则不确认收入，应将已发生的成本确认为费用。公司在执行业务时具体收入确认原则和方法为：</w:t>
      </w:r>
    </w:p>
    <w:p>
      <w:pPr>
        <w:pStyle w:val="BodyText"/>
        <w:spacing w:line="300" w:lineRule="auto" w:before="17"/>
        <w:ind w:right="1449" w:firstLine="360"/>
        <w:jc w:val="left"/>
      </w:pPr>
      <w:r>
        <w:rPr>
          <w:rFonts w:ascii="Times New Roman" w:hAnsi="Times New Roman" w:cs="Times New Roman" w:eastAsia="Times New Roman" w:hint="default"/>
        </w:rPr>
        <w:t>a.</w:t>
      </w:r>
      <w:r>
        <w:rPr/>
        <w:t>在资产负债表日，如果项目尚未发送项目测序分析结果，公司根据每个项目能够收回的实际成本金额确认收入金 额，项目实际成本在发生当期确认；</w:t>
      </w:r>
    </w:p>
    <w:p>
      <w:pPr>
        <w:pStyle w:val="BodyText"/>
        <w:spacing w:line="309" w:lineRule="auto" w:before="31"/>
        <w:ind w:right="1231" w:firstLine="360"/>
        <w:jc w:val="both"/>
      </w:pPr>
      <w:r>
        <w:rPr>
          <w:rFonts w:ascii="Times New Roman" w:hAnsi="Times New Roman" w:cs="Times New Roman" w:eastAsia="Times New Roman" w:hint="default"/>
        </w:rPr>
        <w:t>b.</w:t>
      </w:r>
      <w:r>
        <w:rPr/>
        <w:t>当完成合同约定的所有样本测序，发送完毕对应的全部测序分析结果时，公司根据项目最终可收回金额扣除以前期 间已确认的收入后确认剩余收入，此时相关收入的金额能够可靠地计量、相关的经济利益很可能流入企业、交易中已发生 和将发生的成本能够可靠地计量，公司在此时按照合同规定依据所提供的服务量及服务价格确认收入。</w:t>
      </w:r>
    </w:p>
    <w:p>
      <w:pPr>
        <w:spacing w:line="240" w:lineRule="auto" w:before="9"/>
        <w:rPr>
          <w:rFonts w:ascii="宋体" w:hAnsi="宋体" w:cs="宋体" w:eastAsia="宋体" w:hint="default"/>
          <w:sz w:val="25"/>
          <w:szCs w:val="25"/>
        </w:rPr>
      </w:pPr>
    </w:p>
    <w:p>
      <w:pPr>
        <w:pStyle w:val="BodyText"/>
        <w:tabs>
          <w:tab w:pos="993" w:val="left" w:leader="none"/>
        </w:tabs>
        <w:spacing w:line="300" w:lineRule="auto"/>
        <w:ind w:left="513" w:right="1044"/>
        <w:jc w:val="left"/>
      </w:pPr>
      <w:r>
        <w:rPr>
          <w:rFonts w:ascii="Times New Roman" w:hAnsi="Times New Roman" w:cs="Times New Roman" w:eastAsia="Times New Roman" w:hint="default"/>
        </w:rPr>
        <w:t>(2)</w:t>
        <w:tab/>
      </w:r>
      <w:r>
        <w:rPr/>
        <w:t>提供订单型服务确认原则及方法</w:t>
      </w:r>
      <w:r>
        <w:rPr>
          <w:w w:val="99"/>
        </w:rPr>
        <w:t> </w:t>
      </w:r>
      <w:r>
        <w:rPr/>
        <w:t>提供订单型服务，是指接受客户委托，按订单为客户提供相关服务，主要包括提供生育健康基础研究和临床应用服务、</w:t>
      </w:r>
    </w:p>
    <w:p>
      <w:pPr>
        <w:pStyle w:val="BodyText"/>
        <w:spacing w:line="316" w:lineRule="auto" w:before="32"/>
        <w:ind w:left="513" w:right="986" w:hanging="361"/>
        <w:jc w:val="left"/>
      </w:pPr>
      <w:r>
        <w:rPr/>
        <w:t>肿瘤防控及转化医学类服务、感染防控基础研究和临床应用服务。 </w:t>
      </w:r>
      <w:r>
        <w:rPr>
          <w:spacing w:val="-2"/>
        </w:rPr>
        <w:t>在该种业务模式下，根据公司行业特性及服务模式，在公司订单型服务已经提供，发出检测报告，相关收入的金额能够</w:t>
      </w:r>
    </w:p>
    <w:p>
      <w:pPr>
        <w:spacing w:after="0" w:line="316" w:lineRule="auto"/>
        <w:jc w:val="left"/>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16" w:lineRule="auto" w:before="44"/>
        <w:ind w:right="986"/>
        <w:jc w:val="left"/>
      </w:pPr>
      <w:r>
        <w:rPr>
          <w:spacing w:val="-2"/>
        </w:rPr>
        <w:t>可靠地计量、相关的经济利益很可能流入企业、交易中已发生和将发生的成本能够可靠地计量，公司在此时按照合同规定依</w:t>
      </w:r>
      <w:r>
        <w:rPr>
          <w:spacing w:val="-63"/>
        </w:rPr>
        <w:t> </w:t>
      </w:r>
      <w:r>
        <w:rPr>
          <w:spacing w:val="-63"/>
        </w:rPr>
      </w:r>
      <w:r>
        <w:rPr/>
        <w:t>据所提供的服务量及服务价格确认收入。</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5"/>
        </w:rPr>
        <w:t>政府补助在能够满足其所附的条件并且能够收到时，予以确认。政府补助为货币性资产的，按照收到或应收的金额计量。</w:t>
      </w:r>
      <w:r>
        <w:rPr/>
        <w:t> 政府补助为非货币性资产的，按照公允价值计量；公允价值不能可靠取得的，按照名义金额计量。</w:t>
      </w:r>
    </w:p>
    <w:p>
      <w:pPr>
        <w:pStyle w:val="BodyText"/>
        <w:spacing w:line="316" w:lineRule="auto" w:before="19"/>
        <w:ind w:right="1130" w:firstLine="360"/>
        <w:jc w:val="both"/>
      </w:pPr>
      <w:r>
        <w:rPr>
          <w:spacing w:val="-2"/>
        </w:rPr>
        <w:t>政府文件规定用于购建或以其他方式形成长期资产的，作为与资产相关的政府补助；政府文件不明确的，以取得该补助</w:t>
      </w:r>
      <w:r>
        <w:rPr/>
        <w:t> </w:t>
      </w:r>
      <w:r>
        <w:rPr>
          <w:spacing w:val="-2"/>
        </w:rPr>
        <w:t>必须具备的基本条件为基础进行判断，以购建或其他方式形成长期资产为基本条件的作为与资产相关的政府补助，除此之外</w:t>
      </w:r>
      <w:r>
        <w:rPr>
          <w:spacing w:val="-64"/>
        </w:rPr>
        <w:t> </w:t>
      </w:r>
      <w:r>
        <w:rPr>
          <w:spacing w:val="-64"/>
        </w:rPr>
      </w:r>
      <w:r>
        <w:rPr/>
        <w:t>的作为与收益相关的政府补助。</w:t>
      </w:r>
    </w:p>
    <w:p>
      <w:pPr>
        <w:pStyle w:val="BodyText"/>
        <w:spacing w:line="319" w:lineRule="auto" w:before="19"/>
        <w:ind w:right="1130" w:firstLine="360"/>
        <w:jc w:val="both"/>
      </w:pPr>
      <w:r>
        <w:rPr>
          <w:spacing w:val="-2"/>
        </w:rPr>
        <w:t>与收益相关的政府补助，用于补偿以后期间的相关成本费用或损失的，确认为递延收益，并在确认相关成本费用或损失</w:t>
      </w:r>
      <w:r>
        <w:rPr/>
        <w:t> </w:t>
      </w:r>
      <w:r>
        <w:rPr>
          <w:spacing w:val="-2"/>
        </w:rPr>
        <w:t>的期间计入当期损益或冲减相关成本；用于补偿已发生的相关成本费用或损失的，直接计入当期损益或冲减相关成本。与资</w:t>
      </w:r>
      <w:r>
        <w:rPr>
          <w:spacing w:val="-63"/>
        </w:rPr>
        <w:t> </w:t>
      </w:r>
      <w:r>
        <w:rPr>
          <w:spacing w:val="-63"/>
        </w:rPr>
      </w:r>
      <w:r>
        <w:rPr>
          <w:spacing w:val="-2"/>
        </w:rPr>
        <w:t>产相关的政府补助，冲减相关资产的账面价值；或确认为递延收益，在相关资产使用寿命内按照合理、系统的方法分期计入</w:t>
      </w:r>
      <w:r>
        <w:rPr>
          <w:spacing w:val="-64"/>
        </w:rPr>
        <w:t> </w:t>
      </w:r>
      <w:r>
        <w:rPr>
          <w:spacing w:val="-64"/>
        </w:rPr>
      </w:r>
      <w:r>
        <w:rPr>
          <w:spacing w:val="-5"/>
        </w:rPr>
        <w:t>损益</w:t>
      </w:r>
      <w:r>
        <w:rPr>
          <w:rFonts w:ascii="宋体" w:hAnsi="宋体" w:cs="宋体" w:eastAsia="宋体" w:hint="default"/>
          <w:spacing w:val="-5"/>
        </w:rPr>
        <w:t>(</w:t>
      </w:r>
      <w:r>
        <w:rPr>
          <w:spacing w:val="-5"/>
        </w:rPr>
        <w:t>但按照名义金额计量的政府补助，直接计入当期损益</w:t>
      </w:r>
      <w:r>
        <w:rPr>
          <w:rFonts w:ascii="宋体" w:hAnsi="宋体" w:cs="宋体" w:eastAsia="宋体" w:hint="default"/>
          <w:spacing w:val="-5"/>
        </w:rPr>
        <w:t>)</w:t>
      </w:r>
      <w:r>
        <w:rPr>
          <w:spacing w:val="-5"/>
        </w:rPr>
        <w:t>，相关资产在使用寿命结束前被出售、转让、报废或发生毁损的，</w:t>
      </w:r>
      <w:r>
        <w:rPr>
          <w:spacing w:val="-74"/>
        </w:rPr>
        <w:t> </w:t>
      </w:r>
      <w:r>
        <w:rPr>
          <w:spacing w:val="-74"/>
        </w:rPr>
      </w:r>
      <w:r>
        <w:rPr/>
        <w:t>尚未分配的相关递延收益余额转入资产处置当期的损益。</w:t>
      </w:r>
    </w:p>
    <w:p>
      <w:pPr>
        <w:spacing w:line="240" w:lineRule="auto" w:before="6"/>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所得税包括当期所得税和递延所得税。除由于企业合并产生的调整商誉，或与直接计入股东权益的交易或者事项相关的</w:t>
      </w:r>
      <w:r>
        <w:rPr/>
        <w:t> 计入股东权益外，均作为所得税费用或收益计入当期损益。</w:t>
      </w:r>
    </w:p>
    <w:p>
      <w:pPr>
        <w:pStyle w:val="BodyText"/>
        <w:spacing w:line="316" w:lineRule="auto" w:before="19"/>
        <w:ind w:left="513" w:right="1133"/>
        <w:jc w:val="left"/>
      </w:pPr>
      <w:r>
        <w:rPr/>
        <w:t>公司对于当期和以前期间形成的当期所得税负债或资产，按照税法规定计算的预期应交纳或返还的所得税金额计量。 公司根据资产与负债于资产负债表日的账面价值与计税基础之间的暂时性差异，以及未作为资产和负债确认但按照税</w:t>
      </w:r>
    </w:p>
    <w:p>
      <w:pPr>
        <w:pStyle w:val="BodyText"/>
        <w:spacing w:line="316" w:lineRule="auto" w:before="19"/>
        <w:ind w:right="1133"/>
        <w:jc w:val="left"/>
      </w:pPr>
      <w:r>
        <w:rPr/>
        <w:t>法规定可以确定其计税基础的项目的账面价值与计税基础之间的差额产生的暂时性差异，采用资产负债表债务法计提递延</w:t>
      </w:r>
      <w:r>
        <w:rPr>
          <w:spacing w:val="-11"/>
        </w:rPr>
        <w:t> </w:t>
      </w:r>
      <w:r>
        <w:rPr>
          <w:spacing w:val="-11"/>
        </w:rPr>
      </w:r>
      <w:r>
        <w:rPr/>
        <w:t>所得税。</w:t>
      </w:r>
    </w:p>
    <w:p>
      <w:pPr>
        <w:pStyle w:val="BodyText"/>
        <w:spacing w:line="240" w:lineRule="auto" w:before="19"/>
        <w:ind w:left="513" w:right="1133"/>
        <w:jc w:val="left"/>
      </w:pPr>
      <w:r>
        <w:rPr/>
        <w:t>各种应纳税暂时性差异均据以确认递延所得税负债，除非：</w:t>
      </w:r>
    </w:p>
    <w:p>
      <w:pPr>
        <w:pStyle w:val="BodyText"/>
        <w:spacing w:line="316" w:lineRule="auto" w:before="76"/>
        <w:ind w:right="1135" w:firstLine="360"/>
        <w:jc w:val="both"/>
      </w:pPr>
      <w:r>
        <w:rPr>
          <w:rFonts w:ascii="宋体" w:hAnsi="宋体" w:cs="宋体" w:eastAsia="宋体" w:hint="default"/>
        </w:rPr>
        <w:t>(1)</w:t>
      </w:r>
      <w:r>
        <w:rPr>
          <w:rFonts w:ascii="宋体" w:hAnsi="宋体" w:cs="宋体" w:eastAsia="宋体" w:hint="default"/>
          <w:spacing w:val="4"/>
        </w:rPr>
        <w:t> </w:t>
      </w:r>
      <w:r>
        <w:rPr/>
        <w:t>应纳税暂时性差异是在以下交易中产生的：商誉的初始确认，或者具有以下特征的交易中产生的资产或负债的初 始确认：该交易不是企业合并，并且交易发生时既不影响会计利润也不影响应纳税所得额或可抵扣亏损。</w:t>
      </w:r>
    </w:p>
    <w:p>
      <w:pPr>
        <w:pStyle w:val="BodyText"/>
        <w:spacing w:line="316" w:lineRule="auto" w:before="19"/>
        <w:ind w:right="1134" w:firstLine="360"/>
        <w:jc w:val="both"/>
      </w:pPr>
      <w:r>
        <w:rPr>
          <w:rFonts w:ascii="宋体" w:hAnsi="宋体" w:cs="宋体" w:eastAsia="宋体" w:hint="default"/>
        </w:rPr>
        <w:t>(2)</w:t>
      </w:r>
      <w:r>
        <w:rPr>
          <w:rFonts w:ascii="宋体" w:hAnsi="宋体" w:cs="宋体" w:eastAsia="宋体" w:hint="default"/>
          <w:spacing w:val="4"/>
        </w:rPr>
        <w:t> </w:t>
      </w:r>
      <w:r>
        <w:rPr/>
        <w:t>对于与子公司、合营企业及联营企业投资相关的应纳税暂时性差异，该暂时性差异转回的时间能够控制并且该暂 时性差异在可预见的未来很可能不会转回。</w:t>
      </w:r>
    </w:p>
    <w:p>
      <w:pPr>
        <w:pStyle w:val="BodyText"/>
        <w:spacing w:line="316" w:lineRule="auto" w:before="19"/>
        <w:ind w:right="1044" w:firstLine="360"/>
        <w:jc w:val="both"/>
      </w:pPr>
      <w:r>
        <w:rPr/>
        <w:t>对于可抵扣暂时性差异、能够结转以后年度的可抵扣亏损和税款抵减，公司以很可能取得用来抵扣可抵扣暂时性差异、 可抵扣亏损和税款抵减的未来应纳税所得额为限，确认由此产生的递延所得税资产，除非：</w:t>
      </w:r>
    </w:p>
    <w:p>
      <w:pPr>
        <w:pStyle w:val="BodyText"/>
        <w:spacing w:line="319" w:lineRule="auto" w:before="19"/>
        <w:ind w:right="1135" w:firstLine="360"/>
        <w:jc w:val="both"/>
      </w:pPr>
      <w:r>
        <w:rPr>
          <w:rFonts w:ascii="宋体" w:hAnsi="宋体" w:cs="宋体" w:eastAsia="宋体" w:hint="default"/>
        </w:rPr>
        <w:t>(1)</w:t>
      </w:r>
      <w:r>
        <w:rPr>
          <w:rFonts w:ascii="宋体" w:hAnsi="宋体" w:cs="宋体" w:eastAsia="宋体" w:hint="default"/>
          <w:spacing w:val="4"/>
        </w:rPr>
        <w:t> </w:t>
      </w:r>
      <w:r>
        <w:rPr/>
        <w:t>可抵扣暂时性差异是在以下交易中产生的：该交易不是企业合并，并且交易发生时既不影响会计利润也不影响应 纳税所得额或可抵扣亏损。</w:t>
      </w:r>
    </w:p>
    <w:p>
      <w:pPr>
        <w:pStyle w:val="BodyText"/>
        <w:spacing w:line="316" w:lineRule="auto" w:before="17"/>
        <w:ind w:right="1132" w:firstLine="360"/>
        <w:jc w:val="both"/>
      </w:pPr>
      <w:r>
        <w:rPr>
          <w:rFonts w:ascii="宋体" w:hAnsi="宋体" w:cs="宋体" w:eastAsia="宋体" w:hint="default"/>
        </w:rPr>
        <w:t>(2)</w:t>
      </w:r>
      <w:r>
        <w:rPr>
          <w:rFonts w:ascii="宋体" w:hAnsi="宋体" w:cs="宋体" w:eastAsia="宋体" w:hint="default"/>
          <w:spacing w:val="6"/>
        </w:rPr>
        <w:t> </w:t>
      </w:r>
      <w:r>
        <w:rPr/>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pStyle w:val="BodyText"/>
        <w:spacing w:line="316" w:lineRule="auto" w:before="19"/>
        <w:ind w:right="1132" w:firstLine="360"/>
        <w:jc w:val="both"/>
      </w:pPr>
      <w:r>
        <w:rPr>
          <w:spacing w:val="-2"/>
        </w:rPr>
        <w:t>公司于资产负债表日，对于递延所得税资产和递延所得税负债，依据税法规定，按照预期收回该资产或清偿该负债期间</w:t>
      </w:r>
      <w:r>
        <w:rPr/>
        <w:t> 的适用税率计量，并反映资产负债表日预期收回资产或清偿负债方式的所得税影响。</w:t>
      </w:r>
    </w:p>
    <w:p>
      <w:pPr>
        <w:pStyle w:val="BodyText"/>
        <w:spacing w:line="316" w:lineRule="auto" w:before="19"/>
        <w:ind w:right="1034" w:firstLine="360"/>
        <w:jc w:val="left"/>
      </w:pPr>
      <w:r>
        <w:rPr>
          <w:spacing w:val="-2"/>
        </w:rPr>
        <w:t>于资产负债表日，公司对递延所得税资产的账面价值进行复核，如果未来期间很可能无法获得足够的应纳税所得额用以</w:t>
      </w:r>
      <w:r>
        <w:rPr/>
        <w:t> 抵扣递延所得税资产的利益，减记递延所得税资产的账面价值。于资产负债表日，公司重新评估未确认的递延所得税资产，</w:t>
      </w:r>
      <w:r>
        <w:rPr>
          <w:spacing w:val="-83"/>
        </w:rPr>
        <w:t> </w:t>
      </w:r>
      <w:r>
        <w:rPr>
          <w:spacing w:val="-83"/>
        </w:rPr>
      </w:r>
      <w:r>
        <w:rPr/>
        <w:t>在很可能获得足够的应纳税所得额可供所有或部分递延所得税资产转回的限度内，确认递延所得税资产。</w:t>
      </w:r>
    </w:p>
    <w:p>
      <w:pPr>
        <w:pStyle w:val="BodyText"/>
        <w:spacing w:line="319" w:lineRule="auto" w:before="19"/>
        <w:ind w:right="1132" w:firstLine="360"/>
        <w:jc w:val="both"/>
      </w:pPr>
      <w:r>
        <w:rPr>
          <w:spacing w:val="-2"/>
        </w:rPr>
        <w:t>同时满足下列条件时，递延所得税资产和递延所得税负债以抵销后的净额列示：拥有以净额结算当期所得税资产及当期</w:t>
      </w:r>
      <w:r>
        <w:rPr/>
        <w:t> 所得税负债的法定权利；递延所得税资产和递延所得税负债是与同一税收征管部门对同一应纳税主体征收的所得税相关或 </w:t>
      </w:r>
      <w:r>
        <w:rPr>
          <w:spacing w:val="-2"/>
        </w:rPr>
        <w:t>者对不同的纳税主体相关，但在未来每一具有重要性的递延所得税资产和递延所得税负债转回的期间内，涉及的纳税主体意</w:t>
      </w:r>
      <w:r>
        <w:rPr>
          <w:spacing w:val="-64"/>
        </w:rPr>
        <w:t> </w:t>
      </w:r>
      <w:r>
        <w:rPr>
          <w:spacing w:val="-64"/>
        </w:rPr>
      </w:r>
      <w:r>
        <w:rPr/>
        <w:t>图以净额结算当期所得税资产及当期所得税负债或是同时取得资产、清偿债务。</w:t>
      </w:r>
    </w:p>
    <w:p>
      <w:pPr>
        <w:spacing w:after="0" w:line="319" w:lineRule="auto"/>
        <w:jc w:val="both"/>
        <w:sectPr>
          <w:pgSz w:w="11910" w:h="16840"/>
          <w:pgMar w:header="88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0"/>
        <w:jc w:val="both"/>
        <w:rPr>
          <w:b w:val="0"/>
          <w:bCs w:val="0"/>
        </w:rPr>
      </w:pPr>
      <w:r>
        <w:rPr>
          <w:rFonts w:ascii="Times New Roman" w:hAnsi="Times New Roman" w:cs="Times New Roman" w:eastAsia="Times New Roman" w:hint="default"/>
        </w:rPr>
        <w:t>25</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2653"/>
        <w:jc w:val="left"/>
      </w:pPr>
      <w:r>
        <w:rPr/>
        <w:t>实质上转移了与资产所有权有关的全部风险和报酬的租赁为融资租赁，除此之外的均为经营租赁。 作为经营租赁承租人 经营租赁的租金支出，在租赁期内各个期间按照直线法计入相关的资产成本或当期损益。 作为经营租赁出租人</w:t>
      </w:r>
    </w:p>
    <w:p>
      <w:pPr>
        <w:pStyle w:val="BodyText"/>
        <w:spacing w:line="240" w:lineRule="auto" w:before="19"/>
        <w:ind w:left="513" w:right="1133"/>
        <w:jc w:val="left"/>
      </w:pPr>
      <w:r>
        <w:rPr/>
        <w:t>经营租赁的租金收入在租赁期内的各个期间按直线法确认为当期损益。</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033"/>
        <w:jc w:val="left"/>
      </w:pPr>
      <w:r>
        <w:rPr/>
        <w:t>作为融资租赁出租人 融资租出的资产，于租赁期开始日将租赁开始日最低租赁收款额与初始直接费用之和作为应收融资租赁款的入账价值，</w:t>
      </w:r>
    </w:p>
    <w:p>
      <w:pPr>
        <w:pStyle w:val="BodyText"/>
        <w:spacing w:line="316" w:lineRule="auto" w:before="19"/>
        <w:ind w:right="986"/>
        <w:jc w:val="left"/>
      </w:pPr>
      <w:r>
        <w:rPr>
          <w:spacing w:val="-2"/>
        </w:rPr>
        <w:t>同时记录未担保余值；将最低租赁收款额、初始直接费用及未担保余值之和与其现值之和的差额作为未实现融资收益，在租</w:t>
      </w:r>
      <w:r>
        <w:rPr>
          <w:spacing w:val="-63"/>
        </w:rPr>
        <w:t> </w:t>
      </w:r>
      <w:r>
        <w:rPr>
          <w:spacing w:val="-63"/>
        </w:rPr>
      </w:r>
      <w:r>
        <w:rPr/>
        <w:t>赁期内各个期间采用实际利率法进行确认。或有租金在实际发生时计入当期损益。</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26</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360"/>
        <w:jc w:val="both"/>
      </w:pPr>
      <w:r>
        <w:rPr>
          <w:spacing w:val="-2"/>
        </w:rPr>
        <w:t>编制财务报表要求管理层作出判断、估计和假设，这些判断、估计和假设会影响收入、费用、资产和负债的列报金额及</w:t>
      </w:r>
      <w:r>
        <w:rPr/>
        <w:t> </w:t>
      </w:r>
      <w:r>
        <w:rPr>
          <w:spacing w:val="-2"/>
        </w:rPr>
        <w:t>其披露，以及资产负债表日或有负债的披露。这些假设和估计的不确定性所导致的结果可能造成对未来受影响的资产或负债</w:t>
      </w:r>
      <w:r>
        <w:rPr>
          <w:spacing w:val="-64"/>
        </w:rPr>
        <w:t> </w:t>
      </w:r>
      <w:r>
        <w:rPr>
          <w:spacing w:val="-64"/>
        </w:rPr>
      </w:r>
      <w:r>
        <w:rPr/>
        <w:t>的账面金额进行重大调整。</w:t>
      </w:r>
    </w:p>
    <w:p>
      <w:pPr>
        <w:pStyle w:val="BodyText"/>
        <w:spacing w:line="316" w:lineRule="auto" w:before="19"/>
        <w:ind w:left="513" w:right="2473"/>
        <w:jc w:val="left"/>
      </w:pPr>
      <w:r>
        <w:rPr/>
        <w:t>判断 在应用公司的会计政策的过程中，管理层作出了以下对财务报表所确认的金额具有重大影响的判断： 经营租赁</w:t>
      </w:r>
      <w:r>
        <w:rPr>
          <w:rFonts w:ascii="Times New Roman" w:hAnsi="Times New Roman" w:cs="Times New Roman" w:eastAsia="Times New Roman" w:hint="default"/>
        </w:rPr>
        <w:t>——</w:t>
      </w:r>
      <w:r>
        <w:rPr/>
        <w:t>作为出租人</w:t>
      </w:r>
    </w:p>
    <w:p>
      <w:pPr>
        <w:pStyle w:val="BodyText"/>
        <w:spacing w:line="316" w:lineRule="auto"/>
        <w:ind w:right="1132" w:firstLine="360"/>
        <w:jc w:val="both"/>
      </w:pPr>
      <w:r>
        <w:rPr>
          <w:spacing w:val="-2"/>
        </w:rPr>
        <w:t>公司就某些固定资产签订了租赁合同。公司认为，根据租赁合同的条款，公司保留了这些固定资产所有权上的所有重大</w:t>
      </w:r>
      <w:r>
        <w:rPr/>
        <w:t> 风险和报酬，因此作为经营租赁处理。</w:t>
      </w:r>
    </w:p>
    <w:p>
      <w:pPr>
        <w:pStyle w:val="BodyText"/>
        <w:spacing w:line="316" w:lineRule="auto" w:before="19"/>
        <w:ind w:left="513" w:right="1133"/>
        <w:jc w:val="left"/>
      </w:pPr>
      <w:r>
        <w:rPr/>
        <w:t>估计的不确定性 以下为于资产负债表日有关未来的关键假设以及估计不确定性的其他关键来源，可能会导致未来会计期间资产和负债</w:t>
      </w:r>
    </w:p>
    <w:p>
      <w:pPr>
        <w:pStyle w:val="BodyText"/>
        <w:spacing w:line="316" w:lineRule="auto" w:before="19"/>
        <w:ind w:left="513" w:right="9134" w:hanging="361"/>
        <w:jc w:val="left"/>
      </w:pPr>
      <w:r>
        <w:rPr/>
        <w:t>账面金额重大调整。 折旧及摊销</w:t>
      </w:r>
    </w:p>
    <w:p>
      <w:pPr>
        <w:pStyle w:val="BodyText"/>
        <w:spacing w:line="319" w:lineRule="auto" w:before="19"/>
        <w:ind w:right="1125" w:firstLine="360"/>
        <w:jc w:val="both"/>
      </w:pPr>
      <w:r>
        <w:rPr/>
        <w:t>公司于资产达到预定可使用状态起按有关的估计使用寿命及净残值以年限平均法计算固定资产的折旧及无形资产的摊</w:t>
      </w:r>
      <w:r>
        <w:rPr>
          <w:spacing w:val="2"/>
        </w:rPr>
        <w:t> </w:t>
      </w:r>
      <w:r>
        <w:rPr/>
        <w:t>销，反映了管理层就公司拟从使用该固定资产及无形资产获得未来经济利益的期间的估计。</w:t>
      </w:r>
    </w:p>
    <w:p>
      <w:pPr>
        <w:pStyle w:val="BodyText"/>
        <w:spacing w:line="316" w:lineRule="auto" w:before="17"/>
        <w:ind w:left="513" w:right="986"/>
        <w:jc w:val="left"/>
      </w:pPr>
      <w:r>
        <w:rPr/>
        <w:t>应收款项减值 </w:t>
      </w:r>
      <w:r>
        <w:rPr>
          <w:spacing w:val="-2"/>
        </w:rPr>
        <w:t>公司根据信贷记录及当时市况评估能够收回应收账款、其他应收款项及应收关联方款项，以确定减值准备的金额，这需</w:t>
      </w:r>
    </w:p>
    <w:p>
      <w:pPr>
        <w:pStyle w:val="BodyText"/>
        <w:spacing w:line="316" w:lineRule="auto" w:before="19"/>
        <w:ind w:right="1130"/>
        <w:jc w:val="both"/>
      </w:pPr>
      <w:r>
        <w:rPr>
          <w:spacing w:val="-2"/>
        </w:rPr>
        <w:t>要管理层运用判断来估计可收回的金额。如有客观证据表明无法收回结余，则计提坏账准备。当预期有别于原先估计时，有</w:t>
      </w:r>
      <w:r>
        <w:rPr>
          <w:spacing w:val="-64"/>
        </w:rPr>
        <w:t> </w:t>
      </w:r>
      <w:r>
        <w:rPr>
          <w:spacing w:val="-64"/>
        </w:rPr>
      </w:r>
      <w:r>
        <w:rPr>
          <w:spacing w:val="-2"/>
        </w:rPr>
        <w:t>关差异将影响应收账款、其他应收款项及应收关联方款项的账面价值，并且影响当期的减值损失。公司于每年年末重新估计</w:t>
      </w:r>
      <w:r>
        <w:rPr>
          <w:spacing w:val="-63"/>
        </w:rPr>
        <w:t> </w:t>
      </w:r>
      <w:r>
        <w:rPr>
          <w:spacing w:val="-63"/>
        </w:rPr>
      </w:r>
      <w:r>
        <w:rPr/>
        <w:t>坏账准备。</w:t>
      </w:r>
    </w:p>
    <w:p>
      <w:pPr>
        <w:pStyle w:val="BodyText"/>
        <w:spacing w:line="316" w:lineRule="auto" w:before="19"/>
        <w:ind w:left="513" w:right="1033"/>
        <w:jc w:val="left"/>
      </w:pPr>
      <w:r>
        <w:rPr/>
        <w:t>开发支出 确定资本化的金额时，管理层必须作出有关资产的预计未来现金流量、适用的折现率以及预计受益期间的假设。 递延所得税资产 在很可能有足够的应纳税所得额用以抵扣可抵扣亏损的限度内，应就所有尚未利用的可抵扣亏损确认递延所得税资产。</w:t>
      </w:r>
    </w:p>
    <w:p>
      <w:pPr>
        <w:pStyle w:val="BodyText"/>
        <w:spacing w:line="319" w:lineRule="auto" w:before="19"/>
        <w:ind w:right="986"/>
        <w:jc w:val="left"/>
      </w:pPr>
      <w:r>
        <w:rPr>
          <w:spacing w:val="-2"/>
        </w:rPr>
        <w:t>这需要管理层运用大量的判断来估计未来取得应纳税所得额的时间和金额，结合纳税筹划策略，以决定应确认的递延所得税</w:t>
      </w:r>
      <w:r>
        <w:rPr>
          <w:spacing w:val="-64"/>
        </w:rPr>
        <w:t> </w:t>
      </w:r>
      <w:r>
        <w:rPr>
          <w:spacing w:val="-64"/>
        </w:rPr>
      </w:r>
      <w:r>
        <w:rPr/>
        <w:t>资产的金额。</w:t>
      </w:r>
    </w:p>
    <w:p>
      <w:pPr>
        <w:pStyle w:val="BodyText"/>
        <w:spacing w:line="240" w:lineRule="auto" w:before="17"/>
        <w:ind w:left="513" w:right="1133"/>
        <w:jc w:val="left"/>
      </w:pPr>
      <w:r>
        <w:rPr/>
        <w:t>收入确认</w:t>
      </w:r>
    </w:p>
    <w:p>
      <w:pPr>
        <w:spacing w:after="0" w:line="240" w:lineRule="auto"/>
        <w:jc w:val="left"/>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16" w:lineRule="auto" w:before="44"/>
        <w:ind w:right="1132" w:firstLine="360"/>
        <w:jc w:val="both"/>
      </w:pPr>
      <w:r>
        <w:rPr>
          <w:spacing w:val="-2"/>
        </w:rPr>
        <w:t>对于耗时较长的跨期基因组测试分析合同，公司无法可靠确定完工进度，按已经发生并预计能够得到补偿的劳务成本金</w:t>
      </w:r>
      <w:r>
        <w:rPr/>
        <w:t> </w:t>
      </w:r>
      <w:r>
        <w:rPr>
          <w:spacing w:val="-2"/>
        </w:rPr>
        <w:t>额确认提供的劳务收入，并将已发生的劳务成本作为当期费用，当项目完工时，按照预计可收回金额扣除前期累计确认的收</w:t>
      </w:r>
      <w:r>
        <w:rPr>
          <w:spacing w:val="-66"/>
        </w:rPr>
        <w:t> </w:t>
      </w:r>
      <w:r>
        <w:rPr>
          <w:spacing w:val="-66"/>
        </w:rPr>
      </w:r>
      <w:r>
        <w:rPr/>
        <w:t>入作为完工时点确认的收入。预计可收回金额的确定依赖于公司管理层运用大量的判断来估计预计收入。</w:t>
      </w:r>
    </w:p>
    <w:p>
      <w:pPr>
        <w:pStyle w:val="BodyText"/>
        <w:spacing w:line="316" w:lineRule="auto" w:before="19"/>
        <w:ind w:left="513" w:right="1033"/>
        <w:jc w:val="left"/>
      </w:pPr>
      <w:r>
        <w:rPr/>
        <w:t>预计负债 对于某些预计很可能发生亏损的合同，管理层根据预算收入和预算成本，结合累计已确认的收入和累计已发生的成本，</w:t>
      </w:r>
    </w:p>
    <w:p>
      <w:pPr>
        <w:pStyle w:val="BodyText"/>
        <w:spacing w:line="309" w:lineRule="auto" w:before="19"/>
        <w:ind w:right="1131"/>
        <w:jc w:val="both"/>
      </w:pPr>
      <w:r>
        <w:rPr>
          <w:spacing w:val="-2"/>
        </w:rPr>
        <w:t>计算未来合同亏损对应的预计负债，预计发生亏损的合同，其相关预计负债</w:t>
      </w:r>
      <w:r>
        <w:rPr>
          <w:rFonts w:ascii="Times New Roman" w:hAnsi="Times New Roman" w:cs="Times New Roman" w:eastAsia="Times New Roman" w:hint="default"/>
          <w:spacing w:val="-2"/>
        </w:rPr>
        <w:t>=</w:t>
      </w:r>
      <w:r>
        <w:rPr>
          <w:spacing w:val="-2"/>
        </w:rPr>
        <w:t>预计成本</w:t>
      </w:r>
      <w:r>
        <w:rPr>
          <w:rFonts w:ascii="Times New Roman" w:hAnsi="Times New Roman" w:cs="Times New Roman" w:eastAsia="Times New Roman" w:hint="default"/>
          <w:spacing w:val="-2"/>
        </w:rPr>
        <w:t>-</w:t>
      </w:r>
      <w:r>
        <w:rPr>
          <w:spacing w:val="-2"/>
        </w:rPr>
        <w:t>预计收入</w:t>
      </w:r>
      <w:r>
        <w:rPr>
          <w:spacing w:val="15"/>
        </w:rPr>
        <w:t> </w:t>
      </w:r>
      <w:r>
        <w:rPr>
          <w:rFonts w:ascii="Times New Roman" w:hAnsi="Times New Roman" w:cs="Times New Roman" w:eastAsia="Times New Roman" w:hint="default"/>
          <w:spacing w:val="-2"/>
        </w:rPr>
        <w:t>-</w:t>
      </w:r>
      <w:r>
        <w:rPr>
          <w:spacing w:val="-2"/>
        </w:rPr>
        <w:t>（累计已发生成本</w:t>
      </w:r>
      <w:r>
        <w:rPr>
          <w:rFonts w:ascii="Times New Roman" w:hAnsi="Times New Roman" w:cs="Times New Roman" w:eastAsia="Times New Roman" w:hint="default"/>
          <w:spacing w:val="-2"/>
        </w:rPr>
        <w:t>-</w:t>
      </w:r>
      <w:r>
        <w:rPr>
          <w:spacing w:val="-2"/>
        </w:rPr>
        <w:t>累计已</w:t>
      </w:r>
      <w:r>
        <w:rPr>
          <w:spacing w:val="-87"/>
        </w:rPr>
        <w:t> </w:t>
      </w:r>
      <w:r>
        <w:rPr>
          <w:spacing w:val="-2"/>
        </w:rPr>
        <w:t>确认收入），在预计负债确认过程，需要管理层运用大量的判断来估计预算成本以及预计收入，以决定本期应确认的预计负</w:t>
      </w:r>
      <w:r>
        <w:rPr>
          <w:spacing w:val="-64"/>
        </w:rPr>
        <w:t> </w:t>
      </w:r>
      <w:r>
        <w:rPr>
          <w:spacing w:val="-64"/>
        </w:rPr>
      </w:r>
      <w:r>
        <w:rPr/>
        <w:t>债。</w:t>
      </w:r>
    </w:p>
    <w:p>
      <w:pPr>
        <w:pStyle w:val="BodyText"/>
        <w:spacing w:line="316" w:lineRule="auto" w:before="24"/>
        <w:ind w:left="513" w:right="986"/>
        <w:jc w:val="left"/>
      </w:pPr>
      <w:r>
        <w:rPr/>
        <w:t>可供出售金融资产减值 </w:t>
      </w:r>
      <w:r>
        <w:rPr>
          <w:spacing w:val="-2"/>
        </w:rPr>
        <w:t>公司将某些资产归类为可供出售金融资产，并将其公允价值的变动直接计入其他综合收益。当公允价值下降时，管理层</w:t>
      </w:r>
    </w:p>
    <w:p>
      <w:pPr>
        <w:pStyle w:val="BodyText"/>
        <w:spacing w:line="319" w:lineRule="auto" w:before="19"/>
        <w:ind w:left="513" w:right="5534" w:hanging="361"/>
        <w:jc w:val="left"/>
      </w:pPr>
      <w:r>
        <w:rPr/>
        <w:t>就价值下降作出假设以确定是否存在需在损益中确认其减值损失。 商誉减值</w:t>
      </w:r>
    </w:p>
    <w:p>
      <w:pPr>
        <w:pStyle w:val="BodyText"/>
        <w:spacing w:line="316" w:lineRule="auto" w:before="17"/>
        <w:ind w:right="1034" w:firstLine="360"/>
        <w:jc w:val="left"/>
      </w:pPr>
      <w:r>
        <w:rPr/>
        <w:t>公司至少每年测试商誉是否发生减值。这要求对分配了商誉的资产组或者资产组组合的未来现金流量的现值进行预计。 </w:t>
      </w:r>
      <w:r>
        <w:rPr>
          <w:spacing w:val="-2"/>
        </w:rPr>
        <w:t>对未来现金流量的现值进行预计时，公司需要预计未来资产组或者资产组组合产生的现金流量，同时选择恰当的折现率确定</w:t>
      </w:r>
      <w:r>
        <w:rPr>
          <w:spacing w:val="-64"/>
        </w:rPr>
        <w:t> </w:t>
      </w:r>
      <w:r>
        <w:rPr>
          <w:spacing w:val="-64"/>
        </w:rPr>
      </w:r>
      <w:r>
        <w:rPr/>
        <w:t>未来现金流量的现值。</w:t>
      </w:r>
    </w:p>
    <w:p>
      <w:pPr>
        <w:pStyle w:val="BodyText"/>
        <w:spacing w:line="316" w:lineRule="auto" w:before="19"/>
        <w:ind w:left="513" w:right="1133"/>
        <w:jc w:val="left"/>
      </w:pPr>
      <w:r>
        <w:rPr/>
        <w:t>除金融资产之外的非流动资产减值（除商誉外） 公司于资产负债表日对除金融资产之外的非流动资产判断是否存在可能发生减值的迹象。对使用寿命不确定的无形资</w:t>
      </w:r>
    </w:p>
    <w:p>
      <w:pPr>
        <w:pStyle w:val="BodyText"/>
        <w:spacing w:line="319" w:lineRule="auto" w:before="19"/>
        <w:ind w:right="1130"/>
        <w:jc w:val="both"/>
      </w:pPr>
      <w:r>
        <w:rPr>
          <w:spacing w:val="-2"/>
        </w:rPr>
        <w:t>产，除每年进行的减值测试外，当其存在减值迹象时，也进行减值测试。其他除金融资产之外的非流动资产，当存在迹象表</w:t>
      </w:r>
      <w:r>
        <w:rPr>
          <w:spacing w:val="-67"/>
        </w:rPr>
        <w:t> </w:t>
      </w:r>
      <w:r>
        <w:rPr>
          <w:spacing w:val="-67"/>
        </w:rPr>
      </w:r>
      <w:r>
        <w:rPr>
          <w:spacing w:val="-2"/>
        </w:rPr>
        <w:t>明其账面金额不可收回时，进行减值测试。当资产或资产组的账面价值高于可收回金额，即公允价值减去处置费用后的净额</w:t>
      </w:r>
      <w:r>
        <w:rPr>
          <w:spacing w:val="-63"/>
        </w:rPr>
        <w:t> </w:t>
      </w:r>
      <w:r>
        <w:rPr>
          <w:spacing w:val="-63"/>
        </w:rPr>
      </w:r>
      <w:r>
        <w:rPr>
          <w:spacing w:val="-2"/>
        </w:rPr>
        <w:t>和预计未来现金流量的现值中的较高者，表明发生了减值。公允价值减去处置费用后的净额，参考公平交易中类似资产的销</w:t>
      </w:r>
      <w:r>
        <w:rPr>
          <w:spacing w:val="-65"/>
        </w:rPr>
        <w:t> </w:t>
      </w:r>
      <w:r>
        <w:rPr>
          <w:spacing w:val="-65"/>
        </w:rPr>
      </w:r>
      <w:r>
        <w:rPr>
          <w:spacing w:val="-2"/>
        </w:rPr>
        <w:t>售协议价格或可观察到的市场价格，减去可直接归属于该资产处置的增量成本确定。预计未来现金流量现值时，管理层必须</w:t>
      </w:r>
      <w:r>
        <w:rPr>
          <w:spacing w:val="-63"/>
        </w:rPr>
        <w:t> </w:t>
      </w:r>
      <w:r>
        <w:rPr>
          <w:spacing w:val="-63"/>
        </w:rPr>
      </w:r>
      <w:r>
        <w:rPr/>
        <w:t>估计该项资产或资产组的预计未来现金流量，并选择恰当的折现率确定未来现金流量的现值。</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27</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3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根据《关于修订印发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 </w:t>
            </w:r>
            <w:r>
              <w:rPr>
                <w:rFonts w:ascii="宋体" w:hAnsi="宋体" w:cs="宋体" w:eastAsia="宋体" w:hint="default"/>
                <w:spacing w:val="-5"/>
                <w:sz w:val="18"/>
                <w:szCs w:val="18"/>
              </w:rPr>
              <w:t>业财务报表格式的通知》（财会</w:t>
            </w:r>
            <w:r>
              <w:rPr>
                <w:rFonts w:ascii="Times New Roman" w:hAnsi="Times New Roman" w:cs="Times New Roman" w:eastAsia="Times New Roman" w:hint="default"/>
                <w:spacing w:val="-5"/>
                <w:sz w:val="18"/>
                <w:szCs w:val="18"/>
              </w:rPr>
              <w:t>[2018]15</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号）要求，资产负债表中，将</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 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归并至新增的</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 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 </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 将</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项 目，将</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项 目，将</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归并至 新增的</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项目；在 利润表中，增设</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项目列报研 究与开发过程中发生的费用化支出， </w:t>
            </w:r>
            <w:r>
              <w:rPr>
                <w:rFonts w:ascii="Times New Roman" w:hAnsi="Times New Roman" w:cs="Times New Roman" w:eastAsia="Times New Roman" w:hint="default"/>
                <w:sz w:val="18"/>
                <w:szCs w:val="18"/>
              </w:rPr>
              <w:t>“</w:t>
            </w: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项目下分拆</w:t>
            </w:r>
            <w:r>
              <w:rPr>
                <w:rFonts w:ascii="Times New Roman" w:hAnsi="Times New Roman" w:cs="Times New Roman" w:eastAsia="Times New Roman" w:hint="default"/>
                <w:sz w:val="18"/>
                <w:szCs w:val="18"/>
              </w:rPr>
              <w:t>“</w:t>
            </w:r>
            <w:r>
              <w:rPr>
                <w:rFonts w:ascii="宋体" w:hAnsi="宋体" w:cs="宋体" w:eastAsia="宋体" w:hint="default"/>
                <w:sz w:val="18"/>
                <w:szCs w:val="18"/>
              </w:rPr>
              <w:t>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 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明细项目；根据财政部《关于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年度一般企业财务报表格式有关问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4" w:lineRule="auto"/>
              <w:ind w:left="23" w:right="94"/>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日召开第二届 董事会第三次会议、第二届监事会第三 次会议审议通过了《关于会计政策变更 </w:t>
            </w:r>
            <w:r>
              <w:rPr>
                <w:rFonts w:ascii="宋体" w:hAnsi="宋体" w:cs="宋体" w:eastAsia="宋体" w:hint="default"/>
                <w:spacing w:val="-6"/>
                <w:sz w:val="18"/>
                <w:szCs w:val="18"/>
              </w:rPr>
              <w:t>的议案》，独立董事对该议案发表了同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意的独立意见。根据有关规定，本次会 计政策变更事项经公司董事会审议通过 后，无需提交公司股东大会审议。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该会计政策变更对合并及公司净利润和 股东权益无影响。</w:t>
            </w:r>
          </w:p>
        </w:tc>
      </w:tr>
    </w:tbl>
    <w:p>
      <w:pPr>
        <w:spacing w:after="0" w:line="316" w:lineRule="auto"/>
        <w:jc w:val="left"/>
        <w:rPr>
          <w:rFonts w:ascii="宋体" w:hAnsi="宋体" w:cs="宋体" w:eastAsia="宋体" w:hint="default"/>
          <w:sz w:val="18"/>
          <w:szCs w:val="18"/>
        </w:rPr>
        <w:sectPr>
          <w:pgSz w:w="11910" w:h="16840"/>
          <w:pgMar w:header="88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129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1"/>
              <w:ind w:left="24" w:right="35"/>
              <w:jc w:val="left"/>
              <w:rPr>
                <w:rFonts w:ascii="宋体" w:hAnsi="宋体" w:cs="宋体" w:eastAsia="宋体" w:hint="default"/>
                <w:sz w:val="18"/>
                <w:szCs w:val="18"/>
              </w:rPr>
            </w:pPr>
            <w:r>
              <w:rPr>
                <w:rFonts w:ascii="宋体" w:hAnsi="宋体" w:cs="宋体" w:eastAsia="宋体" w:hint="default"/>
                <w:spacing w:val="-6"/>
                <w:sz w:val="18"/>
                <w:szCs w:val="18"/>
              </w:rPr>
              <w:t>题的解读》，代扣个人所得税手续费返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还由原在</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中列报改为在</w:t>
            </w:r>
            <w:r>
              <w:rPr>
                <w:rFonts w:ascii="Times New Roman" w:hAnsi="Times New Roman" w:cs="Times New Roman" w:eastAsia="Times New Roman" w:hint="default"/>
                <w:sz w:val="18"/>
                <w:szCs w:val="18"/>
              </w:rPr>
              <w:t>“</w:t>
            </w:r>
            <w:r>
              <w:rPr>
                <w:rFonts w:ascii="宋体" w:hAnsi="宋体" w:cs="宋体" w:eastAsia="宋体" w:hint="default"/>
                <w:sz w:val="18"/>
                <w:szCs w:val="18"/>
              </w:rPr>
              <w:t>其 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中列报。公司相应追溯调整了 比较数据。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根据财政部《关于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 </w:t>
            </w:r>
            <w:r>
              <w:rPr>
                <w:rFonts w:ascii="宋体" w:hAnsi="宋体" w:cs="宋体" w:eastAsia="宋体" w:hint="default"/>
                <w:spacing w:val="-6"/>
                <w:sz w:val="18"/>
                <w:szCs w:val="18"/>
              </w:rPr>
              <w:t>财务报表格式有关问题的解读》，编制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现金流量表时，将原作为投资活动的现 金流量，变更作为经营活动的现金流 量。公司相应追溯调整了比较数据。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4"/>
              <w:jc w:val="both"/>
              <w:rPr>
                <w:rFonts w:ascii="宋体" w:hAnsi="宋体" w:cs="宋体" w:eastAsia="宋体" w:hint="default"/>
                <w:sz w:val="18"/>
                <w:szCs w:val="18"/>
              </w:rPr>
            </w:pPr>
            <w:r>
              <w:rPr>
                <w:rFonts w:ascii="宋体" w:hAnsi="宋体" w:cs="宋体" w:eastAsia="宋体" w:hint="default"/>
                <w:sz w:val="18"/>
                <w:szCs w:val="18"/>
              </w:rPr>
              <w:t>该会计政策变更减少了合并及公司现金 流量表中投资活动产生的现金流量净额 并以相同金额增加了经营活动现金产生 的现金流量净额，但对现金和现金等价 物净增加额无影响。</w:t>
            </w:r>
          </w:p>
        </w:tc>
      </w:tr>
    </w:tbl>
    <w:p>
      <w:pPr>
        <w:pStyle w:val="Heading5"/>
        <w:spacing w:line="240" w:lineRule="auto" w:before="10"/>
        <w:ind w:right="1133"/>
        <w:jc w:val="left"/>
        <w:rPr>
          <w:b w:val="0"/>
          <w:bCs w:val="0"/>
        </w:rPr>
      </w:pPr>
      <w:r>
        <w:rPr/>
        <w:t>财务报表列报方式变更引起的追溯调整对财务报表的主要影响如下：</w:t>
      </w:r>
      <w:r>
        <w:rPr>
          <w:b w:val="0"/>
          <w:bCs w:val="0"/>
        </w:rPr>
      </w:r>
    </w:p>
    <w:p>
      <w:pPr>
        <w:pStyle w:val="BodyText"/>
        <w:spacing w:line="240" w:lineRule="auto" w:before="77"/>
        <w:ind w:left="513" w:right="1133"/>
        <w:jc w:val="left"/>
      </w:pPr>
      <w:r>
        <w:rPr>
          <w:rFonts w:ascii="Times New Roman" w:hAnsi="Times New Roman" w:cs="Times New Roman" w:eastAsia="Times New Roman" w:hint="default"/>
        </w:rPr>
        <w:t>2018</w:t>
      </w:r>
      <w:r>
        <w:rPr/>
        <w:t>年合并财务报表</w:t>
      </w:r>
    </w:p>
    <w:p>
      <w:pPr>
        <w:spacing w:line="240" w:lineRule="auto" w:before="13"/>
        <w:rPr>
          <w:rFonts w:ascii="宋体" w:hAnsi="宋体" w:cs="宋体" w:eastAsia="宋体" w:hint="default"/>
          <w:sz w:val="3"/>
          <w:szCs w:val="3"/>
        </w:rPr>
      </w:pPr>
    </w:p>
    <w:tbl>
      <w:tblPr>
        <w:tblW w:w="0" w:type="auto"/>
        <w:jc w:val="left"/>
        <w:tblInd w:w="306" w:type="dxa"/>
        <w:tblLayout w:type="fixed"/>
        <w:tblCellMar>
          <w:top w:w="0" w:type="dxa"/>
          <w:left w:w="0" w:type="dxa"/>
          <w:bottom w:w="0" w:type="dxa"/>
          <w:right w:w="0" w:type="dxa"/>
        </w:tblCellMar>
        <w:tblLook w:val="01E0"/>
      </w:tblPr>
      <w:tblGrid>
        <w:gridCol w:w="2174"/>
        <w:gridCol w:w="1983"/>
        <w:gridCol w:w="2050"/>
        <w:gridCol w:w="1966"/>
      </w:tblGrid>
      <w:tr>
        <w:trPr>
          <w:trHeight w:val="427" w:hRule="exact"/>
        </w:trPr>
        <w:tc>
          <w:tcPr>
            <w:tcW w:w="217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会计政策变更前</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会计政策变更后</w:t>
            </w:r>
          </w:p>
        </w:tc>
      </w:tr>
      <w:tr>
        <w:trPr>
          <w:trHeight w:val="427" w:hRule="exact"/>
        </w:trPr>
        <w:tc>
          <w:tcPr>
            <w:tcW w:w="217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4,676,216.16</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-4,676,216.16</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111,019,926.68</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4,676,216.16</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115,696,142.84</w:t>
            </w:r>
          </w:p>
        </w:tc>
      </w:tr>
      <w:tr>
        <w:trPr>
          <w:trHeight w:val="427" w:hRule="exact"/>
        </w:trPr>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16,542,777.00</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-16,542,777.00</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811,563,548.75</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-811,563,548.75</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828,106,325.75</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828,106,325.75</w:t>
            </w:r>
          </w:p>
        </w:tc>
      </w:tr>
    </w:tbl>
    <w:p>
      <w:pPr>
        <w:spacing w:line="240" w:lineRule="auto" w:before="4"/>
        <w:rPr>
          <w:rFonts w:ascii="宋体" w:hAnsi="宋体" w:cs="宋体" w:eastAsia="宋体" w:hint="default"/>
          <w:sz w:val="21"/>
          <w:szCs w:val="21"/>
        </w:rPr>
      </w:pPr>
    </w:p>
    <w:p>
      <w:pPr>
        <w:pStyle w:val="BodyText"/>
        <w:spacing w:line="240" w:lineRule="auto" w:before="44"/>
        <w:ind w:left="513" w:right="1133"/>
        <w:jc w:val="left"/>
      </w:pPr>
      <w:r>
        <w:rPr>
          <w:rFonts w:ascii="Times New Roman" w:hAnsi="Times New Roman" w:cs="Times New Roman" w:eastAsia="Times New Roman" w:hint="default"/>
        </w:rPr>
        <w:t>2017</w:t>
      </w:r>
      <w:r>
        <w:rPr/>
        <w:t>年合并财务报表</w:t>
      </w:r>
    </w:p>
    <w:p>
      <w:pPr>
        <w:spacing w:line="240" w:lineRule="auto" w:before="13"/>
        <w:rPr>
          <w:rFonts w:ascii="宋体" w:hAnsi="宋体" w:cs="宋体" w:eastAsia="宋体" w:hint="default"/>
          <w:sz w:val="3"/>
          <w:szCs w:val="3"/>
        </w:rPr>
      </w:pPr>
    </w:p>
    <w:tbl>
      <w:tblPr>
        <w:tblW w:w="0" w:type="auto"/>
        <w:jc w:val="left"/>
        <w:tblInd w:w="311" w:type="dxa"/>
        <w:tblLayout w:type="fixed"/>
        <w:tblCellMar>
          <w:top w:w="0" w:type="dxa"/>
          <w:left w:w="0" w:type="dxa"/>
          <w:bottom w:w="0" w:type="dxa"/>
          <w:right w:w="0" w:type="dxa"/>
        </w:tblCellMar>
        <w:tblLook w:val="01E0"/>
      </w:tblPr>
      <w:tblGrid>
        <w:gridCol w:w="2170"/>
        <w:gridCol w:w="1983"/>
        <w:gridCol w:w="2050"/>
        <w:gridCol w:w="1966"/>
      </w:tblGrid>
      <w:tr>
        <w:trPr>
          <w:trHeight w:val="427" w:hRule="exact"/>
        </w:trPr>
        <w:tc>
          <w:tcPr>
            <w:tcW w:w="217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会计政策变更前</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会计政策变更后</w:t>
            </w:r>
          </w:p>
        </w:tc>
      </w:tr>
      <w:tr>
        <w:trPr>
          <w:trHeight w:val="427" w:hRule="exact"/>
        </w:trPr>
        <w:tc>
          <w:tcPr>
            <w:tcW w:w="2170"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本年发生额</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本年发生额</w:t>
            </w:r>
          </w:p>
        </w:tc>
      </w:tr>
      <w:tr>
        <w:trPr>
          <w:trHeight w:val="427"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1,900,261.91</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-1,900,261.91</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96,221,911.87</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1,900,261.91</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98,122,173.78</w:t>
            </w:r>
          </w:p>
        </w:tc>
      </w:tr>
      <w:tr>
        <w:trPr>
          <w:trHeight w:val="427"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327,807,331.08</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等线 Light"/>
                <w:b w:val="0"/>
                <w:spacing w:val="-1"/>
                <w:sz w:val="18"/>
              </w:rPr>
              <w:t>-</w:t>
            </w:r>
            <w:r>
              <w:rPr>
                <w:rFonts w:ascii="Times New Roman"/>
                <w:spacing w:val="-1"/>
                <w:sz w:val="18"/>
              </w:rPr>
              <w:t>174,314,115.65</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153,493,215.43</w:t>
            </w:r>
          </w:p>
        </w:tc>
      </w:tr>
      <w:tr>
        <w:trPr>
          <w:trHeight w:val="427"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983" w:type="dxa"/>
            <w:tcBorders>
              <w:top w:val="single" w:sz="6" w:space="0" w:color="000000"/>
              <w:left w:val="single" w:sz="6" w:space="0" w:color="000000"/>
              <w:bottom w:val="single" w:sz="6" w:space="0" w:color="000000"/>
              <w:right w:val="single" w:sz="6" w:space="0" w:color="000000"/>
            </w:tcBorders>
          </w:tcPr>
          <w:p>
            <w:pP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174,314,115.65</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174,314,115.65</w:t>
            </w:r>
          </w:p>
        </w:tc>
      </w:tr>
      <w:tr>
        <w:trPr>
          <w:trHeight w:val="428"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28,128,061.08</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627,401.61</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28,755,462.69</w:t>
            </w:r>
          </w:p>
        </w:tc>
      </w:tr>
      <w:tr>
        <w:trPr>
          <w:trHeight w:val="427"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5,739,154.13</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-627,401.61</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5,111,752.52</w:t>
            </w:r>
          </w:p>
        </w:tc>
      </w:tr>
    </w:tbl>
    <w:p>
      <w:pPr>
        <w:spacing w:line="240" w:lineRule="auto" w:before="4"/>
        <w:rPr>
          <w:rFonts w:ascii="宋体" w:hAnsi="宋体" w:cs="宋体" w:eastAsia="宋体" w:hint="default"/>
          <w:sz w:val="27"/>
          <w:szCs w:val="27"/>
        </w:rPr>
      </w:pPr>
    </w:p>
    <w:p>
      <w:pPr>
        <w:pStyle w:val="BodyText"/>
        <w:spacing w:line="240" w:lineRule="auto" w:before="44"/>
        <w:ind w:left="513" w:right="1133"/>
        <w:jc w:val="left"/>
      </w:pPr>
      <w:r>
        <w:rPr>
          <w:rFonts w:ascii="Times New Roman" w:hAnsi="Times New Roman" w:cs="Times New Roman" w:eastAsia="Times New Roman" w:hint="default"/>
        </w:rPr>
        <w:t>2017</w:t>
      </w:r>
      <w:r>
        <w:rPr/>
        <w:t>年母公司财务报表</w:t>
      </w:r>
    </w:p>
    <w:p>
      <w:pPr>
        <w:spacing w:line="240" w:lineRule="auto" w:before="13"/>
        <w:rPr>
          <w:rFonts w:ascii="宋体" w:hAnsi="宋体" w:cs="宋体" w:eastAsia="宋体" w:hint="default"/>
          <w:sz w:val="3"/>
          <w:szCs w:val="3"/>
        </w:rPr>
      </w:pPr>
    </w:p>
    <w:tbl>
      <w:tblPr>
        <w:tblW w:w="0" w:type="auto"/>
        <w:jc w:val="left"/>
        <w:tblInd w:w="306" w:type="dxa"/>
        <w:tblLayout w:type="fixed"/>
        <w:tblCellMar>
          <w:top w:w="0" w:type="dxa"/>
          <w:left w:w="0" w:type="dxa"/>
          <w:bottom w:w="0" w:type="dxa"/>
          <w:right w:w="0" w:type="dxa"/>
        </w:tblCellMar>
        <w:tblLook w:val="01E0"/>
      </w:tblPr>
      <w:tblGrid>
        <w:gridCol w:w="2174"/>
        <w:gridCol w:w="1983"/>
        <w:gridCol w:w="2050"/>
        <w:gridCol w:w="1966"/>
      </w:tblGrid>
      <w:tr>
        <w:trPr>
          <w:trHeight w:val="427" w:hRule="exact"/>
        </w:trPr>
        <w:tc>
          <w:tcPr>
            <w:tcW w:w="217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3" w:right="0"/>
              <w:jc w:val="left"/>
              <w:rPr>
                <w:rFonts w:ascii="宋体" w:hAnsi="宋体" w:cs="宋体" w:eastAsia="宋体" w:hint="default"/>
                <w:sz w:val="18"/>
                <w:szCs w:val="18"/>
              </w:rPr>
            </w:pPr>
            <w:r>
              <w:rPr>
                <w:rFonts w:ascii="宋体" w:hAnsi="宋体" w:cs="宋体" w:eastAsia="宋体" w:hint="default"/>
                <w:sz w:val="18"/>
                <w:szCs w:val="18"/>
              </w:rPr>
              <w:t>会计政策变更前</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0"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5" w:right="0"/>
              <w:jc w:val="left"/>
              <w:rPr>
                <w:rFonts w:ascii="宋体" w:hAnsi="宋体" w:cs="宋体" w:eastAsia="宋体" w:hint="default"/>
                <w:sz w:val="18"/>
                <w:szCs w:val="18"/>
              </w:rPr>
            </w:pPr>
            <w:r>
              <w:rPr>
                <w:rFonts w:ascii="宋体" w:hAnsi="宋体" w:cs="宋体" w:eastAsia="宋体" w:hint="default"/>
                <w:sz w:val="18"/>
                <w:szCs w:val="18"/>
              </w:rPr>
              <w:t>会计政策变更后</w:t>
            </w:r>
          </w:p>
        </w:tc>
      </w:tr>
      <w:tr>
        <w:trPr>
          <w:trHeight w:val="427" w:hRule="exact"/>
        </w:trPr>
        <w:tc>
          <w:tcPr>
            <w:tcW w:w="217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33"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25" w:right="0"/>
              <w:jc w:val="left"/>
              <w:rPr>
                <w:rFonts w:ascii="宋体" w:hAnsi="宋体" w:cs="宋体" w:eastAsia="宋体" w:hint="default"/>
                <w:sz w:val="18"/>
                <w:szCs w:val="18"/>
              </w:rPr>
            </w:pPr>
            <w:r>
              <w:rPr>
                <w:rFonts w:ascii="宋体" w:hAnsi="宋体" w:cs="宋体" w:eastAsia="宋体" w:hint="default"/>
                <w:sz w:val="18"/>
                <w:szCs w:val="18"/>
              </w:rPr>
              <w:t>本年发生额</w:t>
            </w:r>
          </w:p>
        </w:tc>
      </w:tr>
      <w:tr>
        <w:trPr>
          <w:trHeight w:val="427" w:hRule="exact"/>
        </w:trPr>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132,053,172.15</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等线 Light"/>
                <w:b w:val="0"/>
                <w:spacing w:val="-1"/>
                <w:sz w:val="18"/>
              </w:rPr>
              <w:t>-</w:t>
            </w:r>
            <w:r>
              <w:rPr>
                <w:rFonts w:ascii="Times New Roman"/>
                <w:spacing w:val="-1"/>
                <w:sz w:val="18"/>
              </w:rPr>
              <w:t>58,150,078.16</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73,903,093.99</w:t>
            </w:r>
          </w:p>
        </w:tc>
      </w:tr>
      <w:tr>
        <w:trPr>
          <w:trHeight w:val="427" w:hRule="exact"/>
        </w:trPr>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983" w:type="dxa"/>
            <w:tcBorders>
              <w:top w:val="single" w:sz="6" w:space="0" w:color="000000"/>
              <w:left w:val="single" w:sz="6" w:space="0" w:color="000000"/>
              <w:bottom w:val="single" w:sz="6" w:space="0" w:color="000000"/>
              <w:right w:val="single" w:sz="6" w:space="0" w:color="000000"/>
            </w:tcBorders>
          </w:tcPr>
          <w:p>
            <w:pP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58,150,078.16</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58,150,078.16</w:t>
            </w:r>
          </w:p>
        </w:tc>
      </w:tr>
      <w:tr>
        <w:trPr>
          <w:trHeight w:val="428" w:hRule="exact"/>
        </w:trPr>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83" w:type="dxa"/>
            <w:tcBorders>
              <w:top w:val="single" w:sz="6" w:space="0" w:color="000000"/>
              <w:left w:val="single" w:sz="6" w:space="0" w:color="000000"/>
              <w:bottom w:val="single" w:sz="6" w:space="0" w:color="000000"/>
              <w:right w:val="single" w:sz="6" w:space="0" w:color="000000"/>
            </w:tcBorders>
          </w:tcPr>
          <w:p>
            <w:pP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250,252.70</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250,252.70</w:t>
            </w:r>
          </w:p>
        </w:tc>
      </w:tr>
      <w:tr>
        <w:trPr>
          <w:trHeight w:val="427" w:hRule="exact"/>
        </w:trPr>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2,900,659.44</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-250,252.70</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2,650,406.74</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974" w:top="110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Heading5"/>
        <w:spacing w:line="240" w:lineRule="auto"/>
        <w:ind w:right="1133"/>
        <w:jc w:val="left"/>
        <w:rPr>
          <w:b w:val="0"/>
          <w:bCs w:val="0"/>
        </w:rPr>
      </w:pPr>
      <w:r>
        <w:rPr/>
        <w:t>与资产相关的政府补助的现金流量列报项目变更引起的追溯调整对财务报表的主要影响如下：</w:t>
      </w:r>
      <w:r>
        <w:rPr>
          <w:b w:val="0"/>
          <w:bCs w:val="0"/>
        </w:rPr>
      </w:r>
    </w:p>
    <w:p>
      <w:pPr>
        <w:pStyle w:val="BodyText"/>
        <w:spacing w:line="240" w:lineRule="auto" w:before="76"/>
        <w:ind w:left="513" w:right="1133"/>
        <w:jc w:val="left"/>
      </w:pPr>
      <w:r>
        <w:rPr>
          <w:rFonts w:ascii="Times New Roman" w:hAnsi="Times New Roman" w:cs="Times New Roman" w:eastAsia="Times New Roman" w:hint="default"/>
        </w:rPr>
        <w:t>2017</w:t>
      </w:r>
      <w:r>
        <w:rPr/>
        <w:t>年合并财务报表</w:t>
      </w:r>
    </w:p>
    <w:p>
      <w:pPr>
        <w:spacing w:line="240" w:lineRule="auto" w:before="13"/>
        <w:rPr>
          <w:rFonts w:ascii="宋体" w:hAnsi="宋体" w:cs="宋体" w:eastAsia="宋体" w:hint="default"/>
          <w:sz w:val="3"/>
          <w:szCs w:val="3"/>
        </w:rPr>
      </w:pPr>
    </w:p>
    <w:tbl>
      <w:tblPr>
        <w:tblW w:w="0" w:type="auto"/>
        <w:jc w:val="left"/>
        <w:tblInd w:w="169" w:type="dxa"/>
        <w:tblLayout w:type="fixed"/>
        <w:tblCellMar>
          <w:top w:w="0" w:type="dxa"/>
          <w:left w:w="0" w:type="dxa"/>
          <w:bottom w:w="0" w:type="dxa"/>
          <w:right w:w="0" w:type="dxa"/>
        </w:tblCellMar>
        <w:tblLook w:val="01E0"/>
      </w:tblPr>
      <w:tblGrid>
        <w:gridCol w:w="2691"/>
        <w:gridCol w:w="1982"/>
        <w:gridCol w:w="1659"/>
        <w:gridCol w:w="1964"/>
      </w:tblGrid>
      <w:tr>
        <w:trPr>
          <w:trHeight w:val="427" w:hRule="exact"/>
        </w:trPr>
        <w:tc>
          <w:tcPr>
            <w:tcW w:w="269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2" w:right="0"/>
              <w:jc w:val="left"/>
              <w:rPr>
                <w:rFonts w:ascii="宋体" w:hAnsi="宋体" w:cs="宋体" w:eastAsia="宋体" w:hint="default"/>
                <w:sz w:val="18"/>
                <w:szCs w:val="18"/>
              </w:rPr>
            </w:pPr>
            <w:r>
              <w:rPr>
                <w:rFonts w:ascii="宋体" w:hAnsi="宋体" w:cs="宋体" w:eastAsia="宋体" w:hint="default"/>
                <w:sz w:val="18"/>
                <w:szCs w:val="18"/>
              </w:rPr>
              <w:t>会计政策变更前</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3"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5" w:right="0"/>
              <w:jc w:val="left"/>
              <w:rPr>
                <w:rFonts w:ascii="宋体" w:hAnsi="宋体" w:cs="宋体" w:eastAsia="宋体" w:hint="default"/>
                <w:sz w:val="18"/>
                <w:szCs w:val="18"/>
              </w:rPr>
            </w:pPr>
            <w:r>
              <w:rPr>
                <w:rFonts w:ascii="宋体" w:hAnsi="宋体" w:cs="宋体" w:eastAsia="宋体" w:hint="default"/>
                <w:sz w:val="18"/>
                <w:szCs w:val="18"/>
              </w:rPr>
              <w:t>会计政策变更后</w:t>
            </w:r>
          </w:p>
        </w:tc>
      </w:tr>
      <w:tr>
        <w:trPr>
          <w:trHeight w:val="425" w:hRule="exact"/>
        </w:trPr>
        <w:tc>
          <w:tcPr>
            <w:tcW w:w="269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32"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25" w:right="0"/>
              <w:jc w:val="left"/>
              <w:rPr>
                <w:rFonts w:ascii="宋体" w:hAnsi="宋体" w:cs="宋体" w:eastAsia="宋体" w:hint="default"/>
                <w:sz w:val="18"/>
                <w:szCs w:val="18"/>
              </w:rPr>
            </w:pPr>
            <w:r>
              <w:rPr>
                <w:rFonts w:ascii="宋体" w:hAnsi="宋体" w:cs="宋体" w:eastAsia="宋体" w:hint="default"/>
                <w:sz w:val="18"/>
                <w:szCs w:val="18"/>
              </w:rPr>
              <w:t>本年发生额</w:t>
            </w:r>
          </w:p>
        </w:tc>
      </w:tr>
      <w:tr>
        <w:trPr>
          <w:trHeight w:val="427"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226,570,847.98</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17,089,580.00</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243,660,427.98</w:t>
            </w:r>
          </w:p>
        </w:tc>
      </w:tr>
      <w:tr>
        <w:trPr>
          <w:trHeight w:val="430" w:hRule="exact"/>
        </w:trPr>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-392,766,605.03</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-17,089,580.00</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-409,856,185.03</w:t>
            </w:r>
          </w:p>
        </w:tc>
      </w:tr>
    </w:tbl>
    <w:p>
      <w:pPr>
        <w:spacing w:line="240" w:lineRule="auto" w:before="4"/>
        <w:rPr>
          <w:rFonts w:ascii="宋体" w:hAnsi="宋体" w:cs="宋体" w:eastAsia="宋体" w:hint="default"/>
          <w:sz w:val="27"/>
          <w:szCs w:val="27"/>
        </w:rPr>
      </w:pPr>
    </w:p>
    <w:p>
      <w:pPr>
        <w:pStyle w:val="BodyText"/>
        <w:spacing w:line="240" w:lineRule="auto" w:before="44"/>
        <w:ind w:left="513" w:right="1133"/>
        <w:jc w:val="left"/>
      </w:pPr>
      <w:r>
        <w:rPr>
          <w:rFonts w:ascii="Times New Roman" w:hAnsi="Times New Roman" w:cs="Times New Roman" w:eastAsia="Times New Roman" w:hint="default"/>
        </w:rPr>
        <w:t>2016</w:t>
      </w:r>
      <w:r>
        <w:rPr/>
        <w:t>年合并财务报表</w:t>
      </w:r>
    </w:p>
    <w:p>
      <w:pPr>
        <w:spacing w:line="240" w:lineRule="auto" w:before="13"/>
        <w:rPr>
          <w:rFonts w:ascii="宋体" w:hAnsi="宋体" w:cs="宋体" w:eastAsia="宋体" w:hint="default"/>
          <w:sz w:val="3"/>
          <w:szCs w:val="3"/>
        </w:rPr>
      </w:pPr>
    </w:p>
    <w:tbl>
      <w:tblPr>
        <w:tblW w:w="0" w:type="auto"/>
        <w:jc w:val="left"/>
        <w:tblInd w:w="169" w:type="dxa"/>
        <w:tblLayout w:type="fixed"/>
        <w:tblCellMar>
          <w:top w:w="0" w:type="dxa"/>
          <w:left w:w="0" w:type="dxa"/>
          <w:bottom w:w="0" w:type="dxa"/>
          <w:right w:w="0" w:type="dxa"/>
        </w:tblCellMar>
        <w:tblLook w:val="01E0"/>
      </w:tblPr>
      <w:tblGrid>
        <w:gridCol w:w="2672"/>
        <w:gridCol w:w="1968"/>
        <w:gridCol w:w="1592"/>
        <w:gridCol w:w="2065"/>
      </w:tblGrid>
      <w:tr>
        <w:trPr>
          <w:trHeight w:val="428" w:hRule="exact"/>
        </w:trPr>
        <w:tc>
          <w:tcPr>
            <w:tcW w:w="2672"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会计政策变更前</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47"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95" w:right="0"/>
              <w:jc w:val="left"/>
              <w:rPr>
                <w:rFonts w:ascii="宋体" w:hAnsi="宋体" w:cs="宋体" w:eastAsia="宋体" w:hint="default"/>
                <w:sz w:val="18"/>
                <w:szCs w:val="18"/>
              </w:rPr>
            </w:pPr>
            <w:r>
              <w:rPr>
                <w:rFonts w:ascii="宋体" w:hAnsi="宋体" w:cs="宋体" w:eastAsia="宋体" w:hint="default"/>
                <w:sz w:val="18"/>
                <w:szCs w:val="18"/>
              </w:rPr>
              <w:t>会计政策变更后</w:t>
            </w:r>
          </w:p>
        </w:tc>
      </w:tr>
      <w:tr>
        <w:trPr>
          <w:trHeight w:val="427" w:hRule="exact"/>
        </w:trPr>
        <w:tc>
          <w:tcPr>
            <w:tcW w:w="2672" w:type="dxa"/>
            <w:tcBorders>
              <w:top w:val="single" w:sz="6" w:space="0" w:color="000000"/>
              <w:left w:val="single" w:sz="6" w:space="0" w:color="000000"/>
              <w:bottom w:val="single" w:sz="6" w:space="0" w:color="000000"/>
              <w:right w:val="single" w:sz="6" w:space="0" w:color="000000"/>
            </w:tcBorders>
          </w:tcPr>
          <w:p>
            <w:pP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25"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18"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75" w:right="0"/>
              <w:jc w:val="left"/>
              <w:rPr>
                <w:rFonts w:ascii="宋体" w:hAnsi="宋体" w:cs="宋体" w:eastAsia="宋体" w:hint="default"/>
                <w:sz w:val="18"/>
                <w:szCs w:val="18"/>
              </w:rPr>
            </w:pPr>
            <w:r>
              <w:rPr>
                <w:rFonts w:ascii="宋体" w:hAnsi="宋体" w:cs="宋体" w:eastAsia="宋体" w:hint="default"/>
                <w:sz w:val="18"/>
                <w:szCs w:val="18"/>
              </w:rPr>
              <w:t>本年发生额</w:t>
            </w:r>
          </w:p>
        </w:tc>
      </w:tr>
      <w:tr>
        <w:trPr>
          <w:trHeight w:val="427"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234,073,624.17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12,600,000.00</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246,673,624.17</w:t>
            </w:r>
          </w:p>
        </w:tc>
      </w:tr>
      <w:tr>
        <w:trPr>
          <w:trHeight w:val="427" w:hRule="exact"/>
        </w:trPr>
        <w:tc>
          <w:tcPr>
            <w:tcW w:w="2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78,103,999.87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-12,600,000.00</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65,503,999.87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4" w:right="9851"/>
        <w:jc w:val="center"/>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六、税项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191"/>
        <w:gridCol w:w="3723"/>
        <w:gridCol w:w="2657"/>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销售货物或提供应税劳务过程中产生的增值额</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实际缴纳的流转税和当期免抵的增值税税额</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实际缴纳的流转税和当期免抵的增值税税额</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实际缴纳的流转税和当期免抵的增值税税额</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代扣个人所得税</w:t>
            </w:r>
          </w:p>
        </w:tc>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7"/>
              <w:jc w:val="left"/>
              <w:rPr>
                <w:rFonts w:ascii="宋体" w:hAnsi="宋体" w:cs="宋体" w:eastAsia="宋体" w:hint="default"/>
                <w:sz w:val="18"/>
                <w:szCs w:val="18"/>
              </w:rPr>
            </w:pPr>
            <w:r>
              <w:rPr>
                <w:rFonts w:ascii="宋体" w:hAnsi="宋体" w:cs="宋体" w:eastAsia="宋体" w:hint="default"/>
                <w:sz w:val="18"/>
                <w:szCs w:val="18"/>
              </w:rPr>
              <w:t>公司支付给个人的所得额，由公司依国家规定 代扣缴个人所得税。</w:t>
            </w:r>
          </w:p>
        </w:tc>
        <w:tc>
          <w:tcPr>
            <w:tcW w:w="265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华大基因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武汉医检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武汉生物科技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天津医检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深圳临检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北京吉比爱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北京六合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广州医检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重庆医检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云南医学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昆华医检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欧洲医学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22%</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香港医学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美洲科技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适用联邦税税率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宋体" w:hAnsi="宋体" w:cs="宋体" w:eastAsia="宋体" w:hint="default"/>
                <w:sz w:val="18"/>
                <w:szCs w:val="18"/>
              </w:rPr>
              <w:t>及州税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5.93%</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其他国内重要子公司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left="513" w:right="986" w:hanging="361"/>
        <w:jc w:val="left"/>
      </w:pPr>
      <w:r>
        <w:rPr>
          <w:rFonts w:ascii="宋体" w:hAnsi="宋体" w:cs="宋体" w:eastAsia="宋体" w:hint="default"/>
          <w:b/>
          <w:bCs/>
        </w:rPr>
        <w:t>企业所得税优惠政策</w:t>
      </w:r>
      <w:r>
        <w:rPr>
          <w:rFonts w:ascii="宋体" w:hAnsi="宋体" w:cs="宋体" w:eastAsia="宋体" w:hint="default"/>
          <w:b/>
          <w:bCs/>
          <w:w w:val="99"/>
        </w:rPr>
        <w:t> </w:t>
      </w:r>
      <w:r>
        <w:rPr>
          <w:spacing w:val="-2"/>
        </w:rPr>
        <w:t>根据《中华人民共和国企业所得税法》规定和当地税务主管机关出具的税收优惠事项通知书等文件，以下企业享受企业</w:t>
      </w:r>
    </w:p>
    <w:p>
      <w:pPr>
        <w:pStyle w:val="BodyText"/>
        <w:spacing w:line="222" w:lineRule="exact"/>
        <w:ind w:right="1133"/>
        <w:jc w:val="left"/>
      </w:pPr>
      <w:r>
        <w:rPr/>
        <w:t>所得税优惠：</w:t>
      </w:r>
    </w:p>
    <w:p>
      <w:pPr>
        <w:pStyle w:val="BodyText"/>
        <w:spacing w:line="240" w:lineRule="auto" w:before="117"/>
        <w:ind w:right="1133"/>
        <w:jc w:val="left"/>
      </w:pPr>
      <w:r>
        <w:rPr/>
        <w:t>（</w:t>
      </w:r>
      <w:r>
        <w:rPr>
          <w:rFonts w:ascii="Times New Roman" w:hAnsi="Times New Roman" w:cs="Times New Roman" w:eastAsia="Times New Roman" w:hint="default"/>
        </w:rPr>
        <w:t>1</w:t>
      </w:r>
      <w:r>
        <w:rPr/>
        <w:t>）华大基因</w:t>
      </w:r>
    </w:p>
    <w:p>
      <w:pPr>
        <w:pStyle w:val="BodyText"/>
        <w:spacing w:line="316" w:lineRule="auto" w:before="103"/>
        <w:ind w:right="1043" w:firstLine="360"/>
        <w:jc w:val="both"/>
      </w:pPr>
      <w:r>
        <w:rPr/>
        <w:t>根据深圳市国家高新技术企业认定管理机构办公室于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15</w:t>
      </w:r>
      <w:r>
        <w:rPr/>
        <w:t>日出具的《关于领取深圳市</w:t>
      </w:r>
      <w:r>
        <w:rPr>
          <w:rFonts w:ascii="宋体" w:hAnsi="宋体" w:cs="宋体" w:eastAsia="宋体" w:hint="default"/>
        </w:rPr>
        <w:t>2015</w:t>
      </w:r>
      <w:r>
        <w:rPr/>
        <w:t>年第二批国家高新</w:t>
      </w:r>
      <w:r>
        <w:rPr>
          <w:spacing w:val="2"/>
        </w:rPr>
        <w:t> </w:t>
      </w:r>
      <w:r>
        <w:rPr>
          <w:spacing w:val="-2"/>
        </w:rPr>
        <w:t>技术企业和第一批通过复审国家高新技术企业证书的通知》，华大基因被认定为国家高新技术企业。华大基因于</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spacing w:val="-58"/>
        </w:rPr>
        <w:t> </w:t>
      </w:r>
      <w:r>
        <w:rPr>
          <w:rFonts w:ascii="宋体" w:hAnsi="宋体" w:cs="宋体" w:eastAsia="宋体" w:hint="default"/>
        </w:rPr>
        <w:t>2</w:t>
      </w:r>
      <w:r>
        <w:rPr/>
        <w:t>日取得编号为</w:t>
      </w:r>
      <w:r>
        <w:rPr>
          <w:rFonts w:ascii="宋体" w:hAnsi="宋体" w:cs="宋体" w:eastAsia="宋体" w:hint="default"/>
        </w:rPr>
        <w:t>GR201544201043</w:t>
      </w:r>
      <w:r>
        <w:rPr/>
        <w:t>的高新技术企业证书，并从</w:t>
      </w:r>
      <w:r>
        <w:rPr>
          <w:rFonts w:ascii="宋体" w:hAnsi="宋体" w:cs="宋体" w:eastAsia="宋体" w:hint="default"/>
        </w:rPr>
        <w:t>2015</w:t>
      </w:r>
      <w:r>
        <w:rPr/>
        <w:t>年至</w:t>
      </w:r>
      <w:r>
        <w:rPr>
          <w:rFonts w:ascii="宋体" w:hAnsi="宋体" w:cs="宋体" w:eastAsia="宋体" w:hint="default"/>
        </w:rPr>
        <w:t>2017</w:t>
      </w:r>
      <w:r>
        <w:rPr/>
        <w:t>年享受减按</w:t>
      </w:r>
      <w:r>
        <w:rPr>
          <w:rFonts w:ascii="宋体" w:hAnsi="宋体" w:cs="宋体" w:eastAsia="宋体" w:hint="default"/>
        </w:rPr>
        <w:t>15%</w:t>
      </w:r>
      <w:r>
        <w:rPr/>
        <w:t>的税率征收企业所得税的税收优惠。</w:t>
      </w:r>
    </w:p>
    <w:p>
      <w:pPr>
        <w:pStyle w:val="BodyText"/>
        <w:spacing w:line="316" w:lineRule="auto" w:before="19"/>
        <w:ind w:right="1133"/>
        <w:jc w:val="left"/>
      </w:pP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9</w:t>
      </w:r>
      <w:r>
        <w:rPr/>
        <w:t>日通过复审并取得编号为</w:t>
      </w:r>
      <w:r>
        <w:rPr>
          <w:rFonts w:ascii="宋体" w:hAnsi="宋体" w:cs="宋体" w:eastAsia="宋体" w:hint="default"/>
        </w:rPr>
        <w:t>GR201844202305</w:t>
      </w:r>
      <w:r>
        <w:rPr/>
        <w:t>的高新技术企业证书，华大基因从</w:t>
      </w:r>
      <w:r>
        <w:rPr>
          <w:rFonts w:ascii="宋体" w:hAnsi="宋体" w:cs="宋体" w:eastAsia="宋体" w:hint="default"/>
        </w:rPr>
        <w:t>2018</w:t>
      </w:r>
      <w:r>
        <w:rPr/>
        <w:t>年至</w:t>
      </w:r>
      <w:r>
        <w:rPr>
          <w:rFonts w:ascii="宋体" w:hAnsi="宋体" w:cs="宋体" w:eastAsia="宋体" w:hint="default"/>
        </w:rPr>
        <w:t>2020</w:t>
      </w:r>
      <w:r>
        <w:rPr/>
        <w:t>年可享受减按</w:t>
      </w:r>
      <w:r>
        <w:rPr>
          <w:rFonts w:ascii="宋体" w:hAnsi="宋体" w:cs="宋体" w:eastAsia="宋体" w:hint="default"/>
        </w:rPr>
        <w:t>15%</w:t>
      </w:r>
      <w:r>
        <w:rPr/>
        <w:t>的</w:t>
      </w:r>
      <w:r>
        <w:rPr>
          <w:spacing w:val="-11"/>
        </w:rPr>
        <w:t> </w:t>
      </w:r>
      <w:r>
        <w:rPr/>
        <w:t>税率征收企业所得税的税收优惠。</w:t>
      </w:r>
    </w:p>
    <w:p>
      <w:pPr>
        <w:pStyle w:val="BodyText"/>
        <w:spacing w:line="240" w:lineRule="auto" w:before="60"/>
        <w:ind w:right="1133"/>
        <w:jc w:val="left"/>
      </w:pPr>
      <w:r>
        <w:rPr/>
        <w:t>（</w:t>
      </w:r>
      <w:r>
        <w:rPr>
          <w:rFonts w:ascii="Times New Roman" w:hAnsi="Times New Roman" w:cs="Times New Roman" w:eastAsia="Times New Roman" w:hint="default"/>
        </w:rPr>
        <w:t>2</w:t>
      </w:r>
      <w:r>
        <w:rPr/>
        <w:t>）武汉医检</w:t>
      </w:r>
    </w:p>
    <w:p>
      <w:pPr>
        <w:pStyle w:val="BodyText"/>
        <w:spacing w:line="316" w:lineRule="auto" w:before="103"/>
        <w:ind w:right="1130" w:firstLine="360"/>
        <w:jc w:val="both"/>
      </w:pPr>
      <w:r>
        <w:rPr/>
        <w:t>根据湖北省高新技术企业认定管理委员会办公室于</w:t>
      </w: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27</w:t>
      </w:r>
      <w:r>
        <w:rPr/>
        <w:t>日出具的《关于公示湖北省</w:t>
      </w:r>
      <w:r>
        <w:rPr>
          <w:rFonts w:ascii="宋体" w:hAnsi="宋体" w:cs="宋体" w:eastAsia="宋体" w:hint="default"/>
        </w:rPr>
        <w:t>2013</w:t>
      </w:r>
      <w:r>
        <w:rPr/>
        <w:t>年第二批拟认定高新 </w:t>
      </w:r>
      <w:r>
        <w:rPr>
          <w:spacing w:val="-2"/>
        </w:rPr>
        <w:t>技术企业名单的通知》，武汉华大医学检验所（下称“武汉医检”）被认定为国家高新技术企业。武汉医检于</w:t>
      </w:r>
      <w:r>
        <w:rPr>
          <w:rFonts w:ascii="宋体" w:hAnsi="宋体" w:cs="宋体" w:eastAsia="宋体" w:hint="default"/>
          <w:spacing w:val="-2"/>
        </w:rPr>
        <w:t>2013</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27</w:t>
      </w:r>
      <w:r>
        <w:rPr>
          <w:rFonts w:ascii="宋体" w:hAnsi="宋体" w:cs="宋体" w:eastAsia="宋体" w:hint="default"/>
          <w:spacing w:val="-60"/>
        </w:rPr>
        <w:t> </w:t>
      </w:r>
      <w:r>
        <w:rPr/>
        <w:t>日取得编号为</w:t>
      </w:r>
      <w:r>
        <w:rPr>
          <w:rFonts w:ascii="宋体" w:hAnsi="宋体" w:cs="宋体" w:eastAsia="宋体" w:hint="default"/>
        </w:rPr>
        <w:t>GR201342000280</w:t>
      </w:r>
      <w:r>
        <w:rPr/>
        <w:t>的高新技术企业证书。武汉医检从</w:t>
      </w:r>
      <w:r>
        <w:rPr>
          <w:rFonts w:ascii="宋体" w:hAnsi="宋体" w:cs="宋体" w:eastAsia="宋体" w:hint="default"/>
        </w:rPr>
        <w:t>2013</w:t>
      </w:r>
      <w:r>
        <w:rPr/>
        <w:t>年至</w:t>
      </w:r>
      <w:r>
        <w:rPr>
          <w:rFonts w:ascii="宋体" w:hAnsi="宋体" w:cs="宋体" w:eastAsia="宋体" w:hint="default"/>
        </w:rPr>
        <w:t>2015</w:t>
      </w:r>
      <w:r>
        <w:rPr/>
        <w:t>年享受减按</w:t>
      </w:r>
      <w:r>
        <w:rPr>
          <w:rFonts w:ascii="宋体" w:hAnsi="宋体" w:cs="宋体" w:eastAsia="宋体" w:hint="default"/>
        </w:rPr>
        <w:t>15%</w:t>
      </w:r>
      <w:r>
        <w:rPr/>
        <w:t>的税率征收企业所得税的税收 </w:t>
      </w:r>
      <w:r>
        <w:rPr>
          <w:spacing w:val="-2"/>
        </w:rPr>
        <w:t>优惠。根据湖北省高新技术企业认定管理委员会办公室于</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29</w:t>
      </w:r>
      <w:r>
        <w:rPr>
          <w:spacing w:val="-2"/>
        </w:rPr>
        <w:t>日出具的《关于湖北省</w:t>
      </w:r>
      <w:r>
        <w:rPr>
          <w:rFonts w:ascii="宋体" w:hAnsi="宋体" w:cs="宋体" w:eastAsia="宋体" w:hint="default"/>
          <w:spacing w:val="-2"/>
        </w:rPr>
        <w:t>2016</w:t>
      </w:r>
      <w:r>
        <w:rPr>
          <w:spacing w:val="-2"/>
        </w:rPr>
        <w:t>年第一批拟认定高新技术</w:t>
      </w:r>
      <w:r>
        <w:rPr>
          <w:spacing w:val="-57"/>
        </w:rPr>
        <w:t> </w:t>
      </w:r>
      <w:r>
        <w:rPr>
          <w:spacing w:val="-57"/>
        </w:rPr>
      </w:r>
      <w:r>
        <w:rPr>
          <w:spacing w:val="-2"/>
        </w:rPr>
        <w:t>企业名单的通知》，武汉医检被认定为国家高新技术企业。武汉医检于</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13</w:t>
      </w:r>
      <w:r>
        <w:rPr>
          <w:spacing w:val="-2"/>
        </w:rPr>
        <w:t>日取得编号为</w:t>
      </w:r>
      <w:r>
        <w:rPr>
          <w:rFonts w:ascii="宋体" w:hAnsi="宋体" w:cs="宋体" w:eastAsia="宋体" w:hint="default"/>
          <w:spacing w:val="-2"/>
        </w:rPr>
        <w:t>GR201642000013</w:t>
      </w:r>
      <w:r>
        <w:rPr>
          <w:spacing w:val="-2"/>
        </w:rPr>
        <w:t>的高新技</w:t>
      </w:r>
      <w:r>
        <w:rPr>
          <w:spacing w:val="-53"/>
        </w:rPr>
        <w:t> </w:t>
      </w:r>
      <w:r>
        <w:rPr>
          <w:spacing w:val="-53"/>
        </w:rPr>
      </w:r>
      <w:r>
        <w:rPr/>
        <w:t>术企业证书。武汉医检从</w:t>
      </w:r>
      <w:r>
        <w:rPr>
          <w:rFonts w:ascii="宋体" w:hAnsi="宋体" w:cs="宋体" w:eastAsia="宋体" w:hint="default"/>
        </w:rPr>
        <w:t>2016</w:t>
      </w:r>
      <w:r>
        <w:rPr/>
        <w:t>年至</w:t>
      </w:r>
      <w:r>
        <w:rPr>
          <w:rFonts w:ascii="宋体" w:hAnsi="宋体" w:cs="宋体" w:eastAsia="宋体" w:hint="default"/>
        </w:rPr>
        <w:t>2018</w:t>
      </w:r>
      <w:r>
        <w:rPr/>
        <w:t>年享受减按</w:t>
      </w:r>
      <w:r>
        <w:rPr>
          <w:rFonts w:ascii="宋体" w:hAnsi="宋体" w:cs="宋体" w:eastAsia="宋体" w:hint="default"/>
        </w:rPr>
        <w:t>15%</w:t>
      </w:r>
      <w:r>
        <w:rPr/>
        <w:t>的税率征收企业所得税的税收优惠。</w:t>
      </w:r>
    </w:p>
    <w:p>
      <w:pPr>
        <w:pStyle w:val="BodyText"/>
        <w:spacing w:line="240" w:lineRule="auto" w:before="57"/>
        <w:ind w:right="1133"/>
        <w:jc w:val="left"/>
      </w:pPr>
      <w:r>
        <w:rPr/>
        <w:t>（</w:t>
      </w:r>
      <w:r>
        <w:rPr>
          <w:rFonts w:ascii="Times New Roman" w:hAnsi="Times New Roman" w:cs="Times New Roman" w:eastAsia="Times New Roman" w:hint="default"/>
        </w:rPr>
        <w:t>3</w:t>
      </w:r>
      <w:r>
        <w:rPr/>
        <w:t>）深圳临检</w:t>
      </w:r>
    </w:p>
    <w:p>
      <w:pPr>
        <w:pStyle w:val="BodyText"/>
        <w:spacing w:line="319" w:lineRule="auto" w:before="103"/>
        <w:ind w:right="1131" w:firstLine="360"/>
        <w:jc w:val="both"/>
      </w:pPr>
      <w:r>
        <w:rPr>
          <w:spacing w:val="-2"/>
        </w:rPr>
        <w:t>根据《国务院关于经济特区和上海浦东新区新设立高新技术企业实行过渡性税收优惠的通知》（国发</w:t>
      </w:r>
      <w:r>
        <w:rPr>
          <w:rFonts w:ascii="宋体" w:hAnsi="宋体" w:cs="宋体" w:eastAsia="宋体" w:hint="default"/>
          <w:spacing w:val="-2"/>
        </w:rPr>
        <w:t>[2007]40</w:t>
      </w:r>
      <w:r>
        <w:rPr>
          <w:spacing w:val="-2"/>
        </w:rPr>
        <w:t>号），深</w:t>
      </w:r>
      <w:r>
        <w:rPr/>
        <w:t> </w:t>
      </w:r>
      <w:r>
        <w:rPr>
          <w:spacing w:val="-2"/>
        </w:rPr>
        <w:t>圳华大临床检验中心（下称“深圳临检”）</w:t>
      </w:r>
      <w:r>
        <w:rPr>
          <w:rFonts w:ascii="宋体" w:hAnsi="宋体" w:cs="宋体" w:eastAsia="宋体" w:hint="default"/>
          <w:spacing w:val="-2"/>
        </w:rPr>
        <w:t>2012</w:t>
      </w:r>
      <w:r>
        <w:rPr>
          <w:spacing w:val="-2"/>
        </w:rPr>
        <w:t>年至</w:t>
      </w:r>
      <w:r>
        <w:rPr>
          <w:rFonts w:ascii="宋体" w:hAnsi="宋体" w:cs="宋体" w:eastAsia="宋体" w:hint="default"/>
          <w:spacing w:val="-2"/>
        </w:rPr>
        <w:t>2016</w:t>
      </w:r>
      <w:r>
        <w:rPr>
          <w:spacing w:val="-2"/>
        </w:rPr>
        <w:t>年按照特区内新设立国家需要重点扶持的高新技术企业企业所得税</w:t>
      </w:r>
      <w:r>
        <w:rPr>
          <w:spacing w:val="-60"/>
        </w:rPr>
        <w:t> </w:t>
      </w:r>
      <w:r>
        <w:rPr>
          <w:spacing w:val="-60"/>
        </w:rPr>
      </w:r>
      <w:r>
        <w:rPr/>
        <w:t>两免三减半。深圳临检于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30</w:t>
      </w:r>
      <w:r>
        <w:rPr/>
        <w:t>日取得编号为</w:t>
      </w:r>
      <w:r>
        <w:rPr>
          <w:rFonts w:ascii="宋体" w:hAnsi="宋体" w:cs="宋体" w:eastAsia="宋体" w:hint="default"/>
        </w:rPr>
        <w:t>GR201444201125</w:t>
      </w:r>
      <w:r>
        <w:rPr/>
        <w:t>的高新技术企业证书</w:t>
      </w:r>
      <w:r>
        <w:rPr>
          <w:rFonts w:ascii="宋体" w:hAnsi="宋体" w:cs="宋体" w:eastAsia="宋体" w:hint="default"/>
        </w:rPr>
        <w:t>,</w:t>
      </w:r>
      <w:r>
        <w:rPr/>
        <w:t>从</w:t>
      </w:r>
      <w:r>
        <w:rPr>
          <w:rFonts w:ascii="宋体" w:hAnsi="宋体" w:cs="宋体" w:eastAsia="宋体" w:hint="default"/>
        </w:rPr>
        <w:t>2014</w:t>
      </w:r>
      <w:r>
        <w:rPr/>
        <w:t>年至</w:t>
      </w:r>
      <w:r>
        <w:rPr>
          <w:rFonts w:ascii="宋体" w:hAnsi="宋体" w:cs="宋体" w:eastAsia="宋体" w:hint="default"/>
        </w:rPr>
        <w:t>2016</w:t>
      </w:r>
      <w:r>
        <w:rPr/>
        <w:t>年可享受减按</w:t>
      </w:r>
      <w:r>
        <w:rPr>
          <w:rFonts w:ascii="宋体" w:hAnsi="宋体" w:cs="宋体" w:eastAsia="宋体" w:hint="default"/>
        </w:rPr>
        <w:t>15% </w:t>
      </w:r>
      <w:r>
        <w:rPr>
          <w:spacing w:val="-2"/>
        </w:rPr>
        <w:t>的税率征收企业所得税的税收优惠。由于深圳临检在</w:t>
      </w:r>
      <w:r>
        <w:rPr>
          <w:rFonts w:ascii="宋体" w:hAnsi="宋体" w:cs="宋体" w:eastAsia="宋体" w:hint="default"/>
          <w:spacing w:val="-2"/>
        </w:rPr>
        <w:t>2014</w:t>
      </w:r>
      <w:r>
        <w:rPr>
          <w:spacing w:val="-2"/>
        </w:rPr>
        <w:t>年取得高新技术企业证书后才申请该税收优惠，故</w:t>
      </w:r>
      <w:r>
        <w:rPr>
          <w:rFonts w:ascii="宋体" w:hAnsi="宋体" w:cs="宋体" w:eastAsia="宋体" w:hint="default"/>
          <w:spacing w:val="-2"/>
        </w:rPr>
        <w:t>2013</w:t>
      </w:r>
      <w:r>
        <w:rPr>
          <w:spacing w:val="-2"/>
        </w:rPr>
        <w:t>年实际已按</w:t>
      </w:r>
    </w:p>
    <w:p>
      <w:pPr>
        <w:spacing w:after="0" w:line="319" w:lineRule="auto"/>
        <w:jc w:val="both"/>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16" w:lineRule="auto" w:before="44"/>
        <w:ind w:right="1124"/>
        <w:jc w:val="left"/>
      </w:pPr>
      <w:r>
        <w:rPr>
          <w:rFonts w:ascii="宋体" w:hAnsi="宋体" w:cs="宋体" w:eastAsia="宋体" w:hint="default"/>
        </w:rPr>
        <w:t>25%</w:t>
      </w:r>
      <w:r>
        <w:rPr/>
        <w:t>征收企业所得税，</w:t>
      </w:r>
      <w:r>
        <w:rPr>
          <w:rFonts w:ascii="宋体" w:hAnsi="宋体" w:cs="宋体" w:eastAsia="宋体" w:hint="default"/>
        </w:rPr>
        <w:t>2014</w:t>
      </w:r>
      <w:r>
        <w:rPr/>
        <w:t>年至</w:t>
      </w:r>
      <w:r>
        <w:rPr>
          <w:rFonts w:ascii="宋体" w:hAnsi="宋体" w:cs="宋体" w:eastAsia="宋体" w:hint="default"/>
        </w:rPr>
        <w:t>2016</w:t>
      </w:r>
      <w:r>
        <w:rPr/>
        <w:t>年享受按</w:t>
      </w:r>
      <w:r>
        <w:rPr>
          <w:rFonts w:ascii="宋体" w:hAnsi="宋体" w:cs="宋体" w:eastAsia="宋体" w:hint="default"/>
        </w:rPr>
        <w:t>25%</w:t>
      </w:r>
      <w:r>
        <w:rPr/>
        <w:t>减半征收企业所得税。深圳临检于</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17</w:t>
      </w:r>
      <w:r>
        <w:rPr/>
        <w:t>日通过重新认定并取得编号 为</w:t>
      </w:r>
      <w:r>
        <w:rPr>
          <w:rFonts w:ascii="宋体" w:hAnsi="宋体" w:cs="宋体" w:eastAsia="宋体" w:hint="default"/>
        </w:rPr>
        <w:t>GR201744200436</w:t>
      </w:r>
      <w:r>
        <w:rPr/>
        <w:t>的高新技术企业证书，自</w:t>
      </w:r>
      <w:r>
        <w:rPr>
          <w:rFonts w:ascii="宋体" w:hAnsi="宋体" w:cs="宋体" w:eastAsia="宋体" w:hint="default"/>
        </w:rPr>
        <w:t>2017</w:t>
      </w:r>
      <w:r>
        <w:rPr/>
        <w:t>年至</w:t>
      </w:r>
      <w:r>
        <w:rPr>
          <w:rFonts w:ascii="宋体" w:hAnsi="宋体" w:cs="宋体" w:eastAsia="宋体" w:hint="default"/>
        </w:rPr>
        <w:t>2019</w:t>
      </w:r>
      <w:r>
        <w:rPr/>
        <w:t>年可享受减按</w:t>
      </w:r>
      <w:r>
        <w:rPr>
          <w:rFonts w:ascii="宋体" w:hAnsi="宋体" w:cs="宋体" w:eastAsia="宋体" w:hint="default"/>
        </w:rPr>
        <w:t>15%</w:t>
      </w:r>
      <w:r>
        <w:rPr/>
        <w:t>的税率征收企业所得税的税收优惠。</w:t>
      </w:r>
    </w:p>
    <w:p>
      <w:pPr>
        <w:pStyle w:val="BodyText"/>
        <w:spacing w:line="240" w:lineRule="auto" w:before="59"/>
        <w:ind w:right="1133"/>
        <w:jc w:val="left"/>
      </w:pPr>
      <w:r>
        <w:rPr/>
        <w:t>（</w:t>
      </w:r>
      <w:r>
        <w:rPr>
          <w:rFonts w:ascii="Times New Roman" w:hAnsi="Times New Roman" w:cs="Times New Roman" w:eastAsia="Times New Roman" w:hint="default"/>
        </w:rPr>
        <w:t>4</w:t>
      </w:r>
      <w:r>
        <w:rPr/>
        <w:t>）北京吉比爱</w:t>
      </w:r>
    </w:p>
    <w:p>
      <w:pPr>
        <w:pStyle w:val="BodyText"/>
        <w:spacing w:line="316" w:lineRule="auto" w:before="103"/>
        <w:ind w:right="1128" w:firstLine="360"/>
        <w:jc w:val="both"/>
      </w:pPr>
      <w:r>
        <w:rPr>
          <w:spacing w:val="-2"/>
        </w:rPr>
        <w:t>北京华大吉比爱生物技术有限公司（下称“北京吉比爱”）于</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9</w:t>
      </w:r>
      <w:r>
        <w:rPr>
          <w:spacing w:val="-2"/>
        </w:rPr>
        <w:t>日通过复审并取得编号为</w:t>
      </w:r>
      <w:r>
        <w:rPr>
          <w:rFonts w:ascii="宋体" w:hAnsi="宋体" w:cs="宋体" w:eastAsia="宋体" w:hint="default"/>
          <w:spacing w:val="-2"/>
        </w:rPr>
        <w:t>GF201211000660</w:t>
      </w:r>
      <w:r>
        <w:rPr>
          <w:spacing w:val="-2"/>
        </w:rPr>
        <w:t>的高</w:t>
      </w:r>
      <w:r>
        <w:rPr/>
        <w:t> 新技术企业证书，北京吉比爱从</w:t>
      </w:r>
      <w:r>
        <w:rPr>
          <w:rFonts w:ascii="宋体" w:hAnsi="宋体" w:cs="宋体" w:eastAsia="宋体" w:hint="default"/>
        </w:rPr>
        <w:t>2012</w:t>
      </w:r>
      <w:r>
        <w:rPr/>
        <w:t>年至</w:t>
      </w:r>
      <w:r>
        <w:rPr>
          <w:rFonts w:ascii="宋体" w:hAnsi="宋体" w:cs="宋体" w:eastAsia="宋体" w:hint="default"/>
        </w:rPr>
        <w:t>2014</w:t>
      </w:r>
      <w:r>
        <w:rPr/>
        <w:t>年可享受减按</w:t>
      </w:r>
      <w:r>
        <w:rPr>
          <w:rFonts w:ascii="宋体" w:hAnsi="宋体" w:cs="宋体" w:eastAsia="宋体" w:hint="default"/>
        </w:rPr>
        <w:t>15%</w:t>
      </w:r>
      <w:r>
        <w:rPr/>
        <w:t>的税率征收企业所得税的税收优惠。</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24</w:t>
      </w:r>
      <w:r>
        <w:rPr/>
        <w:t>日通过复 审并取得编号为</w:t>
      </w:r>
      <w:r>
        <w:rPr>
          <w:rFonts w:ascii="宋体" w:hAnsi="宋体" w:cs="宋体" w:eastAsia="宋体" w:hint="default"/>
        </w:rPr>
        <w:t>GR201511001947</w:t>
      </w:r>
      <w:r>
        <w:rPr/>
        <w:t>的高新技术企业证书，北京吉比爱从</w:t>
      </w:r>
      <w:r>
        <w:rPr>
          <w:rFonts w:ascii="宋体" w:hAnsi="宋体" w:cs="宋体" w:eastAsia="宋体" w:hint="default"/>
        </w:rPr>
        <w:t>2015</w:t>
      </w:r>
      <w:r>
        <w:rPr/>
        <w:t>年至</w:t>
      </w:r>
      <w:r>
        <w:rPr>
          <w:rFonts w:ascii="宋体" w:hAnsi="宋体" w:cs="宋体" w:eastAsia="宋体" w:hint="default"/>
        </w:rPr>
        <w:t>2017</w:t>
      </w:r>
      <w:r>
        <w:rPr/>
        <w:t>年可享受减按</w:t>
      </w:r>
      <w:r>
        <w:rPr>
          <w:rFonts w:ascii="宋体" w:hAnsi="宋体" w:cs="宋体" w:eastAsia="宋体" w:hint="default"/>
        </w:rPr>
        <w:t>15%</w:t>
      </w:r>
      <w:r>
        <w:rPr/>
        <w:t>的税率征收企业所得税 的税收优惠。</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10</w:t>
      </w:r>
      <w:r>
        <w:rPr/>
        <w:t>日通过复审并取得编号为</w:t>
      </w:r>
      <w:r>
        <w:rPr>
          <w:rFonts w:ascii="宋体" w:hAnsi="宋体" w:cs="宋体" w:eastAsia="宋体" w:hint="default"/>
        </w:rPr>
        <w:t>GR201811001755</w:t>
      </w:r>
      <w:r>
        <w:rPr/>
        <w:t>的高新技术企业证书，北京吉比爱从</w:t>
      </w:r>
      <w:r>
        <w:rPr>
          <w:rFonts w:ascii="宋体" w:hAnsi="宋体" w:cs="宋体" w:eastAsia="宋体" w:hint="default"/>
        </w:rPr>
        <w:t>2018</w:t>
      </w:r>
      <w:r>
        <w:rPr/>
        <w:t>年至</w:t>
      </w:r>
      <w:r>
        <w:rPr>
          <w:rFonts w:ascii="宋体" w:hAnsi="宋体" w:cs="宋体" w:eastAsia="宋体" w:hint="default"/>
        </w:rPr>
        <w:t>2020</w:t>
      </w:r>
      <w:r>
        <w:rPr/>
        <w:t>年可 享受减按</w:t>
      </w:r>
      <w:r>
        <w:rPr>
          <w:rFonts w:ascii="宋体" w:hAnsi="宋体" w:cs="宋体" w:eastAsia="宋体" w:hint="default"/>
        </w:rPr>
        <w:t>15%</w:t>
      </w:r>
      <w:r>
        <w:rPr/>
        <w:t>的税率征收企业所得税的税收优惠。</w:t>
      </w:r>
    </w:p>
    <w:p>
      <w:pPr>
        <w:pStyle w:val="BodyText"/>
        <w:spacing w:line="240" w:lineRule="auto" w:before="59"/>
        <w:ind w:right="1133"/>
        <w:jc w:val="left"/>
      </w:pPr>
      <w:r>
        <w:rPr/>
        <w:t>（</w:t>
      </w:r>
      <w:r>
        <w:rPr>
          <w:rFonts w:ascii="Times New Roman" w:hAnsi="Times New Roman" w:cs="Times New Roman" w:eastAsia="Times New Roman" w:hint="default"/>
        </w:rPr>
        <w:t>5</w:t>
      </w:r>
      <w:r>
        <w:rPr/>
        <w:t>）北京六合</w:t>
      </w:r>
    </w:p>
    <w:p>
      <w:pPr>
        <w:pStyle w:val="BodyText"/>
        <w:spacing w:line="319" w:lineRule="auto" w:before="103"/>
        <w:ind w:right="1128" w:firstLine="360"/>
        <w:jc w:val="both"/>
      </w:pPr>
      <w:r>
        <w:rPr/>
        <w:t>北京六合华大科技股份有限公司（下称“北京六合”）于</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24</w:t>
      </w:r>
      <w:r>
        <w:rPr/>
        <w:t>日通过复审并取得编号为</w:t>
      </w:r>
      <w:r>
        <w:rPr>
          <w:rFonts w:ascii="宋体" w:hAnsi="宋体" w:cs="宋体" w:eastAsia="宋体" w:hint="default"/>
        </w:rPr>
        <w:t>GF201211000413</w:t>
      </w:r>
      <w:r>
        <w:rPr/>
        <w:t>的高新 技术企业证书，北京六合从</w:t>
      </w:r>
      <w:r>
        <w:rPr>
          <w:rFonts w:ascii="宋体" w:hAnsi="宋体" w:cs="宋体" w:eastAsia="宋体" w:hint="default"/>
        </w:rPr>
        <w:t>2012</w:t>
      </w:r>
      <w:r>
        <w:rPr/>
        <w:t>年至</w:t>
      </w:r>
      <w:r>
        <w:rPr>
          <w:rFonts w:ascii="宋体" w:hAnsi="宋体" w:cs="宋体" w:eastAsia="宋体" w:hint="default"/>
        </w:rPr>
        <w:t>2014</w:t>
      </w:r>
      <w:r>
        <w:rPr/>
        <w:t>年可享受减按</w:t>
      </w:r>
      <w:r>
        <w:rPr>
          <w:rFonts w:ascii="宋体" w:hAnsi="宋体" w:cs="宋体" w:eastAsia="宋体" w:hint="default"/>
        </w:rPr>
        <w:t>15%</w:t>
      </w:r>
      <w:r>
        <w:rPr/>
        <w:t>的税率征收企业所得税的税收优惠。</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24</w:t>
      </w:r>
      <w:r>
        <w:rPr/>
        <w:t>日通过复审并 取得编号为</w:t>
      </w:r>
      <w:r>
        <w:rPr>
          <w:rFonts w:ascii="宋体" w:hAnsi="宋体" w:cs="宋体" w:eastAsia="宋体" w:hint="default"/>
        </w:rPr>
        <w:t>GF201511003323</w:t>
      </w:r>
      <w:r>
        <w:rPr/>
        <w:t>的高新技术企业证书，北京六合从</w:t>
      </w:r>
      <w:r>
        <w:rPr>
          <w:rFonts w:ascii="宋体" w:hAnsi="宋体" w:cs="宋体" w:eastAsia="宋体" w:hint="default"/>
        </w:rPr>
        <w:t>2015</w:t>
      </w:r>
      <w:r>
        <w:rPr/>
        <w:t>年至</w:t>
      </w:r>
      <w:r>
        <w:rPr>
          <w:rFonts w:ascii="宋体" w:hAnsi="宋体" w:cs="宋体" w:eastAsia="宋体" w:hint="default"/>
        </w:rPr>
        <w:t>2017</w:t>
      </w:r>
      <w:r>
        <w:rPr/>
        <w:t>年可享受减按</w:t>
      </w:r>
      <w:r>
        <w:rPr>
          <w:rFonts w:ascii="宋体" w:hAnsi="宋体" w:cs="宋体" w:eastAsia="宋体" w:hint="default"/>
        </w:rPr>
        <w:t>15%</w:t>
      </w:r>
      <w:r>
        <w:rPr/>
        <w:t>的税率征收企业所得税的税收 优惠。</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10</w:t>
      </w:r>
      <w:r>
        <w:rPr/>
        <w:t>日通过复审并取得编号为</w:t>
      </w:r>
      <w:r>
        <w:rPr>
          <w:rFonts w:ascii="宋体" w:hAnsi="宋体" w:cs="宋体" w:eastAsia="宋体" w:hint="default"/>
        </w:rPr>
        <w:t>GR201811002709</w:t>
      </w:r>
      <w:r>
        <w:rPr/>
        <w:t>的高新技术企业证书，北京六合从</w:t>
      </w:r>
      <w:r>
        <w:rPr>
          <w:rFonts w:ascii="宋体" w:hAnsi="宋体" w:cs="宋体" w:eastAsia="宋体" w:hint="default"/>
        </w:rPr>
        <w:t>2018</w:t>
      </w:r>
      <w:r>
        <w:rPr/>
        <w:t>年至</w:t>
      </w:r>
      <w:r>
        <w:rPr>
          <w:rFonts w:ascii="宋体" w:hAnsi="宋体" w:cs="宋体" w:eastAsia="宋体" w:hint="default"/>
        </w:rPr>
        <w:t>2020</w:t>
      </w:r>
      <w:r>
        <w:rPr/>
        <w:t>年可享受减按 </w:t>
      </w:r>
      <w:r>
        <w:rPr>
          <w:rFonts w:ascii="宋体" w:hAnsi="宋体" w:cs="宋体" w:eastAsia="宋体" w:hint="default"/>
        </w:rPr>
        <w:t>15%</w:t>
      </w:r>
      <w:r>
        <w:rPr/>
        <w:t>的税率征收企业所得税的税收优惠。</w:t>
      </w:r>
    </w:p>
    <w:p>
      <w:pPr>
        <w:pStyle w:val="BodyText"/>
        <w:spacing w:line="240" w:lineRule="auto" w:before="55"/>
        <w:ind w:right="1133"/>
        <w:jc w:val="left"/>
      </w:pPr>
      <w:r>
        <w:rPr/>
        <w:t>（</w:t>
      </w:r>
      <w:r>
        <w:rPr>
          <w:rFonts w:ascii="Times New Roman" w:hAnsi="Times New Roman" w:cs="Times New Roman" w:eastAsia="Times New Roman" w:hint="default"/>
        </w:rPr>
        <w:t>6</w:t>
      </w:r>
      <w:r>
        <w:rPr/>
        <w:t>）华大科技</w:t>
      </w:r>
    </w:p>
    <w:p>
      <w:pPr>
        <w:pStyle w:val="BodyText"/>
        <w:spacing w:line="316" w:lineRule="auto" w:before="103"/>
        <w:ind w:right="1124" w:firstLine="360"/>
        <w:jc w:val="both"/>
      </w:pPr>
      <w:r>
        <w:rPr>
          <w:spacing w:val="-2"/>
        </w:rPr>
        <w:t>根据《中华人民共和国企业所得税》第三十六条规定、深圳市盐田区地方税务局于</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28</w:t>
      </w:r>
      <w:r>
        <w:rPr>
          <w:spacing w:val="-2"/>
        </w:rPr>
        <w:t>日出具的《深圳市盐田</w:t>
      </w:r>
      <w:r>
        <w:rPr/>
        <w:t> 区地方税务局税务事项通知书》（深地税盐备</w:t>
      </w:r>
      <w:r>
        <w:rPr>
          <w:rFonts w:ascii="宋体" w:hAnsi="宋体" w:cs="宋体" w:eastAsia="宋体" w:hint="default"/>
        </w:rPr>
        <w:t>[2013]101</w:t>
      </w:r>
      <w:r>
        <w:rPr/>
        <w:t>号），深圳华大基因科技服务有限公司（下称“华大科技”）</w:t>
      </w:r>
      <w:r>
        <w:rPr>
          <w:rFonts w:ascii="宋体" w:hAnsi="宋体" w:cs="宋体" w:eastAsia="宋体" w:hint="default"/>
        </w:rPr>
        <w:t>2012</w:t>
      </w:r>
      <w:r>
        <w:rPr>
          <w:rFonts w:ascii="宋体" w:hAnsi="宋体" w:cs="宋体" w:eastAsia="宋体" w:hint="default"/>
          <w:spacing w:val="-87"/>
        </w:rPr>
        <w:t> </w:t>
      </w:r>
      <w:r>
        <w:rPr>
          <w:rFonts w:ascii="宋体" w:hAnsi="宋体" w:cs="宋体" w:eastAsia="宋体" w:hint="default"/>
          <w:spacing w:val="-87"/>
        </w:rPr>
      </w:r>
      <w:r>
        <w:rPr>
          <w:spacing w:val="6"/>
        </w:rPr>
        <w:t>年至</w:t>
      </w:r>
      <w:r>
        <w:rPr>
          <w:rFonts w:ascii="宋体" w:hAnsi="宋体" w:cs="宋体" w:eastAsia="宋体" w:hint="default"/>
          <w:spacing w:val="6"/>
        </w:rPr>
        <w:t>2016</w:t>
      </w:r>
      <w:r>
        <w:rPr>
          <w:spacing w:val="6"/>
        </w:rPr>
        <w:t>年可依法享受软件和集成电路企业所得税两免三减半。华大科技于</w:t>
      </w:r>
      <w:r>
        <w:rPr>
          <w:rFonts w:ascii="宋体" w:hAnsi="宋体" w:cs="宋体" w:eastAsia="宋体" w:hint="default"/>
          <w:spacing w:val="6"/>
        </w:rPr>
        <w:t>2017</w:t>
      </w:r>
      <w:r>
        <w:rPr>
          <w:spacing w:val="6"/>
        </w:rPr>
        <w:t>年</w:t>
      </w:r>
      <w:r>
        <w:rPr>
          <w:rFonts w:ascii="宋体" w:hAnsi="宋体" w:cs="宋体" w:eastAsia="宋体" w:hint="default"/>
          <w:spacing w:val="6"/>
        </w:rPr>
        <w:t>8</w:t>
      </w:r>
      <w:r>
        <w:rPr>
          <w:spacing w:val="6"/>
        </w:rPr>
        <w:t>月</w:t>
      </w:r>
      <w:r>
        <w:rPr>
          <w:rFonts w:ascii="宋体" w:hAnsi="宋体" w:cs="宋体" w:eastAsia="宋体" w:hint="default"/>
          <w:spacing w:val="6"/>
        </w:rPr>
        <w:t>17</w:t>
      </w:r>
      <w:r>
        <w:rPr>
          <w:spacing w:val="6"/>
        </w:rPr>
        <w:t>日通过重新认定并取得编号为</w:t>
      </w:r>
      <w:r>
        <w:rPr>
          <w:spacing w:val="-71"/>
        </w:rPr>
        <w:t> </w:t>
      </w:r>
      <w:r>
        <w:rPr>
          <w:spacing w:val="-71"/>
        </w:rPr>
      </w:r>
      <w:r>
        <w:rPr>
          <w:rFonts w:ascii="宋体" w:hAnsi="宋体" w:cs="宋体" w:eastAsia="宋体" w:hint="default"/>
        </w:rPr>
        <w:t>GR201744200305</w:t>
      </w:r>
      <w:r>
        <w:rPr/>
        <w:t>的高新技术企业证书，华大科技从</w:t>
      </w:r>
      <w:r>
        <w:rPr>
          <w:rFonts w:ascii="宋体" w:hAnsi="宋体" w:cs="宋体" w:eastAsia="宋体" w:hint="default"/>
        </w:rPr>
        <w:t>2017</w:t>
      </w:r>
      <w:r>
        <w:rPr/>
        <w:t>年至</w:t>
      </w:r>
      <w:r>
        <w:rPr>
          <w:rFonts w:ascii="宋体" w:hAnsi="宋体" w:cs="宋体" w:eastAsia="宋体" w:hint="default"/>
        </w:rPr>
        <w:t>2019</w:t>
      </w:r>
      <w:r>
        <w:rPr/>
        <w:t>年可享受减按</w:t>
      </w:r>
      <w:r>
        <w:rPr>
          <w:rFonts w:ascii="宋体" w:hAnsi="宋体" w:cs="宋体" w:eastAsia="宋体" w:hint="default"/>
        </w:rPr>
        <w:t>15%</w:t>
      </w:r>
      <w:r>
        <w:rPr/>
        <w:t>的税率征收企业所得税的税收优惠。</w:t>
      </w:r>
    </w:p>
    <w:p>
      <w:pPr>
        <w:pStyle w:val="BodyText"/>
        <w:spacing w:line="240" w:lineRule="auto" w:before="59"/>
        <w:ind w:right="1133"/>
        <w:jc w:val="left"/>
      </w:pPr>
      <w:r>
        <w:rPr/>
        <w:t>（</w:t>
      </w:r>
      <w:r>
        <w:rPr>
          <w:rFonts w:ascii="Times New Roman" w:hAnsi="Times New Roman" w:cs="Times New Roman" w:eastAsia="Times New Roman" w:hint="default"/>
        </w:rPr>
        <w:t>7</w:t>
      </w:r>
      <w:r>
        <w:rPr/>
        <w:t>）天津医检</w:t>
      </w:r>
    </w:p>
    <w:p>
      <w:pPr>
        <w:pStyle w:val="BodyText"/>
        <w:spacing w:line="314" w:lineRule="auto" w:before="104"/>
        <w:ind w:right="1037" w:firstLine="360"/>
        <w:jc w:val="both"/>
      </w:pPr>
      <w:r>
        <w:rPr>
          <w:spacing w:val="-3"/>
        </w:rPr>
        <w:t>天津华大医学检验所有限公司（下称“天津医检”）于</w:t>
      </w:r>
      <w:r>
        <w:rPr>
          <w:rFonts w:ascii="宋体" w:hAnsi="宋体" w:cs="宋体" w:eastAsia="宋体" w:hint="default"/>
          <w:spacing w:val="-3"/>
        </w:rPr>
        <w:t>2016</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24</w:t>
      </w:r>
      <w:r>
        <w:rPr>
          <w:spacing w:val="-3"/>
        </w:rPr>
        <w:t>日取得编号为</w:t>
      </w:r>
      <w:r>
        <w:rPr>
          <w:rFonts w:ascii="宋体" w:hAnsi="宋体" w:cs="宋体" w:eastAsia="宋体" w:hint="default"/>
          <w:spacing w:val="-3"/>
        </w:rPr>
        <w:t>GR201612000219</w:t>
      </w:r>
      <w:r>
        <w:rPr>
          <w:spacing w:val="-3"/>
        </w:rPr>
        <w:t>的高新技术企业证书。</w:t>
      </w:r>
      <w:r>
        <w:rPr/>
        <w:t> 天津医检从</w:t>
      </w:r>
      <w:r>
        <w:rPr>
          <w:rFonts w:ascii="宋体" w:hAnsi="宋体" w:cs="宋体" w:eastAsia="宋体" w:hint="default"/>
        </w:rPr>
        <w:t>2016</w:t>
      </w:r>
      <w:r>
        <w:rPr/>
        <w:t>年至</w:t>
      </w:r>
      <w:r>
        <w:rPr>
          <w:rFonts w:ascii="宋体" w:hAnsi="宋体" w:cs="宋体" w:eastAsia="宋体" w:hint="default"/>
        </w:rPr>
        <w:t>2018</w:t>
      </w:r>
      <w:r>
        <w:rPr/>
        <w:t>年享受减按</w:t>
      </w:r>
      <w:r>
        <w:rPr>
          <w:rFonts w:ascii="宋体" w:hAnsi="宋体" w:cs="宋体" w:eastAsia="宋体" w:hint="default"/>
        </w:rPr>
        <w:t>15%</w:t>
      </w:r>
      <w:r>
        <w:rPr/>
        <w:t>的税率征收企业所得税的税收优惠。</w:t>
      </w:r>
    </w:p>
    <w:p>
      <w:pPr>
        <w:pStyle w:val="BodyText"/>
        <w:spacing w:line="340" w:lineRule="auto" w:before="61"/>
        <w:ind w:left="513" w:right="1133" w:hanging="361"/>
        <w:jc w:val="left"/>
      </w:pPr>
      <w:r>
        <w:rPr/>
        <w:t>（</w:t>
      </w:r>
      <w:r>
        <w:rPr>
          <w:rFonts w:ascii="Times New Roman" w:hAnsi="Times New Roman" w:cs="Times New Roman" w:eastAsia="Times New Roman" w:hint="default"/>
        </w:rPr>
        <w:t>8</w:t>
      </w:r>
      <w:r>
        <w:rPr/>
        <w:t>）武汉生物科技 根据湖北省高新技术企业认定管理委员会办公室于</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29</w:t>
      </w:r>
      <w:r>
        <w:rPr/>
        <w:t>日出具的《关于湖北省</w:t>
      </w:r>
      <w:r>
        <w:rPr>
          <w:rFonts w:ascii="宋体" w:hAnsi="宋体" w:cs="宋体" w:eastAsia="宋体" w:hint="default"/>
        </w:rPr>
        <w:t>2016</w:t>
      </w:r>
      <w:r>
        <w:rPr/>
        <w:t>年第一批拟认定高新技术</w:t>
      </w:r>
    </w:p>
    <w:p>
      <w:pPr>
        <w:pStyle w:val="BodyText"/>
        <w:spacing w:line="316" w:lineRule="auto" w:before="1"/>
        <w:ind w:right="1133"/>
        <w:jc w:val="left"/>
      </w:pPr>
      <w:r>
        <w:rPr>
          <w:spacing w:val="-2"/>
        </w:rPr>
        <w:t>企业名单的公示》，武汉生物科技被认定为国家高新技术企业。武汉生物科技于</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13</w:t>
      </w:r>
      <w:r>
        <w:rPr>
          <w:spacing w:val="-2"/>
        </w:rPr>
        <w:t>日取得编号为</w:t>
      </w:r>
      <w:r>
        <w:rPr>
          <w:rFonts w:ascii="宋体" w:hAnsi="宋体" w:cs="宋体" w:eastAsia="宋体" w:hint="default"/>
          <w:spacing w:val="-2"/>
        </w:rPr>
        <w:t>GR201642001356</w:t>
      </w:r>
      <w:r>
        <w:rPr>
          <w:rFonts w:ascii="宋体" w:hAnsi="宋体" w:cs="宋体" w:eastAsia="宋体" w:hint="default"/>
          <w:spacing w:val="-49"/>
        </w:rPr>
        <w:t> </w:t>
      </w:r>
      <w:r>
        <w:rPr>
          <w:rFonts w:ascii="宋体" w:hAnsi="宋体" w:cs="宋体" w:eastAsia="宋体" w:hint="default"/>
          <w:spacing w:val="-49"/>
        </w:rPr>
      </w:r>
      <w:r>
        <w:rPr/>
        <w:t>的高新技术企业证书。武汉生物科技从</w:t>
      </w:r>
      <w:r>
        <w:rPr>
          <w:rFonts w:ascii="宋体" w:hAnsi="宋体" w:cs="宋体" w:eastAsia="宋体" w:hint="default"/>
        </w:rPr>
        <w:t>2016</w:t>
      </w:r>
      <w:r>
        <w:rPr/>
        <w:t>年至</w:t>
      </w:r>
      <w:r>
        <w:rPr>
          <w:rFonts w:ascii="宋体" w:hAnsi="宋体" w:cs="宋体" w:eastAsia="宋体" w:hint="default"/>
        </w:rPr>
        <w:t>2018</w:t>
      </w:r>
      <w:r>
        <w:rPr/>
        <w:t>年享受减按</w:t>
      </w:r>
      <w:r>
        <w:rPr>
          <w:rFonts w:ascii="宋体" w:hAnsi="宋体" w:cs="宋体" w:eastAsia="宋体" w:hint="default"/>
        </w:rPr>
        <w:t>15%</w:t>
      </w:r>
      <w:r>
        <w:rPr/>
        <w:t>的税率征收企业所得税的税收优惠。</w:t>
      </w:r>
    </w:p>
    <w:p>
      <w:pPr>
        <w:pStyle w:val="BodyText"/>
        <w:spacing w:line="240" w:lineRule="auto" w:before="57"/>
        <w:ind w:right="1133"/>
        <w:jc w:val="left"/>
      </w:pPr>
      <w:r>
        <w:rPr/>
        <w:t>（</w:t>
      </w:r>
      <w:r>
        <w:rPr>
          <w:rFonts w:ascii="Times New Roman" w:hAnsi="Times New Roman" w:cs="Times New Roman" w:eastAsia="Times New Roman" w:hint="default"/>
        </w:rPr>
        <w:t>9</w:t>
      </w:r>
      <w:r>
        <w:rPr/>
        <w:t>）重庆医检</w:t>
      </w:r>
    </w:p>
    <w:p>
      <w:pPr>
        <w:pStyle w:val="BodyText"/>
        <w:spacing w:line="316" w:lineRule="auto" w:before="103"/>
        <w:ind w:right="1126" w:firstLine="360"/>
        <w:jc w:val="both"/>
      </w:pPr>
      <w:r>
        <w:rPr>
          <w:spacing w:val="-2"/>
        </w:rPr>
        <w:t>重庆华大医学检验所有限公司（以下简称“重庆医检”）于</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21</w:t>
      </w:r>
      <w:r>
        <w:rPr>
          <w:spacing w:val="-2"/>
        </w:rPr>
        <w:t>日取得重庆市渝北区发展和改革委员会</w:t>
      </w:r>
      <w:r>
        <w:rPr>
          <w:rFonts w:ascii="宋体" w:hAnsi="宋体" w:cs="宋体" w:eastAsia="宋体" w:hint="default"/>
          <w:spacing w:val="-2"/>
        </w:rPr>
        <w:t>2018-34</w:t>
      </w:r>
      <w:r>
        <w:rPr>
          <w:rFonts w:ascii="宋体" w:hAnsi="宋体" w:cs="宋体" w:eastAsia="宋体" w:hint="default"/>
          <w:spacing w:val="1"/>
        </w:rPr>
        <w:t> </w:t>
      </w:r>
      <w:r>
        <w:rPr/>
        <w:t>号批文，重庆医检主营业务符合西部大开发国家鼓励类产业，</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日享受减按</w:t>
      </w:r>
      <w:r>
        <w:rPr>
          <w:rFonts w:ascii="宋体" w:hAnsi="宋体" w:cs="宋体" w:eastAsia="宋体" w:hint="default"/>
        </w:rPr>
        <w:t>15%</w:t>
      </w:r>
      <w:r>
        <w:rPr/>
        <w:t>的税率征收企业 所得税的税收优惠。</w:t>
      </w:r>
    </w:p>
    <w:p>
      <w:pPr>
        <w:pStyle w:val="BodyText"/>
        <w:spacing w:line="240" w:lineRule="auto" w:before="60"/>
        <w:ind w:right="1133"/>
        <w:jc w:val="left"/>
      </w:pPr>
      <w:r>
        <w:rPr/>
        <w:t>（</w:t>
      </w:r>
      <w:r>
        <w:rPr>
          <w:rFonts w:ascii="Times New Roman" w:hAnsi="Times New Roman" w:cs="Times New Roman" w:eastAsia="Times New Roman" w:hint="default"/>
        </w:rPr>
        <w:t>10</w:t>
      </w:r>
      <w:r>
        <w:rPr/>
        <w:t>）广州医检</w:t>
      </w:r>
    </w:p>
    <w:p>
      <w:pPr>
        <w:pStyle w:val="BodyText"/>
        <w:spacing w:line="314" w:lineRule="auto" w:before="103"/>
        <w:ind w:right="1126" w:firstLine="360"/>
        <w:jc w:val="both"/>
      </w:pPr>
      <w:r>
        <w:rPr>
          <w:spacing w:val="-2"/>
        </w:rPr>
        <w:t>广州华大医学检验所有限公司（以下简称“广州医检”）于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11</w:t>
      </w:r>
      <w:r>
        <w:rPr>
          <w:spacing w:val="-2"/>
        </w:rPr>
        <w:t>日取得编号为</w:t>
      </w:r>
      <w:r>
        <w:rPr>
          <w:rFonts w:ascii="宋体" w:hAnsi="宋体" w:cs="宋体" w:eastAsia="宋体" w:hint="default"/>
          <w:spacing w:val="-2"/>
        </w:rPr>
        <w:t>GR201744007652</w:t>
      </w:r>
      <w:r>
        <w:rPr>
          <w:spacing w:val="-2"/>
        </w:rPr>
        <w:t>的高新技术企业</w:t>
      </w:r>
      <w:r>
        <w:rPr/>
        <w:t> 证书，从</w:t>
      </w:r>
      <w:r>
        <w:rPr>
          <w:rFonts w:ascii="宋体" w:hAnsi="宋体" w:cs="宋体" w:eastAsia="宋体" w:hint="default"/>
        </w:rPr>
        <w:t>2017</w:t>
      </w:r>
      <w:r>
        <w:rPr/>
        <w:t>年至</w:t>
      </w:r>
      <w:r>
        <w:rPr>
          <w:rFonts w:ascii="宋体" w:hAnsi="宋体" w:cs="宋体" w:eastAsia="宋体" w:hint="default"/>
        </w:rPr>
        <w:t>2019</w:t>
      </w:r>
      <w:r>
        <w:rPr/>
        <w:t>年享受减按</w:t>
      </w:r>
      <w:r>
        <w:rPr>
          <w:rFonts w:ascii="宋体" w:hAnsi="宋体" w:cs="宋体" w:eastAsia="宋体" w:hint="default"/>
        </w:rPr>
        <w:t>15%</w:t>
      </w:r>
      <w:r>
        <w:rPr/>
        <w:t>的税率征收企业所得税的税收优惠。</w:t>
      </w:r>
    </w:p>
    <w:p>
      <w:pPr>
        <w:pStyle w:val="BodyText"/>
        <w:spacing w:line="340" w:lineRule="auto" w:before="61"/>
        <w:ind w:left="513" w:right="1133" w:hanging="361"/>
        <w:jc w:val="left"/>
      </w:pPr>
      <w:r>
        <w:rPr/>
        <w:t>（</w:t>
      </w:r>
      <w:r>
        <w:rPr>
          <w:rFonts w:ascii="Times New Roman" w:hAnsi="Times New Roman" w:cs="Times New Roman" w:eastAsia="Times New Roman" w:hint="default"/>
        </w:rPr>
        <w:t>11</w:t>
      </w:r>
      <w:r>
        <w:rPr/>
        <w:t>）云南医学 </w:t>
      </w:r>
      <w:r>
        <w:rPr>
          <w:spacing w:val="-2"/>
        </w:rPr>
        <w:t>云南华大医学检验所有限公司（以下简称“云南医学”）于</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24</w:t>
      </w:r>
      <w:r>
        <w:rPr>
          <w:spacing w:val="-2"/>
        </w:rPr>
        <w:t>日取得昆发改规划</w:t>
      </w:r>
      <w:r>
        <w:rPr>
          <w:rFonts w:ascii="宋体" w:hAnsi="宋体" w:cs="宋体" w:eastAsia="宋体" w:hint="default"/>
          <w:spacing w:val="-2"/>
        </w:rPr>
        <w:t>[2018]249</w:t>
      </w:r>
      <w:r>
        <w:rPr>
          <w:spacing w:val="-2"/>
        </w:rPr>
        <w:t>号批文，云南医学</w:t>
      </w:r>
    </w:p>
    <w:p>
      <w:pPr>
        <w:pStyle w:val="BodyText"/>
        <w:spacing w:line="240" w:lineRule="auto" w:before="1"/>
        <w:ind w:right="986"/>
        <w:jc w:val="left"/>
      </w:pPr>
      <w:r>
        <w:rPr/>
        <w:t>主营业务符合西部大开发国家鼓励类产业</w:t>
      </w:r>
      <w:r>
        <w:rPr>
          <w:spacing w:val="-81"/>
        </w:rPr>
        <w:t>，</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17</w:t>
      </w:r>
      <w:r>
        <w:rPr>
          <w:spacing w:val="-3"/>
        </w:rPr>
        <w:t>年</w:t>
      </w:r>
      <w:r>
        <w:rPr>
          <w:rFonts w:ascii="宋体" w:hAnsi="宋体" w:cs="宋体" w:eastAsia="宋体" w:hint="default"/>
          <w:spacing w:val="1"/>
        </w:rPr>
        <w:t>1</w:t>
      </w:r>
      <w:r>
        <w:rPr/>
        <w:t>月</w:t>
      </w:r>
      <w:r>
        <w:rPr>
          <w:rFonts w:ascii="宋体" w:hAnsi="宋体" w:cs="宋体" w:eastAsia="宋体" w:hint="default"/>
          <w:spacing w:val="1"/>
        </w:rPr>
        <w:t>1</w:t>
      </w:r>
      <w:r>
        <w:rPr/>
        <w:t>日</w:t>
      </w:r>
      <w:r>
        <w:rPr>
          <w:spacing w:val="-3"/>
        </w:rPr>
        <w:t>至</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20</w:t>
      </w:r>
      <w:r>
        <w:rPr/>
        <w:t>年</w:t>
      </w:r>
      <w:r>
        <w:rPr>
          <w:rFonts w:ascii="宋体" w:hAnsi="宋体" w:cs="宋体" w:eastAsia="宋体" w:hint="default"/>
          <w:spacing w:val="-2"/>
        </w:rPr>
        <w:t>1</w:t>
      </w:r>
      <w:r>
        <w:rPr>
          <w:rFonts w:ascii="宋体" w:hAnsi="宋体" w:cs="宋体" w:eastAsia="宋体" w:hint="default"/>
          <w:spacing w:val="1"/>
        </w:rPr>
        <w:t>2</w:t>
      </w:r>
      <w:r>
        <w:rPr/>
        <w:t>月</w:t>
      </w:r>
      <w:r>
        <w:rPr>
          <w:rFonts w:ascii="宋体" w:hAnsi="宋体" w:cs="宋体" w:eastAsia="宋体" w:hint="default"/>
          <w:spacing w:val="-2"/>
        </w:rPr>
        <w:t>3</w:t>
      </w:r>
      <w:r>
        <w:rPr>
          <w:rFonts w:ascii="宋体" w:hAnsi="宋体" w:cs="宋体" w:eastAsia="宋体" w:hint="default"/>
          <w:spacing w:val="1"/>
        </w:rPr>
        <w:t>1</w:t>
      </w:r>
      <w:r>
        <w:rPr/>
        <w:t>日享受减按</w:t>
      </w:r>
      <w:r>
        <w:rPr>
          <w:rFonts w:ascii="宋体" w:hAnsi="宋体" w:cs="宋体" w:eastAsia="宋体" w:hint="default"/>
          <w:spacing w:val="-2"/>
        </w:rPr>
        <w:t>1</w:t>
      </w:r>
      <w:r>
        <w:rPr>
          <w:rFonts w:ascii="宋体" w:hAnsi="宋体" w:cs="宋体" w:eastAsia="宋体" w:hint="default"/>
          <w:spacing w:val="1"/>
        </w:rPr>
        <w:t>5%</w:t>
      </w:r>
      <w:r>
        <w:rPr/>
        <w:t>的</w:t>
      </w:r>
      <w:r>
        <w:rPr>
          <w:spacing w:val="-3"/>
        </w:rPr>
        <w:t>税</w:t>
      </w:r>
      <w:r>
        <w:rPr/>
        <w:t>率征收企业所得税的税收优惠。</w:t>
      </w:r>
    </w:p>
    <w:p>
      <w:pPr>
        <w:pStyle w:val="BodyText"/>
        <w:spacing w:line="340" w:lineRule="auto" w:before="115"/>
        <w:ind w:left="513" w:right="1133" w:hanging="361"/>
        <w:jc w:val="left"/>
      </w:pPr>
      <w:r>
        <w:rPr/>
        <w:t>（</w:t>
      </w:r>
      <w:r>
        <w:rPr>
          <w:rFonts w:ascii="Times New Roman" w:hAnsi="Times New Roman" w:cs="Times New Roman" w:eastAsia="Times New Roman" w:hint="default"/>
        </w:rPr>
        <w:t>12</w:t>
      </w:r>
      <w:r>
        <w:rPr/>
        <w:t>）昆华医检 </w:t>
      </w:r>
      <w:r>
        <w:rPr>
          <w:spacing w:val="-2"/>
        </w:rPr>
        <w:t>云南华大昆华医学检验所有限公司（以下简称“昆华医检”）于</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27</w:t>
      </w:r>
      <w:r>
        <w:rPr>
          <w:spacing w:val="-2"/>
        </w:rPr>
        <w:t>日取得昆发改规划</w:t>
      </w:r>
      <w:r>
        <w:rPr>
          <w:rFonts w:ascii="宋体" w:hAnsi="宋体" w:cs="宋体" w:eastAsia="宋体" w:hint="default"/>
          <w:spacing w:val="-2"/>
        </w:rPr>
        <w:t>[2018]209</w:t>
      </w:r>
      <w:r>
        <w:rPr>
          <w:spacing w:val="-2"/>
        </w:rPr>
        <w:t>号批文，昆华</w:t>
      </w:r>
    </w:p>
    <w:p>
      <w:pPr>
        <w:pStyle w:val="BodyText"/>
        <w:spacing w:line="316" w:lineRule="auto" w:before="1"/>
        <w:ind w:right="1124"/>
        <w:jc w:val="left"/>
      </w:pPr>
      <w:r>
        <w:rPr/>
        <w:t>医检主营业务符合西部大开发国家鼓励类产业，</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日享受减按</w:t>
      </w:r>
      <w:r>
        <w:rPr>
          <w:rFonts w:ascii="宋体" w:hAnsi="宋体" w:cs="宋体" w:eastAsia="宋体" w:hint="default"/>
        </w:rPr>
        <w:t>15%</w:t>
      </w:r>
      <w:r>
        <w:rPr/>
        <w:t>的税率征收企业所得税的税收 优惠。</w:t>
      </w:r>
    </w:p>
    <w:p>
      <w:pPr>
        <w:spacing w:line="240" w:lineRule="auto" w:before="0"/>
        <w:rPr>
          <w:rFonts w:ascii="宋体" w:hAnsi="宋体" w:cs="宋体" w:eastAsia="宋体" w:hint="default"/>
          <w:sz w:val="18"/>
          <w:szCs w:val="18"/>
        </w:rPr>
      </w:pPr>
    </w:p>
    <w:p>
      <w:pPr>
        <w:pStyle w:val="Heading5"/>
        <w:spacing w:line="240" w:lineRule="auto" w:before="136"/>
        <w:ind w:left="152" w:right="1133"/>
        <w:jc w:val="left"/>
        <w:rPr>
          <w:b w:val="0"/>
          <w:bCs w:val="0"/>
        </w:rPr>
      </w:pPr>
      <w:r>
        <w:rPr/>
        <w:t>增值税优惠政策</w:t>
      </w:r>
      <w:r>
        <w:rPr>
          <w:b w:val="0"/>
          <w:bCs w:val="0"/>
        </w:rPr>
      </w:r>
    </w:p>
    <w:p>
      <w:pPr>
        <w:spacing w:after="0" w:line="240" w:lineRule="auto"/>
        <w:jc w:val="left"/>
        <w:sectPr>
          <w:pgSz w:w="11910" w:h="16840"/>
          <w:pgMar w:header="880" w:footer="974" w:top="1100" w:bottom="1160" w:left="980" w:right="0"/>
        </w:sectPr>
      </w:pPr>
    </w:p>
    <w:p>
      <w:pPr>
        <w:spacing w:line="240" w:lineRule="auto" w:before="0"/>
        <w:rPr>
          <w:rFonts w:ascii="宋体" w:hAnsi="宋体" w:cs="宋体" w:eastAsia="宋体" w:hint="default"/>
          <w:b/>
          <w:bCs/>
          <w:sz w:val="22"/>
          <w:szCs w:val="22"/>
        </w:rPr>
      </w:pPr>
    </w:p>
    <w:p>
      <w:pPr>
        <w:pStyle w:val="BodyText"/>
        <w:spacing w:line="240" w:lineRule="auto" w:before="44"/>
        <w:ind w:right="1133"/>
        <w:jc w:val="left"/>
      </w:pPr>
      <w:r>
        <w:rPr/>
        <w:t>（</w:t>
      </w:r>
      <w:r>
        <w:rPr>
          <w:rFonts w:ascii="Times New Roman" w:hAnsi="Times New Roman" w:cs="Times New Roman" w:eastAsia="Times New Roman" w:hint="default"/>
        </w:rPr>
        <w:t>1</w:t>
      </w:r>
      <w:r>
        <w:rPr/>
        <w:t>）华大基因</w:t>
      </w:r>
    </w:p>
    <w:p>
      <w:pPr>
        <w:pStyle w:val="BodyText"/>
        <w:spacing w:line="316" w:lineRule="auto" w:before="103"/>
        <w:ind w:right="1034" w:firstLine="360"/>
        <w:jc w:val="left"/>
      </w:pPr>
      <w:r>
        <w:rPr>
          <w:spacing w:val="-2"/>
        </w:rPr>
        <w:t>根据《深圳市国家税务局增值税、消费税税收优惠备案通知书》（深国税盐减免备［</w:t>
      </w:r>
      <w:r>
        <w:rPr>
          <w:rFonts w:ascii="宋体" w:hAnsi="宋体" w:cs="宋体" w:eastAsia="宋体" w:hint="default"/>
          <w:spacing w:val="-2"/>
        </w:rPr>
        <w:t>2014</w:t>
      </w:r>
      <w:r>
        <w:rPr>
          <w:spacing w:val="-2"/>
        </w:rPr>
        <w:t>］</w:t>
      </w:r>
      <w:r>
        <w:rPr>
          <w:rFonts w:ascii="宋体" w:hAnsi="宋体" w:cs="宋体" w:eastAsia="宋体" w:hint="default"/>
          <w:spacing w:val="-2"/>
        </w:rPr>
        <w:t>0368</w:t>
      </w:r>
      <w:r>
        <w:rPr>
          <w:spacing w:val="-2"/>
        </w:rPr>
        <w:t>号），深圳华大基因股</w:t>
      </w:r>
      <w:r>
        <w:rPr/>
        <w:t> 份有限公司（以下简称“华大基因”）已按《关于将铁路运输业和邮政业纳入营业税改增值税试点的通知》（财税［</w:t>
      </w:r>
      <w:r>
        <w:rPr>
          <w:rFonts w:ascii="宋体" w:hAnsi="宋体" w:cs="宋体" w:eastAsia="宋体" w:hint="default"/>
        </w:rPr>
        <w:t>2013</w:t>
      </w:r>
      <w:r>
        <w:rPr/>
        <w:t>］</w:t>
      </w:r>
      <w:r>
        <w:rPr>
          <w:spacing w:val="-83"/>
        </w:rPr>
        <w:t> </w:t>
      </w:r>
      <w:r>
        <w:rPr>
          <w:rFonts w:ascii="宋体" w:hAnsi="宋体" w:cs="宋体" w:eastAsia="宋体" w:hint="default"/>
          <w:spacing w:val="-2"/>
        </w:rPr>
        <w:t>106</w:t>
      </w:r>
      <w:r>
        <w:rPr>
          <w:spacing w:val="-2"/>
        </w:rPr>
        <w:t>号）的规定在深圳市盐田区国家税务局作备案登记。自</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w:t>
      </w:r>
      <w:r>
        <w:rPr>
          <w:spacing w:val="-2"/>
        </w:rPr>
        <w:t>日该次备案有效期起，优惠项目的增值税进项税额应</w:t>
      </w:r>
      <w:r>
        <w:rPr>
          <w:spacing w:val="-60"/>
        </w:rPr>
        <w:t> </w:t>
      </w:r>
      <w:r>
        <w:rPr>
          <w:spacing w:val="-60"/>
        </w:rPr>
      </w:r>
      <w:r>
        <w:rPr/>
        <w:t>单独核算，进项税额核算方式选择后</w:t>
      </w:r>
      <w:r>
        <w:rPr>
          <w:rFonts w:ascii="宋体" w:hAnsi="宋体" w:cs="宋体" w:eastAsia="宋体" w:hint="default"/>
        </w:rPr>
        <w:t>36</w:t>
      </w:r>
      <w:r>
        <w:rPr/>
        <w:t>个月内不得变更。</w:t>
      </w:r>
      <w:r>
        <w:rPr>
          <w:rFonts w:ascii="宋体" w:hAnsi="宋体" w:cs="宋体" w:eastAsia="宋体" w:hint="default"/>
        </w:rPr>
        <w:t>2018</w:t>
      </w:r>
      <w:r>
        <w:rPr/>
        <w:t>年华大基因对该优惠项目核算方式未发生变更。</w:t>
      </w:r>
    </w:p>
    <w:p>
      <w:pPr>
        <w:pStyle w:val="BodyText"/>
        <w:spacing w:line="240" w:lineRule="auto" w:before="57"/>
        <w:ind w:right="1133"/>
        <w:jc w:val="left"/>
      </w:pPr>
      <w:r>
        <w:rPr/>
        <w:t>（</w:t>
      </w:r>
      <w:r>
        <w:rPr>
          <w:rFonts w:ascii="Times New Roman" w:hAnsi="Times New Roman" w:cs="Times New Roman" w:eastAsia="Times New Roman" w:hint="default"/>
        </w:rPr>
        <w:t>2</w:t>
      </w:r>
      <w:r>
        <w:rPr/>
        <w:t>）华大科技</w:t>
      </w:r>
    </w:p>
    <w:p>
      <w:pPr>
        <w:pStyle w:val="BodyText"/>
        <w:spacing w:line="316" w:lineRule="auto" w:before="103"/>
        <w:ind w:right="1130" w:firstLine="360"/>
        <w:jc w:val="both"/>
      </w:pPr>
      <w:r>
        <w:rPr>
          <w:spacing w:val="-2"/>
        </w:rPr>
        <w:t>根据《深圳市国家税务局增值税、消费税税收优惠备案通知书》（深国税盐减免备</w:t>
      </w:r>
      <w:r>
        <w:rPr>
          <w:rFonts w:ascii="宋体" w:hAnsi="宋体" w:cs="宋体" w:eastAsia="宋体" w:hint="default"/>
          <w:spacing w:val="-2"/>
        </w:rPr>
        <w:t>[2012]0220</w:t>
      </w:r>
      <w:r>
        <w:rPr>
          <w:spacing w:val="-2"/>
        </w:rPr>
        <w:t>号），深圳华大基因科技</w:t>
      </w:r>
      <w:r>
        <w:rPr/>
        <w:t> </w:t>
      </w:r>
      <w:r>
        <w:rPr>
          <w:spacing w:val="-2"/>
        </w:rPr>
        <w:t>服务有限公司（以下简称“华大科技”）已按《关于在上海市开展交通运输业和部分现代服务业营业税改征增值税试点的通</w:t>
      </w:r>
      <w:r>
        <w:rPr>
          <w:spacing w:val="-66"/>
        </w:rPr>
        <w:t> </w:t>
      </w:r>
      <w:r>
        <w:rPr>
          <w:spacing w:val="-66"/>
        </w:rPr>
      </w:r>
      <w:r>
        <w:rPr>
          <w:spacing w:val="-2"/>
        </w:rPr>
        <w:t>知》（财税</w:t>
      </w:r>
      <w:r>
        <w:rPr>
          <w:rFonts w:ascii="宋体" w:hAnsi="宋体" w:cs="宋体" w:eastAsia="宋体" w:hint="default"/>
          <w:spacing w:val="-2"/>
        </w:rPr>
        <w:t>[2011]111</w:t>
      </w:r>
      <w:r>
        <w:rPr>
          <w:spacing w:val="-2"/>
        </w:rPr>
        <w:t>号）、《关于在北京等</w:t>
      </w:r>
      <w:r>
        <w:rPr>
          <w:rFonts w:ascii="宋体" w:hAnsi="宋体" w:cs="宋体" w:eastAsia="宋体" w:hint="default"/>
          <w:spacing w:val="-2"/>
        </w:rPr>
        <w:t>8</w:t>
      </w:r>
      <w:r>
        <w:rPr>
          <w:spacing w:val="-2"/>
        </w:rPr>
        <w:t>省市开展交通运输业和部分现代服务业营业税改征增值税试点的通知》（财税</w:t>
      </w:r>
      <w:r>
        <w:rPr>
          <w:spacing w:val="-59"/>
        </w:rPr>
        <w:t> </w:t>
      </w:r>
      <w:r>
        <w:rPr>
          <w:spacing w:val="-59"/>
        </w:rPr>
      </w:r>
      <w:r>
        <w:rPr>
          <w:rFonts w:ascii="宋体" w:hAnsi="宋体" w:cs="宋体" w:eastAsia="宋体" w:hint="default"/>
          <w:spacing w:val="-2"/>
        </w:rPr>
        <w:t>[2012]71</w:t>
      </w:r>
      <w:r>
        <w:rPr>
          <w:spacing w:val="-2"/>
        </w:rPr>
        <w:t>号）的规定，在深圳市盐田区国家税务局作备案登记，该优惠项目的增值税进项税额为单独核算，进项税额核算方</w:t>
      </w:r>
      <w:r>
        <w:rPr>
          <w:spacing w:val="-58"/>
        </w:rPr>
        <w:t> </w:t>
      </w:r>
      <w:r>
        <w:rPr>
          <w:spacing w:val="-58"/>
        </w:rPr>
      </w:r>
      <w:r>
        <w:rPr/>
        <w:t>式选择后</w:t>
      </w:r>
      <w:r>
        <w:rPr>
          <w:rFonts w:ascii="宋体" w:hAnsi="宋体" w:cs="宋体" w:eastAsia="宋体" w:hint="default"/>
        </w:rPr>
        <w:t>36</w:t>
      </w:r>
      <w:r>
        <w:rPr/>
        <w:t>个月内不得变更。</w:t>
      </w:r>
      <w:r>
        <w:rPr>
          <w:rFonts w:ascii="宋体" w:hAnsi="宋体" w:cs="宋体" w:eastAsia="宋体" w:hint="default"/>
        </w:rPr>
        <w:t>2018</w:t>
      </w:r>
      <w:r>
        <w:rPr/>
        <w:t>年华大科技对该优惠项目核算方式未发生变更。</w:t>
      </w:r>
    </w:p>
    <w:p>
      <w:pPr>
        <w:pStyle w:val="BodyText"/>
        <w:spacing w:line="240" w:lineRule="auto" w:before="60"/>
        <w:ind w:right="1133"/>
        <w:jc w:val="left"/>
      </w:pPr>
      <w:r>
        <w:rPr/>
        <w:t>（</w:t>
      </w:r>
      <w:r>
        <w:rPr>
          <w:rFonts w:ascii="Times New Roman" w:hAnsi="Times New Roman" w:cs="Times New Roman" w:eastAsia="Times New Roman" w:hint="default"/>
        </w:rPr>
        <w:t>3</w:t>
      </w:r>
      <w:r>
        <w:rPr/>
        <w:t>）深圳临检</w:t>
      </w:r>
    </w:p>
    <w:p>
      <w:pPr>
        <w:pStyle w:val="BodyText"/>
        <w:spacing w:line="316" w:lineRule="auto" w:before="103"/>
        <w:ind w:right="1129" w:firstLine="360"/>
        <w:jc w:val="both"/>
      </w:pPr>
      <w:r>
        <w:rPr>
          <w:spacing w:val="-2"/>
        </w:rPr>
        <w:t>根据《深圳市国家税务局增值税、消费税税收优惠备案通知书》（深国税盐减免备</w:t>
      </w:r>
      <w:r>
        <w:rPr>
          <w:rFonts w:ascii="宋体" w:hAnsi="宋体" w:cs="宋体" w:eastAsia="宋体" w:hint="default"/>
          <w:spacing w:val="-2"/>
        </w:rPr>
        <w:t>[2016]0067</w:t>
      </w:r>
      <w:r>
        <w:rPr>
          <w:spacing w:val="-2"/>
        </w:rPr>
        <w:t>号），深圳华大临床检验</w:t>
      </w:r>
      <w:r>
        <w:rPr/>
        <w:t> 中心（以下简称“深圳临检”）已按《财政部国家税务总局关于全面推开营业税改征增值税试点的通知》（财税</w:t>
      </w:r>
      <w:r>
        <w:rPr>
          <w:rFonts w:ascii="宋体" w:hAnsi="宋体" w:cs="宋体" w:eastAsia="宋体" w:hint="default"/>
        </w:rPr>
        <w:t>[2016]</w:t>
      </w:r>
      <w:r>
        <w:rPr>
          <w:rFonts w:ascii="宋体" w:hAnsi="宋体" w:cs="宋体" w:eastAsia="宋体" w:hint="default"/>
          <w:spacing w:val="6"/>
        </w:rPr>
        <w:t> </w:t>
      </w:r>
      <w:r>
        <w:rPr>
          <w:rFonts w:ascii="宋体" w:hAnsi="宋体" w:cs="宋体" w:eastAsia="宋体" w:hint="default"/>
        </w:rPr>
        <w:t>36</w:t>
      </w:r>
      <w:r>
        <w:rPr>
          <w:rFonts w:ascii="宋体" w:hAnsi="宋体" w:cs="宋体" w:eastAsia="宋体" w:hint="default"/>
        </w:rPr>
        <w:t> </w:t>
      </w:r>
      <w:r>
        <w:rPr>
          <w:spacing w:val="-2"/>
        </w:rPr>
        <w:t>号），于</w:t>
      </w:r>
      <w:r>
        <w:rPr>
          <w:rFonts w:ascii="宋体" w:hAnsi="宋体" w:cs="宋体" w:eastAsia="宋体" w:hint="default"/>
          <w:spacing w:val="-2"/>
        </w:rPr>
        <w:t>2016</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5</w:t>
      </w:r>
      <w:r>
        <w:rPr>
          <w:spacing w:val="-2"/>
        </w:rPr>
        <w:t>日在深圳市国家税务局作备案登记，深圳临检自</w:t>
      </w:r>
      <w:r>
        <w:rPr>
          <w:rFonts w:ascii="宋体" w:hAnsi="宋体" w:cs="宋体" w:eastAsia="宋体" w:hint="default"/>
          <w:spacing w:val="-2"/>
        </w:rPr>
        <w:t>2016</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w:t>
      </w:r>
      <w:r>
        <w:rPr>
          <w:spacing w:val="-2"/>
        </w:rPr>
        <w:t>日起提供的医疗服务免征增值税。该优惠项</w:t>
      </w:r>
      <w:r>
        <w:rPr>
          <w:spacing w:val="-56"/>
        </w:rPr>
        <w:t> </w:t>
      </w:r>
      <w:r>
        <w:rPr>
          <w:spacing w:val="-56"/>
        </w:rPr>
      </w:r>
      <w:r>
        <w:rPr>
          <w:spacing w:val="-2"/>
        </w:rPr>
        <w:t>目的增值税进项税额为单独核算，进项税额核算方式选择后</w:t>
      </w:r>
      <w:r>
        <w:rPr>
          <w:rFonts w:ascii="宋体" w:hAnsi="宋体" w:cs="宋体" w:eastAsia="宋体" w:hint="default"/>
          <w:spacing w:val="-2"/>
        </w:rPr>
        <w:t>36</w:t>
      </w:r>
      <w:r>
        <w:rPr>
          <w:spacing w:val="-2"/>
        </w:rPr>
        <w:t>个月内不得变更。</w:t>
      </w:r>
      <w:r>
        <w:rPr>
          <w:rFonts w:ascii="宋体" w:hAnsi="宋体" w:cs="宋体" w:eastAsia="宋体" w:hint="default"/>
          <w:spacing w:val="-2"/>
        </w:rPr>
        <w:t>2018</w:t>
      </w:r>
      <w:r>
        <w:rPr>
          <w:spacing w:val="-2"/>
        </w:rPr>
        <w:t>年深圳临检对该优惠项目的核算方式未</w:t>
      </w:r>
      <w:r>
        <w:rPr>
          <w:spacing w:val="-63"/>
        </w:rPr>
        <w:t> </w:t>
      </w:r>
      <w:r>
        <w:rPr>
          <w:spacing w:val="-63"/>
        </w:rPr>
      </w:r>
      <w:r>
        <w:rPr/>
        <w:t>发生变更。</w:t>
      </w:r>
    </w:p>
    <w:p>
      <w:pPr>
        <w:pStyle w:val="BodyText"/>
        <w:spacing w:line="240" w:lineRule="auto" w:before="59"/>
        <w:ind w:right="1133"/>
        <w:jc w:val="left"/>
      </w:pPr>
      <w:r>
        <w:rPr/>
        <w:t>（</w:t>
      </w:r>
      <w:r>
        <w:rPr>
          <w:rFonts w:ascii="Times New Roman" w:hAnsi="Times New Roman" w:cs="Times New Roman" w:eastAsia="Times New Roman" w:hint="default"/>
        </w:rPr>
        <w:t>4</w:t>
      </w:r>
      <w:r>
        <w:rPr/>
        <w:t>）广州医检</w:t>
      </w:r>
    </w:p>
    <w:p>
      <w:pPr>
        <w:pStyle w:val="BodyText"/>
        <w:spacing w:line="319" w:lineRule="auto" w:before="103"/>
        <w:ind w:right="1128" w:firstLine="360"/>
        <w:jc w:val="both"/>
      </w:pPr>
      <w:r>
        <w:rPr>
          <w:spacing w:val="-2"/>
        </w:rPr>
        <w:t>根据《广州市番禺区国家税务局税务事项通知书》（穗番国税税通</w:t>
      </w:r>
      <w:r>
        <w:rPr>
          <w:rFonts w:ascii="宋体" w:hAnsi="宋体" w:cs="宋体" w:eastAsia="宋体" w:hint="default"/>
          <w:spacing w:val="-2"/>
        </w:rPr>
        <w:t>[2016]50681</w:t>
      </w:r>
      <w:r>
        <w:rPr>
          <w:spacing w:val="-2"/>
        </w:rPr>
        <w:t>号），广州医检于</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27</w:t>
      </w:r>
      <w:r>
        <w:rPr>
          <w:spacing w:val="-2"/>
        </w:rPr>
        <w:t>日在广州</w:t>
      </w:r>
      <w:r>
        <w:rPr/>
        <w:t> </w:t>
      </w:r>
      <w:r>
        <w:rPr>
          <w:spacing w:val="-2"/>
        </w:rPr>
        <w:t>市番禺区国家税务局备案登记，广州华大基因医学检验所有限公司（下称“广州医检”）自</w:t>
      </w:r>
      <w:r>
        <w:rPr>
          <w:rFonts w:ascii="宋体" w:hAnsi="宋体" w:cs="宋体" w:eastAsia="宋体" w:hint="default"/>
          <w:spacing w:val="-2"/>
        </w:rPr>
        <w:t>2016</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w:t>
      </w:r>
      <w:r>
        <w:rPr>
          <w:spacing w:val="-2"/>
        </w:rPr>
        <w:t>日起提供的医疗服务</w:t>
      </w:r>
      <w:r>
        <w:rPr>
          <w:spacing w:val="-61"/>
        </w:rPr>
        <w:t> </w:t>
      </w:r>
      <w:r>
        <w:rPr>
          <w:spacing w:val="-61"/>
        </w:rPr>
      </w:r>
      <w:r>
        <w:rPr/>
        <w:t>免征增值税。</w:t>
      </w:r>
    </w:p>
    <w:p>
      <w:pPr>
        <w:pStyle w:val="BodyText"/>
        <w:spacing w:line="240" w:lineRule="auto" w:before="55"/>
        <w:ind w:right="1133"/>
        <w:jc w:val="left"/>
      </w:pPr>
      <w:r>
        <w:rPr/>
        <w:t>（</w:t>
      </w:r>
      <w:r>
        <w:rPr>
          <w:rFonts w:ascii="Times New Roman" w:hAnsi="Times New Roman" w:cs="Times New Roman" w:eastAsia="Times New Roman" w:hint="default"/>
        </w:rPr>
        <w:t>5</w:t>
      </w:r>
      <w:r>
        <w:rPr/>
        <w:t>）南京医检</w:t>
      </w:r>
    </w:p>
    <w:p>
      <w:pPr>
        <w:pStyle w:val="BodyText"/>
        <w:spacing w:line="316" w:lineRule="auto" w:before="103"/>
        <w:ind w:right="1131" w:firstLine="360"/>
        <w:jc w:val="both"/>
      </w:pPr>
      <w:r>
        <w:rPr>
          <w:spacing w:val="-4"/>
        </w:rPr>
        <w:t>根据南京市建邺区国家税务局</w:t>
      </w:r>
      <w:r>
        <w:rPr>
          <w:rFonts w:ascii="宋体" w:hAnsi="宋体" w:cs="宋体" w:eastAsia="宋体" w:hint="default"/>
          <w:spacing w:val="-4"/>
        </w:rPr>
        <w:t>2016</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17</w:t>
      </w:r>
      <w:r>
        <w:rPr>
          <w:spacing w:val="-4"/>
        </w:rPr>
        <w:t>日出具的纳税人减免税备案登记表，南京华大医学检验所有限公司（下称“南</w:t>
      </w:r>
      <w:r>
        <w:rPr/>
        <w:t> 京医检”）自</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w:t>
      </w:r>
      <w:r>
        <w:rPr/>
        <w:t>日起提供的医疗服务免征增值税。</w:t>
      </w:r>
    </w:p>
    <w:p>
      <w:pPr>
        <w:pStyle w:val="BodyText"/>
        <w:spacing w:line="240" w:lineRule="auto" w:before="59"/>
        <w:ind w:right="1133"/>
        <w:jc w:val="left"/>
      </w:pPr>
      <w:r>
        <w:rPr/>
        <w:t>（</w:t>
      </w:r>
      <w:r>
        <w:rPr>
          <w:rFonts w:ascii="Times New Roman" w:hAnsi="Times New Roman" w:cs="Times New Roman" w:eastAsia="Times New Roman" w:hint="default"/>
        </w:rPr>
        <w:t>6</w:t>
      </w:r>
      <w:r>
        <w:rPr/>
        <w:t>）天津医检</w:t>
      </w:r>
    </w:p>
    <w:p>
      <w:pPr>
        <w:pStyle w:val="BodyText"/>
        <w:spacing w:line="314" w:lineRule="auto" w:before="103"/>
        <w:ind w:right="1131" w:firstLine="360"/>
        <w:jc w:val="both"/>
      </w:pPr>
      <w:r>
        <w:rPr/>
        <w:t>根据天津市保税区国家税务局于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3</w:t>
      </w:r>
      <w:r>
        <w:rPr/>
        <w:t>日出具的纳税人减免税备案登记表，天津医检自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12</w:t>
      </w:r>
      <w:r>
        <w:rPr>
          <w:rFonts w:ascii="宋体" w:hAnsi="宋体" w:cs="宋体" w:eastAsia="宋体" w:hint="default"/>
          <w:spacing w:val="-2"/>
        </w:rPr>
        <w:t> </w:t>
      </w:r>
      <w:r>
        <w:rPr/>
        <w:t>月</w:t>
      </w:r>
      <w:r>
        <w:rPr>
          <w:rFonts w:ascii="宋体" w:hAnsi="宋体" w:cs="宋体" w:eastAsia="宋体" w:hint="default"/>
        </w:rPr>
        <w:t>31</w:t>
      </w:r>
      <w:r>
        <w:rPr/>
        <w:t>日止提供的医疗服务免征增值税。</w:t>
      </w:r>
    </w:p>
    <w:p>
      <w:pPr>
        <w:pStyle w:val="BodyText"/>
        <w:spacing w:line="240" w:lineRule="auto" w:before="61"/>
        <w:ind w:right="1133"/>
        <w:jc w:val="left"/>
      </w:pPr>
      <w:r>
        <w:rPr/>
        <w:t>（</w:t>
      </w:r>
      <w:r>
        <w:rPr>
          <w:rFonts w:ascii="Times New Roman" w:hAnsi="Times New Roman" w:cs="Times New Roman" w:eastAsia="Times New Roman" w:hint="default"/>
        </w:rPr>
        <w:t>7</w:t>
      </w:r>
      <w:r>
        <w:rPr/>
        <w:t>）武汉医检</w:t>
      </w:r>
    </w:p>
    <w:p>
      <w:pPr>
        <w:pStyle w:val="BodyText"/>
        <w:spacing w:line="316" w:lineRule="auto" w:before="103"/>
        <w:ind w:right="1128" w:firstLine="360"/>
        <w:jc w:val="both"/>
      </w:pPr>
      <w:r>
        <w:rPr/>
        <w:t>根据武汉市东湖新技术开发区国家税务局</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12</w:t>
      </w:r>
      <w:r>
        <w:rPr/>
        <w:t>日出具的纳税人减免税备案登记表，武汉医检自</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w:t>
      </w:r>
      <w:r>
        <w:rPr/>
        <w:t>日起 提供的医疗服务免征增值税。</w:t>
      </w:r>
    </w:p>
    <w:p>
      <w:pPr>
        <w:pStyle w:val="BodyText"/>
        <w:spacing w:line="240" w:lineRule="auto" w:before="58"/>
        <w:ind w:right="1133"/>
        <w:jc w:val="left"/>
      </w:pPr>
      <w:r>
        <w:rPr/>
        <w:t>（</w:t>
      </w:r>
      <w:r>
        <w:rPr>
          <w:rFonts w:ascii="Times New Roman" w:hAnsi="Times New Roman" w:cs="Times New Roman" w:eastAsia="Times New Roman" w:hint="default"/>
        </w:rPr>
        <w:t>8</w:t>
      </w:r>
      <w:r>
        <w:rPr/>
        <w:t>）优康门诊</w:t>
      </w:r>
    </w:p>
    <w:p>
      <w:pPr>
        <w:pStyle w:val="BodyText"/>
        <w:spacing w:line="316" w:lineRule="auto" w:before="103"/>
        <w:ind w:right="1129" w:firstLine="360"/>
        <w:jc w:val="both"/>
      </w:pPr>
      <w:r>
        <w:rPr>
          <w:spacing w:val="-2"/>
        </w:rPr>
        <w:t>根据《深圳市国家税务局增值税、消费税税收优惠备案通知书》（深国税盐减免备</w:t>
      </w:r>
      <w:r>
        <w:rPr>
          <w:rFonts w:ascii="宋体" w:hAnsi="宋体" w:cs="宋体" w:eastAsia="宋体" w:hint="default"/>
          <w:spacing w:val="-2"/>
        </w:rPr>
        <w:t>[2016]0068</w:t>
      </w:r>
      <w:r>
        <w:rPr>
          <w:spacing w:val="-2"/>
        </w:rPr>
        <w:t>号），深圳华大优康门诊</w:t>
      </w:r>
      <w:r>
        <w:rPr/>
        <w:t> </w:t>
      </w:r>
      <w:r>
        <w:rPr>
          <w:spacing w:val="-2"/>
        </w:rPr>
        <w:t>部（下称“优康门诊”）于</w:t>
      </w:r>
      <w:r>
        <w:rPr>
          <w:rFonts w:ascii="宋体" w:hAnsi="宋体" w:cs="宋体" w:eastAsia="宋体" w:hint="default"/>
          <w:spacing w:val="-2"/>
        </w:rPr>
        <w:t>2016</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5</w:t>
      </w:r>
      <w:r>
        <w:rPr>
          <w:spacing w:val="-2"/>
        </w:rPr>
        <w:t>日在深圳市国家税务局作备案登记，优康门诊自</w:t>
      </w:r>
      <w:r>
        <w:rPr>
          <w:rFonts w:ascii="宋体" w:hAnsi="宋体" w:cs="宋体" w:eastAsia="宋体" w:hint="default"/>
          <w:spacing w:val="-2"/>
        </w:rPr>
        <w:t>2016</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w:t>
      </w:r>
      <w:r>
        <w:rPr>
          <w:spacing w:val="-2"/>
        </w:rPr>
        <w:t>日起申请的医疗卫生机构</w:t>
      </w:r>
      <w:r>
        <w:rPr>
          <w:spacing w:val="-57"/>
        </w:rPr>
        <w:t> </w:t>
      </w:r>
      <w:r>
        <w:rPr>
          <w:spacing w:val="-57"/>
        </w:rPr>
      </w:r>
      <w:r>
        <w:rPr/>
        <w:t>提供的医疗服务免征增值税。</w:t>
      </w:r>
    </w:p>
    <w:p>
      <w:pPr>
        <w:pStyle w:val="BodyText"/>
        <w:spacing w:line="240" w:lineRule="auto" w:before="59"/>
        <w:ind w:right="1133"/>
        <w:jc w:val="left"/>
      </w:pPr>
      <w:r>
        <w:rPr/>
        <w:t>（</w:t>
      </w:r>
      <w:r>
        <w:rPr>
          <w:rFonts w:ascii="Times New Roman" w:hAnsi="Times New Roman" w:cs="Times New Roman" w:eastAsia="Times New Roman" w:hint="default"/>
        </w:rPr>
        <w:t>9</w:t>
      </w:r>
      <w:r>
        <w:rPr/>
        <w:t>）长垣医检</w:t>
      </w:r>
    </w:p>
    <w:p>
      <w:pPr>
        <w:pStyle w:val="BodyText"/>
        <w:spacing w:line="316" w:lineRule="auto" w:before="103"/>
        <w:ind w:right="1131" w:firstLine="360"/>
        <w:jc w:val="both"/>
      </w:pPr>
      <w:r>
        <w:rPr>
          <w:spacing w:val="-2"/>
        </w:rPr>
        <w:t>根据《河南省长垣县国家税务局税务事项通知书》（长垣国税税通</w:t>
      </w:r>
      <w:r>
        <w:rPr>
          <w:rFonts w:ascii="宋体" w:hAnsi="宋体" w:cs="宋体" w:eastAsia="宋体" w:hint="default"/>
          <w:spacing w:val="-2"/>
        </w:rPr>
        <w:t>[2017]1288</w:t>
      </w:r>
      <w:r>
        <w:rPr>
          <w:spacing w:val="-2"/>
        </w:rPr>
        <w:t>号），长垣华大医学检验所有限公司（下</w:t>
      </w:r>
      <w:r>
        <w:rPr/>
        <w:t> 称“长垣医检”）于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16</w:t>
      </w:r>
      <w:r>
        <w:rPr/>
        <w:t>日在长垣县国家税务局备案登记，长垣医检自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日止提供的 医疗服务免征增值税。</w:t>
      </w:r>
    </w:p>
    <w:p>
      <w:pPr>
        <w:pStyle w:val="BodyText"/>
        <w:spacing w:line="340" w:lineRule="auto" w:before="59"/>
        <w:ind w:left="513" w:right="1123" w:hanging="361"/>
        <w:jc w:val="left"/>
      </w:pPr>
      <w:r>
        <w:rPr/>
        <w:t>（</w:t>
      </w:r>
      <w:r>
        <w:rPr>
          <w:rFonts w:ascii="Times New Roman" w:hAnsi="Times New Roman" w:cs="Times New Roman" w:eastAsia="Times New Roman" w:hint="default"/>
        </w:rPr>
        <w:t>10</w:t>
      </w:r>
      <w:r>
        <w:rPr/>
        <w:t>）重庆医检 根据重庆市渝北区国家税务局</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27</w:t>
      </w:r>
      <w:r>
        <w:rPr/>
        <w:t>日出具的纳税人减免税备案登记表，重庆医检自</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w:t>
      </w:r>
      <w:r>
        <w:rPr/>
        <w:t>日起提供的医疗</w:t>
      </w:r>
    </w:p>
    <w:p>
      <w:pPr>
        <w:pStyle w:val="BodyText"/>
        <w:spacing w:line="240" w:lineRule="auto" w:before="1"/>
        <w:ind w:right="1133"/>
        <w:jc w:val="left"/>
      </w:pPr>
      <w:r>
        <w:rPr/>
        <w:t>服务免征增值税。</w:t>
      </w:r>
    </w:p>
    <w:p>
      <w:pPr>
        <w:pStyle w:val="BodyText"/>
        <w:spacing w:line="240" w:lineRule="auto" w:before="115"/>
        <w:ind w:right="1133"/>
        <w:jc w:val="left"/>
      </w:pPr>
      <w:r>
        <w:rPr/>
        <w:t>（</w:t>
      </w:r>
      <w:r>
        <w:rPr>
          <w:rFonts w:ascii="Times New Roman" w:hAnsi="Times New Roman" w:cs="Times New Roman" w:eastAsia="Times New Roman" w:hint="default"/>
        </w:rPr>
        <w:t>11</w:t>
      </w:r>
      <w:r>
        <w:rPr/>
        <w:t>）安徽医检</w:t>
      </w:r>
    </w:p>
    <w:p>
      <w:pPr>
        <w:spacing w:after="0" w:line="240" w:lineRule="auto"/>
        <w:jc w:val="left"/>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316" w:lineRule="auto" w:before="44"/>
        <w:ind w:right="1128" w:firstLine="360"/>
        <w:jc w:val="both"/>
      </w:pPr>
      <w:r>
        <w:rPr/>
        <w:t>根据安徽省太和县国家税务局</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24</w:t>
      </w:r>
      <w:r>
        <w:rPr/>
        <w:t>日出具的纳税人减免税备案登记表，安徽华大医学检验所有限公司自</w:t>
      </w:r>
      <w:r>
        <w:rPr>
          <w:rFonts w:ascii="宋体" w:hAnsi="宋体" w:cs="宋体" w:eastAsia="宋体" w:hint="default"/>
        </w:rPr>
        <w:t>2017</w:t>
      </w:r>
      <w:r>
        <w:rPr/>
        <w:t>年 </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日止提供医疗服务免征增值税。根据安徽省太和县国家税务局</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18</w:t>
      </w:r>
      <w:r>
        <w:rPr/>
        <w:t>日出具的纳税人减免税 备案登记表，安徽医检自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日止提供医疗服务免征增值税。</w:t>
      </w:r>
    </w:p>
    <w:p>
      <w:pPr>
        <w:pStyle w:val="BodyText"/>
        <w:spacing w:line="340" w:lineRule="auto" w:before="59"/>
        <w:ind w:left="513" w:right="1123" w:hanging="361"/>
        <w:jc w:val="left"/>
      </w:pPr>
      <w:r>
        <w:rPr/>
        <w:t>（</w:t>
      </w:r>
      <w:r>
        <w:rPr>
          <w:rFonts w:ascii="Times New Roman" w:hAnsi="Times New Roman" w:cs="Times New Roman" w:eastAsia="Times New Roman" w:hint="default"/>
        </w:rPr>
        <w:t>12</w:t>
      </w:r>
      <w:r>
        <w:rPr/>
        <w:t>）昆华医检 根据昆明市高新技术产业开发区国家税务局</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22</w:t>
      </w:r>
      <w:r>
        <w:rPr/>
        <w:t>日出具的纳税人减免税备案登记表，昆华医检自</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w:t>
      </w:r>
    </w:p>
    <w:p>
      <w:pPr>
        <w:pStyle w:val="BodyText"/>
        <w:spacing w:line="316" w:lineRule="auto"/>
        <w:ind w:right="1133"/>
        <w:jc w:val="left"/>
      </w:pPr>
      <w:r>
        <w:rPr/>
        <w:t>起至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日止提供医疗服务免征增值税。根据昆明市高新技术产业开发区国家税务局</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9</w:t>
      </w:r>
      <w:r>
        <w:rPr/>
        <w:t>日出具的纳税人</w:t>
      </w:r>
      <w:r>
        <w:rPr>
          <w:spacing w:val="-8"/>
        </w:rPr>
        <w:t> </w:t>
      </w:r>
      <w:r>
        <w:rPr>
          <w:spacing w:val="-8"/>
        </w:rPr>
      </w:r>
      <w:r>
        <w:rPr/>
        <w:t>减免税备案登记表，昆华医检自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日止提供医疗服务免征增值税。</w:t>
      </w:r>
    </w:p>
    <w:p>
      <w:pPr>
        <w:pStyle w:val="BodyText"/>
        <w:spacing w:line="340" w:lineRule="auto" w:before="59"/>
        <w:ind w:left="513" w:right="1123" w:hanging="361"/>
        <w:jc w:val="left"/>
        <w:rPr>
          <w:rFonts w:ascii="宋体" w:hAnsi="宋体" w:cs="宋体" w:eastAsia="宋体" w:hint="default"/>
        </w:rPr>
      </w:pPr>
      <w:r>
        <w:rPr/>
        <w:t>（</w:t>
      </w:r>
      <w:r>
        <w:rPr>
          <w:rFonts w:ascii="Times New Roman" w:hAnsi="Times New Roman" w:cs="Times New Roman" w:eastAsia="Times New Roman" w:hint="default"/>
        </w:rPr>
        <w:t>13</w:t>
      </w:r>
      <w:r>
        <w:rPr/>
        <w:t>）上海医检 根据上海市浦东新区国家税务局</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27</w:t>
      </w:r>
      <w:r>
        <w:rPr/>
        <w:t>日出具的纳税人减免税备案登记表，上海华大医学检验所有限公司自</w:t>
      </w:r>
      <w:r>
        <w:rPr>
          <w:rFonts w:ascii="宋体" w:hAnsi="宋体" w:cs="宋体" w:eastAsia="宋体" w:hint="default"/>
        </w:rPr>
        <w:t>2016</w:t>
      </w:r>
    </w:p>
    <w:p>
      <w:pPr>
        <w:pStyle w:val="BodyText"/>
        <w:spacing w:line="319" w:lineRule="auto" w:before="1"/>
        <w:ind w:right="1124"/>
        <w:jc w:val="left"/>
      </w:pPr>
      <w:r>
        <w:rPr/>
        <w:t>年</w:t>
      </w:r>
      <w:r>
        <w:rPr>
          <w:rFonts w:ascii="宋体" w:hAnsi="宋体" w:cs="宋体" w:eastAsia="宋体" w:hint="default"/>
        </w:rPr>
        <w:t>5</w:t>
      </w:r>
      <w:r>
        <w:rPr/>
        <w:t>月</w:t>
      </w:r>
      <w:r>
        <w:rPr>
          <w:rFonts w:ascii="宋体" w:hAnsi="宋体" w:cs="宋体" w:eastAsia="宋体" w:hint="default"/>
        </w:rPr>
        <w:t>1</w:t>
      </w:r>
      <w:r>
        <w:rPr/>
        <w:t>日起至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日止，提供医疗服务免征增值税。根据上海市浦东新区国家税务局</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6</w:t>
      </w:r>
      <w:r>
        <w:rPr/>
        <w:t>日出具的纳税人 减免税备案登记表，上海华大医学检验所有限公司自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日止，提供医疗服务免征增值税。</w:t>
      </w:r>
    </w:p>
    <w:p>
      <w:pPr>
        <w:pStyle w:val="BodyText"/>
        <w:spacing w:line="340" w:lineRule="auto" w:before="55"/>
        <w:ind w:left="513" w:right="1133" w:hanging="361"/>
        <w:jc w:val="left"/>
      </w:pPr>
      <w:r>
        <w:rPr/>
        <w:t>（</w:t>
      </w:r>
      <w:r>
        <w:rPr>
          <w:rFonts w:ascii="Times New Roman" w:hAnsi="Times New Roman" w:cs="Times New Roman" w:eastAsia="Times New Roman" w:hint="default"/>
        </w:rPr>
        <w:t>14</w:t>
      </w:r>
      <w:r>
        <w:rPr/>
        <w:t>）本溪医检 根据本溪高新技术产业开发区国家税务局</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20</w:t>
      </w:r>
      <w:r>
        <w:rPr/>
        <w:t>日出具的纳税人减免税备案登记表，本溪华大医学检验所有限</w:t>
      </w:r>
    </w:p>
    <w:p>
      <w:pPr>
        <w:pStyle w:val="BodyText"/>
        <w:spacing w:line="240" w:lineRule="auto" w:before="1"/>
        <w:ind w:right="1133"/>
        <w:jc w:val="left"/>
      </w:pPr>
      <w:r>
        <w:rPr/>
        <w:t>公司（以下简称“本溪医检”）自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日止提供医疗服务免征增值税。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4" w:right="9851"/>
        <w:jc w:val="center"/>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七、合并财务报表项目注释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72,707.74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81,921.04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974,386,878.03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935,471,881.54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95,601,223.46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11,091,100.04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1,070,060,809.23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946,644,902.62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439,579,575.80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267,807,038.29</w:t>
            </w:r>
          </w:p>
        </w:tc>
      </w:tr>
    </w:tbl>
    <w:p>
      <w:pPr>
        <w:pStyle w:val="BodyText"/>
        <w:spacing w:line="240" w:lineRule="auto" w:before="51"/>
        <w:ind w:right="1133"/>
        <w:jc w:val="left"/>
      </w:pPr>
      <w:r>
        <w:rPr/>
        <w:t>其他说明</w:t>
      </w:r>
    </w:p>
    <w:p>
      <w:pPr>
        <w:pStyle w:val="BodyText"/>
        <w:spacing w:line="316" w:lineRule="auto" w:before="117"/>
        <w:ind w:right="986" w:firstLine="360"/>
        <w:jc w:val="left"/>
      </w:pPr>
      <w:r>
        <w:rPr>
          <w:spacing w:val="-1"/>
        </w:rPr>
        <w:t>其他货币资金包括华大基因与浙商银行深圳分行签订融资性保函的保证金人民币</w:t>
      </w:r>
      <w:r>
        <w:rPr>
          <w:rFonts w:ascii="宋体" w:hAnsi="宋体" w:cs="宋体" w:eastAsia="宋体" w:hint="default"/>
          <w:spacing w:val="-1"/>
        </w:rPr>
        <w:t>78,091,395.65</w:t>
      </w:r>
      <w:r>
        <w:rPr>
          <w:rFonts w:ascii="宋体" w:hAnsi="宋体" w:cs="宋体" w:eastAsia="宋体" w:hint="default"/>
          <w:spacing w:val="53"/>
        </w:rPr>
        <w:t> </w:t>
      </w:r>
      <w:r>
        <w:rPr>
          <w:spacing w:val="-7"/>
        </w:rPr>
        <w:t>元（</w:t>
      </w:r>
      <w:r>
        <w:rPr>
          <w:rFonts w:ascii="宋体" w:hAnsi="宋体" w:cs="宋体" w:eastAsia="宋体" w:hint="default"/>
          <w:spacing w:val="-7"/>
        </w:rPr>
        <w:t>2017</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31</w:t>
      </w:r>
      <w:r>
        <w:rPr>
          <w:spacing w:val="-7"/>
        </w:rPr>
        <w:t>日：</w:t>
      </w:r>
      <w:r>
        <w:rPr/>
        <w:t> 无）和利息收入人民币</w:t>
      </w:r>
      <w:r>
        <w:rPr>
          <w:rFonts w:ascii="宋体" w:hAnsi="宋体" w:cs="宋体" w:eastAsia="宋体" w:hint="default"/>
        </w:rPr>
        <w:t>12,703.36</w:t>
      </w:r>
      <w:r>
        <w:rPr/>
        <w:t>元，武汉医检与中国招商银行光谷科技支行签订的履约保函的保证金人民币</w:t>
      </w:r>
      <w:r>
        <w:rPr>
          <w:rFonts w:ascii="宋体" w:hAnsi="宋体" w:cs="宋体" w:eastAsia="宋体" w:hint="default"/>
        </w:rPr>
        <w:t>194,700.00</w:t>
      </w:r>
      <w:r>
        <w:rPr/>
        <w:t>元</w:t>
      </w:r>
    </w:p>
    <w:p>
      <w:pPr>
        <w:pStyle w:val="BodyText"/>
        <w:spacing w:line="316" w:lineRule="auto" w:before="19"/>
        <w:ind w:right="986"/>
        <w:jc w:val="left"/>
      </w:pPr>
      <w:r>
        <w:rPr>
          <w:spacing w:val="-4"/>
        </w:rPr>
        <w:t>（</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日：人民币</w:t>
      </w:r>
      <w:r>
        <w:rPr>
          <w:rFonts w:ascii="宋体" w:hAnsi="宋体" w:cs="宋体" w:eastAsia="宋体" w:hint="default"/>
          <w:spacing w:val="-4"/>
        </w:rPr>
        <w:t>194,700.00</w:t>
      </w:r>
      <w:r>
        <w:rPr>
          <w:spacing w:val="-4"/>
        </w:rPr>
        <w:t>元），武汉医检与浙商银行深圳分行签订的预付款退款保函的保证金人民币</w:t>
      </w:r>
      <w:r>
        <w:rPr>
          <w:rFonts w:ascii="宋体" w:hAnsi="宋体" w:cs="宋体" w:eastAsia="宋体" w:hint="default"/>
          <w:spacing w:val="-4"/>
        </w:rPr>
        <w:t>890,000.00</w:t>
      </w:r>
      <w:r>
        <w:rPr>
          <w:rFonts w:ascii="宋体" w:hAnsi="宋体" w:cs="宋体" w:eastAsia="宋体" w:hint="default"/>
          <w:spacing w:val="-88"/>
        </w:rPr>
        <w:t> </w:t>
      </w:r>
      <w:r>
        <w:rPr>
          <w:rFonts w:ascii="宋体" w:hAnsi="宋体" w:cs="宋体" w:eastAsia="宋体" w:hint="default"/>
          <w:spacing w:val="-88"/>
        </w:rPr>
      </w:r>
      <w:r>
        <w:rPr>
          <w:spacing w:val="6"/>
        </w:rPr>
        <w:t>元（</w:t>
      </w:r>
      <w:r>
        <w:rPr>
          <w:rFonts w:ascii="宋体" w:hAnsi="宋体" w:cs="宋体" w:eastAsia="宋体" w:hint="default"/>
          <w:spacing w:val="6"/>
        </w:rPr>
        <w:t>2017</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日：无）和利息收入人民币</w:t>
      </w:r>
      <w:r>
        <w:rPr>
          <w:rFonts w:ascii="宋体" w:hAnsi="宋体" w:cs="宋体" w:eastAsia="宋体" w:hint="default"/>
          <w:spacing w:val="6"/>
        </w:rPr>
        <w:t>17.31</w:t>
      </w:r>
      <w:r>
        <w:rPr>
          <w:spacing w:val="6"/>
        </w:rPr>
        <w:t>元，武汉医检在中国招商银行光谷科技支行的信用证保证金人民币</w:t>
      </w:r>
      <w:r>
        <w:rPr>
          <w:spacing w:val="-81"/>
        </w:rPr>
        <w:t> </w:t>
      </w:r>
      <w:r>
        <w:rPr>
          <w:spacing w:val="-81"/>
        </w:rPr>
      </w:r>
      <w:r>
        <w:rPr>
          <w:rFonts w:ascii="宋体" w:hAnsi="宋体" w:cs="宋体" w:eastAsia="宋体" w:hint="default"/>
        </w:rPr>
        <w:t>199,351.99</w:t>
      </w:r>
      <w:r>
        <w:rPr/>
        <w:t>元（</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日：无），</w:t>
      </w:r>
      <w:r>
        <w:rPr>
          <w:rFonts w:ascii="宋体" w:hAnsi="宋体" w:cs="宋体" w:eastAsia="宋体" w:hint="default"/>
        </w:rPr>
        <w:t>BGI</w:t>
      </w:r>
      <w:r>
        <w:rPr>
          <w:rFonts w:ascii="宋体" w:hAnsi="宋体" w:cs="宋体" w:eastAsia="宋体" w:hint="default"/>
          <w:spacing w:val="-40"/>
        </w:rPr>
        <w:t> </w:t>
      </w:r>
      <w:r>
        <w:rPr>
          <w:rFonts w:ascii="宋体" w:hAnsi="宋体" w:cs="宋体" w:eastAsia="宋体" w:hint="default"/>
        </w:rPr>
        <w:t>Europe</w:t>
      </w:r>
      <w:r>
        <w:rPr>
          <w:rFonts w:ascii="宋体" w:hAnsi="宋体" w:cs="宋体" w:eastAsia="宋体" w:hint="default"/>
          <w:spacing w:val="-37"/>
        </w:rPr>
        <w:t> </w:t>
      </w:r>
      <w:r>
        <w:rPr>
          <w:rFonts w:ascii="宋体" w:hAnsi="宋体" w:cs="宋体" w:eastAsia="宋体" w:hint="default"/>
        </w:rPr>
        <w:t>A/S</w:t>
      </w:r>
      <w:r>
        <w:rPr/>
        <w:t>信用卡存款折算人民币</w:t>
      </w:r>
      <w:r>
        <w:rPr>
          <w:rFonts w:ascii="宋体" w:hAnsi="宋体" w:cs="宋体" w:eastAsia="宋体" w:hint="default"/>
        </w:rPr>
        <w:t>99,363.75</w:t>
      </w:r>
      <w:r>
        <w:rPr/>
        <w:t>元（</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日：无），</w:t>
      </w:r>
      <w:r>
        <w:rPr>
          <w:rFonts w:ascii="宋体" w:hAnsi="宋体" w:cs="宋体" w:eastAsia="宋体" w:hint="default"/>
        </w:rPr>
        <w:t>BGI</w:t>
      </w:r>
      <w:r>
        <w:rPr>
          <w:rFonts w:ascii="宋体" w:hAnsi="宋体" w:cs="宋体" w:eastAsia="宋体" w:hint="default"/>
          <w:spacing w:val="-2"/>
        </w:rPr>
        <w:t> </w:t>
      </w:r>
      <w:r>
        <w:rPr>
          <w:rFonts w:ascii="宋体" w:hAnsi="宋体" w:cs="宋体" w:eastAsia="宋体" w:hint="default"/>
        </w:rPr>
        <w:t>Tech Holding (HongKong) Co.,</w:t>
      </w:r>
      <w:r>
        <w:rPr>
          <w:rFonts w:ascii="宋体" w:hAnsi="宋体" w:cs="宋体" w:eastAsia="宋体" w:hint="default"/>
          <w:spacing w:val="-11"/>
        </w:rPr>
        <w:t> </w:t>
      </w:r>
      <w:r>
        <w:rPr>
          <w:rFonts w:ascii="宋体" w:hAnsi="宋体" w:cs="宋体" w:eastAsia="宋体" w:hint="default"/>
        </w:rPr>
        <w:t>LTD</w:t>
      </w:r>
      <w:r>
        <w:rPr/>
        <w:t>证券账户折算人民币</w:t>
      </w:r>
      <w:r>
        <w:rPr>
          <w:rFonts w:ascii="宋体" w:hAnsi="宋体" w:cs="宋体" w:eastAsia="宋体" w:hint="default"/>
        </w:rPr>
        <w:t>16,113,434.85</w:t>
      </w:r>
      <w:r>
        <w:rPr/>
        <w:t>元（</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日：人民币</w:t>
      </w:r>
      <w:r>
        <w:rPr>
          <w:rFonts w:ascii="宋体" w:hAnsi="宋体" w:cs="宋体" w:eastAsia="宋体" w:hint="default"/>
        </w:rPr>
        <w:t>10,896,400.04</w:t>
      </w:r>
      <w:r>
        <w:rPr/>
        <w:t>元）， 华大青兰生物科技（无锡）有限公司支付宝存款人民币</w:t>
      </w:r>
      <w:r>
        <w:rPr>
          <w:rFonts w:ascii="宋体" w:hAnsi="宋体" w:cs="宋体" w:eastAsia="宋体" w:hint="default"/>
        </w:rPr>
        <w:t>256.55</w:t>
      </w:r>
      <w:r>
        <w:rPr/>
        <w:t>元（</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日：无）。</w:t>
      </w:r>
    </w:p>
    <w:p>
      <w:pPr>
        <w:pStyle w:val="BodyText"/>
        <w:spacing w:line="240" w:lineRule="auto" w:before="57"/>
        <w:ind w:left="513" w:right="1133"/>
        <w:jc w:val="left"/>
        <w:rPr>
          <w:rFonts w:ascii="宋体" w:hAnsi="宋体" w:cs="宋体" w:eastAsia="宋体" w:hint="default"/>
        </w:rPr>
      </w:pPr>
      <w:r>
        <w:rPr>
          <w:spacing w:val="-3"/>
        </w:rPr>
        <w:t>于</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日，公司的使用权受到限制的货币资金为人民币</w:t>
      </w:r>
      <w:r>
        <w:rPr>
          <w:rFonts w:ascii="宋体" w:hAnsi="宋体" w:cs="宋体" w:eastAsia="宋体" w:hint="default"/>
          <w:spacing w:val="-3"/>
        </w:rPr>
        <w:t>79,388,168.31</w:t>
      </w:r>
      <w:r>
        <w:rPr>
          <w:spacing w:val="-3"/>
        </w:rPr>
        <w:t>元（</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日：人民币</w:t>
      </w:r>
      <w:r>
        <w:rPr>
          <w:rFonts w:ascii="宋体" w:hAnsi="宋体" w:cs="宋体" w:eastAsia="宋体" w:hint="default"/>
          <w:spacing w:val="-3"/>
        </w:rPr>
        <w:t>194,700.00</w:t>
      </w:r>
    </w:p>
    <w:p>
      <w:pPr>
        <w:pStyle w:val="BodyText"/>
        <w:spacing w:line="360" w:lineRule="auto" w:before="77"/>
        <w:ind w:left="513" w:right="1133" w:hanging="361"/>
        <w:jc w:val="left"/>
        <w:rPr>
          <w:rFonts w:ascii="宋体" w:hAnsi="宋体" w:cs="宋体" w:eastAsia="宋体" w:hint="default"/>
        </w:rPr>
      </w:pPr>
      <w:r>
        <w:rPr/>
        <w:t>元），参见第十一节财务报告“七、合并财务报表项目注释”中的“50、所有权或使用权受到限制的资产”。 </w:t>
      </w:r>
      <w:r>
        <w:rPr>
          <w:spacing w:val="-2"/>
        </w:rPr>
        <w:t>于</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日，公司存放于境外的货币资金为人民币</w:t>
      </w:r>
      <w:r>
        <w:rPr>
          <w:rFonts w:ascii="宋体" w:hAnsi="宋体" w:cs="宋体" w:eastAsia="宋体" w:hint="default"/>
          <w:spacing w:val="-2"/>
        </w:rPr>
        <w:t>439,579,575.80</w:t>
      </w:r>
      <w:r>
        <w:rPr>
          <w:spacing w:val="-2"/>
        </w:rPr>
        <w:t>元（</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日：人民币</w:t>
      </w:r>
      <w:r>
        <w:rPr>
          <w:rFonts w:ascii="宋体" w:hAnsi="宋体" w:cs="宋体" w:eastAsia="宋体" w:hint="default"/>
          <w:spacing w:val="-2"/>
        </w:rPr>
        <w:t>267,807,038.29</w:t>
      </w:r>
    </w:p>
    <w:p>
      <w:pPr>
        <w:spacing w:after="0" w:line="360" w:lineRule="auto"/>
        <w:jc w:val="left"/>
        <w:rPr>
          <w:rFonts w:ascii="宋体" w:hAnsi="宋体" w:cs="宋体" w:eastAsia="宋体" w:hint="default"/>
        </w:rPr>
        <w:sectPr>
          <w:pgSz w:w="11910" w:h="16840"/>
          <w:pgMar w:header="880" w:footer="974" w:top="1100" w:bottom="1160" w:left="980" w:right="0"/>
        </w:sectPr>
      </w:pPr>
    </w:p>
    <w:p>
      <w:pPr>
        <w:spacing w:line="240" w:lineRule="auto" w:before="0"/>
        <w:rPr>
          <w:rFonts w:ascii="宋体" w:hAnsi="宋体" w:cs="宋体" w:eastAsia="宋体" w:hint="default"/>
          <w:sz w:val="22"/>
          <w:szCs w:val="22"/>
        </w:rPr>
      </w:pPr>
    </w:p>
    <w:p>
      <w:pPr>
        <w:pStyle w:val="BodyText"/>
        <w:spacing w:line="240" w:lineRule="auto" w:before="44"/>
        <w:ind w:right="1133"/>
        <w:jc w:val="left"/>
      </w:pPr>
      <w:r>
        <w:rPr/>
        <w:t>元）。</w:t>
      </w:r>
    </w:p>
    <w:p>
      <w:pPr>
        <w:pStyle w:val="BodyText"/>
        <w:spacing w:line="316" w:lineRule="auto" w:before="117"/>
        <w:ind w:right="986" w:firstLine="360"/>
        <w:jc w:val="left"/>
      </w:pPr>
      <w:r>
        <w:rPr>
          <w:spacing w:val="-2"/>
        </w:rPr>
        <w:t>银行活期存款按照银行活期存款利率取得利息收入。短期定期存款的存款期分为</w:t>
      </w:r>
      <w:r>
        <w:rPr>
          <w:rFonts w:ascii="宋体" w:hAnsi="宋体" w:cs="宋体" w:eastAsia="宋体" w:hint="default"/>
          <w:spacing w:val="-2"/>
        </w:rPr>
        <w:t>1</w:t>
      </w:r>
      <w:r>
        <w:rPr>
          <w:spacing w:val="-2"/>
        </w:rPr>
        <w:t>个月至</w:t>
      </w:r>
      <w:r>
        <w:rPr>
          <w:rFonts w:ascii="宋体" w:hAnsi="宋体" w:cs="宋体" w:eastAsia="宋体" w:hint="default"/>
          <w:spacing w:val="-2"/>
        </w:rPr>
        <w:t>3</w:t>
      </w:r>
      <w:r>
        <w:rPr>
          <w:spacing w:val="-2"/>
        </w:rPr>
        <w:t>个月不等，依公司的现金需求</w:t>
      </w:r>
      <w:r>
        <w:rPr/>
        <w:t> 而定，并按照相应的银行定期存款利率取得利息收入。</w:t>
      </w:r>
    </w:p>
    <w:p>
      <w:pPr>
        <w:spacing w:line="240" w:lineRule="auto" w:before="6"/>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、应收票据及应收账款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14,267,650.00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16,542,777.00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1,250,386,007.63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811,563,548.75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1,264,653,657.63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828,106,325.75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1)</w:t>
      </w:r>
      <w:r>
        <w:rPr/>
        <w:t>应收票据分类列示</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1,383,200.00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542,777.00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12,884,450.00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14,267,650.00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16,542,777.00</w:t>
            </w:r>
          </w:p>
        </w:tc>
      </w:tr>
    </w:tbl>
    <w:p>
      <w:pPr>
        <w:pStyle w:val="BodyText"/>
        <w:spacing w:line="240" w:lineRule="auto" w:before="51"/>
        <w:ind w:right="1133"/>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967,251.76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967,251.76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4" w:top="1100" w:bottom="1160" w:left="980" w:right="0"/>
        </w:sectPr>
      </w:pPr>
    </w:p>
    <w:p>
      <w:pPr>
        <w:spacing w:line="240" w:lineRule="auto" w:before="0"/>
        <w:rPr>
          <w:rFonts w:ascii="宋体" w:hAnsi="宋体" w:cs="宋体" w:eastAsia="宋体" w:hint="default"/>
          <w:sz w:val="24"/>
          <w:szCs w:val="24"/>
        </w:rPr>
      </w:pPr>
    </w:p>
    <w:p>
      <w:pPr>
        <w:pStyle w:val="Heading3"/>
        <w:spacing w:line="240" w:lineRule="auto"/>
        <w:ind w:left="140" w:right="-19"/>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0" w:right="-19"/>
        <w:jc w:val="left"/>
      </w:pPr>
      <w:r>
        <w:rPr>
          <w:rFonts w:ascii="Times New Roman" w:hAnsi="Times New Roman" w:cs="Times New Roman" w:eastAsia="Times New Roman" w:hint="default"/>
        </w:rPr>
        <w:t>1)</w:t>
      </w:r>
      <w:r>
        <w:rPr/>
        <w:t>应收账款分类披露</w:t>
      </w:r>
    </w:p>
    <w:p>
      <w:pPr>
        <w:pStyle w:val="BodyText"/>
        <w:spacing w:line="240" w:lineRule="auto" w:before="17"/>
        <w:ind w:left="0" w:right="133"/>
        <w:jc w:val="right"/>
      </w:pPr>
      <w:r>
        <w:rPr/>
        <w:br w:type="column"/>
      </w:r>
      <w:r>
        <w:rPr/>
        <w:t>深圳华大基因股份有限公司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BodyText"/>
        <w:spacing w:line="240" w:lineRule="auto"/>
        <w:ind w:left="0" w:right="135"/>
        <w:jc w:val="right"/>
      </w:pPr>
      <w:r>
        <w:rPr/>
        <w:pict>
          <v:group style="position:absolute;margin-left:70.559998pt;margin-top:-49.98827pt;width:700.95pt;height:.1pt;mso-position-horizontal-relative:page;mso-position-vertical-relative:paragraph;z-index:2584" coordorigin="1411,-1000" coordsize="14019,2">
            <v:shape style="position:absolute;left:1411;top:-1000;width:14019;height:2" coordorigin="1411,-1000" coordsize="14019,0" path="m1411,-1000l15430,-1000e" filled="false" stroked="true" strokeweight=".72pt" strokecolor="#000000">
              <v:path arrowok="t"/>
            </v:shape>
            <w10:wrap type="none"/>
          </v:group>
        </w:pict>
      </w:r>
      <w:r>
        <w:rPr/>
        <w:t>单位：</w:t>
      </w:r>
      <w:r>
        <w:rPr>
          <w:spacing w:val="1"/>
        </w:rPr>
        <w:t> </w:t>
      </w:r>
      <w:r>
        <w:rPr/>
        <w:t>元</w:t>
      </w:r>
    </w:p>
    <w:p>
      <w:pPr>
        <w:spacing w:after="0" w:line="240" w:lineRule="auto"/>
        <w:jc w:val="right"/>
        <w:sectPr>
          <w:headerReference w:type="default" r:id="rId41"/>
          <w:footerReference w:type="default" r:id="rId42"/>
          <w:pgSz w:w="16840" w:h="11910" w:orient="landscape"/>
          <w:pgMar w:header="0" w:footer="0" w:top="800" w:bottom="0" w:left="1300" w:right="1300"/>
          <w:cols w:num="2" w:equalWidth="0">
            <w:col w:w="1732" w:space="8357"/>
            <w:col w:w="4151"/>
          </w:cols>
        </w:sectPr>
      </w:pPr>
    </w:p>
    <w:p>
      <w:pPr>
        <w:spacing w:line="240" w:lineRule="auto" w:before="1"/>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2112"/>
        <w:gridCol w:w="2081"/>
        <w:gridCol w:w="1162"/>
        <w:gridCol w:w="1532"/>
        <w:gridCol w:w="739"/>
        <w:gridCol w:w="1318"/>
        <w:gridCol w:w="1181"/>
        <w:gridCol w:w="701"/>
        <w:gridCol w:w="1181"/>
        <w:gridCol w:w="739"/>
        <w:gridCol w:w="1176"/>
      </w:tblGrid>
      <w:tr>
        <w:trPr>
          <w:trHeight w:val="397" w:hRule="exact"/>
        </w:trPr>
        <w:tc>
          <w:tcPr>
            <w:tcW w:w="21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683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7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2112" w:type="dxa"/>
            <w:vMerge/>
            <w:tcBorders>
              <w:left w:val="single" w:sz="4" w:space="0" w:color="000000"/>
              <w:right w:val="single" w:sz="4" w:space="0" w:color="000000"/>
            </w:tcBorders>
            <w:shd w:val="clear" w:color="auto" w:fill="D2D2D2"/>
          </w:tcPr>
          <w:p>
            <w:pPr/>
          </w:p>
        </w:tc>
        <w:tc>
          <w:tcPr>
            <w:tcW w:w="32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2112" w:type="dxa"/>
            <w:vMerge/>
            <w:tcBorders>
              <w:left w:val="single" w:sz="4" w:space="0" w:color="000000"/>
              <w:bottom w:val="single" w:sz="4" w:space="0" w:color="000000"/>
              <w:right w:val="single" w:sz="4" w:space="0" w:color="000000"/>
            </w:tcBorders>
            <w:shd w:val="clear" w:color="auto" w:fill="D2D2D2"/>
          </w:tcPr>
          <w:p>
            <w:pPr/>
          </w:p>
        </w:tc>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5" w:right="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318"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7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99"/>
              <w:jc w:val="left"/>
              <w:rPr>
                <w:rFonts w:ascii="宋体" w:hAnsi="宋体" w:cs="宋体" w:eastAsia="宋体" w:hint="default"/>
                <w:sz w:val="18"/>
                <w:szCs w:val="18"/>
              </w:rPr>
            </w:pPr>
            <w:r>
              <w:rPr>
                <w:rFonts w:ascii="宋体" w:hAnsi="宋体" w:cs="宋体" w:eastAsia="宋体" w:hint="default"/>
                <w:sz w:val="18"/>
                <w:szCs w:val="18"/>
              </w:rPr>
              <w:t>单项金额重大并单独计提 坏账准备的应收账款</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172,462,399.32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53,163,993.58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30.83%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119,298,405.74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51,067,164.68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28,714,834.21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56.23%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22,352,330.47</w:t>
            </w:r>
          </w:p>
        </w:tc>
      </w:tr>
      <w:tr>
        <w:trPr>
          <w:trHeight w:val="715"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1" w:right="99"/>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坏账准备的应收账款</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1,233,675,472.29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84.40%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102,587,870.40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1,131,087,601.89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833,030,750.21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88.99%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43,819,531.93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789,211,218.28</w:t>
            </w:r>
          </w:p>
        </w:tc>
      </w:tr>
      <w:tr>
        <w:trPr>
          <w:trHeight w:val="713"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99"/>
              <w:jc w:val="left"/>
              <w:rPr>
                <w:rFonts w:ascii="宋体" w:hAnsi="宋体" w:cs="宋体" w:eastAsia="宋体" w:hint="default"/>
                <w:sz w:val="18"/>
                <w:szCs w:val="18"/>
              </w:rPr>
            </w:pPr>
            <w:r>
              <w:rPr>
                <w:rFonts w:ascii="宋体" w:hAnsi="宋体" w:cs="宋体" w:eastAsia="宋体" w:hint="default"/>
                <w:sz w:val="18"/>
                <w:szCs w:val="18"/>
              </w:rPr>
              <w:t>单项金额不重大但单独计 提坏账准备的应收账款</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55,645,838.38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55,645,838.38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51,914,813.39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51,914,813.39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1,461,783,709.99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211,397,702.36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14.46%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1,250,386,007.63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936,012,728.28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124,449,179.53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13.30%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811,563,548.75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76"/>
        <w:ind w:left="0" w:right="133"/>
        <w:jc w:val="right"/>
        <w:rPr>
          <w:rFonts w:ascii="Times New Roman" w:hAnsi="Times New Roman" w:cs="Times New Roman" w:eastAsia="Times New Roman" w:hint="default"/>
        </w:rPr>
      </w:pPr>
      <w:r>
        <w:rPr>
          <w:rFonts w:ascii="Times New Roman"/>
        </w:rPr>
        <w:t>194</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26"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300"/>
        </w:sectPr>
      </w:pPr>
    </w:p>
    <w:p>
      <w:pPr>
        <w:spacing w:line="240" w:lineRule="auto" w:before="1"/>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footerReference w:type="default" r:id="rId43"/>
          <w:pgSz w:w="11910" w:h="16840"/>
          <w:pgMar w:footer="974" w:header="0" w:top="1100" w:bottom="1160" w:left="980" w:right="0"/>
          <w:pgNumType w:start="195"/>
        </w:sectPr>
      </w:pPr>
    </w:p>
    <w:p>
      <w:pPr>
        <w:pStyle w:val="BodyText"/>
        <w:spacing w:line="240" w:lineRule="auto" w:before="44"/>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69,390,135.00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8,192,992.27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34,693,016.26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14,019,216.01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27,712,796.10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7"/>
              <w:jc w:val="left"/>
              <w:rPr>
                <w:rFonts w:ascii="宋体" w:hAnsi="宋体" w:cs="宋体" w:eastAsia="宋体" w:hint="default"/>
                <w:sz w:val="18"/>
                <w:szCs w:val="18"/>
              </w:rPr>
            </w:pPr>
            <w:r>
              <w:rPr>
                <w:rFonts w:ascii="宋体" w:hAnsi="宋体" w:cs="宋体" w:eastAsia="宋体" w:hint="default"/>
                <w:sz w:val="18"/>
                <w:szCs w:val="18"/>
              </w:rPr>
              <w:t>财务报表日后已全部收 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12,489,820.57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3,746,946.17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5,513,217.93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5,513,217.93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2,600,405.66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2,600,405.66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1,829,815.90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1,829,815.90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1,718,078.19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1,718,078.19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1,661,750.00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1,661,750.00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1,560,989.65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1,560,989.65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客户十一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1,503,588.15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1,503,588.15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客户十二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1,391,600.00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客户十三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1,388,274.66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416,482.40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客户十四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1,104,160.00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1,104,160.00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客户十五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客户十六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1,000,580.00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1,000,580.00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客户十七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970,720.00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970,720.00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3"/>
              <w:jc w:val="center"/>
              <w:rPr>
                <w:rFonts w:ascii="宋体" w:hAnsi="宋体" w:cs="宋体" w:eastAsia="宋体" w:hint="default"/>
                <w:sz w:val="18"/>
                <w:szCs w:val="18"/>
              </w:rPr>
            </w:pPr>
            <w:r>
              <w:rPr>
                <w:rFonts w:ascii="宋体" w:hAnsi="宋体" w:cs="宋体" w:eastAsia="宋体" w:hint="default"/>
                <w:sz w:val="18"/>
                <w:szCs w:val="18"/>
              </w:rPr>
              <w:t>经过减值测试，预计收</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回存在不确定性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客户十八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964,710.04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964,710.04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客户十九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950,223.24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950,223.24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883,399.98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883,399.98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客户二十一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736,570.00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736,570.00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客户二十二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客户二十三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640,547.99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640,547.99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经过减值测试，预计收 回存在不确定性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172,462,399.32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53,163,993.58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4" w:top="110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113" w:space="4716"/>
            <w:col w:w="2101"/>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872,676,761.84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8,726,767.62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259,371,878.03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25,937,187.80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42,128,646.80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8,425,729.36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59,498,185.62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59,498,185.62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1,233,675,472.29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102,587,870.40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8.32%</w:t>
            </w:r>
          </w:p>
        </w:tc>
      </w:tr>
    </w:tbl>
    <w:p>
      <w:pPr>
        <w:pStyle w:val="BodyText"/>
        <w:spacing w:line="360" w:lineRule="auto" w:before="51"/>
        <w:ind w:left="513" w:right="1213" w:hanging="361"/>
        <w:jc w:val="left"/>
      </w:pPr>
      <w:r>
        <w:rPr/>
        <w:t>确定该组合依据的说明： 对于单项金额重大未单独计提坏账准备及单项金额不重大未单独计提坏账准备的应收账款，公司以账龄作为信用风险</w:t>
      </w:r>
    </w:p>
    <w:p>
      <w:pPr>
        <w:pStyle w:val="BodyText"/>
        <w:spacing w:line="223" w:lineRule="exact"/>
        <w:ind w:right="1133"/>
        <w:jc w:val="left"/>
      </w:pPr>
      <w:r>
        <w:rPr/>
        <w:t>特征，并采用账龄分析法对应收账款计提坏账准备。</w:t>
      </w:r>
    </w:p>
    <w:p>
      <w:pPr>
        <w:pStyle w:val="BodyText"/>
        <w:spacing w:line="240" w:lineRule="auto" w:before="117"/>
        <w:ind w:right="1133"/>
        <w:jc w:val="left"/>
      </w:pPr>
      <w:r>
        <w:rPr/>
        <w:t>组合中，采用余额百分比法计提坏账准备的应收账款：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39"/>
        <w:ind w:left="513" w:right="1133"/>
        <w:jc w:val="left"/>
      </w:pPr>
      <w:r>
        <w:rPr/>
        <w:t>无</w:t>
      </w:r>
    </w:p>
    <w:p>
      <w:pPr>
        <w:pStyle w:val="BodyText"/>
        <w:spacing w:line="240" w:lineRule="auto" w:before="117"/>
        <w:ind w:right="1133"/>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3382" w:firstLine="360"/>
        <w:jc w:val="left"/>
      </w:pPr>
      <w:r>
        <w:rPr/>
        <w:t>本期计提坏账准备金额</w:t>
      </w:r>
      <w:r>
        <w:rPr>
          <w:spacing w:val="-48"/>
        </w:rPr>
        <w:t> </w:t>
      </w:r>
      <w:r>
        <w:rPr>
          <w:rFonts w:ascii="Times New Roman" w:hAnsi="Times New Roman" w:cs="Times New Roman" w:eastAsia="Times New Roman" w:hint="default"/>
        </w:rPr>
        <w:t>90,345,462.95</w:t>
      </w:r>
      <w:r>
        <w:rPr>
          <w:rFonts w:ascii="Times New Roman" w:hAnsi="Times New Roman" w:cs="Times New Roman" w:eastAsia="Times New Roman" w:hint="default"/>
          <w:spacing w:val="-1"/>
        </w:rPr>
        <w:t> </w:t>
      </w:r>
      <w:r>
        <w:rPr/>
        <w:t>元；本期收回或转回坏账准备金额</w:t>
      </w:r>
      <w:r>
        <w:rPr>
          <w:spacing w:val="-48"/>
        </w:rPr>
        <w:t> </w:t>
      </w:r>
      <w:r>
        <w:rPr>
          <w:rFonts w:ascii="Times New Roman" w:hAnsi="Times New Roman" w:cs="Times New Roman" w:eastAsia="Times New Roman" w:hint="default"/>
        </w:rPr>
        <w:t>2,480,196.24</w:t>
      </w:r>
      <w:r>
        <w:rPr>
          <w:rFonts w:ascii="Times New Roman" w:hAnsi="Times New Roman" w:cs="Times New Roman" w:eastAsia="Times New Roman" w:hint="default"/>
          <w:spacing w:val="-1"/>
        </w:rPr>
        <w:t> </w:t>
      </w:r>
      <w:r>
        <w:rPr/>
        <w:t>元。 其中本期坏账准备收回或转回金额重要的：</w:t>
      </w:r>
    </w:p>
    <w:p>
      <w:pPr>
        <w:pStyle w:val="BodyText"/>
        <w:spacing w:line="240" w:lineRule="auto" w:before="4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1,543,660.93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收到客户回款</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544,800.00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收到客户回款</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2,088,460.93</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right="1133"/>
        <w:jc w:val="left"/>
      </w:pPr>
      <w:r>
        <w:rPr>
          <w:rFonts w:ascii="宋体" w:hAnsi="宋体" w:cs="宋体" w:eastAsia="宋体" w:hint="default"/>
        </w:rPr>
        <w:t>3)</w:t>
      </w:r>
      <w:r>
        <w:rPr/>
        <w:t>本期实际核销的应收账款情况</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916,743.88</w:t>
            </w:r>
          </w:p>
        </w:tc>
      </w:tr>
    </w:tbl>
    <w:p>
      <w:pPr>
        <w:pStyle w:val="BodyText"/>
        <w:spacing w:line="240" w:lineRule="auto" w:before="51"/>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5"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检测服务费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475,789.96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8"/>
              <w:jc w:val="left"/>
              <w:rPr>
                <w:rFonts w:ascii="宋体" w:hAnsi="宋体" w:cs="宋体" w:eastAsia="宋体" w:hint="default"/>
                <w:sz w:val="18"/>
                <w:szCs w:val="18"/>
              </w:rPr>
            </w:pPr>
            <w:r>
              <w:rPr>
                <w:rFonts w:ascii="宋体" w:hAnsi="宋体" w:cs="宋体" w:eastAsia="宋体" w:hint="default"/>
                <w:sz w:val="18"/>
                <w:szCs w:val="18"/>
              </w:rPr>
              <w:t>客户资不抵债，协 议解除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内部核销审批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检测服务费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117,630.00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协议核销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内部核销审批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593,419.96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left="513" w:right="9134" w:hanging="361"/>
        <w:jc w:val="left"/>
      </w:pPr>
      <w:r>
        <w:rPr/>
        <w:t>应收账款核销说明： 无</w:t>
      </w:r>
    </w:p>
    <w:p>
      <w:pPr>
        <w:pStyle w:val="BodyText"/>
        <w:spacing w:line="338" w:lineRule="auto" w:before="27"/>
        <w:ind w:right="6824"/>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357" w:lineRule="auto" w:before="43"/>
        <w:ind w:right="9854"/>
        <w:jc w:val="left"/>
      </w:pPr>
      <w:r>
        <w:rPr/>
        <w:t>是 医疗器械业</w:t>
      </w:r>
    </w:p>
    <w:tbl>
      <w:tblPr>
        <w:tblW w:w="0" w:type="auto"/>
        <w:jc w:val="left"/>
        <w:tblInd w:w="162" w:type="dxa"/>
        <w:tblLayout w:type="fixed"/>
        <w:tblCellMar>
          <w:top w:w="0" w:type="dxa"/>
          <w:left w:w="0" w:type="dxa"/>
          <w:bottom w:w="0" w:type="dxa"/>
          <w:right w:w="0" w:type="dxa"/>
        </w:tblCellMar>
        <w:tblLook w:val="01E0"/>
      </w:tblPr>
      <w:tblGrid>
        <w:gridCol w:w="1404"/>
        <w:gridCol w:w="1844"/>
        <w:gridCol w:w="1983"/>
        <w:gridCol w:w="2126"/>
        <w:gridCol w:w="2269"/>
      </w:tblGrid>
      <w:tr>
        <w:trPr>
          <w:trHeight w:val="68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09" w:right="605"/>
              <w:jc w:val="left"/>
              <w:rPr>
                <w:rFonts w:ascii="宋体" w:hAnsi="宋体" w:cs="宋体" w:eastAsia="宋体" w:hint="default"/>
                <w:sz w:val="18"/>
                <w:szCs w:val="18"/>
              </w:rPr>
            </w:pPr>
            <w:r>
              <w:rPr>
                <w:rFonts w:ascii="宋体" w:hAnsi="宋体" w:cs="宋体" w:eastAsia="宋体" w:hint="default"/>
                <w:sz w:val="18"/>
                <w:szCs w:val="18"/>
              </w:rPr>
              <w:t>占应收账款 总额的比例</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0" w:right="0"/>
              <w:jc w:val="left"/>
              <w:rPr>
                <w:rFonts w:ascii="宋体" w:hAnsi="宋体" w:cs="宋体" w:eastAsia="宋体" w:hint="default"/>
                <w:sz w:val="18"/>
                <w:szCs w:val="18"/>
              </w:rPr>
            </w:pPr>
            <w:r>
              <w:rPr>
                <w:rFonts w:ascii="宋体" w:hAnsi="宋体" w:cs="宋体" w:eastAsia="宋体" w:hint="default"/>
                <w:sz w:val="18"/>
                <w:szCs w:val="18"/>
              </w:rPr>
              <w:t>坏账准备金额</w:t>
            </w:r>
          </w:p>
        </w:tc>
      </w:tr>
      <w:tr>
        <w:trPr>
          <w:trHeight w:val="34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69,390,135.00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4.75%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8,192,992.27</w:t>
            </w:r>
          </w:p>
        </w:tc>
      </w:tr>
      <w:tr>
        <w:trPr>
          <w:trHeight w:val="34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46,337,147.25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3.17%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1,694,697.50</w:t>
            </w:r>
          </w:p>
        </w:tc>
      </w:tr>
      <w:tr>
        <w:trPr>
          <w:trHeight w:val="34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34,693,016.26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2.37%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14,019,216.01</w:t>
            </w:r>
          </w:p>
        </w:tc>
      </w:tr>
      <w:tr>
        <w:trPr>
          <w:trHeight w:val="34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32,845,057.92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2.25%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2,300,940.64</w:t>
            </w:r>
          </w:p>
        </w:tc>
      </w:tr>
      <w:tr>
        <w:trPr>
          <w:trHeight w:val="34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30,995,641.08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2.12%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654,828.17</w:t>
            </w:r>
          </w:p>
        </w:tc>
      </w:tr>
    </w:tbl>
    <w:p>
      <w:pPr>
        <w:pStyle w:val="BodyText"/>
        <w:spacing w:line="338" w:lineRule="auto" w:before="70"/>
        <w:ind w:left="513" w:right="7544" w:hanging="361"/>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38" w:lineRule="auto" w:before="43"/>
        <w:ind w:left="513" w:right="6824" w:hanging="361"/>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911"/>
        <w:gridCol w:w="1916"/>
        <w:gridCol w:w="1916"/>
        <w:gridCol w:w="1913"/>
        <w:gridCol w:w="1916"/>
      </w:tblGrid>
      <w:tr>
        <w:trPr>
          <w:trHeight w:val="402"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74,240,191.99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47,410,365.24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8" w:right="0"/>
              <w:jc w:val="lef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4,834,360.42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6.11%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79,074,552.41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47,410,365.24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513" w:right="3913" w:hanging="361"/>
        <w:jc w:val="left"/>
      </w:pPr>
      <w:r>
        <w:rPr/>
        <w:t>账龄超过</w:t>
      </w:r>
      <w:r>
        <w:rPr>
          <w:spacing w:val="-45"/>
        </w:rPr>
        <w:t> </w:t>
      </w:r>
      <w:r>
        <w:rPr>
          <w:rFonts w:ascii="Times New Roman" w:hAnsi="Times New Roman" w:cs="Times New Roman" w:eastAsia="Times New Roman" w:hint="default"/>
        </w:rPr>
        <w:t>1 </w:t>
      </w:r>
      <w:r>
        <w:rPr/>
        <w:t>年且金额重要的预付款项未及时结算原因的说明： 一年以上预付款为尚未执行完成的外协加工费、材料设备采购、服务合同预付款。</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25"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金额</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hAnsi="宋体" w:cs="宋体" w:eastAsia="宋体" w:hint="default"/>
                <w:sz w:val="18"/>
                <w:szCs w:val="18"/>
              </w:rPr>
              <w:t>占预付账款总额比例</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36,844,457.93</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z w:val="18"/>
              </w:rPr>
              <w:t>46.59%</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5,298,003.28</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6.70%</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3,556,395.22</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4.50%</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2,619,600.06</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3.31%</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1,922,082.15</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2.43%</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61,369.86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31,943,234.70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14,869,394.16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32,004,604.56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14,869,394.16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61,369.86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61,369.86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0" w:lineRule="auto" w:before="51"/>
        <w:ind w:left="513" w:right="9524" w:hanging="361"/>
        <w:jc w:val="left"/>
      </w:pPr>
      <w:r>
        <w:rPr>
          <w:rFonts w:ascii="Times New Roman" w:hAnsi="Times New Roman" w:cs="Times New Roman" w:eastAsia="Times New Roman" w:hint="default"/>
        </w:rPr>
        <w:t>2)</w:t>
      </w:r>
      <w:r>
        <w:rPr/>
        <w:t>重要逾期利息</w:t>
      </w:r>
      <w:r>
        <w:rPr>
          <w:w w:val="99"/>
        </w:rPr>
        <w:t> </w:t>
      </w:r>
      <w:r>
        <w:rPr/>
        <w:t>无</w:t>
      </w:r>
    </w:p>
    <w:p>
      <w:pPr>
        <w:spacing w:after="0" w:line="340" w:lineRule="auto"/>
        <w:jc w:val="left"/>
        <w:sectPr>
          <w:pgSz w:w="11910" w:h="16840"/>
          <w:pgMar w:header="0" w:footer="974" w:top="1100" w:bottom="1160" w:left="980" w:right="0"/>
        </w:sectPr>
      </w:pPr>
    </w:p>
    <w:p>
      <w:pPr>
        <w:pStyle w:val="BodyText"/>
        <w:spacing w:line="240" w:lineRule="auto" w:before="17"/>
        <w:ind w:left="0" w:right="133"/>
        <w:jc w:val="right"/>
      </w:pPr>
      <w:r>
        <w:rPr/>
        <w:t>深圳华大基因股份有限公司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p>
      <w:pPr>
        <w:spacing w:line="240" w:lineRule="auto" w:before="4"/>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3"/>
        <w:spacing w:line="240" w:lineRule="auto" w:before="36"/>
        <w:ind w:left="140" w:right="0"/>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40"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35"/>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4016"/>
        <w:gridCol w:w="1092"/>
        <w:gridCol w:w="701"/>
        <w:gridCol w:w="866"/>
        <w:gridCol w:w="776"/>
        <w:gridCol w:w="1092"/>
        <w:gridCol w:w="1090"/>
        <w:gridCol w:w="701"/>
        <w:gridCol w:w="778"/>
        <w:gridCol w:w="775"/>
        <w:gridCol w:w="1090"/>
      </w:tblGrid>
      <w:tr>
        <w:trPr>
          <w:trHeight w:val="401" w:hRule="exact"/>
        </w:trPr>
        <w:tc>
          <w:tcPr>
            <w:tcW w:w="4016" w:type="dxa"/>
            <w:tcBorders>
              <w:top w:val="single" w:sz="4" w:space="0" w:color="000000"/>
              <w:left w:val="single" w:sz="4" w:space="0" w:color="000000"/>
              <w:bottom w:val="nil" w:sz="6" w:space="0" w:color="auto"/>
              <w:right w:val="single" w:sz="4" w:space="0" w:color="000000"/>
            </w:tcBorders>
            <w:shd w:val="clear" w:color="auto" w:fill="D2D2D2"/>
          </w:tcPr>
          <w:p>
            <w:pPr/>
          </w:p>
        </w:tc>
        <w:tc>
          <w:tcPr>
            <w:tcW w:w="45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0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40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3"/>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3"/>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09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4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单项金额重大并单独计提坏账准备的其他应收款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14,226,000.00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44.39%</w:t>
            </w:r>
          </w:p>
        </w:tc>
        <w:tc>
          <w:tcPr>
            <w:tcW w:w="86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14,226,000.00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3,999,880.00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26.81%</w:t>
            </w:r>
          </w:p>
        </w:tc>
        <w:tc>
          <w:tcPr>
            <w:tcW w:w="77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3,999,880.00</w:t>
            </w:r>
          </w:p>
        </w:tc>
      </w:tr>
      <w:tr>
        <w:trPr>
          <w:trHeight w:val="401" w:hRule="exact"/>
        </w:trPr>
        <w:tc>
          <w:tcPr>
            <w:tcW w:w="4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按信用风险特征组合计提坏账准备的其他应收款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3,612,490.44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103,815.38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center"/>
              <w:rPr>
                <w:rFonts w:ascii="Times New Roman" w:hAnsi="Times New Roman" w:cs="Times New Roman" w:eastAsia="Times New Roman" w:hint="default"/>
                <w:sz w:val="18"/>
                <w:szCs w:val="18"/>
              </w:rPr>
            </w:pPr>
            <w:r>
              <w:rPr>
                <w:rFonts w:ascii="Times New Roman"/>
                <w:sz w:val="18"/>
              </w:rPr>
              <w:t>3,508,675.06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2,382,899.06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15.97%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51,887.77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2,331,011.29</w:t>
            </w:r>
          </w:p>
        </w:tc>
      </w:tr>
      <w:tr>
        <w:trPr>
          <w:trHeight w:val="403" w:hRule="exact"/>
        </w:trPr>
        <w:tc>
          <w:tcPr>
            <w:tcW w:w="4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单项金额不重大但单独计提坏账准备的其他应收款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14,208,559.64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44.34%</w:t>
            </w:r>
          </w:p>
        </w:tc>
        <w:tc>
          <w:tcPr>
            <w:tcW w:w="86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14,208,559.64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8,538,502.87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57.22%</w:t>
            </w:r>
          </w:p>
        </w:tc>
        <w:tc>
          <w:tcPr>
            <w:tcW w:w="77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8,538,502.87</w:t>
            </w:r>
          </w:p>
        </w:tc>
      </w:tr>
      <w:tr>
        <w:trPr>
          <w:trHeight w:val="401" w:hRule="exact"/>
        </w:trPr>
        <w:tc>
          <w:tcPr>
            <w:tcW w:w="4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32,047,050.08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103,815.38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31,943,234.70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14,921,281.93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51,887.77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14,869,394.16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before="76"/>
        <w:ind w:left="0" w:right="133"/>
        <w:jc w:val="right"/>
        <w:rPr>
          <w:rFonts w:ascii="Times New Roman" w:hAnsi="Times New Roman" w:cs="Times New Roman" w:eastAsia="Times New Roman" w:hint="default"/>
        </w:rPr>
      </w:pPr>
      <w:r>
        <w:rPr>
          <w:rFonts w:ascii="Times New Roman"/>
        </w:rPr>
        <w:t>199</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26"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44"/>
          <w:footerReference w:type="default" r:id="rId45"/>
          <w:pgSz w:w="16840" w:h="11910" w:orient="landscape"/>
          <w:pgMar w:header="0" w:footer="0" w:top="800" w:bottom="0" w:left="1300" w:right="1300"/>
        </w:sectPr>
      </w:pPr>
    </w:p>
    <w:p>
      <w:pPr>
        <w:spacing w:line="240" w:lineRule="auto" w:before="1"/>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footerReference w:type="default" r:id="rId46"/>
          <w:pgSz w:w="11910" w:h="16840"/>
          <w:pgMar w:footer="974" w:header="0" w:top="1100" w:bottom="1160" w:left="980" w:right="0"/>
          <w:pgNumType w:start="200"/>
        </w:sectPr>
      </w:pPr>
    </w:p>
    <w:p>
      <w:pPr>
        <w:pStyle w:val="BodyText"/>
        <w:spacing w:line="240" w:lineRule="auto" w:before="44"/>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6"/>
        <w:gridCol w:w="1916"/>
        <w:gridCol w:w="1913"/>
        <w:gridCol w:w="1916"/>
      </w:tblGrid>
      <w:tr>
        <w:trPr>
          <w:trHeight w:val="402"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1,226,000.00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经过减值测试，预计可 以收回</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80"/>
              <w:jc w:val="left"/>
              <w:rPr>
                <w:rFonts w:ascii="宋体" w:hAnsi="宋体" w:cs="宋体" w:eastAsia="宋体" w:hint="default"/>
                <w:sz w:val="18"/>
                <w:szCs w:val="18"/>
              </w:rPr>
            </w:pPr>
            <w:r>
              <w:rPr>
                <w:rFonts w:ascii="宋体" w:hAnsi="宋体" w:cs="宋体" w:eastAsia="宋体" w:hint="default"/>
                <w:sz w:val="18"/>
                <w:szCs w:val="18"/>
              </w:rPr>
              <w:t>经过减值测试，预计可 以收回</w:t>
            </w:r>
          </w:p>
        </w:tc>
      </w:tr>
      <w:tr>
        <w:trPr>
          <w:trHeight w:val="71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80"/>
              <w:jc w:val="left"/>
              <w:rPr>
                <w:rFonts w:ascii="宋体" w:hAnsi="宋体" w:cs="宋体" w:eastAsia="宋体" w:hint="default"/>
                <w:sz w:val="18"/>
                <w:szCs w:val="18"/>
              </w:rPr>
            </w:pPr>
            <w:r>
              <w:rPr>
                <w:rFonts w:ascii="宋体" w:hAnsi="宋体" w:cs="宋体" w:eastAsia="宋体" w:hint="default"/>
                <w:sz w:val="18"/>
                <w:szCs w:val="18"/>
              </w:rPr>
              <w:t>经过减值测试，预计可 以收回</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80"/>
              <w:jc w:val="left"/>
              <w:rPr>
                <w:rFonts w:ascii="宋体" w:hAnsi="宋体" w:cs="宋体" w:eastAsia="宋体" w:hint="default"/>
                <w:sz w:val="18"/>
                <w:szCs w:val="18"/>
              </w:rPr>
            </w:pPr>
            <w:r>
              <w:rPr>
                <w:rFonts w:ascii="宋体" w:hAnsi="宋体" w:cs="宋体" w:eastAsia="宋体" w:hint="default"/>
                <w:sz w:val="18"/>
                <w:szCs w:val="18"/>
              </w:rPr>
              <w:t>经过减值测试，预计可 以收回</w:t>
            </w:r>
          </w:p>
        </w:tc>
      </w:tr>
      <w:tr>
        <w:trPr>
          <w:trHeight w:val="71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经过减值测试，预计可 以收回</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80"/>
              <w:jc w:val="left"/>
              <w:rPr>
                <w:rFonts w:ascii="宋体" w:hAnsi="宋体" w:cs="宋体" w:eastAsia="宋体" w:hint="default"/>
                <w:sz w:val="18"/>
                <w:szCs w:val="18"/>
              </w:rPr>
            </w:pPr>
            <w:r>
              <w:rPr>
                <w:rFonts w:ascii="宋体" w:hAnsi="宋体" w:cs="宋体" w:eastAsia="宋体" w:hint="default"/>
                <w:sz w:val="18"/>
                <w:szCs w:val="18"/>
              </w:rPr>
              <w:t>经过减值测试，预计可 以收回</w:t>
            </w:r>
          </w:p>
        </w:tc>
      </w:tr>
      <w:tr>
        <w:trPr>
          <w:trHeight w:val="71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经过减值测试，预计可 以收回</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80"/>
              <w:jc w:val="left"/>
              <w:rPr>
                <w:rFonts w:ascii="宋体" w:hAnsi="宋体" w:cs="宋体" w:eastAsia="宋体" w:hint="default"/>
                <w:sz w:val="18"/>
                <w:szCs w:val="18"/>
              </w:rPr>
            </w:pPr>
            <w:r>
              <w:rPr>
                <w:rFonts w:ascii="宋体" w:hAnsi="宋体" w:cs="宋体" w:eastAsia="宋体" w:hint="default"/>
                <w:sz w:val="18"/>
                <w:szCs w:val="18"/>
              </w:rPr>
              <w:t>经过减值测试，预计可 以收回</w:t>
            </w:r>
          </w:p>
        </w:tc>
      </w:tr>
      <w:tr>
        <w:trPr>
          <w:trHeight w:val="71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经过减值测试，预计可 以收回</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80"/>
              <w:jc w:val="left"/>
              <w:rPr>
                <w:rFonts w:ascii="宋体" w:hAnsi="宋体" w:cs="宋体" w:eastAsia="宋体" w:hint="default"/>
                <w:sz w:val="18"/>
                <w:szCs w:val="18"/>
              </w:rPr>
            </w:pPr>
            <w:r>
              <w:rPr>
                <w:rFonts w:ascii="宋体" w:hAnsi="宋体" w:cs="宋体" w:eastAsia="宋体" w:hint="default"/>
                <w:sz w:val="18"/>
                <w:szCs w:val="18"/>
              </w:rPr>
              <w:t>经过减值测试，预计可 以收回</w:t>
            </w:r>
          </w:p>
        </w:tc>
      </w:tr>
      <w:tr>
        <w:trPr>
          <w:trHeight w:val="71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经过减值测试，预计可 以收回</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0"/>
              <w:jc w:val="left"/>
              <w:rPr>
                <w:rFonts w:ascii="宋体" w:hAnsi="宋体" w:cs="宋体" w:eastAsia="宋体" w:hint="default"/>
                <w:sz w:val="18"/>
                <w:szCs w:val="18"/>
              </w:rPr>
            </w:pPr>
            <w:r>
              <w:rPr>
                <w:rFonts w:ascii="宋体" w:hAnsi="宋体" w:cs="宋体" w:eastAsia="宋体" w:hint="default"/>
                <w:sz w:val="18"/>
                <w:szCs w:val="18"/>
              </w:rPr>
              <w:t>经过减值测试，预计可 以收回</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14,226,000.00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3,128,971.99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31,289.72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289,780.28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28,978.03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187,738.17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37,547.63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3,612,490.44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103,815.38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2.87%</w:t>
            </w:r>
          </w:p>
        </w:tc>
      </w:tr>
    </w:tbl>
    <w:p>
      <w:pPr>
        <w:pStyle w:val="BodyText"/>
        <w:spacing w:line="357" w:lineRule="auto" w:before="51"/>
        <w:ind w:left="441" w:right="1285" w:hanging="289"/>
        <w:jc w:val="left"/>
      </w:pPr>
      <w:r>
        <w:rPr/>
        <w:t>确定该组合依据的说明： 对于单项金额重大未单独计提坏账准备及单项金额不重大未单独计提坏账准备的其他应收款，公司以账龄作为信用风</w:t>
      </w:r>
    </w:p>
    <w:p>
      <w:pPr>
        <w:pStyle w:val="BodyText"/>
        <w:spacing w:line="224" w:lineRule="exact"/>
        <w:ind w:right="1133"/>
        <w:jc w:val="left"/>
      </w:pPr>
      <w:r>
        <w:rPr/>
        <w:t>险特征，并采用账龄分析法对其他应收款计提坏账准备。</w:t>
      </w:r>
    </w:p>
    <w:p>
      <w:pPr>
        <w:pStyle w:val="BodyText"/>
        <w:spacing w:line="240" w:lineRule="auto" w:before="117"/>
        <w:ind w:right="1133"/>
        <w:jc w:val="left"/>
      </w:pPr>
      <w:r>
        <w:rPr/>
        <w:t>组合中，采用余额百分比法计提坏账准备的其他应收款：</w:t>
      </w:r>
    </w:p>
    <w:p>
      <w:pPr>
        <w:pStyle w:val="BodyText"/>
        <w:spacing w:line="340" w:lineRule="auto" w:before="115"/>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133"/>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left="513" w:right="1133"/>
        <w:jc w:val="left"/>
      </w:pPr>
      <w:r>
        <w:rPr/>
        <w:t>本期计提坏账准备金额</w:t>
      </w:r>
      <w:r>
        <w:rPr>
          <w:spacing w:val="-47"/>
        </w:rPr>
        <w:t> </w:t>
      </w:r>
      <w:r>
        <w:rPr>
          <w:rFonts w:ascii="Times New Roman" w:hAnsi="Times New Roman" w:cs="Times New Roman" w:eastAsia="Times New Roman" w:hint="default"/>
        </w:rPr>
        <w:t>51,927.61</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pStyle w:val="BodyText"/>
        <w:spacing w:line="316" w:lineRule="auto" w:before="103"/>
        <w:ind w:left="513" w:right="8054" w:hanging="361"/>
        <w:jc w:val="left"/>
      </w:pPr>
      <w:r>
        <w:rPr>
          <w:rFonts w:ascii="宋体" w:hAnsi="宋体" w:cs="宋体" w:eastAsia="宋体" w:hint="default"/>
        </w:rPr>
        <w:t>3)</w:t>
      </w:r>
      <w:r>
        <w:rPr/>
        <w:t>本期实际核销的其他应收款情况 无</w:t>
      </w:r>
    </w:p>
    <w:p>
      <w:pPr>
        <w:pStyle w:val="BodyText"/>
        <w:spacing w:line="240" w:lineRule="auto" w:before="59"/>
        <w:ind w:right="1133"/>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28,434,559.64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12,760,284.96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员工借款、备用金等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1,340,991.79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1,228,983.04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2,271,498.65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932,013.93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32,047,050.08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14,921,281.93</w:t>
            </w:r>
          </w:p>
        </w:tc>
      </w:tr>
    </w:tbl>
    <w:p>
      <w:pPr>
        <w:pStyle w:val="BodyText"/>
        <w:spacing w:line="240" w:lineRule="auto" w:before="51"/>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4"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9.36%</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1,599,880.00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4.99%</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8,999,880.00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28.07%</w:t>
            </w:r>
          </w:p>
        </w:tc>
        <w:tc>
          <w:tcPr>
            <w:tcW w:w="15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513" w:right="8624" w:hanging="361"/>
        <w:jc w:val="left"/>
      </w:pPr>
      <w:r>
        <w:rPr>
          <w:rFonts w:ascii="Times New Roman" w:hAnsi="Times New Roman" w:cs="Times New Roman" w:eastAsia="Times New Roman" w:hint="default"/>
        </w:rPr>
        <w:t>6)</w:t>
      </w:r>
      <w:r>
        <w:rPr/>
        <w:t>涉及政府补助的应收款项</w:t>
      </w:r>
      <w:r>
        <w:rPr>
          <w:w w:val="99"/>
        </w:rPr>
        <w:t> </w:t>
      </w:r>
      <w:r>
        <w:rPr/>
        <w:t>无</w:t>
      </w:r>
    </w:p>
    <w:p>
      <w:pPr>
        <w:pStyle w:val="BodyText"/>
        <w:spacing w:line="316" w:lineRule="auto" w:before="2"/>
        <w:ind w:left="513" w:right="7334" w:hanging="361"/>
        <w:jc w:val="left"/>
      </w:pPr>
      <w:r>
        <w:rPr>
          <w:rFonts w:ascii="宋体" w:hAnsi="宋体" w:cs="宋体" w:eastAsia="宋体" w:hint="default"/>
        </w:rPr>
        <w:t>7)</w:t>
      </w:r>
      <w:r>
        <w:rPr/>
        <w:t>因金融资产转移而终止确认的其他应收款 无</w:t>
      </w:r>
    </w:p>
    <w:p>
      <w:pPr>
        <w:pStyle w:val="BodyText"/>
        <w:spacing w:line="340" w:lineRule="auto" w:before="59"/>
        <w:ind w:left="513" w:right="6644" w:hanging="361"/>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spacing w:after="0" w:line="340" w:lineRule="auto"/>
        <w:jc w:val="left"/>
        <w:sectPr>
          <w:pgSz w:w="11910" w:h="16840"/>
          <w:pgMar w:header="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514"/>
        <w:jc w:val="left"/>
      </w:pPr>
      <w:r>
        <w:rPr/>
        <w:t>公司是否需要遵守房地产行业的披露要求 否</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141,720,754.85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141,720,754.85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93,394,487.61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93,394,487.61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9,707,739.45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9,707,739.45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26,191,723.71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26,191,723.71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71,730,251.66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71,730,251.66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18,010,084.05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18,010,084.05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18,747,567.94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18,747,567.94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985,860.13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985,860.13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241,906,313.90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241,906,313.90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138,582,155.50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138,582,155.50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2" w:firstLine="360"/>
        <w:jc w:val="left"/>
      </w:pPr>
      <w:r>
        <w:rPr/>
        <w:t>本期存货可变现净值的具体依据为以资产预计售价减去进一步加工成本和预计销售费用以及相关</w:t>
      </w:r>
      <w:r>
        <w:rPr>
          <w:spacing w:val="2"/>
        </w:rPr>
        <w:t> </w:t>
      </w:r>
      <w:r>
        <w:rPr/>
        <w:t>税费后的净值。本期</w:t>
      </w:r>
      <w:r>
        <w:rPr/>
        <w:t> 无转回或转销存货跌价准备。</w:t>
      </w:r>
    </w:p>
    <w:p>
      <w:pPr>
        <w:spacing w:line="240" w:lineRule="auto" w:before="6"/>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w:t>
      </w:r>
      <w:r>
        <w:rPr/>
        <w:t>、其他流动资产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654"/>
        <w:gridCol w:w="2835"/>
        <w:gridCol w:w="3082"/>
      </w:tblGrid>
      <w:tr>
        <w:trPr>
          <w:trHeight w:val="401"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5,154,660.64</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3,423,363.28</w:t>
            </w:r>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53,051,940.20</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23,381,340.87</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23,378,573.60</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12,555,329.18</w:t>
            </w:r>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预缴所得税额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7,231,849.89</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23,681,539.79</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一年内到期的银行理财产品及利息（注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466,281,788.79</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1,755,610,330.49</w:t>
            </w:r>
          </w:p>
        </w:tc>
      </w:tr>
      <w:tr>
        <w:trPr>
          <w:trHeight w:val="40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受限资产</w:t>
            </w:r>
          </w:p>
        </w:tc>
        <w:tc>
          <w:tcPr>
            <w:tcW w:w="2835"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28,750,480.00</w:t>
            </w:r>
          </w:p>
        </w:tc>
      </w:tr>
      <w:tr>
        <w:trPr>
          <w:trHeight w:val="40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可转债（注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39,081,927.42</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9,057,196.00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654"/>
        <w:gridCol w:w="2835"/>
        <w:gridCol w:w="3082"/>
      </w:tblGrid>
      <w:tr>
        <w:trPr>
          <w:trHeight w:val="404"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77" w:right="0"/>
              <w:jc w:val="left"/>
              <w:rPr>
                <w:rFonts w:ascii="Times New Roman" w:hAnsi="Times New Roman" w:cs="Times New Roman" w:eastAsia="Times New Roman" w:hint="default"/>
                <w:sz w:val="18"/>
                <w:szCs w:val="18"/>
              </w:rPr>
            </w:pPr>
            <w:r>
              <w:rPr>
                <w:rFonts w:ascii="Times New Roman"/>
                <w:sz w:val="18"/>
              </w:rPr>
              <w:t>594,180,740.54</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788" w:right="0"/>
              <w:jc w:val="left"/>
              <w:rPr>
                <w:rFonts w:ascii="Times New Roman" w:hAnsi="Times New Roman" w:cs="Times New Roman" w:eastAsia="Times New Roman" w:hint="default"/>
                <w:sz w:val="18"/>
                <w:szCs w:val="18"/>
              </w:rPr>
            </w:pPr>
            <w:r>
              <w:rPr>
                <w:rFonts w:ascii="Times New Roman"/>
                <w:sz w:val="18"/>
              </w:rPr>
              <w:t>1,856,459,579.61</w:t>
            </w:r>
          </w:p>
        </w:tc>
      </w:tr>
    </w:tbl>
    <w:p>
      <w:pPr>
        <w:pStyle w:val="BodyText"/>
        <w:spacing w:line="240" w:lineRule="auto" w:before="51"/>
        <w:ind w:right="1133"/>
        <w:jc w:val="left"/>
      </w:pPr>
      <w:r>
        <w:rPr/>
        <w:t>其他说明：</w:t>
      </w:r>
    </w:p>
    <w:p>
      <w:pPr>
        <w:pStyle w:val="BodyText"/>
        <w:spacing w:line="300" w:lineRule="auto" w:before="115"/>
        <w:ind w:left="513" w:right="1622"/>
        <w:jc w:val="left"/>
        <w:rPr>
          <w:rFonts w:ascii="Times New Roman" w:hAnsi="Times New Roman" w:cs="Times New Roman" w:eastAsia="Times New Roman" w:hint="default"/>
        </w:rPr>
      </w:pPr>
      <w:r>
        <w:rPr/>
        <w:t>注</w:t>
      </w:r>
      <w:r>
        <w:rPr>
          <w:rFonts w:ascii="Times New Roman" w:hAnsi="Times New Roman" w:cs="Times New Roman" w:eastAsia="Times New Roman" w:hint="default"/>
        </w:rPr>
        <w:t>1</w:t>
      </w:r>
      <w:r>
        <w:rPr/>
        <w:t>：该一年内到期的银行理财产品及利息包括保本型理财产品以及非保本理财产品。 注</w:t>
      </w:r>
      <w:r>
        <w:rPr>
          <w:rFonts w:ascii="Times New Roman" w:hAnsi="Times New Roman" w:cs="Times New Roman" w:eastAsia="Times New Roman" w:hint="default"/>
        </w:rPr>
        <w:t>2</w:t>
      </w:r>
      <w:r>
        <w:rPr/>
        <w:t>：可转债为公司对深圳市早知道科技有限公司投资的</w:t>
      </w:r>
      <w:r>
        <w:rPr>
          <w:rFonts w:ascii="Times New Roman" w:hAnsi="Times New Roman" w:cs="Times New Roman" w:eastAsia="Times New Roman" w:hint="default"/>
        </w:rPr>
        <w:t>35,000,000.00</w:t>
      </w:r>
      <w:r>
        <w:rPr/>
        <w:t>元人民币的可转股借款及对</w:t>
      </w:r>
      <w:r>
        <w:rPr>
          <w:rFonts w:ascii="Times New Roman" w:hAnsi="Times New Roman" w:cs="Times New Roman" w:eastAsia="Times New Roman" w:hint="default"/>
        </w:rPr>
        <w:t>ESPERITE</w:t>
      </w:r>
      <w:r>
        <w:rPr>
          <w:rFonts w:ascii="Times New Roman" w:hAnsi="Times New Roman" w:cs="Times New Roman" w:eastAsia="Times New Roman" w:hint="default"/>
          <w:spacing w:val="-4"/>
        </w:rPr>
        <w:t> </w:t>
      </w:r>
      <w:r>
        <w:rPr>
          <w:rFonts w:ascii="Times New Roman" w:hAnsi="Times New Roman" w:cs="Times New Roman" w:eastAsia="Times New Roman" w:hint="default"/>
        </w:rPr>
        <w:t>N.V</w:t>
      </w:r>
    </w:p>
    <w:p>
      <w:pPr>
        <w:spacing w:line="274" w:lineRule="exact"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20"/>
          <w:szCs w:val="20"/>
        </w:rPr>
        <w:t>520,000.00</w:t>
      </w:r>
      <w:r>
        <w:rPr>
          <w:rFonts w:ascii="宋体" w:hAnsi="宋体" w:cs="宋体" w:eastAsia="宋体" w:hint="default"/>
          <w:sz w:val="20"/>
          <w:szCs w:val="20"/>
        </w:rPr>
        <w:t>欧元</w:t>
      </w:r>
      <w:r>
        <w:rPr>
          <w:rFonts w:ascii="宋体" w:hAnsi="宋体" w:cs="宋体" w:eastAsia="宋体" w:hint="default"/>
          <w:sz w:val="18"/>
          <w:szCs w:val="18"/>
        </w:rPr>
        <w:t>的可转债。</w:t>
      </w:r>
    </w:p>
    <w:p>
      <w:pPr>
        <w:spacing w:line="240" w:lineRule="auto" w:before="1"/>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000"/>
        <w:gridCol w:w="1229"/>
        <w:gridCol w:w="1133"/>
        <w:gridCol w:w="1227"/>
        <w:gridCol w:w="1248"/>
        <w:gridCol w:w="1366"/>
        <w:gridCol w:w="1368"/>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250,978,298.59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250,978,298.59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206,391,334.95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206,391,334.95</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46,105,389.12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46,105,389.12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74,818,425.48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74,818,425.48</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204,872,909.47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204,872,909.47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131,572,909.47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131,572,909.47</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250,978,298.59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250,978,298.59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206,391,334.95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206,391,334.95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3"/>
        <w:gridCol w:w="2590"/>
        <w:gridCol w:w="2410"/>
        <w:gridCol w:w="2554"/>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34,244,071.46</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34,244,071.46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46,105,389.12</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46,105,389.12</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11,861,317.66</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11,861,317.66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0"/>
        <w:rPr>
          <w:rFonts w:ascii="宋体" w:hAnsi="宋体" w:cs="宋体" w:eastAsia="宋体" w:hint="default"/>
          <w:sz w:val="24"/>
          <w:szCs w:val="24"/>
        </w:rPr>
      </w:pPr>
    </w:p>
    <w:p>
      <w:pPr>
        <w:pStyle w:val="Heading3"/>
        <w:spacing w:line="240" w:lineRule="auto"/>
        <w:ind w:left="140" w:right="0"/>
        <w:jc w:val="left"/>
        <w:rPr>
          <w:b w:val="0"/>
          <w:bCs w:val="0"/>
        </w:rPr>
      </w:pPr>
      <w:r>
        <w:rPr/>
        <w:pict>
          <v:group style="position:absolute;margin-left:70.559998pt;margin-top:-.476309pt;width:700.95pt;height:.1pt;mso-position-horizontal-relative:page;mso-position-vertical-relative:paragraph;z-index:2632" coordorigin="1411,-10" coordsize="14019,2">
            <v:shape style="position:absolute;left:1411;top:-10;width:14019;height:2" coordorigin="1411,-10" coordsize="14019,0" path="m1411,-10l15430,-10e" filled="false" stroked="true" strokeweight=".72pt" strokecolor="#000000">
              <v:path arrowok="t"/>
            </v:shape>
            <w10:wrap type="none"/>
          </v:group>
        </w:pict>
      </w:r>
      <w:r>
        <w:rPr>
          <w:spacing w:val="-1"/>
        </w:rPr>
        <w:t>（</w:t>
      </w:r>
      <w:r>
        <w:rPr>
          <w:rFonts w:ascii="Times New Roman" w:hAnsi="Times New Roman" w:cs="Times New Roman" w:eastAsia="Times New Roman" w:hint="default"/>
          <w:spacing w:val="-1"/>
        </w:rPr>
        <w:t>3</w:t>
      </w:r>
      <w:r>
        <w:rPr>
          <w:spacing w:val="-1"/>
        </w:rPr>
        <w:t>）期末按成本计量的可供出售金融资产</w:t>
      </w:r>
      <w:r>
        <w:rPr>
          <w:b w:val="0"/>
          <w:bCs w:val="0"/>
          <w:spacing w:val="-1"/>
        </w:rPr>
      </w:r>
    </w:p>
    <w:p>
      <w:pPr>
        <w:pStyle w:val="BodyText"/>
        <w:spacing w:line="240" w:lineRule="auto" w:before="17"/>
        <w:ind w:left="140" w:right="0"/>
        <w:jc w:val="left"/>
      </w:pPr>
      <w:r>
        <w:rPr/>
        <w:br w:type="column"/>
      </w:r>
      <w:r>
        <w:rPr/>
        <w:t>深圳华大基因股份有限公司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47"/>
          <w:footerReference w:type="default" r:id="rId48"/>
          <w:pgSz w:w="16840" w:h="11910" w:orient="landscape"/>
          <w:pgMar w:header="0" w:footer="0" w:top="800" w:bottom="0" w:left="1300" w:right="1300"/>
          <w:cols w:num="2" w:equalWidth="0">
            <w:col w:w="4044" w:space="6046"/>
            <w:col w:w="4150"/>
          </w:cols>
        </w:sectPr>
      </w:pPr>
    </w:p>
    <w:p>
      <w:pPr>
        <w:spacing w:line="240" w:lineRule="auto" w:before="1"/>
        <w:rPr>
          <w:rFonts w:ascii="宋体" w:hAnsi="宋体" w:cs="宋体" w:eastAsia="宋体" w:hint="default"/>
          <w:sz w:val="23"/>
          <w:szCs w:val="23"/>
        </w:rPr>
      </w:pPr>
    </w:p>
    <w:p>
      <w:pPr>
        <w:pStyle w:val="BodyText"/>
        <w:spacing w:line="240" w:lineRule="auto" w:before="44"/>
        <w:ind w:left="0" w:right="135"/>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4775"/>
        <w:gridCol w:w="1181"/>
        <w:gridCol w:w="1092"/>
        <w:gridCol w:w="715"/>
        <w:gridCol w:w="1181"/>
        <w:gridCol w:w="396"/>
        <w:gridCol w:w="716"/>
        <w:gridCol w:w="718"/>
        <w:gridCol w:w="396"/>
        <w:gridCol w:w="1716"/>
        <w:gridCol w:w="1037"/>
      </w:tblGrid>
      <w:tr>
        <w:trPr>
          <w:trHeight w:val="401" w:hRule="exact"/>
        </w:trPr>
        <w:tc>
          <w:tcPr>
            <w:tcW w:w="4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41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760" w:right="43" w:hanging="720"/>
              <w:jc w:val="left"/>
              <w:rPr>
                <w:rFonts w:ascii="宋体" w:hAnsi="宋体" w:cs="宋体" w:eastAsia="宋体" w:hint="default"/>
                <w:sz w:val="18"/>
                <w:szCs w:val="18"/>
              </w:rPr>
            </w:pPr>
            <w:r>
              <w:rPr>
                <w:rFonts w:ascii="宋体" w:hAnsi="宋体" w:cs="宋体" w:eastAsia="宋体" w:hint="default"/>
                <w:sz w:val="18"/>
                <w:szCs w:val="18"/>
              </w:rPr>
              <w:t>在被投资单位持股比 例</w:t>
            </w:r>
          </w:p>
        </w:tc>
        <w:tc>
          <w:tcPr>
            <w:tcW w:w="10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422" w:right="63" w:hanging="361"/>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715" w:hRule="exact"/>
        </w:trPr>
        <w:tc>
          <w:tcPr>
            <w:tcW w:w="4775"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1" w:right="83"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期 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4" w:right="8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4" w:right="83"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103"/>
              <w:jc w:val="left"/>
              <w:rPr>
                <w:rFonts w:ascii="宋体" w:hAnsi="宋体" w:cs="宋体" w:eastAsia="宋体" w:hint="default"/>
                <w:sz w:val="18"/>
                <w:szCs w:val="18"/>
              </w:rPr>
            </w:pPr>
            <w:r>
              <w:rPr>
                <w:rFonts w:ascii="宋体" w:hAnsi="宋体" w:cs="宋体" w:eastAsia="宋体" w:hint="default"/>
                <w:sz w:val="18"/>
                <w:szCs w:val="18"/>
              </w:rPr>
              <w:t>期 末</w:t>
            </w:r>
          </w:p>
        </w:tc>
        <w:tc>
          <w:tcPr>
            <w:tcW w:w="1716" w:type="dxa"/>
            <w:vMerge/>
            <w:tcBorders>
              <w:left w:val="single" w:sz="4" w:space="0" w:color="000000"/>
              <w:bottom w:val="single" w:sz="4" w:space="0" w:color="000000"/>
              <w:right w:val="single" w:sz="4" w:space="0" w:color="000000"/>
            </w:tcBorders>
            <w:shd w:val="clear" w:color="auto" w:fill="D2D2D2"/>
          </w:tcPr>
          <w:p>
            <w:pPr/>
          </w:p>
        </w:tc>
        <w:tc>
          <w:tcPr>
            <w:tcW w:w="103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4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北京吉因加科技有限公司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北京吉因加</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7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128,000,000.00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7.51%</w:t>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47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1"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苏州工业园区薄荷创业投资合伙企业（有限合伙）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苏州薄 荷</w:t>
            </w:r>
            <w:r>
              <w:rPr>
                <w:rFonts w:ascii="Times New Roman" w:hAnsi="Times New Roman" w:cs="Times New Roman" w:eastAsia="Times New Roman" w:hint="default"/>
                <w:sz w:val="18"/>
                <w:szCs w:val="18"/>
              </w:rPr>
              <w:t>”) (2)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20,464,269.00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9,625,000.00</w:t>
            </w:r>
          </w:p>
        </w:tc>
        <w:tc>
          <w:tcPr>
            <w:tcW w:w="7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30,089,269.00</w:t>
            </w:r>
          </w:p>
        </w:tc>
        <w:tc>
          <w:tcPr>
            <w:tcW w:w="39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14.90%</w:t>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辽宁何氏眼科医院股份有限公司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何氏眼科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0.91%</w:t>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北京聚道科技有限公司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北京聚道</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(4)</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11,125,000.00</w:t>
            </w:r>
          </w:p>
        </w:tc>
        <w:tc>
          <w:tcPr>
            <w:tcW w:w="7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11,125,000.00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5.13%</w:t>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Congenica Limited</w:t>
            </w:r>
            <w:r>
              <w:rPr>
                <w:rFonts w:ascii="Times New Roman"/>
                <w:spacing w:val="-5"/>
                <w:sz w:val="18"/>
              </w:rPr>
              <w:t> </w:t>
            </w:r>
            <w:r>
              <w:rPr>
                <w:rFonts w:ascii="Times New Roman"/>
                <w:sz w:val="18"/>
              </w:rPr>
              <w:t>(5)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8,108,640.47</w:t>
            </w:r>
          </w:p>
        </w:tc>
        <w:tc>
          <w:tcPr>
            <w:tcW w:w="1092"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8,108,640.47</w:t>
            </w:r>
          </w:p>
        </w:tc>
        <w:tc>
          <w:tcPr>
            <w:tcW w:w="39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3.65%</w:t>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北京量化健康科技有限公司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量化健康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3.33%</w:t>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康美华大基因技术有限公司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康美华大</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(7)</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2,550,000.00</w:t>
            </w:r>
          </w:p>
        </w:tc>
        <w:tc>
          <w:tcPr>
            <w:tcW w:w="7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2,550,000.00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131,572,909.47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73,300,000.00</w:t>
            </w:r>
          </w:p>
        </w:tc>
        <w:tc>
          <w:tcPr>
            <w:tcW w:w="7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204,872,909.47</w:t>
            </w:r>
          </w:p>
        </w:tc>
        <w:tc>
          <w:tcPr>
            <w:tcW w:w="39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76"/>
        <w:ind w:left="0" w:right="133"/>
        <w:jc w:val="right"/>
        <w:rPr>
          <w:rFonts w:ascii="Times New Roman" w:hAnsi="Times New Roman" w:cs="Times New Roman" w:eastAsia="Times New Roman" w:hint="default"/>
        </w:rPr>
      </w:pPr>
      <w:r>
        <w:rPr>
          <w:rFonts w:ascii="Times New Roman"/>
        </w:rPr>
        <w:t>204</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26"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30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firstLine="360"/>
        <w:jc w:val="both"/>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0"/>
        <w:jc w:val="both"/>
      </w:pPr>
      <w:r>
        <w:rPr/>
        <w:t>其他说明：</w:t>
      </w:r>
    </w:p>
    <w:p>
      <w:pPr>
        <w:pStyle w:val="BodyText"/>
        <w:spacing w:line="240" w:lineRule="auto" w:before="118"/>
        <w:ind w:left="513" w:right="986"/>
        <w:jc w:val="left"/>
      </w:pPr>
      <w:r>
        <w:rPr/>
        <w:t>（</w:t>
      </w:r>
      <w:r>
        <w:rPr>
          <w:rFonts w:ascii="宋体" w:hAnsi="宋体" w:cs="宋体" w:eastAsia="宋体" w:hint="default"/>
        </w:rPr>
        <w:t>1</w:t>
      </w:r>
      <w:r>
        <w:rPr/>
        <w:t>）北京吉因加成立于</w:t>
      </w:r>
      <w:r>
        <w:rPr>
          <w:rFonts w:ascii="宋体" w:hAnsi="宋体" w:cs="宋体" w:eastAsia="宋体" w:hint="default"/>
        </w:rPr>
        <w:t>2015</w:t>
      </w:r>
      <w:r>
        <w:rPr/>
        <w:t>年</w:t>
      </w:r>
      <w:r>
        <w:rPr>
          <w:rFonts w:ascii="宋体" w:hAnsi="宋体" w:cs="宋体" w:eastAsia="宋体" w:hint="default"/>
        </w:rPr>
        <w:t>4</w:t>
      </w:r>
      <w:r>
        <w:rPr/>
        <w:t>月，公司于</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31</w:t>
      </w:r>
      <w:r>
        <w:rPr/>
        <w:t>日与北京吉因加之股东北京吉因家股权投资企业（有限合伙）</w:t>
      </w:r>
    </w:p>
    <w:p>
      <w:pPr>
        <w:pStyle w:val="BodyText"/>
        <w:spacing w:line="316" w:lineRule="auto" w:before="76"/>
        <w:ind w:right="1131"/>
        <w:jc w:val="both"/>
      </w:pPr>
      <w:r>
        <w:rPr>
          <w:spacing w:val="-2"/>
        </w:rPr>
        <w:t>（以下简称“北京吉因家”）和深圳吉因加投资有限公司（以下简称“深圳吉因加”）签订《投资协议》，约定公司以现金</w:t>
      </w:r>
      <w:r>
        <w:rPr>
          <w:spacing w:val="-69"/>
        </w:rPr>
        <w:t> </w:t>
      </w:r>
      <w:r>
        <w:rPr>
          <w:spacing w:val="-69"/>
        </w:rPr>
      </w:r>
      <w:r>
        <w:rPr>
          <w:spacing w:val="-2"/>
        </w:rPr>
        <w:t>人民币</w:t>
      </w:r>
      <w:r>
        <w:rPr>
          <w:rFonts w:ascii="宋体" w:hAnsi="宋体" w:cs="宋体" w:eastAsia="宋体" w:hint="default"/>
          <w:spacing w:val="-2"/>
        </w:rPr>
        <w:t>78,000,000.00</w:t>
      </w:r>
      <w:r>
        <w:rPr>
          <w:spacing w:val="-2"/>
        </w:rPr>
        <w:t>元增资的方式，取得北京吉因加之</w:t>
      </w:r>
      <w:r>
        <w:rPr>
          <w:rFonts w:ascii="宋体" w:hAnsi="宋体" w:cs="宋体" w:eastAsia="宋体" w:hint="default"/>
          <w:spacing w:val="-2"/>
        </w:rPr>
        <w:t>4.94%</w:t>
      </w:r>
      <w:r>
        <w:rPr>
          <w:spacing w:val="-2"/>
        </w:rPr>
        <w:t>股权；公司于</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21</w:t>
      </w:r>
      <w:r>
        <w:rPr>
          <w:spacing w:val="-2"/>
        </w:rPr>
        <w:t>日与北京吉因家和深圳吉因加再次</w:t>
      </w:r>
      <w:r>
        <w:rPr>
          <w:spacing w:val="-49"/>
        </w:rPr>
        <w:t> </w:t>
      </w:r>
      <w:r>
        <w:rPr>
          <w:spacing w:val="-49"/>
        </w:rPr>
      </w:r>
      <w:r>
        <w:rPr/>
        <w:t>签订《投资协议》，约定公司以现金人民币</w:t>
      </w:r>
      <w:r>
        <w:rPr>
          <w:rFonts w:ascii="宋体" w:hAnsi="宋体" w:cs="宋体" w:eastAsia="宋体" w:hint="default"/>
        </w:rPr>
        <w:t>50,000,000.00</w:t>
      </w:r>
      <w:r>
        <w:rPr/>
        <w:t>元对其增资，增资后合计持有</w:t>
      </w:r>
      <w:r>
        <w:rPr>
          <w:rFonts w:ascii="宋体" w:hAnsi="宋体" w:cs="宋体" w:eastAsia="宋体" w:hint="default"/>
        </w:rPr>
        <w:t>7.51%</w:t>
      </w:r>
      <w:r>
        <w:rPr/>
        <w:t>股权份额。</w:t>
      </w:r>
    </w:p>
    <w:p>
      <w:pPr>
        <w:spacing w:line="240" w:lineRule="auto" w:before="4"/>
        <w:rPr>
          <w:rFonts w:ascii="宋体" w:hAnsi="宋体" w:cs="宋体" w:eastAsia="宋体" w:hint="default"/>
          <w:sz w:val="25"/>
          <w:szCs w:val="25"/>
        </w:rPr>
      </w:pPr>
    </w:p>
    <w:p>
      <w:pPr>
        <w:pStyle w:val="BodyText"/>
        <w:spacing w:line="316" w:lineRule="auto"/>
        <w:ind w:right="1128" w:firstLine="360"/>
        <w:jc w:val="both"/>
      </w:pPr>
      <w:r>
        <w:rPr>
          <w:spacing w:val="-2"/>
        </w:rPr>
        <w:t>（</w:t>
      </w:r>
      <w:r>
        <w:rPr>
          <w:rFonts w:ascii="宋体" w:hAnsi="宋体" w:cs="宋体" w:eastAsia="宋体" w:hint="default"/>
          <w:spacing w:val="-2"/>
        </w:rPr>
        <w:t>2</w:t>
      </w:r>
      <w:r>
        <w:rPr>
          <w:spacing w:val="-2"/>
        </w:rPr>
        <w:t>）公司于</w:t>
      </w:r>
      <w:r>
        <w:rPr>
          <w:rFonts w:ascii="宋体" w:hAnsi="宋体" w:cs="宋体" w:eastAsia="宋体" w:hint="default"/>
          <w:spacing w:val="-2"/>
        </w:rPr>
        <w:t>2016</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22</w:t>
      </w:r>
      <w:r>
        <w:rPr>
          <w:spacing w:val="-2"/>
        </w:rPr>
        <w:t>日与苏州薄荷签订《入伙协议书》，约定公司以现金认缴的方式作为有限合伙人的身份加入苏</w:t>
      </w:r>
      <w:r>
        <w:rPr/>
        <w:t> </w:t>
      </w:r>
      <w:r>
        <w:rPr>
          <w:spacing w:val="-2"/>
        </w:rPr>
        <w:t>州薄荷，持股比例</w:t>
      </w:r>
      <w:r>
        <w:rPr>
          <w:rFonts w:ascii="宋体" w:hAnsi="宋体" w:cs="宋体" w:eastAsia="宋体" w:hint="default"/>
          <w:spacing w:val="-2"/>
        </w:rPr>
        <w:t>14.9%</w:t>
      </w:r>
      <w:r>
        <w:rPr>
          <w:spacing w:val="-2"/>
        </w:rPr>
        <w:t>。</w:t>
      </w:r>
      <w:r>
        <w:rPr>
          <w:rFonts w:ascii="宋体" w:hAnsi="宋体" w:cs="宋体" w:eastAsia="宋体" w:hint="default"/>
          <w:spacing w:val="-2"/>
        </w:rPr>
        <w:t>2016</w:t>
      </w:r>
      <w:r>
        <w:rPr>
          <w:spacing w:val="-2"/>
        </w:rPr>
        <w:t>年首期出资额为人民币</w:t>
      </w:r>
      <w:r>
        <w:rPr>
          <w:rFonts w:ascii="宋体" w:hAnsi="宋体" w:cs="宋体" w:eastAsia="宋体" w:hint="default"/>
          <w:spacing w:val="-2"/>
        </w:rPr>
        <w:t>8,489,269.00</w:t>
      </w:r>
      <w:r>
        <w:rPr>
          <w:spacing w:val="-2"/>
        </w:rPr>
        <w:t>元，</w:t>
      </w:r>
      <w:r>
        <w:rPr>
          <w:rFonts w:ascii="宋体" w:hAnsi="宋体" w:cs="宋体" w:eastAsia="宋体" w:hint="default"/>
          <w:spacing w:val="-2"/>
        </w:rPr>
        <w:t>2017</w:t>
      </w:r>
      <w:r>
        <w:rPr>
          <w:spacing w:val="-2"/>
        </w:rPr>
        <w:t>年第二期出资人民币</w:t>
      </w:r>
      <w:r>
        <w:rPr>
          <w:rFonts w:ascii="宋体" w:hAnsi="宋体" w:cs="宋体" w:eastAsia="宋体" w:hint="default"/>
          <w:spacing w:val="-2"/>
        </w:rPr>
        <w:t>11,975,000.00</w:t>
      </w:r>
      <w:r>
        <w:rPr>
          <w:spacing w:val="-2"/>
        </w:rPr>
        <w:t>元，于本年</w:t>
      </w:r>
      <w:r>
        <w:rPr>
          <w:spacing w:val="-39"/>
        </w:rPr>
        <w:t> </w:t>
      </w:r>
      <w:r>
        <w:rPr>
          <w:spacing w:val="-39"/>
        </w:rPr>
      </w:r>
      <w:r>
        <w:rPr/>
        <w:t>第三期出资人民币</w:t>
      </w:r>
      <w:r>
        <w:rPr>
          <w:rFonts w:ascii="宋体" w:hAnsi="宋体" w:cs="宋体" w:eastAsia="宋体" w:hint="default"/>
        </w:rPr>
        <w:t>9,625,000.00</w:t>
      </w:r>
      <w:r>
        <w:rPr/>
        <w:t>元，三期出资共计人民币</w:t>
      </w:r>
      <w:r>
        <w:rPr>
          <w:rFonts w:ascii="宋体" w:hAnsi="宋体" w:cs="宋体" w:eastAsia="宋体" w:hint="default"/>
        </w:rPr>
        <w:t>30,089,269.00</w:t>
      </w:r>
      <w:r>
        <w:rPr/>
        <w:t>元。根据《入伙协议书》，苏州薄荷为执行事务合 伙人，公司作为有限合伙人不参与经营管理。</w:t>
      </w:r>
    </w:p>
    <w:p>
      <w:pPr>
        <w:spacing w:line="240" w:lineRule="auto" w:before="4"/>
        <w:rPr>
          <w:rFonts w:ascii="宋体" w:hAnsi="宋体" w:cs="宋体" w:eastAsia="宋体" w:hint="default"/>
          <w:sz w:val="25"/>
          <w:szCs w:val="25"/>
        </w:rPr>
      </w:pPr>
    </w:p>
    <w:p>
      <w:pPr>
        <w:pStyle w:val="BodyText"/>
        <w:spacing w:line="319" w:lineRule="auto"/>
        <w:ind w:right="1134" w:firstLine="360"/>
        <w:jc w:val="both"/>
      </w:pPr>
      <w:r>
        <w:rPr/>
        <w:t>（</w:t>
      </w:r>
      <w:r>
        <w:rPr>
          <w:rFonts w:ascii="宋体" w:hAnsi="宋体" w:cs="宋体" w:eastAsia="宋体" w:hint="default"/>
        </w:rPr>
        <w:t>3</w:t>
      </w:r>
      <w:r>
        <w:rPr/>
        <w:t>）公司于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25</w:t>
      </w:r>
      <w:r>
        <w:rPr/>
        <w:t>日与何氏眼科签订《投资协议》，约定以人民币</w:t>
      </w:r>
      <w:r>
        <w:rPr>
          <w:rFonts w:ascii="宋体" w:hAnsi="宋体" w:cs="宋体" w:eastAsia="宋体" w:hint="default"/>
        </w:rPr>
        <w:t>10,000,000.00</w:t>
      </w:r>
      <w:r>
        <w:rPr/>
        <w:t>元增加何氏眼科注册资本的方 式，取得何氏眼科</w:t>
      </w:r>
      <w:r>
        <w:rPr>
          <w:rFonts w:ascii="宋体" w:hAnsi="宋体" w:cs="宋体" w:eastAsia="宋体" w:hint="default"/>
        </w:rPr>
        <w:t>0.4552%</w:t>
      </w:r>
      <w:r>
        <w:rPr/>
        <w:t>股权，以人民币</w:t>
      </w:r>
      <w:r>
        <w:rPr>
          <w:rFonts w:ascii="宋体" w:hAnsi="宋体" w:cs="宋体" w:eastAsia="宋体" w:hint="default"/>
        </w:rPr>
        <w:t>10,000,000.00</w:t>
      </w:r>
      <w:r>
        <w:rPr/>
        <w:t>元作为对价受让何氏眼科</w:t>
      </w:r>
      <w:r>
        <w:rPr>
          <w:rFonts w:ascii="宋体" w:hAnsi="宋体" w:cs="宋体" w:eastAsia="宋体" w:hint="default"/>
        </w:rPr>
        <w:t>0.4552%</w:t>
      </w:r>
      <w:r>
        <w:rPr/>
        <w:t>股权，持股比例合计</w:t>
      </w:r>
      <w:r>
        <w:rPr>
          <w:rFonts w:ascii="宋体" w:hAnsi="宋体" w:cs="宋体" w:eastAsia="宋体" w:hint="default"/>
        </w:rPr>
        <w:t>0.9104%</w:t>
      </w:r>
      <w:r>
        <w:rPr/>
        <w:t>。</w:t>
      </w:r>
    </w:p>
    <w:p>
      <w:pPr>
        <w:spacing w:line="240" w:lineRule="auto" w:before="2"/>
        <w:rPr>
          <w:rFonts w:ascii="宋体" w:hAnsi="宋体" w:cs="宋体" w:eastAsia="宋体" w:hint="default"/>
          <w:sz w:val="25"/>
          <w:szCs w:val="25"/>
        </w:rPr>
      </w:pPr>
    </w:p>
    <w:p>
      <w:pPr>
        <w:pStyle w:val="BodyText"/>
        <w:spacing w:line="316" w:lineRule="auto"/>
        <w:ind w:right="1128" w:firstLine="360"/>
        <w:jc w:val="both"/>
      </w:pPr>
      <w:r>
        <w:rPr/>
        <w:t>（</w:t>
      </w:r>
      <w:r>
        <w:rPr>
          <w:rFonts w:ascii="宋体" w:hAnsi="宋体" w:cs="宋体" w:eastAsia="宋体" w:hint="default"/>
        </w:rPr>
        <w:t>4</w:t>
      </w:r>
      <w:r>
        <w:rPr/>
        <w:t>）公司于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20</w:t>
      </w:r>
      <w:r>
        <w:rPr/>
        <w:t>日与北京聚道签订《可转股债权投资协议》，约定由公司以可转股债权的方式向北京聚道提 </w:t>
      </w:r>
      <w:r>
        <w:rPr>
          <w:spacing w:val="5"/>
        </w:rPr>
        <w:t>供金额为人民币</w:t>
      </w:r>
      <w:r>
        <w:rPr>
          <w:rFonts w:ascii="宋体" w:hAnsi="宋体" w:cs="宋体" w:eastAsia="宋体" w:hint="default"/>
          <w:spacing w:val="5"/>
        </w:rPr>
        <w:t>5,000,000.00</w:t>
      </w:r>
      <w:r>
        <w:rPr>
          <w:spacing w:val="5"/>
        </w:rPr>
        <w:t>的借款，并于</w:t>
      </w:r>
      <w:r>
        <w:rPr>
          <w:rFonts w:ascii="宋体" w:hAnsi="宋体" w:cs="宋体" w:eastAsia="宋体" w:hint="default"/>
          <w:spacing w:val="5"/>
        </w:rPr>
        <w:t>2018</w:t>
      </w:r>
      <w:r>
        <w:rPr>
          <w:spacing w:val="5"/>
        </w:rPr>
        <w:t>年</w:t>
      </w:r>
      <w:r>
        <w:rPr>
          <w:rFonts w:ascii="宋体" w:hAnsi="宋体" w:cs="宋体" w:eastAsia="宋体" w:hint="default"/>
          <w:spacing w:val="5"/>
        </w:rPr>
        <w:t>6</w:t>
      </w:r>
      <w:r>
        <w:rPr>
          <w:spacing w:val="5"/>
        </w:rPr>
        <w:t>月</w:t>
      </w:r>
      <w:r>
        <w:rPr>
          <w:rFonts w:ascii="宋体" w:hAnsi="宋体" w:cs="宋体" w:eastAsia="宋体" w:hint="default"/>
          <w:spacing w:val="5"/>
        </w:rPr>
        <w:t>25</w:t>
      </w:r>
      <w:r>
        <w:rPr>
          <w:spacing w:val="5"/>
        </w:rPr>
        <w:t>日与其签订增资协议，约定将可转股债权借款本息共计人民币</w:t>
      </w:r>
      <w:r>
        <w:rPr>
          <w:spacing w:val="-49"/>
        </w:rPr>
        <w:t> </w:t>
      </w:r>
      <w:r>
        <w:rPr>
          <w:spacing w:val="-49"/>
        </w:rPr>
      </w:r>
      <w:r>
        <w:rPr>
          <w:rFonts w:ascii="宋体" w:hAnsi="宋体" w:cs="宋体" w:eastAsia="宋体" w:hint="default"/>
          <w:spacing w:val="-3"/>
        </w:rPr>
        <w:t>5,125,000.00</w:t>
      </w:r>
      <w:r>
        <w:rPr>
          <w:spacing w:val="-3"/>
        </w:rPr>
        <w:t>元全部转为对北京聚道的投资款，并同时对其增资人民币</w:t>
      </w:r>
      <w:r>
        <w:rPr>
          <w:rFonts w:ascii="宋体" w:hAnsi="宋体" w:cs="宋体" w:eastAsia="宋体" w:hint="default"/>
          <w:spacing w:val="-3"/>
        </w:rPr>
        <w:t>6,000,000.00</w:t>
      </w:r>
      <w:r>
        <w:rPr>
          <w:spacing w:val="-3"/>
        </w:rPr>
        <w:t>元，合计取得北京聚道之</w:t>
      </w:r>
      <w:r>
        <w:rPr>
          <w:rFonts w:ascii="宋体" w:hAnsi="宋体" w:cs="宋体" w:eastAsia="宋体" w:hint="default"/>
          <w:spacing w:val="-3"/>
        </w:rPr>
        <w:t>5.1323%</w:t>
      </w:r>
      <w:r>
        <w:rPr>
          <w:spacing w:val="-3"/>
        </w:rPr>
        <w:t>股权。</w:t>
      </w:r>
    </w:p>
    <w:p>
      <w:pPr>
        <w:spacing w:line="240" w:lineRule="auto" w:before="4"/>
        <w:rPr>
          <w:rFonts w:ascii="宋体" w:hAnsi="宋体" w:cs="宋体" w:eastAsia="宋体" w:hint="default"/>
          <w:sz w:val="25"/>
          <w:szCs w:val="25"/>
        </w:rPr>
      </w:pPr>
    </w:p>
    <w:p>
      <w:pPr>
        <w:pStyle w:val="BodyText"/>
        <w:spacing w:line="316" w:lineRule="auto"/>
        <w:ind w:right="1114" w:firstLine="360"/>
        <w:jc w:val="both"/>
      </w:pPr>
      <w:r>
        <w:rPr>
          <w:spacing w:val="6"/>
        </w:rPr>
        <w:t>（</w:t>
      </w:r>
      <w:r>
        <w:rPr>
          <w:rFonts w:ascii="宋体" w:hAnsi="宋体" w:cs="宋体" w:eastAsia="宋体" w:hint="default"/>
          <w:spacing w:val="6"/>
        </w:rPr>
        <w:t>5</w:t>
      </w:r>
      <w:r>
        <w:rPr>
          <w:spacing w:val="6"/>
        </w:rPr>
        <w:t>）公司于</w:t>
      </w:r>
      <w:r>
        <w:rPr>
          <w:rFonts w:ascii="宋体" w:hAnsi="宋体" w:cs="宋体" w:eastAsia="宋体" w:hint="default"/>
          <w:spacing w:val="6"/>
        </w:rPr>
        <w:t>2017</w:t>
      </w:r>
      <w:r>
        <w:rPr>
          <w:spacing w:val="6"/>
        </w:rPr>
        <w:t>年</w:t>
      </w:r>
      <w:r>
        <w:rPr>
          <w:rFonts w:ascii="宋体" w:hAnsi="宋体" w:cs="宋体" w:eastAsia="宋体" w:hint="default"/>
          <w:spacing w:val="6"/>
        </w:rPr>
        <w:t>4</w:t>
      </w:r>
      <w:r>
        <w:rPr>
          <w:spacing w:val="6"/>
        </w:rPr>
        <w:t>月</w:t>
      </w:r>
      <w:r>
        <w:rPr>
          <w:rFonts w:ascii="宋体" w:hAnsi="宋体" w:cs="宋体" w:eastAsia="宋体" w:hint="default"/>
          <w:spacing w:val="6"/>
        </w:rPr>
        <w:t>21</w:t>
      </w:r>
      <w:r>
        <w:rPr>
          <w:spacing w:val="6"/>
        </w:rPr>
        <w:t>日与</w:t>
      </w:r>
      <w:r>
        <w:rPr>
          <w:rFonts w:ascii="宋体" w:hAnsi="宋体" w:cs="宋体" w:eastAsia="宋体" w:hint="default"/>
          <w:spacing w:val="6"/>
        </w:rPr>
        <w:t>Congenica </w:t>
      </w:r>
      <w:r>
        <w:rPr>
          <w:rFonts w:ascii="宋体" w:hAnsi="宋体" w:cs="宋体" w:eastAsia="宋体" w:hint="default"/>
          <w:spacing w:val="8"/>
        </w:rPr>
        <w:t>Limited</w:t>
      </w:r>
      <w:r>
        <w:rPr>
          <w:spacing w:val="8"/>
        </w:rPr>
        <w:t>签订《认购协议》，公司以英镑 </w:t>
      </w:r>
      <w:r>
        <w:rPr>
          <w:rFonts w:ascii="宋体" w:hAnsi="宋体" w:cs="宋体" w:eastAsia="宋体" w:hint="default"/>
        </w:rPr>
        <w:t>1,000,000.00</w:t>
      </w:r>
      <w:r>
        <w:rPr>
          <w:rFonts w:ascii="宋体" w:hAnsi="宋体" w:cs="宋体" w:eastAsia="宋体" w:hint="default"/>
          <w:spacing w:val="-81"/>
        </w:rPr>
        <w:t> </w:t>
      </w:r>
      <w:r>
        <w:rPr>
          <w:spacing w:val="14"/>
        </w:rPr>
        <w:t>元（折合人民币 </w:t>
      </w:r>
      <w:r>
        <w:rPr>
          <w:rFonts w:ascii="宋体" w:hAnsi="宋体" w:cs="宋体" w:eastAsia="宋体" w:hint="default"/>
        </w:rPr>
        <w:t>8,108,640.47</w:t>
      </w:r>
      <w:r>
        <w:rPr/>
        <w:t>元）取得</w:t>
      </w:r>
      <w:r>
        <w:rPr>
          <w:rFonts w:ascii="宋体" w:hAnsi="宋体" w:cs="宋体" w:eastAsia="宋体" w:hint="default"/>
        </w:rPr>
        <w:t>Congenica Limited 959,140.00</w:t>
      </w:r>
      <w:r>
        <w:rPr/>
        <w:t>股</w:t>
      </w:r>
      <w:r>
        <w:rPr>
          <w:rFonts w:ascii="宋体" w:hAnsi="宋体" w:cs="宋体" w:eastAsia="宋体" w:hint="default"/>
        </w:rPr>
        <w:t>A</w:t>
      </w:r>
      <w:r>
        <w:rPr/>
        <w:t>类普通股，即</w:t>
      </w:r>
      <w:r>
        <w:rPr>
          <w:rFonts w:ascii="宋体" w:hAnsi="宋体" w:cs="宋体" w:eastAsia="宋体" w:hint="default"/>
        </w:rPr>
        <w:t>4.36%</w:t>
      </w:r>
      <w:r>
        <w:rPr/>
        <w:t>股权。由于</w:t>
      </w:r>
      <w:r>
        <w:rPr>
          <w:rFonts w:ascii="宋体" w:hAnsi="宋体" w:cs="宋体" w:eastAsia="宋体" w:hint="default"/>
        </w:rPr>
        <w:t>Congenica</w:t>
      </w:r>
      <w:r>
        <w:rPr>
          <w:rFonts w:ascii="宋体" w:hAnsi="宋体" w:cs="宋体" w:eastAsia="宋体" w:hint="default"/>
          <w:spacing w:val="-7"/>
        </w:rPr>
        <w:t> </w:t>
      </w:r>
      <w:r>
        <w:rPr>
          <w:rFonts w:ascii="宋体" w:hAnsi="宋体" w:cs="宋体" w:eastAsia="宋体" w:hint="default"/>
        </w:rPr>
        <w:t>Limited</w:t>
      </w:r>
      <w:r>
        <w:rPr/>
        <w:t>的员工持股计 划导致公司持股比例稀释，于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日，公司持股</w:t>
      </w:r>
      <w:r>
        <w:rPr>
          <w:rFonts w:ascii="宋体" w:hAnsi="宋体" w:cs="宋体" w:eastAsia="宋体" w:hint="default"/>
        </w:rPr>
        <w:t>3.65%</w:t>
      </w:r>
      <w:r>
        <w:rPr/>
        <w:t>。</w:t>
      </w:r>
    </w:p>
    <w:p>
      <w:pPr>
        <w:spacing w:line="240" w:lineRule="auto" w:before="4"/>
        <w:rPr>
          <w:rFonts w:ascii="宋体" w:hAnsi="宋体" w:cs="宋体" w:eastAsia="宋体" w:hint="default"/>
          <w:sz w:val="25"/>
          <w:szCs w:val="25"/>
        </w:rPr>
      </w:pPr>
    </w:p>
    <w:p>
      <w:pPr>
        <w:pStyle w:val="BodyText"/>
        <w:spacing w:line="240" w:lineRule="auto"/>
        <w:ind w:left="513" w:right="1133"/>
        <w:jc w:val="left"/>
      </w:pPr>
      <w:r>
        <w:rPr/>
        <w:t>（</w:t>
      </w:r>
      <w:r>
        <w:rPr>
          <w:rFonts w:ascii="宋体" w:hAnsi="宋体" w:cs="宋体" w:eastAsia="宋体" w:hint="default"/>
        </w:rPr>
        <w:t>6</w:t>
      </w:r>
      <w:r>
        <w:rPr/>
        <w:t>）公司于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25</w:t>
      </w:r>
      <w:r>
        <w:rPr/>
        <w:t>日与量化健康签订《增资协议》，约定以人民币</w:t>
      </w:r>
      <w:r>
        <w:rPr>
          <w:rFonts w:ascii="宋体" w:hAnsi="宋体" w:cs="宋体" w:eastAsia="宋体" w:hint="default"/>
        </w:rPr>
        <w:t>5,000,000.00</w:t>
      </w:r>
      <w:r>
        <w:rPr/>
        <w:t>元取得量化健康</w:t>
      </w:r>
      <w:r>
        <w:rPr>
          <w:rFonts w:ascii="宋体" w:hAnsi="宋体" w:cs="宋体" w:eastAsia="宋体" w:hint="default"/>
        </w:rPr>
        <w:t>3.33%</w:t>
      </w:r>
      <w:r>
        <w:rPr/>
        <w:t>股权。</w:t>
      </w:r>
    </w:p>
    <w:p>
      <w:pPr>
        <w:spacing w:line="240" w:lineRule="auto" w:before="0"/>
        <w:rPr>
          <w:rFonts w:ascii="宋体" w:hAnsi="宋体" w:cs="宋体" w:eastAsia="宋体" w:hint="default"/>
          <w:sz w:val="18"/>
          <w:szCs w:val="18"/>
        </w:rPr>
      </w:pPr>
    </w:p>
    <w:p>
      <w:pPr>
        <w:pStyle w:val="BodyText"/>
        <w:spacing w:line="316" w:lineRule="auto" w:before="153"/>
        <w:ind w:right="1135" w:firstLine="360"/>
        <w:jc w:val="both"/>
      </w:pPr>
      <w:r>
        <w:rPr/>
        <w:t>（</w:t>
      </w:r>
      <w:r>
        <w:rPr>
          <w:rFonts w:ascii="宋体" w:hAnsi="宋体" w:cs="宋体" w:eastAsia="宋体" w:hint="default"/>
        </w:rPr>
        <w:t>7</w:t>
      </w:r>
      <w:r>
        <w:rPr/>
        <w:t>）公司于</w:t>
      </w:r>
      <w:r>
        <w:rPr>
          <w:rFonts w:ascii="宋体" w:hAnsi="宋体" w:cs="宋体" w:eastAsia="宋体" w:hint="default"/>
        </w:rPr>
        <w:t>2018</w:t>
      </w:r>
      <w:r>
        <w:rPr/>
        <w:t>年</w:t>
      </w:r>
      <w:r>
        <w:rPr>
          <w:rFonts w:ascii="宋体" w:hAnsi="宋体" w:cs="宋体" w:eastAsia="宋体" w:hint="default"/>
        </w:rPr>
        <w:t>10</w:t>
      </w:r>
      <w:r>
        <w:rPr/>
        <w:t>月与康美药业股份有限公司共同发起设立康美华大，并签订发起人协议。协议规定，公司以实物 作价出资共计人民币</w:t>
      </w:r>
      <w:r>
        <w:rPr>
          <w:rFonts w:ascii="宋体" w:hAnsi="宋体" w:cs="宋体" w:eastAsia="宋体" w:hint="default"/>
        </w:rPr>
        <w:t>2,550,000.00</w:t>
      </w:r>
      <w:r>
        <w:rPr/>
        <w:t>元，取得康美华大</w:t>
      </w:r>
      <w:r>
        <w:rPr>
          <w:rFonts w:ascii="宋体" w:hAnsi="宋体" w:cs="宋体" w:eastAsia="宋体" w:hint="default"/>
        </w:rPr>
        <w:t>5.00%</w:t>
      </w:r>
      <w:r>
        <w:rPr/>
        <w:t>股权。</w:t>
      </w:r>
    </w:p>
    <w:p>
      <w:pPr>
        <w:spacing w:line="240" w:lineRule="auto" w:before="4"/>
        <w:rPr>
          <w:rFonts w:ascii="宋体" w:hAnsi="宋体" w:cs="宋体" w:eastAsia="宋体" w:hint="default"/>
          <w:sz w:val="25"/>
          <w:szCs w:val="25"/>
        </w:rPr>
      </w:pPr>
    </w:p>
    <w:p>
      <w:pPr>
        <w:pStyle w:val="BodyText"/>
        <w:spacing w:line="240" w:lineRule="auto"/>
        <w:ind w:left="513" w:right="1133"/>
        <w:jc w:val="left"/>
      </w:pPr>
      <w:r>
        <w:rPr/>
        <w:t>上述可供出售金融资产因在活跃市场中没有报价且其公允价值无法可靠计量，按照账面成本计量。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8</w:t>
      </w:r>
      <w:r>
        <w:rPr/>
        <w:t>、长期应收款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footerReference w:type="default" r:id="rId49"/>
          <w:pgSz w:w="11910" w:h="16840"/>
          <w:pgMar w:footer="974" w:header="0" w:top="1100" w:bottom="1160" w:left="980" w:right="0"/>
          <w:pgNumType w:start="205"/>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402"/>
        <w:gridCol w:w="1169"/>
        <w:gridCol w:w="1167"/>
        <w:gridCol w:w="1166"/>
        <w:gridCol w:w="1167"/>
        <w:gridCol w:w="1169"/>
        <w:gridCol w:w="1165"/>
        <w:gridCol w:w="1166"/>
      </w:tblGrid>
      <w:tr>
        <w:trPr>
          <w:trHeight w:val="402" w:hRule="exact"/>
        </w:trPr>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1,946,750.96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1,946,750.96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 w:right="0"/>
              <w:jc w:val="left"/>
              <w:rPr>
                <w:rFonts w:ascii="Times New Roman" w:hAnsi="Times New Roman" w:cs="Times New Roman" w:eastAsia="Times New Roman" w:hint="default"/>
                <w:sz w:val="18"/>
                <w:szCs w:val="18"/>
              </w:rPr>
            </w:pPr>
            <w:r>
              <w:rPr>
                <w:rFonts w:ascii="Times New Roman"/>
                <w:sz w:val="18"/>
              </w:rPr>
              <w:t>2,240,346.27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left"/>
              <w:rPr>
                <w:rFonts w:ascii="Times New Roman" w:hAnsi="Times New Roman" w:cs="Times New Roman" w:eastAsia="Times New Roman" w:hint="default"/>
                <w:sz w:val="18"/>
                <w:szCs w:val="18"/>
              </w:rPr>
            </w:pPr>
            <w:r>
              <w:rPr>
                <w:rFonts w:ascii="Times New Roman"/>
                <w:sz w:val="18"/>
              </w:rPr>
              <w:t>2,240,346.27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24%</w:t>
            </w:r>
          </w:p>
        </w:tc>
      </w:tr>
      <w:tr>
        <w:trPr>
          <w:trHeight w:val="403"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9" w:right="0"/>
              <w:jc w:val="left"/>
              <w:rPr>
                <w:rFonts w:ascii="Times New Roman" w:hAnsi="Times New Roman" w:cs="Times New Roman" w:eastAsia="Times New Roman" w:hint="default"/>
                <w:sz w:val="18"/>
                <w:szCs w:val="18"/>
              </w:rPr>
            </w:pPr>
            <w:r>
              <w:rPr>
                <w:rFonts w:ascii="Times New Roman"/>
                <w:sz w:val="18"/>
              </w:rPr>
              <w:t>1,946,750.96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9" w:right="0"/>
              <w:jc w:val="left"/>
              <w:rPr>
                <w:rFonts w:ascii="Times New Roman" w:hAnsi="Times New Roman" w:cs="Times New Roman" w:eastAsia="Times New Roman" w:hint="default"/>
                <w:sz w:val="18"/>
                <w:szCs w:val="18"/>
              </w:rPr>
            </w:pPr>
            <w:r>
              <w:rPr>
                <w:rFonts w:ascii="Times New Roman"/>
                <w:sz w:val="18"/>
              </w:rPr>
              <w:t>1,946,750.96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9" w:right="0"/>
              <w:jc w:val="left"/>
              <w:rPr>
                <w:rFonts w:ascii="Times New Roman" w:hAnsi="Times New Roman" w:cs="Times New Roman" w:eastAsia="Times New Roman" w:hint="default"/>
                <w:sz w:val="18"/>
                <w:szCs w:val="18"/>
              </w:rPr>
            </w:pPr>
            <w:r>
              <w:rPr>
                <w:rFonts w:ascii="Times New Roman"/>
                <w:sz w:val="18"/>
              </w:rPr>
              <w:t>2,240,346.27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2,240,346.27</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9854" w:firstLine="360"/>
        <w:jc w:val="left"/>
      </w:pPr>
      <w:r>
        <w:rPr/>
        <w:t>无 其他说明：</w:t>
      </w:r>
    </w:p>
    <w:p>
      <w:pPr>
        <w:pStyle w:val="BodyText"/>
        <w:spacing w:line="240" w:lineRule="auto" w:before="27"/>
        <w:ind w:left="477" w:right="986"/>
        <w:jc w:val="left"/>
        <w:rPr>
          <w:rFonts w:ascii="宋体" w:hAnsi="宋体" w:cs="宋体" w:eastAsia="宋体" w:hint="default"/>
        </w:rPr>
      </w:pPr>
      <w:r>
        <w:rPr>
          <w:spacing w:val="-3"/>
        </w:rPr>
        <w:t>于</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18</w:t>
      </w:r>
      <w:r>
        <w:rPr>
          <w:spacing w:val="-3"/>
        </w:rPr>
        <w:t>年</w:t>
      </w:r>
      <w:r>
        <w:rPr>
          <w:rFonts w:ascii="宋体" w:hAnsi="宋体" w:cs="宋体" w:eastAsia="宋体" w:hint="default"/>
          <w:spacing w:val="1"/>
        </w:rPr>
        <w:t>12</w:t>
      </w:r>
      <w:r>
        <w:rPr>
          <w:spacing w:val="-3"/>
        </w:rPr>
        <w:t>月</w:t>
      </w:r>
      <w:r>
        <w:rPr>
          <w:rFonts w:ascii="宋体" w:hAnsi="宋体" w:cs="宋体" w:eastAsia="宋体" w:hint="default"/>
          <w:spacing w:val="1"/>
        </w:rPr>
        <w:t>31</w:t>
      </w:r>
      <w:r>
        <w:rPr/>
        <w:t>日</w:t>
      </w:r>
      <w:r>
        <w:rPr>
          <w:spacing w:val="-75"/>
        </w:rPr>
        <w:t>，</w:t>
      </w:r>
      <w:r>
        <w:rPr/>
        <w:t>上述</w:t>
      </w:r>
      <w:r>
        <w:rPr>
          <w:spacing w:val="-3"/>
        </w:rPr>
        <w:t>融</w:t>
      </w:r>
      <w:r>
        <w:rPr/>
        <w:t>资租赁应收款中未实现融资收益为人民币</w:t>
      </w:r>
      <w:r>
        <w:rPr>
          <w:rFonts w:ascii="宋体" w:hAnsi="宋体" w:cs="宋体" w:eastAsia="宋体" w:hint="default"/>
          <w:spacing w:val="1"/>
        </w:rPr>
        <w:t>45</w:t>
      </w:r>
      <w:r>
        <w:rPr>
          <w:rFonts w:ascii="宋体" w:hAnsi="宋体" w:cs="宋体" w:eastAsia="宋体" w:hint="default"/>
          <w:spacing w:val="-2"/>
        </w:rPr>
        <w:t>3</w:t>
      </w:r>
      <w:r>
        <w:rPr>
          <w:rFonts w:ascii="宋体" w:hAnsi="宋体" w:cs="宋体" w:eastAsia="宋体" w:hint="default"/>
          <w:spacing w:val="1"/>
        </w:rPr>
        <w:t>,</w:t>
      </w:r>
      <w:r>
        <w:rPr>
          <w:rFonts w:ascii="宋体" w:hAnsi="宋体" w:cs="宋体" w:eastAsia="宋体" w:hint="default"/>
          <w:spacing w:val="-2"/>
        </w:rPr>
        <w:t>2</w:t>
      </w:r>
      <w:r>
        <w:rPr>
          <w:rFonts w:ascii="宋体" w:hAnsi="宋体" w:cs="宋体" w:eastAsia="宋体" w:hint="default"/>
          <w:spacing w:val="1"/>
        </w:rPr>
        <w:t>4</w:t>
      </w:r>
      <w:r>
        <w:rPr>
          <w:rFonts w:ascii="宋体" w:hAnsi="宋体" w:cs="宋体" w:eastAsia="宋体" w:hint="default"/>
          <w:spacing w:val="-2"/>
        </w:rPr>
        <w:t>9</w:t>
      </w:r>
      <w:r>
        <w:rPr>
          <w:rFonts w:ascii="宋体" w:hAnsi="宋体" w:cs="宋体" w:eastAsia="宋体" w:hint="default"/>
          <w:spacing w:val="1"/>
        </w:rPr>
        <w:t>.</w:t>
      </w:r>
      <w:r>
        <w:rPr>
          <w:rFonts w:ascii="宋体" w:hAnsi="宋体" w:cs="宋体" w:eastAsia="宋体" w:hint="default"/>
          <w:spacing w:val="-2"/>
        </w:rPr>
        <w:t>0</w:t>
      </w:r>
      <w:r>
        <w:rPr>
          <w:rFonts w:ascii="宋体" w:hAnsi="宋体" w:cs="宋体" w:eastAsia="宋体" w:hint="default"/>
          <w:spacing w:val="2"/>
        </w:rPr>
        <w:t>4</w:t>
      </w:r>
      <w:r>
        <w:rPr>
          <w:spacing w:val="-75"/>
        </w:rPr>
        <w:t>元</w:t>
      </w:r>
      <w:r>
        <w:rPr/>
        <w:t>（</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7</w:t>
      </w:r>
      <w:r>
        <w:rPr/>
        <w:t>年</w:t>
      </w:r>
      <w:r>
        <w:rPr>
          <w:rFonts w:ascii="宋体" w:hAnsi="宋体" w:cs="宋体" w:eastAsia="宋体" w:hint="default"/>
          <w:spacing w:val="1"/>
        </w:rPr>
        <w:t>12</w:t>
      </w:r>
      <w:r>
        <w:rPr/>
        <w:t>月</w:t>
      </w:r>
      <w:r>
        <w:rPr>
          <w:rFonts w:ascii="宋体" w:hAnsi="宋体" w:cs="宋体" w:eastAsia="宋体" w:hint="default"/>
          <w:spacing w:val="-2"/>
        </w:rPr>
        <w:t>3</w:t>
      </w:r>
      <w:r>
        <w:rPr>
          <w:rFonts w:ascii="宋体" w:hAnsi="宋体" w:cs="宋体" w:eastAsia="宋体" w:hint="default"/>
          <w:spacing w:val="1"/>
        </w:rPr>
        <w:t>1</w:t>
      </w:r>
      <w:r>
        <w:rPr/>
        <w:t>日</w:t>
      </w:r>
      <w:r>
        <w:rPr>
          <w:spacing w:val="-75"/>
        </w:rPr>
        <w:t>：</w:t>
      </w:r>
      <w:r>
        <w:rPr/>
        <w:t>人民</w:t>
      </w:r>
      <w:r>
        <w:rPr>
          <w:spacing w:val="-1"/>
        </w:rPr>
        <w:t>币</w:t>
      </w:r>
      <w:r>
        <w:rPr>
          <w:rFonts w:ascii="宋体" w:hAnsi="宋体" w:cs="宋体" w:eastAsia="宋体" w:hint="default"/>
          <w:spacing w:val="-2"/>
        </w:rPr>
        <w:t>9</w:t>
      </w:r>
      <w:r>
        <w:rPr>
          <w:rFonts w:ascii="宋体" w:hAnsi="宋体" w:cs="宋体" w:eastAsia="宋体" w:hint="default"/>
          <w:spacing w:val="1"/>
        </w:rPr>
        <w:t>5</w:t>
      </w:r>
      <w:r>
        <w:rPr>
          <w:rFonts w:ascii="宋体" w:hAnsi="宋体" w:cs="宋体" w:eastAsia="宋体" w:hint="default"/>
          <w:spacing w:val="-2"/>
        </w:rPr>
        <w:t>9</w:t>
      </w:r>
      <w:r>
        <w:rPr>
          <w:rFonts w:ascii="宋体" w:hAnsi="宋体" w:cs="宋体" w:eastAsia="宋体" w:hint="default"/>
          <w:spacing w:val="1"/>
        </w:rPr>
        <w:t>,</w:t>
      </w:r>
      <w:r>
        <w:rPr>
          <w:rFonts w:ascii="宋体" w:hAnsi="宋体" w:cs="宋体" w:eastAsia="宋体" w:hint="default"/>
          <w:spacing w:val="-2"/>
        </w:rPr>
        <w:t>6</w:t>
      </w:r>
      <w:r>
        <w:rPr>
          <w:rFonts w:ascii="宋体" w:hAnsi="宋体" w:cs="宋体" w:eastAsia="宋体" w:hint="default"/>
          <w:spacing w:val="1"/>
        </w:rPr>
        <w:t>5</w:t>
      </w:r>
      <w:r>
        <w:rPr>
          <w:rFonts w:ascii="宋体" w:hAnsi="宋体" w:cs="宋体" w:eastAsia="宋体" w:hint="default"/>
          <w:spacing w:val="-2"/>
        </w:rPr>
        <w:t>3</w:t>
      </w:r>
      <w:r>
        <w:rPr>
          <w:rFonts w:ascii="宋体" w:hAnsi="宋体" w:cs="宋体" w:eastAsia="宋体" w:hint="default"/>
          <w:spacing w:val="1"/>
        </w:rPr>
        <w:t>.</w:t>
      </w:r>
      <w:r>
        <w:rPr>
          <w:rFonts w:ascii="宋体" w:hAnsi="宋体" w:cs="宋体" w:eastAsia="宋体" w:hint="default"/>
          <w:spacing w:val="-2"/>
        </w:rPr>
        <w:t>7</w:t>
      </w:r>
      <w:r>
        <w:rPr>
          <w:rFonts w:ascii="宋体" w:hAnsi="宋体" w:cs="宋体" w:eastAsia="宋体" w:hint="default"/>
        </w:rPr>
        <w:t>3</w:t>
      </w:r>
    </w:p>
    <w:p>
      <w:pPr>
        <w:pStyle w:val="BodyText"/>
        <w:spacing w:line="240" w:lineRule="auto" w:before="76"/>
        <w:ind w:right="1133"/>
        <w:jc w:val="left"/>
      </w:pPr>
      <w:r>
        <w:rPr/>
        <w:t>元）。</w:t>
      </w:r>
    </w:p>
    <w:p>
      <w:pPr>
        <w:spacing w:after="0" w:line="240" w:lineRule="auto"/>
        <w:jc w:val="left"/>
        <w:sectPr>
          <w:pgSz w:w="11910" w:h="16840"/>
          <w:pgMar w:header="0" w:footer="974" w:top="1100" w:bottom="1160" w:left="980" w:right="0"/>
        </w:sectPr>
      </w:pPr>
    </w:p>
    <w:p>
      <w:pPr>
        <w:spacing w:line="240" w:lineRule="auto" w:before="0"/>
        <w:rPr>
          <w:rFonts w:ascii="宋体" w:hAnsi="宋体" w:cs="宋体" w:eastAsia="宋体" w:hint="default"/>
          <w:sz w:val="24"/>
          <w:szCs w:val="24"/>
        </w:rPr>
      </w:pPr>
    </w:p>
    <w:p>
      <w:pPr>
        <w:pStyle w:val="Heading3"/>
        <w:spacing w:line="240" w:lineRule="auto"/>
        <w:ind w:left="140" w:right="-17"/>
        <w:jc w:val="left"/>
        <w:rPr>
          <w:b w:val="0"/>
          <w:bCs w:val="0"/>
        </w:rPr>
      </w:pPr>
      <w:r>
        <w:rPr/>
        <w:pict>
          <v:group style="position:absolute;margin-left:70.559998pt;margin-top:-.476309pt;width:700.95pt;height:.1pt;mso-position-horizontal-relative:page;mso-position-vertical-relative:paragraph;z-index:2656" coordorigin="1411,-10" coordsize="14019,2">
            <v:shape style="position:absolute;left:1411;top:-10;width:14019;height:2" coordorigin="1411,-10" coordsize="14019,0" path="m1411,-10l15430,-10e" filled="false" stroked="true" strokeweight=".72pt" strokecolor="#000000">
              <v:path arrowok="t"/>
            </v:shape>
            <w10:wrap type="none"/>
          </v:group>
        </w:pict>
      </w:r>
      <w:r>
        <w:rPr>
          <w:rFonts w:ascii="Times New Roman" w:hAnsi="Times New Roman" w:cs="Times New Roman" w:eastAsia="Times New Roman" w:hint="default"/>
        </w:rPr>
        <w:t>9</w:t>
      </w:r>
      <w:r>
        <w:rPr/>
        <w:t>、长期股权投资</w:t>
      </w:r>
      <w:r>
        <w:rPr>
          <w:b w:val="0"/>
          <w:bCs w:val="0"/>
        </w:rPr>
      </w:r>
    </w:p>
    <w:p>
      <w:pPr>
        <w:pStyle w:val="BodyText"/>
        <w:spacing w:line="240" w:lineRule="auto" w:before="17"/>
        <w:ind w:left="140" w:right="0"/>
        <w:jc w:val="left"/>
      </w:pPr>
      <w:r>
        <w:rPr/>
        <w:br w:type="column"/>
      </w:r>
      <w:r>
        <w:rPr/>
        <w:t>深圳华大基因股份有限公司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50"/>
          <w:footerReference w:type="default" r:id="rId51"/>
          <w:pgSz w:w="16840" w:h="11910" w:orient="landscape"/>
          <w:pgMar w:header="0" w:footer="0" w:top="800" w:bottom="0" w:left="1300" w:right="1300"/>
          <w:cols w:num="2" w:equalWidth="0">
            <w:col w:w="1725" w:space="8365"/>
            <w:col w:w="4150"/>
          </w:cols>
        </w:sectPr>
      </w:pPr>
    </w:p>
    <w:p>
      <w:pPr>
        <w:spacing w:line="240" w:lineRule="auto" w:before="1"/>
        <w:rPr>
          <w:rFonts w:ascii="宋体" w:hAnsi="宋体" w:cs="宋体" w:eastAsia="宋体" w:hint="default"/>
          <w:sz w:val="23"/>
          <w:szCs w:val="23"/>
        </w:rPr>
      </w:pPr>
    </w:p>
    <w:p>
      <w:pPr>
        <w:pStyle w:val="BodyText"/>
        <w:spacing w:line="240" w:lineRule="auto" w:before="44"/>
        <w:ind w:left="0" w:right="135"/>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3106"/>
        <w:gridCol w:w="1093"/>
        <w:gridCol w:w="1092"/>
        <w:gridCol w:w="1001"/>
        <w:gridCol w:w="1546"/>
        <w:gridCol w:w="900"/>
        <w:gridCol w:w="967"/>
        <w:gridCol w:w="1184"/>
        <w:gridCol w:w="710"/>
        <w:gridCol w:w="331"/>
        <w:gridCol w:w="1092"/>
        <w:gridCol w:w="900"/>
      </w:tblGrid>
      <w:tr>
        <w:trPr>
          <w:trHeight w:val="401" w:hRule="exact"/>
        </w:trPr>
        <w:tc>
          <w:tcPr>
            <w:tcW w:w="31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0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73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84" w:right="84"/>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5" w:hRule="exact"/>
        </w:trPr>
        <w:tc>
          <w:tcPr>
            <w:tcW w:w="3106"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7" w:right="48" w:hanging="452"/>
              <w:jc w:val="left"/>
              <w:rPr>
                <w:rFonts w:ascii="宋体" w:hAnsi="宋体" w:cs="宋体" w:eastAsia="宋体" w:hint="default"/>
                <w:sz w:val="18"/>
                <w:szCs w:val="18"/>
              </w:rPr>
            </w:pPr>
            <w:r>
              <w:rPr>
                <w:rFonts w:ascii="宋体" w:hAnsi="宋体" w:cs="宋体" w:eastAsia="宋体" w:hint="default"/>
                <w:sz w:val="18"/>
                <w:szCs w:val="18"/>
              </w:rPr>
              <w:t>权益法下确认的投 资损益</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88" w:right="26"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46" w:hanging="89"/>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9"/>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67"/>
              <w:jc w:val="left"/>
              <w:rPr>
                <w:rFonts w:ascii="宋体" w:hAnsi="宋体" w:cs="宋体" w:eastAsia="宋体" w:hint="default"/>
                <w:sz w:val="18"/>
                <w:szCs w:val="18"/>
              </w:rPr>
            </w:pPr>
            <w:r>
              <w:rPr>
                <w:rFonts w:ascii="宋体" w:hAnsi="宋体" w:cs="宋体" w:eastAsia="宋体" w:hint="default"/>
                <w:sz w:val="18"/>
                <w:szCs w:val="18"/>
              </w:rPr>
              <w:t>其 他</w:t>
            </w:r>
          </w:p>
        </w:tc>
        <w:tc>
          <w:tcPr>
            <w:tcW w:w="1092"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92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6"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长沙华大梅溪湖医学检验所有限公司</w:t>
            </w:r>
          </w:p>
          <w:p>
            <w:pPr>
              <w:pStyle w:val="TableParagraph"/>
              <w:spacing w:line="240" w:lineRule="auto" w:before="76"/>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长沙梅溪湖医检所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(1)</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1,683.63</w:t>
            </w:r>
          </w:p>
        </w:tc>
        <w:tc>
          <w:tcPr>
            <w:tcW w:w="900"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7,651,683.63</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1" w:right="48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Bangkok Genomics Innocation</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z w:val="18"/>
                <w:szCs w:val="18"/>
              </w:rPr>
              <w:t> Ltd(“Bangkok Genomics“)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(2)</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3,086,354.76</w:t>
            </w:r>
          </w:p>
        </w:tc>
        <w:tc>
          <w:tcPr>
            <w:tcW w:w="100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-350,213.88</w:t>
            </w:r>
          </w:p>
        </w:tc>
        <w:tc>
          <w:tcPr>
            <w:tcW w:w="900"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2,736,140.88</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10,736,354.76</w:t>
            </w:r>
          </w:p>
        </w:tc>
        <w:tc>
          <w:tcPr>
            <w:tcW w:w="100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-348,530.25</w:t>
            </w:r>
          </w:p>
        </w:tc>
        <w:tc>
          <w:tcPr>
            <w:tcW w:w="900"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10,387,824.51</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92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6"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1"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苏州泓迅生物科技股份有限公司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苏州 泓迅</w:t>
            </w:r>
            <w:r>
              <w:rPr>
                <w:rFonts w:ascii="Times New Roman" w:hAnsi="Times New Roman" w:cs="Times New Roman" w:eastAsia="Times New Roman" w:hint="default"/>
                <w:sz w:val="18"/>
                <w:szCs w:val="18"/>
              </w:rPr>
              <w:t>”) (2)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10,892,912.57</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1,910,555.93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-1,600,370.74</w:t>
            </w:r>
          </w:p>
        </w:tc>
        <w:tc>
          <w:tcPr>
            <w:tcW w:w="900"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14,769.44</w:t>
            </w:r>
          </w:p>
        </w:tc>
        <w:tc>
          <w:tcPr>
            <w:tcW w:w="118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7,396,755.34</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1"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山东泰山华大医学检验所有限公司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泰 山华大医检所</w:t>
            </w:r>
            <w:r>
              <w:rPr>
                <w:rFonts w:ascii="Times New Roman" w:hAnsi="Times New Roman" w:cs="Times New Roman" w:eastAsia="Times New Roman" w:hint="default"/>
                <w:sz w:val="18"/>
                <w:szCs w:val="18"/>
              </w:rPr>
              <w:t>”) (4)</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-48,504.33</w:t>
            </w:r>
          </w:p>
        </w:tc>
        <w:tc>
          <w:tcPr>
            <w:tcW w:w="900"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6,951,495.67</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1" w:right="233"/>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北京华大通瀛科技有限公司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华大通 瀛</w:t>
            </w:r>
            <w:r>
              <w:rPr>
                <w:rFonts w:ascii="Times New Roman" w:hAnsi="Times New Roman" w:cs="Times New Roman" w:eastAsia="Times New Roman" w:hint="default"/>
                <w:sz w:val="18"/>
                <w:szCs w:val="18"/>
              </w:rPr>
              <w:t>”) (5)</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-98,450.28</w:t>
            </w:r>
          </w:p>
        </w:tc>
        <w:tc>
          <w:tcPr>
            <w:tcW w:w="900"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2,901,549.72</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1"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深圳市同并相联科技有限公司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同并相 联</w:t>
            </w:r>
            <w:r>
              <w:rPr>
                <w:rFonts w:ascii="Times New Roman" w:hAnsi="Times New Roman" w:cs="Times New Roman" w:eastAsia="Times New Roman" w:hint="default"/>
                <w:sz w:val="18"/>
                <w:szCs w:val="18"/>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465,081.11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-465,081.11</w:t>
            </w:r>
          </w:p>
        </w:tc>
        <w:tc>
          <w:tcPr>
            <w:tcW w:w="900"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11,357,993.68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1,910,555.93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-2,212,406.46</w:t>
            </w:r>
          </w:p>
        </w:tc>
        <w:tc>
          <w:tcPr>
            <w:tcW w:w="900"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14,769.44</w:t>
            </w:r>
          </w:p>
        </w:tc>
        <w:tc>
          <w:tcPr>
            <w:tcW w:w="118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17,249,800.73</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11,357,993.68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20,736,354.76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1,910,555.93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-2,560,936.71</w:t>
            </w:r>
          </w:p>
        </w:tc>
        <w:tc>
          <w:tcPr>
            <w:tcW w:w="900"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14,769.44</w:t>
            </w:r>
          </w:p>
        </w:tc>
        <w:tc>
          <w:tcPr>
            <w:tcW w:w="118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27,637,625.24</w:t>
            </w: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76"/>
        <w:ind w:left="0" w:right="133"/>
        <w:jc w:val="right"/>
        <w:rPr>
          <w:rFonts w:ascii="Times New Roman" w:hAnsi="Times New Roman" w:cs="Times New Roman" w:eastAsia="Times New Roman" w:hint="default"/>
        </w:rPr>
      </w:pPr>
      <w:r>
        <w:rPr>
          <w:rFonts w:ascii="Times New Roman"/>
        </w:rPr>
        <w:t>207</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26"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300"/>
        </w:sectPr>
      </w:pPr>
    </w:p>
    <w:p>
      <w:pPr>
        <w:spacing w:line="240" w:lineRule="auto" w:before="1"/>
        <w:rPr>
          <w:rFonts w:ascii="Times New Roman" w:hAnsi="Times New Roman" w:cs="Times New Roman" w:eastAsia="Times New Roman" w:hint="default"/>
          <w:sz w:val="25"/>
          <w:szCs w:val="25"/>
        </w:rPr>
      </w:pPr>
    </w:p>
    <w:p>
      <w:pPr>
        <w:pStyle w:val="BodyText"/>
        <w:spacing w:line="240" w:lineRule="auto" w:before="44"/>
        <w:ind w:right="1133"/>
        <w:jc w:val="left"/>
      </w:pPr>
      <w:r>
        <w:rPr/>
        <w:t>其他说明：</w:t>
      </w:r>
    </w:p>
    <w:p>
      <w:pPr>
        <w:pStyle w:val="BodyText"/>
        <w:spacing w:line="316" w:lineRule="auto" w:before="117"/>
        <w:ind w:right="1129" w:firstLine="360"/>
        <w:jc w:val="both"/>
      </w:pPr>
      <w:r>
        <w:rPr>
          <w:rFonts w:ascii="宋体" w:hAnsi="宋体" w:cs="宋体" w:eastAsia="宋体" w:hint="default"/>
          <w:spacing w:val="-2"/>
        </w:rPr>
        <w:t>(1)</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月与湖南湘江新区发展集团有限公司（以下简称“湘江发展集团”）共同签订《关于设立长沙梅溪湖</w:t>
      </w:r>
      <w:r>
        <w:rPr/>
        <w:t> 华大医学检验所有限公司的出资协议》，约定以人民币</w:t>
      </w:r>
      <w:r>
        <w:rPr>
          <w:rFonts w:ascii="宋体" w:hAnsi="宋体" w:cs="宋体" w:eastAsia="宋体" w:hint="default"/>
        </w:rPr>
        <w:t>7,650,000.00</w:t>
      </w:r>
      <w:r>
        <w:rPr/>
        <w:t>元出资，持股比例为</w:t>
      </w:r>
      <w:r>
        <w:rPr>
          <w:rFonts w:ascii="宋体" w:hAnsi="宋体" w:cs="宋体" w:eastAsia="宋体" w:hint="default"/>
        </w:rPr>
        <w:t>51%</w:t>
      </w:r>
      <w:r>
        <w:rPr/>
        <w:t>。根据出资协议和公司章程， 公司的重大事项需要经代表超过三分之二表决权的股东通过方可做出决议，湘江新区发展集团持股</w:t>
      </w:r>
      <w:r>
        <w:rPr>
          <w:rFonts w:ascii="宋体" w:hAnsi="宋体" w:cs="宋体" w:eastAsia="宋体" w:hint="default"/>
        </w:rPr>
        <w:t>49%</w:t>
      </w:r>
      <w:r>
        <w:rPr/>
        <w:t>，因此公司与湘江发</w:t>
      </w:r>
      <w:r>
        <w:rPr>
          <w:spacing w:val="-83"/>
        </w:rPr>
        <w:t> </w:t>
      </w:r>
      <w:r>
        <w:rPr>
          <w:spacing w:val="-83"/>
        </w:rPr>
      </w:r>
      <w:r>
        <w:rPr/>
        <w:t>展集团共同控制长沙梅溪湖医检所，将其作为合营企业，用权益法进行后续计量的长期股权投资进行核算。</w:t>
      </w:r>
    </w:p>
    <w:p>
      <w:pPr>
        <w:spacing w:line="240" w:lineRule="auto" w:before="4"/>
        <w:rPr>
          <w:rFonts w:ascii="宋体" w:hAnsi="宋体" w:cs="宋体" w:eastAsia="宋体" w:hint="default"/>
          <w:sz w:val="25"/>
          <w:szCs w:val="25"/>
        </w:rPr>
      </w:pPr>
    </w:p>
    <w:p>
      <w:pPr>
        <w:pStyle w:val="BodyText"/>
        <w:spacing w:line="316" w:lineRule="auto"/>
        <w:ind w:right="1131" w:firstLine="360"/>
        <w:jc w:val="both"/>
      </w:pPr>
      <w:r>
        <w:rPr>
          <w:rFonts w:ascii="宋体" w:hAnsi="宋体" w:cs="宋体" w:eastAsia="宋体" w:hint="default"/>
        </w:rPr>
        <w:t>(2)</w:t>
      </w:r>
      <w:r>
        <w:rPr/>
        <w:t>公司于</w:t>
      </w:r>
      <w:r>
        <w:rPr>
          <w:rFonts w:ascii="宋体" w:hAnsi="宋体" w:cs="宋体" w:eastAsia="宋体" w:hint="default"/>
        </w:rPr>
        <w:t>2018</w:t>
      </w:r>
      <w:r>
        <w:rPr/>
        <w:t>年</w:t>
      </w:r>
      <w:r>
        <w:rPr>
          <w:rFonts w:ascii="宋体" w:hAnsi="宋体" w:cs="宋体" w:eastAsia="宋体" w:hint="default"/>
        </w:rPr>
        <w:t>4</w:t>
      </w:r>
      <w:r>
        <w:rPr/>
        <w:t>月投资</w:t>
      </w:r>
      <w:r>
        <w:rPr>
          <w:rFonts w:ascii="宋体" w:hAnsi="宋体" w:cs="宋体" w:eastAsia="宋体" w:hint="default"/>
        </w:rPr>
        <w:t>490,000.00</w:t>
      </w:r>
      <w:r>
        <w:rPr/>
        <w:t>美元（合计人民币</w:t>
      </w:r>
      <w:r>
        <w:rPr>
          <w:rFonts w:ascii="宋体" w:hAnsi="宋体" w:cs="宋体" w:eastAsia="宋体" w:hint="default"/>
        </w:rPr>
        <w:t>3,086,354.76</w:t>
      </w:r>
      <w:r>
        <w:rPr/>
        <w:t>元），收购</w:t>
      </w:r>
      <w:r>
        <w:rPr>
          <w:rFonts w:ascii="宋体" w:hAnsi="宋体" w:cs="宋体" w:eastAsia="宋体" w:hint="default"/>
        </w:rPr>
        <w:t>Bankok Genomics Innovations</w:t>
      </w:r>
      <w:r>
        <w:rPr>
          <w:rFonts w:ascii="宋体" w:hAnsi="宋体" w:cs="宋体" w:eastAsia="宋体" w:hint="default"/>
          <w:spacing w:val="75"/>
        </w:rPr>
        <w:t> </w:t>
      </w:r>
      <w:r>
        <w:rPr>
          <w:rFonts w:ascii="宋体" w:hAnsi="宋体" w:cs="宋体" w:eastAsia="宋体" w:hint="default"/>
        </w:rPr>
        <w:t>Co.,</w:t>
      </w:r>
      <w:r>
        <w:rPr>
          <w:rFonts w:ascii="宋体" w:hAnsi="宋体" w:cs="宋体" w:eastAsia="宋体" w:hint="default"/>
        </w:rPr>
        <w:t> Limited </w:t>
      </w:r>
      <w:r>
        <w:rPr>
          <w:rFonts w:ascii="宋体" w:hAnsi="宋体" w:cs="宋体" w:eastAsia="宋体" w:hint="default"/>
          <w:spacing w:val="-2"/>
        </w:rPr>
        <w:t>49%</w:t>
      </w:r>
      <w:r>
        <w:rPr>
          <w:spacing w:val="-2"/>
        </w:rPr>
        <w:t>股权。根据股东协议，董事会由</w:t>
      </w:r>
      <w:r>
        <w:rPr>
          <w:rFonts w:ascii="宋体" w:hAnsi="宋体" w:cs="宋体" w:eastAsia="宋体" w:hint="default"/>
          <w:spacing w:val="-2"/>
        </w:rPr>
        <w:t>4</w:t>
      </w:r>
      <w:r>
        <w:rPr>
          <w:spacing w:val="-2"/>
        </w:rPr>
        <w:t>名董事组成，公司在董事会中占有两席席位，董事会会议应当由三名董事以上</w:t>
      </w:r>
      <w:r>
        <w:rPr>
          <w:spacing w:val="-75"/>
        </w:rPr>
        <w:t> </w:t>
      </w:r>
      <w:r>
        <w:rPr>
          <w:spacing w:val="-75"/>
        </w:rPr>
      </w:r>
      <w:r>
        <w:rPr>
          <w:spacing w:val="-1"/>
        </w:rPr>
        <w:t>出席方可召开，且重大事项须经全体董事同意，故公司与其他股东共同控制</w:t>
      </w:r>
      <w:r>
        <w:rPr>
          <w:rFonts w:ascii="宋体" w:hAnsi="宋体" w:cs="宋体" w:eastAsia="宋体" w:hint="default"/>
          <w:spacing w:val="-1"/>
        </w:rPr>
        <w:t>Bangkok</w:t>
      </w:r>
      <w:r>
        <w:rPr>
          <w:rFonts w:ascii="宋体" w:hAnsi="宋体" w:cs="宋体" w:eastAsia="宋体" w:hint="default"/>
          <w:spacing w:val="-11"/>
        </w:rPr>
        <w:t> </w:t>
      </w:r>
      <w:r>
        <w:rPr>
          <w:rFonts w:ascii="宋体" w:hAnsi="宋体" w:cs="宋体" w:eastAsia="宋体" w:hint="default"/>
          <w:spacing w:val="-2"/>
        </w:rPr>
        <w:t>Genomics</w:t>
      </w:r>
      <w:r>
        <w:rPr>
          <w:spacing w:val="-2"/>
        </w:rPr>
        <w:t>，将其作为合营企业，用权益</w:t>
      </w:r>
      <w:r>
        <w:rPr>
          <w:spacing w:val="-87"/>
        </w:rPr>
        <w:t> </w:t>
      </w:r>
      <w:r>
        <w:rPr>
          <w:spacing w:val="-87"/>
        </w:rPr>
      </w:r>
      <w:r>
        <w:rPr/>
        <w:t>法后续计量的长期股权投资进行核算。</w:t>
      </w:r>
    </w:p>
    <w:p>
      <w:pPr>
        <w:spacing w:line="240" w:lineRule="auto" w:before="4"/>
        <w:rPr>
          <w:rFonts w:ascii="宋体" w:hAnsi="宋体" w:cs="宋体" w:eastAsia="宋体" w:hint="default"/>
          <w:sz w:val="25"/>
          <w:szCs w:val="25"/>
        </w:rPr>
      </w:pPr>
    </w:p>
    <w:p>
      <w:pPr>
        <w:pStyle w:val="BodyText"/>
        <w:spacing w:line="316" w:lineRule="auto"/>
        <w:ind w:right="1128" w:firstLine="360"/>
        <w:jc w:val="both"/>
      </w:pPr>
      <w:r>
        <w:rPr>
          <w:rFonts w:ascii="宋体" w:hAnsi="宋体" w:cs="宋体" w:eastAsia="宋体" w:hint="default"/>
          <w:spacing w:val="-2"/>
        </w:rPr>
        <w:t>(3)</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月份转让苏州泓迅共计</w:t>
      </w:r>
      <w:r>
        <w:rPr>
          <w:rFonts w:ascii="宋体" w:hAnsi="宋体" w:cs="宋体" w:eastAsia="宋体" w:hint="default"/>
          <w:spacing w:val="-2"/>
        </w:rPr>
        <w:t>333,000</w:t>
      </w:r>
      <w:r>
        <w:rPr>
          <w:spacing w:val="-2"/>
        </w:rPr>
        <w:t>股股份，转让后持股比例从</w:t>
      </w:r>
      <w:r>
        <w:rPr>
          <w:rFonts w:ascii="宋体" w:hAnsi="宋体" w:cs="宋体" w:eastAsia="宋体" w:hint="default"/>
          <w:spacing w:val="-2"/>
        </w:rPr>
        <w:t>16.22%</w:t>
      </w:r>
      <w:r>
        <w:rPr>
          <w:spacing w:val="-2"/>
        </w:rPr>
        <w:t>下降至</w:t>
      </w:r>
      <w:r>
        <w:rPr>
          <w:rFonts w:ascii="宋体" w:hAnsi="宋体" w:cs="宋体" w:eastAsia="宋体" w:hint="default"/>
          <w:spacing w:val="-2"/>
        </w:rPr>
        <w:t>12.89%</w:t>
      </w:r>
      <w:r>
        <w:rPr>
          <w:spacing w:val="-2"/>
        </w:rPr>
        <w:t>。根据苏州泓迅最新</w:t>
      </w:r>
      <w:r>
        <w:rPr/>
        <w:t> </w:t>
      </w:r>
      <w:r>
        <w:rPr>
          <w:spacing w:val="-2"/>
        </w:rPr>
        <w:t>的公司章程，董事会由</w:t>
      </w:r>
      <w:r>
        <w:rPr>
          <w:rFonts w:ascii="宋体" w:hAnsi="宋体" w:cs="宋体" w:eastAsia="宋体" w:hint="default"/>
          <w:spacing w:val="-2"/>
        </w:rPr>
        <w:t>13</w:t>
      </w:r>
      <w:r>
        <w:rPr>
          <w:spacing w:val="-2"/>
        </w:rPr>
        <w:t>名董事组成，公司在董事会中占有两席席位，且重大事项均应有出席董事的三分之二以上通过，因</w:t>
      </w:r>
      <w:r>
        <w:rPr>
          <w:spacing w:val="-62"/>
        </w:rPr>
        <w:t> </w:t>
      </w:r>
      <w:r>
        <w:rPr>
          <w:spacing w:val="-62"/>
        </w:rPr>
      </w:r>
      <w:r>
        <w:rPr/>
        <w:t>此公司对其生产经营具有重大影响，将其作为联营企业，用权益法进行后续计量的长期股权投资进行核算。</w:t>
      </w:r>
    </w:p>
    <w:p>
      <w:pPr>
        <w:spacing w:line="240" w:lineRule="auto" w:before="4"/>
        <w:rPr>
          <w:rFonts w:ascii="宋体" w:hAnsi="宋体" w:cs="宋体" w:eastAsia="宋体" w:hint="default"/>
          <w:sz w:val="25"/>
          <w:szCs w:val="25"/>
        </w:rPr>
      </w:pPr>
    </w:p>
    <w:p>
      <w:pPr>
        <w:pStyle w:val="BodyText"/>
        <w:spacing w:line="316" w:lineRule="auto"/>
        <w:ind w:right="1128" w:firstLine="360"/>
        <w:jc w:val="both"/>
      </w:pPr>
      <w:r>
        <w:rPr>
          <w:rFonts w:ascii="宋体" w:hAnsi="宋体" w:cs="宋体" w:eastAsia="宋体" w:hint="default"/>
          <w:spacing w:val="-2"/>
        </w:rPr>
        <w:t>(4)</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月与山东国信健康科技有限公司签订《关于设立山东国信医学检验所有限公司的出资协议》。协议约</w:t>
      </w:r>
      <w:r>
        <w:rPr/>
        <w:t> 定，公司以现金出资人民币</w:t>
      </w:r>
      <w:r>
        <w:rPr>
          <w:rFonts w:ascii="宋体" w:hAnsi="宋体" w:cs="宋体" w:eastAsia="宋体" w:hint="default"/>
        </w:rPr>
        <w:t>7,000,000.00</w:t>
      </w:r>
      <w:r>
        <w:rPr/>
        <w:t>元，持有</w:t>
      </w:r>
      <w:r>
        <w:rPr>
          <w:rFonts w:ascii="宋体" w:hAnsi="宋体" w:cs="宋体" w:eastAsia="宋体" w:hint="default"/>
        </w:rPr>
        <w:t>35%</w:t>
      </w:r>
      <w:r>
        <w:rPr/>
        <w:t>股权，该公司于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25</w:t>
      </w:r>
      <w:r>
        <w:rPr/>
        <w:t>日正式成立。根据公司章程，董事会由 </w:t>
      </w:r>
      <w:r>
        <w:rPr>
          <w:rFonts w:ascii="宋体" w:hAnsi="宋体" w:cs="宋体" w:eastAsia="宋体" w:hint="default"/>
        </w:rPr>
        <w:t>5</w:t>
      </w:r>
      <w:r>
        <w:rPr/>
        <w:t>名董事组成，公司在董事会中占有两席席位，对于应由董事会决议的事项，须经全体董事三分之二或二分之一以上通过方</w:t>
      </w:r>
      <w:r>
        <w:rPr>
          <w:spacing w:val="-84"/>
        </w:rPr>
        <w:t> </w:t>
      </w:r>
      <w:r>
        <w:rPr>
          <w:spacing w:val="-84"/>
        </w:rPr>
      </w:r>
      <w:r>
        <w:rPr/>
        <w:t>可形成决议，同时股东根据实缴出资比例享有相应的权利和义务。由于公司于</w:t>
      </w:r>
      <w:r>
        <w:rPr>
          <w:rFonts w:ascii="宋体" w:hAnsi="宋体" w:cs="宋体" w:eastAsia="宋体" w:hint="default"/>
        </w:rPr>
        <w:t>2018</w:t>
      </w:r>
      <w:r>
        <w:rPr/>
        <w:t>年</w:t>
      </w:r>
      <w:r>
        <w:rPr>
          <w:rFonts w:ascii="宋体" w:hAnsi="宋体" w:cs="宋体" w:eastAsia="宋体" w:hint="default"/>
        </w:rPr>
        <w:t>1</w:t>
      </w:r>
      <w:r>
        <w:rPr/>
        <w:t>月实际出资，因此于本年起公司才对</w:t>
      </w:r>
      <w:r>
        <w:rPr>
          <w:spacing w:val="-85"/>
        </w:rPr>
        <w:t> </w:t>
      </w:r>
      <w:r>
        <w:rPr>
          <w:spacing w:val="-85"/>
        </w:rPr>
      </w:r>
      <w:r>
        <w:rPr>
          <w:spacing w:val="-2"/>
        </w:rPr>
        <w:t>其生产经营具有重大影响，将其作为联营企业，用权益法进行后续计量的长期股权投资进行核算。</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w:t>
      </w:r>
      <w:r>
        <w:rPr>
          <w:spacing w:val="-2"/>
        </w:rPr>
        <w:t>日，山东国信</w:t>
      </w:r>
      <w:r>
        <w:rPr>
          <w:spacing w:val="-57"/>
        </w:rPr>
        <w:t> </w:t>
      </w:r>
      <w:r>
        <w:rPr>
          <w:spacing w:val="-57"/>
        </w:rPr>
      </w:r>
      <w:r>
        <w:rPr/>
        <w:t>医学检验所有限公司正式更名为山东泰山华大医学检验所有限公司。</w:t>
      </w:r>
    </w:p>
    <w:p>
      <w:pPr>
        <w:spacing w:line="240" w:lineRule="auto" w:before="4"/>
        <w:rPr>
          <w:rFonts w:ascii="宋体" w:hAnsi="宋体" w:cs="宋体" w:eastAsia="宋体" w:hint="default"/>
          <w:sz w:val="25"/>
          <w:szCs w:val="25"/>
        </w:rPr>
      </w:pPr>
    </w:p>
    <w:p>
      <w:pPr>
        <w:pStyle w:val="BodyText"/>
        <w:spacing w:line="316" w:lineRule="auto"/>
        <w:ind w:right="1034" w:firstLine="360"/>
        <w:jc w:val="left"/>
      </w:pPr>
      <w:r>
        <w:rPr>
          <w:rFonts w:ascii="宋体" w:hAnsi="宋体" w:cs="宋体" w:eastAsia="宋体" w:hint="default"/>
          <w:spacing w:val="-2"/>
        </w:rPr>
        <w:t>(5)</w:t>
      </w:r>
      <w:r>
        <w:rPr>
          <w:spacing w:val="-2"/>
        </w:rPr>
        <w:t>公司子公司北京吉比爱于</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月与华大通瀛签订了《华大通瀛与华大吉比爱战略合作协议》。协议约定，北京吉</w:t>
      </w:r>
      <w:r>
        <w:rPr/>
        <w:t> </w:t>
      </w:r>
      <w:r>
        <w:rPr>
          <w:spacing w:val="-5"/>
        </w:rPr>
        <w:t>比爱以现金人民币</w:t>
      </w:r>
      <w:r>
        <w:rPr>
          <w:rFonts w:ascii="宋体" w:hAnsi="宋体" w:cs="宋体" w:eastAsia="宋体" w:hint="default"/>
          <w:spacing w:val="-5"/>
        </w:rPr>
        <w:t>3,000,000.00</w:t>
      </w:r>
      <w:r>
        <w:rPr>
          <w:spacing w:val="-5"/>
        </w:rPr>
        <w:t>元入股华大通瀛，并持有</w:t>
      </w:r>
      <w:r>
        <w:rPr>
          <w:rFonts w:ascii="宋体" w:hAnsi="宋体" w:cs="宋体" w:eastAsia="宋体" w:hint="default"/>
          <w:spacing w:val="-5"/>
        </w:rPr>
        <w:t>20%</w:t>
      </w:r>
      <w:r>
        <w:rPr>
          <w:spacing w:val="-5"/>
        </w:rPr>
        <w:t>股权。根据公司章程，北京吉比爱在</w:t>
      </w:r>
      <w:r>
        <w:rPr>
          <w:rFonts w:ascii="宋体" w:hAnsi="宋体" w:cs="宋体" w:eastAsia="宋体" w:hint="default"/>
          <w:spacing w:val="-5"/>
        </w:rPr>
        <w:t>5</w:t>
      </w:r>
      <w:r>
        <w:rPr>
          <w:spacing w:val="-5"/>
        </w:rPr>
        <w:t>个董事会席位中占据一席，</w:t>
      </w:r>
      <w:r>
        <w:rPr>
          <w:spacing w:val="-43"/>
        </w:rPr>
        <w:t> </w:t>
      </w:r>
      <w:r>
        <w:rPr/>
        <w:t>并可派一名高管参与公司的经营管理，董事会应当有三分之二以上董事出席方能举行，且重大事项应由出席董事一致通过，</w:t>
      </w:r>
      <w:r>
        <w:rPr>
          <w:spacing w:val="-83"/>
        </w:rPr>
        <w:t> </w:t>
      </w:r>
      <w:r>
        <w:rPr>
          <w:spacing w:val="-83"/>
        </w:rPr>
      </w:r>
      <w:r>
        <w:rPr>
          <w:spacing w:val="-2"/>
        </w:rPr>
        <w:t>因此北京吉比爱对华大通瀛的生产经营具有重大影响，并将其作为联营企业，用权益法进行后续计量的长期股权投资进行核</w:t>
      </w:r>
      <w:r>
        <w:rPr>
          <w:spacing w:val="-64"/>
        </w:rPr>
        <w:t> </w:t>
      </w:r>
      <w:r>
        <w:rPr>
          <w:spacing w:val="-64"/>
        </w:rPr>
      </w:r>
      <w:r>
        <w:rPr/>
        <w:t>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1133"/>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5"/>
        <w:gridCol w:w="3188"/>
        <w:gridCol w:w="3188"/>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1,065,603,948.96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724,701,471.93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1,065,603,948.96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724,701,471.93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318,895,076.08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559,139,269.15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7" w:right="0"/>
              <w:jc w:val="left"/>
              <w:rPr>
                <w:rFonts w:ascii="Times New Roman" w:hAnsi="Times New Roman" w:cs="Times New Roman" w:eastAsia="Times New Roman" w:hint="default"/>
                <w:sz w:val="18"/>
                <w:szCs w:val="18"/>
              </w:rPr>
            </w:pPr>
            <w:r>
              <w:rPr>
                <w:rFonts w:ascii="Times New Roman"/>
                <w:sz w:val="18"/>
              </w:rPr>
              <w:t>8,018,915.59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9" w:right="0"/>
              <w:jc w:val="left"/>
              <w:rPr>
                <w:rFonts w:ascii="Times New Roman" w:hAnsi="Times New Roman" w:cs="Times New Roman" w:eastAsia="Times New Roman" w:hint="default"/>
                <w:sz w:val="18"/>
                <w:szCs w:val="18"/>
              </w:rPr>
            </w:pPr>
            <w:r>
              <w:rPr>
                <w:rFonts w:ascii="Times New Roman"/>
                <w:sz w:val="18"/>
              </w:rPr>
              <w:t>100,483,679.62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986,536,940.44</w:t>
            </w:r>
          </w:p>
        </w:tc>
      </w:tr>
    </w:tbl>
    <w:p>
      <w:pPr>
        <w:spacing w:after="0" w:line="240" w:lineRule="auto"/>
        <w:jc w:val="left"/>
        <w:rPr>
          <w:rFonts w:ascii="Times New Roman" w:hAnsi="Times New Roman" w:cs="Times New Roman" w:eastAsia="Times New Roman" w:hint="default"/>
          <w:sz w:val="18"/>
          <w:szCs w:val="18"/>
        </w:rPr>
        <w:sectPr>
          <w:footerReference w:type="default" r:id="rId52"/>
          <w:pgSz w:w="11910" w:h="16840"/>
          <w:pgMar w:footer="974" w:header="0" w:top="1100" w:bottom="1160" w:left="980" w:right="0"/>
          <w:pgNumType w:start="208"/>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11,203,965.38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433,476,168.64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1,313,720.14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44,001,495.76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489,995,349.92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11,203,965.38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366,926,020.43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1,304,464.81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43,979,245.16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423,413,695.78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64,735,710.42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64,735,710.42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1,814,437.79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9,255.33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22,250.60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1,845,943.72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8,569,817.77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800,525.64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1,494,027.11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10,864,370.52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8,569,817.77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800,525.64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1,494,027.11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10,864,370.52</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0" w:lineRule="auto" w:before="52"/>
              <w:ind w:left="24" w:right="161"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外币报表折算 差额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5,463,020.27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3,691,689.94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1,364,133.60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10,518,843.81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335,562,061.73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987,737,309.96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8,532,110.09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144,355,281.87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1,476,186,763.65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23,195,663.57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180,246,206.04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5,890,812.09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52,502,786.81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261,835,468.51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11,929,921.73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115,823,755.54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823,655.68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21,647,963.43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150,225,296.38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11,929,921.73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115,823,755.54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823,655.68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21,647,963.43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150,225,296.38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3,249,291.02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737,466.06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1,327,586.39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5,314,343.47</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3,249,291.02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737,466.06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1,327,586.39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5,314,343.47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00" w:lineRule="auto" w:before="51"/>
              <w:ind w:left="24" w:right="161"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外币报表折算 差额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424,158.93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2,209,252.55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1,202,981.79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3,836,393.27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35,549,744.23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295,029,923.11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5,977,001.71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74,026,145.64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410,582,814.69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300,012,317.50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692,707,386.85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2,555,108.38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70,329,136.23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1,065,603,948.96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295,699,412.51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378,893,063.11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2,128,103.50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47,980,892.81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724,701,471.93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4779"/>
        <w:gridCol w:w="4789"/>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12,909,221.01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3,698,678.56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894"/>
        <w:gridCol w:w="3817"/>
        <w:gridCol w:w="3857"/>
      </w:tblGrid>
      <w:tr>
        <w:trPr>
          <w:trHeight w:val="401"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86,917,656.56</w:t>
            </w:r>
          </w:p>
        </w:tc>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14,737,276.69</w:t>
            </w: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86,917,656.56</w:t>
            </w:r>
          </w:p>
        </w:tc>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14,737,276.69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北京华大吉比爱 生物技术有限公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办公室改造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582,000.00</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武汉华大医学检 验所有限公司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实验室智能系统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993,603.69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993,603.69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武汉华大医学检 验所有限公司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主线系统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12,417,546.09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12,417,546.09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73,506,506.78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73,506,506.78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14,155,276.69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14,155,276.69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86,917,656.56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86,917,656.56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14,737,276.69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14,737,276.69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0"/>
        <w:rPr>
          <w:rFonts w:ascii="宋体" w:hAnsi="宋体" w:cs="宋体" w:eastAsia="宋体" w:hint="default"/>
          <w:sz w:val="24"/>
          <w:szCs w:val="24"/>
        </w:rPr>
      </w:pPr>
    </w:p>
    <w:p>
      <w:pPr>
        <w:pStyle w:val="Heading3"/>
        <w:spacing w:line="240" w:lineRule="auto"/>
        <w:ind w:left="140" w:right="-1"/>
        <w:jc w:val="left"/>
        <w:rPr>
          <w:b w:val="0"/>
          <w:bCs w:val="0"/>
        </w:rPr>
      </w:pPr>
      <w:r>
        <w:rPr/>
        <w:pict>
          <v:group style="position:absolute;margin-left:70.559998pt;margin-top:-.476309pt;width:700.95pt;height:.1pt;mso-position-horizontal-relative:page;mso-position-vertical-relative:paragraph;z-index:2680" coordorigin="1411,-10" coordsize="14019,2">
            <v:shape style="position:absolute;left:1411;top:-10;width:14019;height:2" coordorigin="1411,-10" coordsize="14019,0" path="m1411,-10l15430,-10e" filled="false" stroked="true" strokeweight=".72pt" strokecolor="#000000">
              <v:path arrowok="t"/>
            </v:shape>
            <w10:wrap type="none"/>
          </v:group>
        </w:pict>
      </w:r>
      <w:r>
        <w:rPr>
          <w:spacing w:val="-1"/>
        </w:rPr>
        <w:t>（</w:t>
      </w:r>
      <w:r>
        <w:rPr>
          <w:rFonts w:ascii="Times New Roman" w:hAnsi="Times New Roman" w:cs="Times New Roman" w:eastAsia="Times New Roman" w:hint="default"/>
          <w:spacing w:val="-1"/>
        </w:rPr>
        <w:t>2</w:t>
      </w:r>
      <w:r>
        <w:rPr>
          <w:spacing w:val="-1"/>
        </w:rPr>
        <w:t>）重要在建工程项目本期变动情况</w:t>
      </w:r>
      <w:r>
        <w:rPr>
          <w:b w:val="0"/>
          <w:bCs w:val="0"/>
          <w:spacing w:val="-1"/>
        </w:rPr>
      </w:r>
    </w:p>
    <w:p>
      <w:pPr>
        <w:pStyle w:val="BodyText"/>
        <w:spacing w:line="240" w:lineRule="auto" w:before="17"/>
        <w:ind w:left="140" w:right="0"/>
        <w:jc w:val="left"/>
      </w:pPr>
      <w:r>
        <w:rPr/>
        <w:br w:type="column"/>
      </w:r>
      <w:r>
        <w:rPr/>
        <w:t>深圳华大基因股份有限公司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53"/>
          <w:footerReference w:type="default" r:id="rId54"/>
          <w:pgSz w:w="16840" w:h="11910" w:orient="landscape"/>
          <w:pgMar w:header="0" w:footer="0" w:top="800" w:bottom="0" w:left="1300" w:right="1300"/>
          <w:cols w:num="2" w:equalWidth="0">
            <w:col w:w="3621" w:space="6468"/>
            <w:col w:w="4151"/>
          </w:cols>
        </w:sectPr>
      </w:pPr>
    </w:p>
    <w:p>
      <w:pPr>
        <w:spacing w:line="240" w:lineRule="auto" w:before="1"/>
        <w:rPr>
          <w:rFonts w:ascii="宋体" w:hAnsi="宋体" w:cs="宋体" w:eastAsia="宋体" w:hint="default"/>
          <w:sz w:val="23"/>
          <w:szCs w:val="23"/>
        </w:rPr>
      </w:pPr>
    </w:p>
    <w:p>
      <w:pPr>
        <w:pStyle w:val="BodyText"/>
        <w:spacing w:line="240" w:lineRule="auto" w:before="44"/>
        <w:ind w:left="0" w:right="135"/>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2079"/>
        <w:gridCol w:w="1092"/>
        <w:gridCol w:w="1090"/>
        <w:gridCol w:w="1181"/>
        <w:gridCol w:w="1395"/>
        <w:gridCol w:w="1198"/>
        <w:gridCol w:w="1090"/>
        <w:gridCol w:w="1227"/>
        <w:gridCol w:w="533"/>
        <w:gridCol w:w="852"/>
        <w:gridCol w:w="1001"/>
        <w:gridCol w:w="735"/>
        <w:gridCol w:w="451"/>
      </w:tblGrid>
      <w:tr>
        <w:trPr>
          <w:trHeight w:val="1025" w:hRule="exact"/>
        </w:trPr>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7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2" w:right="60" w:hanging="360"/>
              <w:jc w:val="left"/>
              <w:rPr>
                <w:rFonts w:ascii="宋体" w:hAnsi="宋体" w:cs="宋体" w:eastAsia="宋体" w:hint="default"/>
                <w:sz w:val="18"/>
                <w:szCs w:val="18"/>
              </w:rPr>
            </w:pPr>
            <w:r>
              <w:rPr>
                <w:rFonts w:ascii="宋体" w:hAnsi="宋体" w:cs="宋体" w:eastAsia="宋体" w:hint="default"/>
                <w:sz w:val="18"/>
                <w:szCs w:val="18"/>
              </w:rPr>
              <w:t>本期转入固定资 产金额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本期其他减少 金额</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8" w:right="65" w:hanging="89"/>
              <w:jc w:val="left"/>
              <w:rPr>
                <w:rFonts w:ascii="宋体" w:hAnsi="宋体" w:cs="宋体" w:eastAsia="宋体" w:hint="default"/>
                <w:sz w:val="18"/>
                <w:szCs w:val="18"/>
              </w:rPr>
            </w:pPr>
            <w:r>
              <w:rPr>
                <w:rFonts w:ascii="宋体" w:hAnsi="宋体" w:cs="宋体" w:eastAsia="宋体" w:hint="default"/>
                <w:sz w:val="18"/>
                <w:szCs w:val="18"/>
              </w:rPr>
              <w:t>工程累计投入 占预算比例</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1" w:right="79"/>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60"/>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 w:right="47"/>
              <w:jc w:val="center"/>
              <w:rPr>
                <w:rFonts w:ascii="宋体" w:hAnsi="宋体" w:cs="宋体" w:eastAsia="宋体" w:hint="default"/>
                <w:sz w:val="18"/>
                <w:szCs w:val="18"/>
              </w:rPr>
            </w:pPr>
            <w:r>
              <w:rPr>
                <w:rFonts w:ascii="宋体" w:hAnsi="宋体" w:cs="宋体" w:eastAsia="宋体" w:hint="default"/>
                <w:sz w:val="18"/>
                <w:szCs w:val="18"/>
              </w:rPr>
              <w:t>其中：本期 利息资本化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38"/>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6"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65"/>
              <w:jc w:val="left"/>
              <w:rPr>
                <w:rFonts w:ascii="宋体" w:hAnsi="宋体" w:cs="宋体" w:eastAsia="宋体" w:hint="default"/>
                <w:sz w:val="18"/>
                <w:szCs w:val="18"/>
              </w:rPr>
            </w:pPr>
            <w:r>
              <w:rPr>
                <w:rFonts w:ascii="宋体" w:hAnsi="宋体" w:cs="宋体" w:eastAsia="宋体" w:hint="default"/>
                <w:sz w:val="18"/>
                <w:szCs w:val="18"/>
              </w:rPr>
              <w:t>武汉华大医学检验所有限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实验室智能系统</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993,603.69</w:t>
            </w:r>
          </w:p>
        </w:tc>
        <w:tc>
          <w:tcPr>
            <w:tcW w:w="13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993,603.69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28.39%</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工程 中期</w:t>
            </w:r>
          </w:p>
        </w:tc>
        <w:tc>
          <w:tcPr>
            <w:tcW w:w="85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5"/>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1025"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1" w:right="65"/>
              <w:jc w:val="left"/>
              <w:rPr>
                <w:rFonts w:ascii="宋体" w:hAnsi="宋体" w:cs="宋体" w:eastAsia="宋体" w:hint="default"/>
                <w:sz w:val="18"/>
                <w:szCs w:val="18"/>
              </w:rPr>
            </w:pPr>
            <w:r>
              <w:rPr>
                <w:rFonts w:ascii="宋体" w:hAnsi="宋体" w:cs="宋体" w:eastAsia="宋体" w:hint="default"/>
                <w:sz w:val="18"/>
                <w:szCs w:val="18"/>
              </w:rPr>
              <w:t>武汉华大医学检验所有限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主线系统及附属系 统</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12,417,546.09</w:t>
            </w:r>
          </w:p>
        </w:tc>
        <w:tc>
          <w:tcPr>
            <w:tcW w:w="13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12,417,546.09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65.36%</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37"/>
              <w:jc w:val="left"/>
              <w:rPr>
                <w:rFonts w:ascii="宋体" w:hAnsi="宋体" w:cs="宋体" w:eastAsia="宋体" w:hint="default"/>
                <w:sz w:val="18"/>
                <w:szCs w:val="18"/>
              </w:rPr>
            </w:pPr>
            <w:r>
              <w:rPr>
                <w:rFonts w:ascii="宋体" w:hAnsi="宋体" w:cs="宋体" w:eastAsia="宋体" w:hint="default"/>
                <w:sz w:val="18"/>
                <w:szCs w:val="18"/>
              </w:rPr>
              <w:t>工程 中期</w:t>
            </w:r>
          </w:p>
        </w:tc>
        <w:tc>
          <w:tcPr>
            <w:tcW w:w="85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55"/>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1027"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1" w:right="65"/>
              <w:jc w:val="left"/>
              <w:rPr>
                <w:rFonts w:ascii="宋体" w:hAnsi="宋体" w:cs="宋体" w:eastAsia="宋体" w:hint="default"/>
                <w:sz w:val="18"/>
                <w:szCs w:val="18"/>
              </w:rPr>
            </w:pPr>
            <w:r>
              <w:rPr>
                <w:rFonts w:ascii="宋体" w:hAnsi="宋体" w:cs="宋体" w:eastAsia="宋体" w:hint="default"/>
                <w:sz w:val="18"/>
                <w:szCs w:val="18"/>
              </w:rPr>
              <w:t>安徽华大医学检验所有限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阜阳展厅装修及设 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4,498,176.00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3,020,857.06</w:t>
            </w:r>
          </w:p>
        </w:tc>
        <w:tc>
          <w:tcPr>
            <w:tcW w:w="13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3,020,857.06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67.16%</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结束</w:t>
            </w:r>
          </w:p>
        </w:tc>
        <w:tc>
          <w:tcPr>
            <w:tcW w:w="85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 w:right="65"/>
              <w:jc w:val="left"/>
              <w:rPr>
                <w:rFonts w:ascii="宋体" w:hAnsi="宋体" w:cs="宋体" w:eastAsia="宋体" w:hint="default"/>
                <w:sz w:val="18"/>
                <w:szCs w:val="18"/>
              </w:rPr>
            </w:pPr>
            <w:r>
              <w:rPr>
                <w:rFonts w:ascii="宋体" w:hAnsi="宋体" w:cs="宋体" w:eastAsia="宋体" w:hint="default"/>
                <w:sz w:val="18"/>
                <w:szCs w:val="18"/>
              </w:rPr>
              <w:t>北京华大吉比爱生物技术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办公室改造</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2,415,780.00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582,000.00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948,136.00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1,530,136.00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110.46%</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结束</w:t>
            </w:r>
          </w:p>
        </w:tc>
        <w:tc>
          <w:tcPr>
            <w:tcW w:w="85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1"/>
              <w:ind w:left="21"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自建固定资产</w:t>
            </w:r>
            <w:r>
              <w:rPr>
                <w:rFonts w:ascii="Times New Roman" w:hAnsi="Times New Roman" w:cs="Times New Roman" w:eastAsia="Times New Roman" w:hint="default"/>
                <w:sz w:val="18"/>
                <w:szCs w:val="18"/>
              </w:rPr>
              <w:t>-BGISEQ-</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500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51,425,433.75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51,425,433.75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14,155,276.69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73,506,506.78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13,310,276.67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845,000.02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73,506,506.78</w:t>
            </w:r>
          </w:p>
        </w:tc>
        <w:tc>
          <w:tcPr>
            <w:tcW w:w="122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29,413,956.00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14,737,276.69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142,312,083.37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64,735,710.42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5,395,993.08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86,917,656.56</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33"/>
        <w:jc w:val="right"/>
        <w:rPr>
          <w:rFonts w:ascii="Times New Roman" w:hAnsi="Times New Roman" w:cs="Times New Roman" w:eastAsia="Times New Roman" w:hint="default"/>
        </w:rPr>
      </w:pPr>
      <w:r>
        <w:rPr>
          <w:rFonts w:ascii="Times New Roman"/>
        </w:rPr>
        <w:t>211</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26"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30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3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14,902,401.95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9,487,337.76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231,739,739.71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15,168,274.58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15,168,274.58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15,168,274.58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15,168,274.58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14,902,401.95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24,655,612.34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246,908,014.29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65,129,167.81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5,213,086.47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1,254,690.14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71,596,944.42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1,490,240.20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1,354,460.69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18,794,700.89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1,490,240.20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1,354,460.69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18,794,700.89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81,079,167.81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6,703,326.67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2,609,150.83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90,391,645.31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5"/>
          <w:pgSz w:w="11910" w:h="16840"/>
          <w:pgMar w:footer="974" w:header="0" w:top="1100" w:bottom="1160" w:left="980" w:right="0"/>
          <w:pgNumType w:start="212"/>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126,270,832.19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8,199,075.28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22,046,461.51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156,516,368.98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142,220,832.19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9,689,315.48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8,232,647.62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160,142,795.29</w:t>
            </w:r>
          </w:p>
        </w:tc>
      </w:tr>
    </w:tbl>
    <w:p>
      <w:pPr>
        <w:pStyle w:val="BodyText"/>
        <w:spacing w:line="240" w:lineRule="auto" w:before="51"/>
        <w:ind w:left="513" w:right="113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3.45%</w:t>
      </w:r>
      <w:r>
        <w:rPr/>
        <w:t>。</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13</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064"/>
        <w:gridCol w:w="1063"/>
        <w:gridCol w:w="1669"/>
        <w:gridCol w:w="1520"/>
        <w:gridCol w:w="1457"/>
        <w:gridCol w:w="1419"/>
        <w:gridCol w:w="1378"/>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37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开发支出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264,827,932.58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260,920,378.40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3,907,554.18</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264,827,932.58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260,920,378.40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3,907,554.18</w:t>
            </w:r>
          </w:p>
        </w:tc>
      </w:tr>
    </w:tbl>
    <w:p>
      <w:pPr>
        <w:pStyle w:val="BodyText"/>
        <w:spacing w:line="240" w:lineRule="auto" w:before="51"/>
        <w:ind w:right="1133"/>
        <w:jc w:val="left"/>
      </w:pPr>
      <w:r>
        <w:rPr/>
        <w:t>其他说明：</w:t>
      </w:r>
    </w:p>
    <w:p>
      <w:pPr>
        <w:pStyle w:val="BodyText"/>
        <w:spacing w:line="240" w:lineRule="auto" w:before="115"/>
        <w:ind w:left="477" w:right="1133"/>
        <w:jc w:val="left"/>
      </w:pPr>
      <w:r>
        <w:rPr/>
        <w:t>公司相应项目以临床试验阶段开始时点作为资本化时点。</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43"/>
        <w:gridCol w:w="1418"/>
        <w:gridCol w:w="1844"/>
        <w:gridCol w:w="1844"/>
        <w:gridCol w:w="1522"/>
      </w:tblGrid>
      <w:tr>
        <w:trPr>
          <w:trHeight w:val="401" w:hRule="exact"/>
        </w:trPr>
        <w:tc>
          <w:tcPr>
            <w:tcW w:w="29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943"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52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华大青兰生物科技（无锡）有限公司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47,109,401.10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47,109,401.10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47,109,401.10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47,109,401.10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1133" w:hanging="361"/>
        <w:jc w:val="left"/>
      </w:pPr>
      <w:r>
        <w:rPr/>
        <w:t>商誉所在资产组或资产组组合的相关信息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日收购无锡青兰，形成商誉人民币</w:t>
      </w:r>
      <w:r>
        <w:rPr>
          <w:rFonts w:ascii="Times New Roman" w:hAnsi="Times New Roman" w:cs="Times New Roman" w:eastAsia="Times New Roman" w:hint="default"/>
        </w:rPr>
        <w:t>47,109,401.10</w:t>
      </w:r>
      <w:r>
        <w:rPr/>
        <w:t>元，详见第十一节财务报告附注八</w:t>
      </w:r>
      <w:r>
        <w:rPr>
          <w:rFonts w:ascii="Times New Roman" w:hAnsi="Times New Roman" w:cs="Times New Roman" w:eastAsia="Times New Roman" w:hint="default"/>
        </w:rPr>
        <w:t>“</w:t>
      </w:r>
      <w:r>
        <w:rPr/>
        <w:t>合并范围的变</w:t>
      </w:r>
    </w:p>
    <w:p>
      <w:pPr>
        <w:pStyle w:val="BodyText"/>
        <w:spacing w:line="214" w:lineRule="exact"/>
        <w:ind w:right="1133"/>
        <w:jc w:val="left"/>
      </w:pPr>
      <w:r>
        <w:rPr/>
        <w:t>更</w:t>
      </w:r>
      <w:r>
        <w:rPr>
          <w:rFonts w:ascii="Times New Roman" w:hAnsi="Times New Roman" w:cs="Times New Roman" w:eastAsia="Times New Roman" w:hint="default"/>
        </w:rPr>
        <w:t>”</w:t>
      </w:r>
      <w:r>
        <w:rPr/>
        <w:t>的</w:t>
      </w:r>
      <w:r>
        <w:rPr>
          <w:rFonts w:ascii="Times New Roman" w:hAnsi="Times New Roman" w:cs="Times New Roman" w:eastAsia="Times New Roman" w:hint="default"/>
        </w:rPr>
        <w:t>“1</w:t>
      </w:r>
      <w:r>
        <w:rPr/>
        <w:t>、非同一控制下企业合并</w:t>
      </w:r>
      <w:r>
        <w:rPr>
          <w:rFonts w:ascii="Times New Roman" w:hAnsi="Times New Roman" w:cs="Times New Roman" w:eastAsia="Times New Roman" w:hint="default"/>
        </w:rPr>
        <w:t>”</w:t>
      </w:r>
      <w:r>
        <w:rPr/>
        <w:t>。</w:t>
      </w:r>
    </w:p>
    <w:p>
      <w:pPr>
        <w:pStyle w:val="BodyText"/>
        <w:spacing w:line="319" w:lineRule="auto" w:before="63"/>
        <w:ind w:left="513" w:right="5533"/>
        <w:jc w:val="left"/>
      </w:pPr>
      <w:r>
        <w:rPr/>
        <w:t>企业合并取得的商誉已经分配至下列资产组以进行减值测试： 基因合成资产组</w:t>
      </w:r>
    </w:p>
    <w:p>
      <w:pPr>
        <w:pStyle w:val="BodyText"/>
        <w:spacing w:line="240" w:lineRule="auto" w:before="17"/>
        <w:ind w:left="513" w:right="986"/>
        <w:jc w:val="left"/>
      </w:pPr>
      <w:r>
        <w:rPr/>
        <w:t>基因合成资产组主要由购买无锡青兰时形成，与购买日所确定的资产组一致。无锡青兰于</w:t>
      </w:r>
      <w:r>
        <w:rPr>
          <w:rFonts w:ascii="Times New Roman" w:hAnsi="Times New Roman" w:cs="Times New Roman" w:eastAsia="Times New Roman" w:hint="default"/>
        </w:rPr>
        <w:t>2012</w:t>
      </w:r>
      <w:r>
        <w:rPr/>
        <w:t>年在江苏省宜兴市成立，</w:t>
      </w:r>
    </w:p>
    <w:p>
      <w:pPr>
        <w:spacing w:after="0" w:line="240" w:lineRule="auto"/>
        <w:jc w:val="left"/>
        <w:sectPr>
          <w:pgSz w:w="11910" w:h="16840"/>
          <w:pgMar w:header="0" w:footer="974" w:top="1100" w:bottom="1160" w:left="980" w:right="0"/>
        </w:sectPr>
      </w:pPr>
    </w:p>
    <w:p>
      <w:pPr>
        <w:spacing w:line="240" w:lineRule="auto" w:before="0"/>
        <w:rPr>
          <w:rFonts w:ascii="宋体" w:hAnsi="宋体" w:cs="宋体" w:eastAsia="宋体" w:hint="default"/>
          <w:sz w:val="22"/>
          <w:szCs w:val="22"/>
        </w:rPr>
      </w:pPr>
    </w:p>
    <w:p>
      <w:pPr>
        <w:pStyle w:val="BodyText"/>
        <w:spacing w:line="309" w:lineRule="auto" w:before="44"/>
        <w:ind w:right="1130"/>
        <w:jc w:val="both"/>
      </w:pPr>
      <w:r>
        <w:rPr>
          <w:spacing w:val="-2"/>
        </w:rPr>
        <w:t>致力于基因合成以及合成生物学在生命科学领域的应用，主要业务为全基因合成技术服务。对无锡青兰收购协同效应受益对</w:t>
      </w:r>
      <w:r>
        <w:rPr>
          <w:spacing w:val="-64"/>
        </w:rPr>
        <w:t> </w:t>
      </w:r>
      <w:r>
        <w:rPr>
          <w:spacing w:val="-64"/>
        </w:rPr>
      </w:r>
      <w:r>
        <w:rPr>
          <w:spacing w:val="-2"/>
        </w:rPr>
        <w:t>象是整个基因合成资产组，且难以分摊至各资产组，所以将商誉分摊至基因合成资产组。基因合成资产组账面价值为人民币</w:t>
      </w:r>
      <w:r>
        <w:rPr>
          <w:spacing w:val="-63"/>
        </w:rPr>
        <w:t> </w:t>
      </w:r>
      <w:r>
        <w:rPr>
          <w:spacing w:val="-63"/>
        </w:rPr>
      </w:r>
      <w:r>
        <w:rPr>
          <w:rFonts w:ascii="Times New Roman" w:hAnsi="Times New Roman" w:cs="Times New Roman" w:eastAsia="Times New Roman" w:hint="default"/>
          <w:spacing w:val="-1"/>
        </w:rPr>
        <w:t>5,724,222.27</w:t>
      </w:r>
      <w:r>
        <w:rPr>
          <w:spacing w:val="-1"/>
        </w:rPr>
        <w:t>元，可收回金额采用资产组的预计未来现金流量的现值，根据管理层批准的</w:t>
      </w:r>
      <w:r>
        <w:rPr>
          <w:rFonts w:ascii="Times New Roman" w:hAnsi="Times New Roman" w:cs="Times New Roman" w:eastAsia="Times New Roman" w:hint="default"/>
          <w:spacing w:val="-1"/>
        </w:rPr>
        <w:t>5</w:t>
      </w:r>
      <w:r>
        <w:rPr>
          <w:spacing w:val="-1"/>
        </w:rPr>
        <w:t>年期财务预算基础上的现金流量预</w:t>
      </w:r>
      <w:r>
        <w:rPr>
          <w:spacing w:val="-70"/>
        </w:rPr>
        <w:t> </w:t>
      </w:r>
      <w:r>
        <w:rPr/>
        <w:t>测来确定。该期间内现金流量预测所用的折现率是</w:t>
      </w:r>
      <w:r>
        <w:rPr>
          <w:rFonts w:ascii="Times New Roman" w:hAnsi="Times New Roman" w:cs="Times New Roman" w:eastAsia="Times New Roman" w:hint="default"/>
        </w:rPr>
        <w:t>16%</w:t>
      </w:r>
      <w:r>
        <w:rPr/>
        <w:t>，用于推断</w:t>
      </w:r>
      <w:r>
        <w:rPr>
          <w:rFonts w:ascii="Times New Roman" w:hAnsi="Times New Roman" w:cs="Times New Roman" w:eastAsia="Times New Roman" w:hint="default"/>
        </w:rPr>
        <w:t>5</w:t>
      </w:r>
      <w:r>
        <w:rPr/>
        <w:t>年以后永续增长期间基因合成资产组现金流量的增长率</w:t>
      </w:r>
      <w:r>
        <w:rPr>
          <w:spacing w:val="-58"/>
        </w:rPr>
        <w:t> </w:t>
      </w:r>
      <w:r>
        <w:rPr>
          <w:spacing w:val="-58"/>
        </w:rPr>
      </w:r>
      <w:r>
        <w:rPr/>
        <w:t>是</w:t>
      </w:r>
      <w:r>
        <w:rPr>
          <w:rFonts w:ascii="Times New Roman" w:hAnsi="Times New Roman" w:cs="Times New Roman" w:eastAsia="Times New Roman" w:hint="default"/>
        </w:rPr>
        <w:t>3%</w:t>
      </w:r>
      <w:r>
        <w:rPr/>
        <w:t>。公司认为该基因合成资产组内部开发的新技术提高了生产效率缩短生产周期，预测期间的增长率是合理的。</w:t>
      </w:r>
    </w:p>
    <w:p>
      <w:pPr>
        <w:pStyle w:val="BodyText"/>
        <w:spacing w:line="240" w:lineRule="auto" w:before="5"/>
        <w:ind w:left="513" w:right="1133"/>
        <w:jc w:val="left"/>
      </w:pPr>
      <w:r>
        <w:rPr/>
        <w:t>商誉的账面金额，按照资产组的公允价值占相关资产组的公允价值总额的比例进行分摊，情况如下：</w:t>
      </w:r>
    </w:p>
    <w:p>
      <w:pPr>
        <w:spacing w:line="240" w:lineRule="auto" w:before="0"/>
        <w:rPr>
          <w:rFonts w:ascii="宋体" w:hAnsi="宋体" w:cs="宋体" w:eastAsia="宋体" w:hint="default"/>
          <w:sz w:val="5"/>
          <w:szCs w:val="5"/>
        </w:rPr>
      </w:pPr>
    </w:p>
    <w:tbl>
      <w:tblPr>
        <w:tblW w:w="0" w:type="auto"/>
        <w:jc w:val="left"/>
        <w:tblInd w:w="311" w:type="dxa"/>
        <w:tblLayout w:type="fixed"/>
        <w:tblCellMar>
          <w:top w:w="0" w:type="dxa"/>
          <w:left w:w="0" w:type="dxa"/>
          <w:bottom w:w="0" w:type="dxa"/>
          <w:right w:w="0" w:type="dxa"/>
        </w:tblCellMar>
        <w:tblLook w:val="01E0"/>
      </w:tblPr>
      <w:tblGrid>
        <w:gridCol w:w="2261"/>
        <w:gridCol w:w="1561"/>
        <w:gridCol w:w="1424"/>
        <w:gridCol w:w="1411"/>
        <w:gridCol w:w="1282"/>
      </w:tblGrid>
      <w:tr>
        <w:trPr>
          <w:trHeight w:val="422" w:hRule="exact"/>
        </w:trPr>
        <w:tc>
          <w:tcPr>
            <w:tcW w:w="2261" w:type="dxa"/>
            <w:vMerge w:val="restart"/>
            <w:tcBorders>
              <w:top w:val="single" w:sz="4" w:space="0" w:color="000000"/>
              <w:left w:val="single" w:sz="4" w:space="0" w:color="000000"/>
              <w:right w:val="single" w:sz="4" w:space="0" w:color="000000"/>
            </w:tcBorders>
          </w:tcPr>
          <w:p>
            <w:pPr/>
          </w:p>
        </w:tc>
        <w:tc>
          <w:tcPr>
            <w:tcW w:w="2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82" w:right="0"/>
              <w:jc w:val="left"/>
              <w:rPr>
                <w:rFonts w:ascii="宋体" w:hAnsi="宋体" w:cs="宋体" w:eastAsia="宋体" w:hint="default"/>
                <w:sz w:val="18"/>
                <w:szCs w:val="18"/>
              </w:rPr>
            </w:pPr>
            <w:r>
              <w:rPr>
                <w:rFonts w:ascii="宋体" w:hAnsi="宋体" w:cs="宋体" w:eastAsia="宋体" w:hint="default"/>
                <w:sz w:val="18"/>
                <w:szCs w:val="18"/>
              </w:rPr>
              <w:t>合成生物学资产组</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2" w:hRule="exact"/>
        </w:trPr>
        <w:tc>
          <w:tcPr>
            <w:tcW w:w="2261"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42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3" w:right="0"/>
              <w:jc w:val="left"/>
              <w:rPr>
                <w:rFonts w:ascii="宋体" w:hAnsi="宋体" w:cs="宋体" w:eastAsia="宋体" w:hint="default"/>
                <w:sz w:val="18"/>
                <w:szCs w:val="18"/>
              </w:rPr>
            </w:pPr>
            <w:r>
              <w:rPr>
                <w:rFonts w:ascii="宋体" w:hAnsi="宋体" w:cs="宋体" w:eastAsia="宋体" w:hint="default"/>
                <w:sz w:val="18"/>
                <w:szCs w:val="18"/>
              </w:rPr>
              <w:t>商誉的账面金额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66" w:right="0"/>
              <w:jc w:val="left"/>
              <w:rPr>
                <w:rFonts w:ascii="Times New Roman" w:hAnsi="Times New Roman" w:cs="Times New Roman" w:eastAsia="Times New Roman" w:hint="default"/>
                <w:sz w:val="18"/>
                <w:szCs w:val="18"/>
              </w:rPr>
            </w:pPr>
            <w:r>
              <w:rPr>
                <w:rFonts w:ascii="Times New Roman"/>
                <w:sz w:val="18"/>
              </w:rPr>
              <w:t>47,109,401.10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9" w:right="0"/>
              <w:jc w:val="left"/>
              <w:rPr>
                <w:rFonts w:ascii="Times New Roman" w:hAnsi="Times New Roman" w:cs="Times New Roman" w:eastAsia="Times New Roman" w:hint="default"/>
                <w:sz w:val="18"/>
                <w:szCs w:val="18"/>
              </w:rPr>
            </w:pPr>
            <w:r>
              <w:rPr>
                <w:rFonts w:ascii="Times New Roman"/>
                <w:sz w:val="18"/>
              </w:rPr>
              <w:t>47,109,401.10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16" w:lineRule="auto" w:before="51"/>
        <w:ind w:right="1214" w:firstLine="360"/>
        <w:jc w:val="left"/>
      </w:pPr>
      <w:r>
        <w:rPr/>
        <w:t>说明商誉减值测试过程、关键参数（如预计未来现金流量现值时的预测期增长率、稳定期增长率、利润率、折现率、 预测期等）及商誉减值损失的确认方法：</w:t>
      </w:r>
    </w:p>
    <w:p>
      <w:pPr>
        <w:pStyle w:val="BodyText"/>
        <w:spacing w:line="316" w:lineRule="auto" w:before="59"/>
        <w:ind w:right="1129" w:firstLine="360"/>
        <w:jc w:val="both"/>
      </w:pPr>
      <w:r>
        <w:rPr>
          <w:spacing w:val="-2"/>
        </w:rPr>
        <w:t>报告期内，公司对收购无锡青兰产生的商誉进行减值测试。商誉的可收回金额按照预计未来现金流量的现值计算。按照</w:t>
      </w:r>
      <w:r>
        <w:rPr/>
        <w:t> </w:t>
      </w:r>
      <w:r>
        <w:rPr>
          <w:spacing w:val="-2"/>
        </w:rPr>
        <w:t>五年预测期和永续期对无锡青兰进行现金流量预测并评估其可收回金额。减值测试中采用的关键假设包括：永续期收入增长</w:t>
      </w:r>
      <w:r>
        <w:rPr>
          <w:spacing w:val="-64"/>
        </w:rPr>
        <w:t> </w:t>
      </w:r>
      <w:r>
        <w:rPr>
          <w:spacing w:val="-64"/>
        </w:rPr>
      </w:r>
      <w:r>
        <w:rPr/>
        <w:t>率、毛利率、折现率等。管理层根据历史经验及对市场发展的预测确定相关关键假设。评估中关键的假设如下：</w:t>
      </w:r>
    </w:p>
    <w:p>
      <w:pPr>
        <w:pStyle w:val="BodyText"/>
        <w:spacing w:line="300" w:lineRule="auto" w:before="19"/>
        <w:ind w:left="513" w:right="8353"/>
        <w:jc w:val="left"/>
        <w:rPr>
          <w:rFonts w:ascii="Times New Roman" w:hAnsi="Times New Roman" w:cs="Times New Roman" w:eastAsia="Times New Roman" w:hint="default"/>
        </w:rPr>
      </w:pPr>
      <w:r>
        <w:rPr/>
        <w:t>毛利率</w:t>
      </w:r>
      <w:r>
        <w:rPr>
          <w:rFonts w:ascii="Times New Roman" w:hAnsi="Times New Roman" w:cs="Times New Roman" w:eastAsia="Times New Roman" w:hint="default"/>
        </w:rPr>
        <w:t>——</w:t>
      </w:r>
      <w:r>
        <w:rPr>
          <w:rFonts w:ascii="Times New Roman" w:hAnsi="Times New Roman" w:cs="Times New Roman" w:eastAsia="Times New Roman" w:hint="default"/>
        </w:rPr>
        <w:t>40%~50% </w:t>
      </w:r>
      <w:r>
        <w:rPr/>
        <w:t>永续期收入增长率</w:t>
      </w:r>
      <w:r>
        <w:rPr>
          <w:rFonts w:ascii="Times New Roman" w:hAnsi="Times New Roman" w:cs="Times New Roman" w:eastAsia="Times New Roman" w:hint="default"/>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折现率</w:t>
      </w:r>
      <w:r>
        <w:rPr>
          <w:rFonts w:ascii="Times New Roman" w:hAnsi="Times New Roman" w:cs="Times New Roman" w:eastAsia="Times New Roman" w:hint="default"/>
        </w:rPr>
        <w:t>——</w:t>
      </w:r>
      <w:r>
        <w:rPr>
          <w:rFonts w:ascii="Times New Roman" w:hAnsi="Times New Roman" w:cs="Times New Roman" w:eastAsia="Times New Roman" w:hint="default"/>
        </w:rPr>
        <w:t>16%</w:t>
      </w:r>
    </w:p>
    <w:p>
      <w:pPr>
        <w:pStyle w:val="BodyText"/>
        <w:spacing w:line="360" w:lineRule="auto" w:before="13"/>
        <w:ind w:right="6614" w:firstLine="360"/>
        <w:jc w:val="left"/>
      </w:pPr>
      <w:r>
        <w:rPr/>
        <w:t>根据商誉减值测算结果，本年商誉未发生减值。 商誉减值测试的影响</w:t>
      </w:r>
    </w:p>
    <w:p>
      <w:pPr>
        <w:pStyle w:val="BodyText"/>
        <w:spacing w:line="360" w:lineRule="auto" w:before="25"/>
        <w:ind w:right="10034" w:firstLine="360"/>
        <w:jc w:val="left"/>
      </w:pPr>
      <w:r>
        <w:rPr/>
        <w:t>无 其他说明</w:t>
      </w:r>
    </w:p>
    <w:p>
      <w:pPr>
        <w:pStyle w:val="BodyText"/>
        <w:spacing w:line="240" w:lineRule="auto" w:before="27"/>
        <w:ind w:left="513" w:right="1133"/>
        <w:jc w:val="left"/>
      </w:pPr>
      <w:r>
        <w:rPr/>
        <w:t>分配至上述资产组的关键假设的金额与公司历史经验及外部信息一致。</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73,969,599.09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18,249,538.50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22,894,314.80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69,324,822.79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73,969,599.09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18,249,538.50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22,894,314.80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69,324,822.79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199,305,799.82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33,665,149.21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121,047,645.77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21,703,901.09</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1,401,495.80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220,254.15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1,288,713.33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199,324.32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154,776,817.31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28,328,162.87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69,533,460.03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13,878,520.84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26,163,396.64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3,924,509.50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34,725,962.62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7,254,396.33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7,089,982.65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1,108,184.61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4,672,755.85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723,382.89</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未确认收入的政府补助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17,908,508.74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3,998,719.26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26,590,749.91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5,070,559.66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406,646,000.96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71,244,979.60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257,859,287.51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48,830,085.13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2"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11,861,317.66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1,957,117.41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40,574,354.02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6,694,768.41</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28,724,027.84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4,745,669.56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14,164,010.65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2,977,433.42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40,585,345.50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6,702,786.97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54,738,364.67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9,672,201.83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71,244,979.60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48,830,085.13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6,702,786.97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9,672,201.83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89,962,883.71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85,439,503.22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12,195,717.92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3,453,421.53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102,158,601.63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88,892,924.75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119,860.29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36,069,327.42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35,378,840.78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3,492,078.80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3,664,153.84</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8,796,297.16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10,095,884.61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6,122,586.29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22,160,636.87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10,382,009.41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25,100,584.63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14,020,126.83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89,962,883.71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85,439,503.22</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其他说明：</w:t>
      </w:r>
    </w:p>
    <w:p>
      <w:pPr>
        <w:pStyle w:val="Heading4"/>
        <w:spacing w:line="285" w:lineRule="auto" w:before="98"/>
        <w:ind w:right="1135"/>
        <w:jc w:val="both"/>
      </w:pPr>
      <w:r>
        <w:rPr>
          <w:spacing w:val="-2"/>
        </w:rPr>
        <w:t>由于产生上述亏损的相关公司预计在未来盈利的可能性较低，不存在可足以抵扣亏损的盈利，公司并未对上</w:t>
      </w:r>
      <w:r>
        <w:rPr>
          <w:w w:val="99"/>
        </w:rPr>
        <w:t> </w:t>
      </w:r>
      <w:r>
        <w:rPr/>
        <w:t>述税务亏损确认递延所得税资产。</w:t>
      </w:r>
    </w:p>
    <w:p>
      <w:pPr>
        <w:pStyle w:val="Heading4"/>
        <w:spacing w:line="271" w:lineRule="auto" w:before="12"/>
        <w:ind w:right="1126"/>
        <w:jc w:val="both"/>
      </w:pPr>
      <w:r>
        <w:rPr>
          <w:spacing w:val="2"/>
        </w:rPr>
        <w:t>根据当地法律法规，公司境外的某些子公司向公司派发的股息需要缴纳预提所得税。于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日及</w:t>
      </w:r>
      <w:r>
        <w:rPr>
          <w:spacing w:val="2"/>
          <w:w w:val="99"/>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日，公司并未就该等子公司未分配利润未来分派产生的纳税义务确认递延所得税负债，原因为公</w:t>
      </w:r>
      <w:r>
        <w:rPr>
          <w:spacing w:val="-78"/>
        </w:rPr>
        <w:t> </w:t>
      </w:r>
      <w:r>
        <w:rPr>
          <w:spacing w:val="-78"/>
        </w:rPr>
      </w:r>
      <w:r>
        <w:rPr/>
        <w:t>司控制该等子公司的股利政策，并认为相关期间产生的利润将不会于可预见未来予以分派。</w:t>
      </w:r>
    </w:p>
    <w:p>
      <w:pPr>
        <w:spacing w:line="240" w:lineRule="auto" w:before="3"/>
        <w:rPr>
          <w:rFonts w:ascii="宋体" w:hAnsi="宋体" w:cs="宋体" w:eastAsia="宋体" w:hint="default"/>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、其他非流动资产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137,161,845.61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24,328,791.19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11,170,370.61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13,040,730.42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188,332,216.22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37,369,521.61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18</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8,000,000.00</w:t>
            </w:r>
          </w:p>
        </w:tc>
      </w:tr>
    </w:tbl>
    <w:p>
      <w:pPr>
        <w:pStyle w:val="BodyText"/>
        <w:spacing w:line="360" w:lineRule="auto" w:before="51"/>
        <w:ind w:left="513" w:right="8954" w:hanging="361"/>
        <w:jc w:val="left"/>
      </w:pPr>
      <w:r>
        <w:rPr/>
        <w:t>短期借款分类的说明：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2789"/>
        <w:jc w:val="left"/>
      </w:pPr>
      <w:r>
        <w:rPr/>
        <w:t>本期末已逾期未偿还的短期借款总额为</w:t>
      </w:r>
      <w:r>
        <w:rPr>
          <w:spacing w:val="-46"/>
        </w:rPr>
        <w:t> </w:t>
      </w:r>
      <w:r>
        <w:rPr>
          <w:rFonts w:ascii="Times New Roman" w:hAnsi="Times New Roman" w:cs="Times New Roman" w:eastAsia="Times New Roman" w:hint="default"/>
        </w:rPr>
        <w:t>0.00 </w:t>
      </w:r>
      <w:r>
        <w:rPr/>
        <w:t>元，其中重要的已逾期未偿还的短期借款情况如下： 无</w:t>
      </w:r>
    </w:p>
    <w:p>
      <w:pPr>
        <w:spacing w:line="240" w:lineRule="auto" w:before="1"/>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19</w:t>
      </w:r>
      <w:r>
        <w:rPr/>
        <w:t>、应付票据及应付账款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139,034,161.03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119,658,078.74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139,034,161.03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119,658,078.74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135,518,733.57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118,106,207.21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3,515,427.46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1,551,871.53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139,034,161.03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119,658,078.74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306,079.34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工程尾款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226,641.60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设备尾款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532,720.94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188,926,798.28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239,710,907.02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77,035,860.09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59,885,540.14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49,151,950.06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40,141,327.42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91,702,210.87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52,766,457.66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406,816,819.30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392,504,232.24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5,264,879.23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该业务尚未完全执行</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4,769,151.06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该业务尚未完全执行</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4,538,528.00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34"/>
              <w:jc w:val="right"/>
              <w:rPr>
                <w:rFonts w:ascii="宋体" w:hAnsi="宋体" w:cs="宋体" w:eastAsia="宋体" w:hint="default"/>
                <w:sz w:val="18"/>
                <w:szCs w:val="18"/>
              </w:rPr>
            </w:pPr>
            <w:r>
              <w:rPr>
                <w:rFonts w:ascii="宋体" w:hAnsi="宋体" w:cs="宋体" w:eastAsia="宋体" w:hint="default"/>
                <w:sz w:val="18"/>
                <w:szCs w:val="18"/>
              </w:rPr>
              <w:t>该业务尚未完全执行</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3,040,938.77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534"/>
              <w:jc w:val="right"/>
              <w:rPr>
                <w:rFonts w:ascii="宋体" w:hAnsi="宋体" w:cs="宋体" w:eastAsia="宋体" w:hint="default"/>
                <w:sz w:val="18"/>
                <w:szCs w:val="18"/>
              </w:rPr>
            </w:pPr>
            <w:r>
              <w:rPr>
                <w:rFonts w:ascii="宋体" w:hAnsi="宋体" w:cs="宋体" w:eastAsia="宋体" w:hint="default"/>
                <w:sz w:val="18"/>
                <w:szCs w:val="18"/>
              </w:rPr>
              <w:t>该业务尚未完全执行</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3,025,654.06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34"/>
              <w:jc w:val="right"/>
              <w:rPr>
                <w:rFonts w:ascii="宋体" w:hAnsi="宋体" w:cs="宋体" w:eastAsia="宋体" w:hint="default"/>
                <w:sz w:val="18"/>
                <w:szCs w:val="18"/>
              </w:rPr>
            </w:pPr>
            <w:r>
              <w:rPr>
                <w:rFonts w:ascii="宋体" w:hAnsi="宋体" w:cs="宋体" w:eastAsia="宋体" w:hint="default"/>
                <w:sz w:val="18"/>
                <w:szCs w:val="18"/>
              </w:rPr>
              <w:t>该业务尚未完全执行</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20,639,151.12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529"/>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97,121,140.19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555,892,924.56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564,859,036.39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88,155,028.36</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94"/>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1,336,102.64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48,274,160.79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48,343,905.41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1,266,358.02</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4,152.58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445,982.45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450,135.03</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98,461,395.41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604,613,067.80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613,653,076.83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89,421,386.38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 和补贴</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95,591,016.58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462,979,070.57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472,023,240.49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86,546,846.66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397,096.14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33,214,094.92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33,047,900.04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563,291.02</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684,372.79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25,968,964.59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26,104,174.06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549,163.32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594,661.91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23,497,202.60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23,613,575.22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478,289.29</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38,746.58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881,208.68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893,721.67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26,233.59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50,964.30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1,590,553.31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1,596,877.17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44,640.44</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127,811.46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33,200,250.49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33,194,282.76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133,779.19</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 育经费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320,843.22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530,543.99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489,439.04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361,948.17</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97,121,140.19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555,892,924.56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564,859,036.39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88,155,028.36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1,244,346.60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47,035,529.05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47,107,902.96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1,171,972.69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91,756.04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1,238,631.74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1,236,002.45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94,385.33</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1,336,102.64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48,274,160.79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48,343,905.41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1,266,358.02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22,745,487.18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9,766,711.02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41,140,370.42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28,130,755.19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1,036,090.09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1,904,483.17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1,911,253.55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3,573,260.85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66,833,201.24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43,375,210.23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5,926,216.16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4,676,216.16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198,128,076.97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111,019,926.68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204,054,293.13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115,696,142.84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）应付股利</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5,926,216.16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4,676,216.16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5,926,216.16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4,676,216.16</w:t>
            </w:r>
          </w:p>
        </w:tc>
      </w:tr>
    </w:tbl>
    <w:p>
      <w:pPr>
        <w:pStyle w:val="BodyText"/>
        <w:spacing w:line="338" w:lineRule="auto" w:before="51"/>
        <w:ind w:left="513" w:right="4994" w:hanging="361"/>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公司超过</w:t>
      </w:r>
      <w:r>
        <w:rPr>
          <w:rFonts w:ascii="Times New Roman" w:hAnsi="Times New Roman" w:cs="Times New Roman" w:eastAsia="Times New Roman" w:hint="default"/>
        </w:rPr>
        <w:t>1</w:t>
      </w:r>
      <w:r>
        <w:rPr/>
        <w:t>年未支付的原因系未办理完外汇登记。</w:t>
      </w:r>
    </w:p>
    <w:p>
      <w:pPr>
        <w:spacing w:line="240" w:lineRule="auto" w:before="9"/>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1"/>
        <w:jc w:val="right"/>
      </w:pPr>
      <w:r>
        <w:rPr/>
        <w:t>单位：</w:t>
      </w:r>
      <w:r>
        <w:rPr>
          <w:spacing w:val="1"/>
        </w:rPr>
        <w:t> </w:t>
      </w:r>
      <w:r>
        <w:rPr/>
        <w:t>元</w:t>
      </w:r>
    </w:p>
    <w:p>
      <w:pPr>
        <w:spacing w:after="0" w:line="240" w:lineRule="auto"/>
        <w:jc w:val="right"/>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130,910,319.55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58,270,889.16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19,258,291.63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16,370,864.17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20,248,842.99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20,565,602.84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代收合作项目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13,292,170.00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应付其他员工福利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4,388,440.65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3,371,922.95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3,330,492.20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5,710,321.95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6,699,519.95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6,730,325.61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198,128,076.97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111,019,926.68</w:t>
            </w:r>
          </w:p>
        </w:tc>
      </w:tr>
    </w:tbl>
    <w:p>
      <w:pPr>
        <w:pStyle w:val="BodyText"/>
        <w:spacing w:line="240" w:lineRule="auto" w:before="51"/>
        <w:ind w:right="1133"/>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24</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31,062,990.14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30,714,034.24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31,062,990.14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30,714,034.24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25</w:t>
      </w:r>
      <w:r>
        <w:rPr/>
        <w:t>、</w:t>
      </w:r>
      <w:r>
        <w:rPr>
          <w:spacing w:val="-1"/>
        </w:rPr>
        <w:t> </w:t>
      </w:r>
      <w:r>
        <w:rPr/>
        <w:t>预计负债</w:t>
      </w:r>
      <w:r>
        <w:rPr>
          <w:rFonts w:ascii="Times New Roman" w:hAnsi="Times New Roman" w:cs="Times New Roman" w:eastAsia="Times New Roman" w:hint="default"/>
        </w:rPr>
        <w:t>-</w:t>
      </w:r>
      <w:r>
        <w:rPr/>
        <w:t>流动</w:t>
      </w:r>
      <w:r>
        <w:rPr>
          <w:b w:val="0"/>
          <w:bCs w:val="0"/>
        </w:rPr>
      </w:r>
    </w:p>
    <w:p>
      <w:pPr>
        <w:spacing w:line="240" w:lineRule="auto" w:before="8"/>
        <w:rPr>
          <w:rFonts w:ascii="宋体" w:hAnsi="宋体" w:cs="宋体" w:eastAsia="宋体" w:hint="default"/>
          <w:b/>
          <w:bCs/>
          <w:sz w:val="26"/>
          <w:szCs w:val="26"/>
        </w:rPr>
      </w:pPr>
    </w:p>
    <w:tbl>
      <w:tblPr>
        <w:tblW w:w="0" w:type="auto"/>
        <w:jc w:val="left"/>
        <w:tblInd w:w="215" w:type="dxa"/>
        <w:tblLayout w:type="fixed"/>
        <w:tblCellMar>
          <w:top w:w="0" w:type="dxa"/>
          <w:left w:w="0" w:type="dxa"/>
          <w:bottom w:w="0" w:type="dxa"/>
          <w:right w:w="0" w:type="dxa"/>
        </w:tblCellMar>
        <w:tblLook w:val="01E0"/>
      </w:tblPr>
      <w:tblGrid>
        <w:gridCol w:w="3188"/>
        <w:gridCol w:w="2168"/>
        <w:gridCol w:w="2552"/>
        <w:gridCol w:w="1663"/>
      </w:tblGrid>
      <w:tr>
        <w:trPr>
          <w:trHeight w:val="414"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6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28"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待执行亏损合同</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7,089,982.65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4,672,755.85</w:t>
            </w:r>
          </w:p>
        </w:tc>
        <w:tc>
          <w:tcPr>
            <w:tcW w:w="1663"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7,089,982.65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4,672,755.85</w:t>
            </w:r>
          </w:p>
        </w:tc>
        <w:tc>
          <w:tcPr>
            <w:tcW w:w="166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b/>
          <w:bCs/>
          <w:sz w:val="21"/>
          <w:szCs w:val="21"/>
        </w:rPr>
      </w:pPr>
    </w:p>
    <w:p>
      <w:pPr>
        <w:pStyle w:val="BodyText"/>
        <w:spacing w:line="316" w:lineRule="auto" w:before="44"/>
        <w:ind w:left="179" w:right="1131" w:firstLine="288"/>
        <w:jc w:val="left"/>
      </w:pPr>
      <w:r>
        <w:rPr>
          <w:spacing w:val="-1"/>
        </w:rPr>
        <w:t>预计负债是指公司履行部分合同义务不可避免会发生的成本超过该合同预期经济利益的合同。预计负债的计算需要对合</w:t>
      </w:r>
      <w:r>
        <w:rPr/>
        <w:t> 同预计收入以及未来需要发生的不可避免成本作出预计。公司持续对预计负债金额估计标准进行复核，必要时进行调整。</w:t>
      </w:r>
    </w:p>
    <w:p>
      <w:pPr>
        <w:spacing w:after="0" w:line="316" w:lineRule="auto"/>
        <w:jc w:val="left"/>
        <w:sectPr>
          <w:pgSz w:w="11910" w:h="16840"/>
          <w:pgMar w:header="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26</w:t>
      </w:r>
      <w:r>
        <w:rPr/>
        <w:t>、递延收益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31,124,248.17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41,423,211.20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39,523,147.82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33,024,311.55</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31,124,248.17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41,423,211.20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39,523,147.82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33,024,311.55</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064"/>
        <w:gridCol w:w="1171"/>
        <w:gridCol w:w="1136"/>
        <w:gridCol w:w="1133"/>
        <w:gridCol w:w="1136"/>
        <w:gridCol w:w="850"/>
        <w:gridCol w:w="1135"/>
        <w:gridCol w:w="1133"/>
        <w:gridCol w:w="814"/>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2" w:right="111"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10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2" w:right="111"/>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滨海华大基 因产业研究 院建设</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12,434,116.51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4,065,617.35</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4,323,050.64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5,045,448.52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建立长垣华 大产业综合 示范区协议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6,833,333.27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2,833,333.19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48"/>
              <w:jc w:val="left"/>
              <w:rPr>
                <w:rFonts w:ascii="宋体" w:hAnsi="宋体" w:cs="宋体" w:eastAsia="宋体" w:hint="default"/>
                <w:sz w:val="18"/>
                <w:szCs w:val="18"/>
              </w:rPr>
            </w:pPr>
            <w:r>
              <w:rPr>
                <w:rFonts w:ascii="宋体" w:hAnsi="宋体" w:cs="宋体" w:eastAsia="宋体" w:hint="default"/>
                <w:sz w:val="18"/>
                <w:szCs w:val="18"/>
              </w:rPr>
              <w:t>太和县建立 </w:t>
            </w:r>
            <w:r>
              <w:rPr>
                <w:rFonts w:ascii="Times New Roman" w:hAnsi="Times New Roman" w:cs="Times New Roman" w:eastAsia="Times New Roman" w:hint="default"/>
                <w:sz w:val="18"/>
                <w:szCs w:val="18"/>
              </w:rPr>
              <w:t>“</w:t>
            </w:r>
            <w:r>
              <w:rPr>
                <w:rFonts w:ascii="宋体" w:hAnsi="宋体" w:cs="宋体" w:eastAsia="宋体" w:hint="default"/>
                <w:sz w:val="18"/>
                <w:szCs w:val="18"/>
              </w:rPr>
              <w:t>一院一所两 中心</w:t>
            </w:r>
            <w:r>
              <w:rPr>
                <w:rFonts w:ascii="Times New Roman" w:hAnsi="Times New Roman" w:cs="Times New Roman" w:eastAsia="Times New Roman" w:hint="default"/>
                <w:sz w:val="18"/>
                <w:szCs w:val="18"/>
              </w:rPr>
              <w:t>”</w:t>
            </w:r>
            <w:r>
              <w:rPr>
                <w:rFonts w:ascii="宋体" w:hAnsi="宋体" w:cs="宋体" w:eastAsia="宋体" w:hint="default"/>
                <w:sz w:val="18"/>
                <w:szCs w:val="18"/>
              </w:rPr>
              <w:t>实验室 装修项目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6,833,333.28</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2,833,333.20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227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湖北省重大 科技创新计 划项目专项</w:t>
            </w:r>
            <w:r>
              <w:rPr>
                <w:rFonts w:ascii="Times New Roman" w:hAnsi="Times New Roman" w:cs="Times New Roman" w:eastAsia="Times New Roman" w:hint="default"/>
                <w:sz w:val="18"/>
                <w:szCs w:val="18"/>
              </w:rPr>
              <w:t>- </w:t>
            </w:r>
            <w:r>
              <w:rPr>
                <w:rFonts w:ascii="宋体" w:hAnsi="宋体" w:cs="宋体" w:eastAsia="宋体" w:hint="default"/>
                <w:sz w:val="18"/>
                <w:szCs w:val="18"/>
              </w:rPr>
              <w:t>高通量基因 测序仪核心 技术</w:t>
            </w:r>
            <w:r>
              <w:rPr>
                <w:rFonts w:ascii="Times New Roman" w:hAnsi="Times New Roman" w:cs="Times New Roman" w:eastAsia="Times New Roman" w:hint="default"/>
                <w:sz w:val="18"/>
                <w:szCs w:val="18"/>
              </w:rPr>
              <w:t>-</w:t>
            </w:r>
            <w:r>
              <w:rPr>
                <w:rFonts w:ascii="宋体" w:hAnsi="宋体" w:cs="宋体" w:eastAsia="宋体" w:hint="default"/>
                <w:sz w:val="18"/>
                <w:szCs w:val="18"/>
              </w:rPr>
              <w:t>测序芯 片研发</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29"/>
              <w:jc w:val="both"/>
              <w:rPr>
                <w:rFonts w:ascii="宋体" w:hAnsi="宋体" w:cs="宋体" w:eastAsia="宋体" w:hint="default"/>
                <w:sz w:val="18"/>
                <w:szCs w:val="18"/>
              </w:rPr>
            </w:pPr>
            <w:r>
              <w:rPr>
                <w:rFonts w:ascii="宋体" w:hAnsi="宋体" w:cs="宋体" w:eastAsia="宋体" w:hint="default"/>
                <w:sz w:val="18"/>
                <w:szCs w:val="18"/>
              </w:rPr>
              <w:t>建邺开发区 政府装修补 贴资金</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3,127,017.53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1,250,807.04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1,250,807.04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625,403.45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PB </w:t>
            </w:r>
            <w:r>
              <w:rPr>
                <w:rFonts w:ascii="宋体" w:hAnsi="宋体" w:cs="宋体" w:eastAsia="宋体" w:hint="default"/>
                <w:sz w:val="18"/>
                <w:szCs w:val="18"/>
              </w:rPr>
              <w:t>级生物基 因数据处理 的国民健康 服务平台专 项拨款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4,853,806.54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1,024,275.83</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1,024,275.83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2,805,254.88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基于生物云 计算基因组 健康</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1,309,090.92</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981,818.16</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327,272.76</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bl>
    <w:p>
      <w:pPr>
        <w:spacing w:after="0" w:line="319" w:lineRule="auto"/>
        <w:jc w:val="left"/>
        <w:rPr>
          <w:rFonts w:ascii="宋体" w:hAnsi="宋体" w:cs="宋体" w:eastAsia="宋体" w:hint="default"/>
          <w:sz w:val="18"/>
          <w:szCs w:val="18"/>
        </w:rPr>
        <w:sectPr>
          <w:pgSz w:w="11910" w:h="16840"/>
          <w:pgMar w:header="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4"/>
        <w:gridCol w:w="1171"/>
        <w:gridCol w:w="1136"/>
        <w:gridCol w:w="1133"/>
        <w:gridCol w:w="1136"/>
        <w:gridCol w:w="850"/>
        <w:gridCol w:w="1135"/>
        <w:gridCol w:w="1133"/>
        <w:gridCol w:w="814"/>
      </w:tblGrid>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实验室装修 补贴</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2,794,546.32</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817,916.04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817,916.04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1,158,714.24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9"/>
              <w:jc w:val="left"/>
              <w:rPr>
                <w:rFonts w:ascii="宋体" w:hAnsi="宋体" w:cs="宋体" w:eastAsia="宋体" w:hint="default"/>
                <w:sz w:val="18"/>
                <w:szCs w:val="18"/>
              </w:rPr>
            </w:pPr>
            <w:r>
              <w:rPr>
                <w:rFonts w:ascii="宋体" w:hAnsi="宋体" w:cs="宋体" w:eastAsia="宋体" w:hint="default"/>
                <w:sz w:val="18"/>
                <w:szCs w:val="18"/>
              </w:rPr>
              <w:t>本溪华大政 策扶持协议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1,234,048.80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613,633.24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620,415.56</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滨海研究院 保税区科技 发展局装修 专项补贴款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950,000.00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350,000.00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CG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测序仪 生产基地补 助</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广州市肿瘤 贯穿组学研 究重点实验 室</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640,746.83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276,776.33</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363,970.50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227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48"/>
              <w:jc w:val="left"/>
              <w:rPr>
                <w:rFonts w:ascii="宋体" w:hAnsi="宋体" w:cs="宋体" w:eastAsia="宋体" w:hint="default"/>
                <w:sz w:val="18"/>
                <w:szCs w:val="18"/>
              </w:rPr>
            </w:pPr>
            <w:r>
              <w:rPr>
                <w:rFonts w:ascii="宋体" w:hAnsi="宋体" w:cs="宋体" w:eastAsia="宋体" w:hint="default"/>
                <w:sz w:val="18"/>
                <w:szCs w:val="18"/>
              </w:rPr>
              <w:t>东湖开发区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生物产业发 展资金</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p>
            <w:pPr>
              <w:pStyle w:val="TableParagraph"/>
              <w:spacing w:line="312" w:lineRule="auto" w:before="7"/>
              <w:ind w:left="24"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新一代测</w:t>
            </w:r>
            <w:r>
              <w:rPr>
                <w:rFonts w:ascii="宋体" w:hAnsi="宋体" w:cs="宋体" w:eastAsia="宋体" w:hint="default"/>
                <w:w w:val="99"/>
                <w:sz w:val="18"/>
                <w:szCs w:val="18"/>
              </w:rPr>
              <w:t> </w:t>
            </w:r>
            <w:r>
              <w:rPr>
                <w:rFonts w:ascii="宋体" w:hAnsi="宋体" w:cs="宋体" w:eastAsia="宋体" w:hint="default"/>
                <w:sz w:val="18"/>
                <w:szCs w:val="18"/>
              </w:rPr>
              <w:t>序、质谱技</w:t>
            </w:r>
            <w:r>
              <w:rPr>
                <w:rFonts w:ascii="宋体" w:hAnsi="宋体" w:cs="宋体" w:eastAsia="宋体" w:hint="default"/>
                <w:w w:val="99"/>
                <w:sz w:val="18"/>
                <w:szCs w:val="18"/>
              </w:rPr>
              <w:t> </w:t>
            </w:r>
            <w:r>
              <w:rPr>
                <w:rFonts w:ascii="宋体" w:hAnsi="宋体" w:cs="宋体" w:eastAsia="宋体" w:hint="default"/>
                <w:sz w:val="18"/>
                <w:szCs w:val="18"/>
              </w:rPr>
              <w:t>术临床检测</w:t>
            </w:r>
            <w:r>
              <w:rPr>
                <w:rFonts w:ascii="宋体" w:hAnsi="宋体" w:cs="宋体" w:eastAsia="宋体" w:hint="default"/>
                <w:w w:val="99"/>
                <w:sz w:val="18"/>
                <w:szCs w:val="18"/>
              </w:rPr>
              <w:t> </w:t>
            </w:r>
            <w:r>
              <w:rPr>
                <w:rFonts w:ascii="宋体" w:hAnsi="宋体" w:cs="宋体" w:eastAsia="宋体" w:hint="default"/>
                <w:sz w:val="18"/>
                <w:szCs w:val="18"/>
              </w:rPr>
              <w:t>服务平台</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363,636.39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272,727.24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90,909.15</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基因测序在 生育健康检 测中应用开 发及产业化</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1,888,500.00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605,166.68</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800,000.04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1,483,333.28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贯穿组在出 生缺陷防控 及肿瘤早期 诊断与个体 化</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232,365.09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81,486.26</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81,486.26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69,392.57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济宁市产学 研合作开发 项目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937,212.36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28,978.89</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28,978.89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879,254.58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上海中小企 业项目发展 专项资金</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241,591.99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14,833.35</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14,833.35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211,925.29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云南省精准 医学检测公 共服务平台</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368,550.00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245,700.00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4,505,750.00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华大基因展</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3,657,740.80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426,736.44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646,200.87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2,584,803.49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与资产相</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4"/>
        <w:gridCol w:w="1171"/>
        <w:gridCol w:w="1136"/>
        <w:gridCol w:w="1133"/>
        <w:gridCol w:w="1136"/>
        <w:gridCol w:w="850"/>
        <w:gridCol w:w="1135"/>
        <w:gridCol w:w="1133"/>
        <w:gridCol w:w="814"/>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厅</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蛋白质组临 床级定量和 创新试剂研 发</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1,109,800.00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368,534.85</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741,265.15</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深圳市福田 区新生儿遗 传性耳聋基 因检测</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1,623,894.99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2,218,280.09</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205,614.90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both"/>
              <w:rPr>
                <w:rFonts w:ascii="Times New Roman" w:hAnsi="Times New Roman" w:cs="Times New Roman" w:eastAsia="Times New Roman" w:hint="default"/>
                <w:sz w:val="18"/>
                <w:szCs w:val="18"/>
              </w:rPr>
            </w:pPr>
            <w:r>
              <w:rPr>
                <w:rFonts w:ascii="Times New Roman"/>
                <w:sz w:val="18"/>
              </w:rPr>
              <w:t>MALDI-TOF</w:t>
            </w:r>
          </w:p>
          <w:p>
            <w:pPr>
              <w:pStyle w:val="TableParagraph"/>
              <w:spacing w:line="316" w:lineRule="auto" w:before="63"/>
              <w:ind w:left="24" w:right="129"/>
              <w:jc w:val="both"/>
              <w:rPr>
                <w:rFonts w:ascii="宋体" w:hAnsi="宋体" w:cs="宋体" w:eastAsia="宋体" w:hint="default"/>
                <w:sz w:val="18"/>
                <w:szCs w:val="18"/>
              </w:rPr>
            </w:pPr>
            <w:r>
              <w:rPr>
                <w:rFonts w:ascii="宋体" w:hAnsi="宋体" w:cs="宋体" w:eastAsia="宋体" w:hint="default"/>
                <w:sz w:val="18"/>
                <w:szCs w:val="18"/>
              </w:rPr>
              <w:t>定量蛋白质 组临床级质 谱仪及配套 的相关试剂 研发</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273,441.75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112,448.94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160,992.81</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传染病专项 平台</w:t>
            </w:r>
            <w:r>
              <w:rPr>
                <w:rFonts w:ascii="Times New Roman" w:hAnsi="Times New Roman" w:cs="Times New Roman" w:eastAsia="Times New Roman" w:hint="default"/>
                <w:sz w:val="18"/>
                <w:szCs w:val="18"/>
              </w:rPr>
              <w:t>-</w:t>
            </w:r>
            <w:r>
              <w:rPr>
                <w:rFonts w:ascii="宋体" w:hAnsi="宋体" w:cs="宋体" w:eastAsia="宋体" w:hint="default"/>
                <w:sz w:val="18"/>
                <w:szCs w:val="18"/>
              </w:rPr>
              <w:t>突发急 性传染病诊 断试剂的研 制</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1,155,000.00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20170470</w:t>
            </w:r>
          </w:p>
          <w:p>
            <w:pPr>
              <w:pStyle w:val="TableParagraph"/>
              <w:spacing w:line="316" w:lineRule="auto" w:before="63"/>
              <w:ind w:left="24" w:right="129"/>
              <w:jc w:val="both"/>
              <w:rPr>
                <w:rFonts w:ascii="宋体" w:hAnsi="宋体" w:cs="宋体" w:eastAsia="宋体" w:hint="default"/>
                <w:sz w:val="18"/>
                <w:szCs w:val="18"/>
              </w:rPr>
            </w:pPr>
            <w:r>
              <w:rPr>
                <w:rFonts w:ascii="宋体" w:hAnsi="宋体" w:cs="宋体" w:eastAsia="宋体" w:hint="default"/>
                <w:sz w:val="18"/>
                <w:szCs w:val="18"/>
              </w:rPr>
              <w:t>靶向新筛肿 瘤抗原的免 疫细胞治疗 技术研发</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755,381.41</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4,244,618.59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孕妇血胎儿 游离核酸无 创产前筛查 胎儿单基因 病防控关键 技术研究</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375,775.54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624,224.46</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生物标志物 指导肺癌精 准预防早诊 研究项目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203,000.00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197,000.00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370,022.01</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29,977.99</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生物标志物 谱指导的肺 癌精准预后 判断和真实 世界大数据 研究</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98,500.00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197,218.12</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2,781.88</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4"/>
        <w:gridCol w:w="1171"/>
        <w:gridCol w:w="1136"/>
        <w:gridCol w:w="1133"/>
        <w:gridCol w:w="1136"/>
        <w:gridCol w:w="850"/>
        <w:gridCol w:w="1135"/>
        <w:gridCol w:w="1133"/>
        <w:gridCol w:w="814"/>
      </w:tblGrid>
      <w:tr>
        <w:trPr>
          <w:trHeight w:val="227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生物标志物 指导的多学 科融合肺癌 精准诊治方 案多中心前 瞻性临床研 究</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滨海华大基 因产业研究 院建设</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1,260,954.21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pacing w:val="-1"/>
                <w:sz w:val="18"/>
              </w:rPr>
              <w:t>260,954.21</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8"/>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广东特支计 划</w:t>
            </w:r>
            <w:r>
              <w:rPr>
                <w:rFonts w:ascii="Times New Roman" w:hAnsi="Times New Roman" w:cs="Times New Roman" w:eastAsia="Times New Roman" w:hint="default"/>
                <w:sz w:val="18"/>
                <w:szCs w:val="18"/>
              </w:rPr>
              <w:t>”</w:t>
            </w:r>
            <w:r>
              <w:rPr>
                <w:rFonts w:ascii="宋体" w:hAnsi="宋体" w:cs="宋体" w:eastAsia="宋体" w:hint="default"/>
                <w:sz w:val="18"/>
                <w:szCs w:val="18"/>
              </w:rPr>
              <w:t>科技创新 领军人才省 财政专项经 费</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782,666.19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216,290.24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216,290.24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350,085.71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肺癌精准化 防诊治模式 和规范化临 床应用方案 研究</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基因大数据 分析与产业 化研究</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234,588.65</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136,330.79</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98,257.86</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20170442</w:t>
            </w:r>
          </w:p>
          <w:p>
            <w:pPr>
              <w:pStyle w:val="TableParagraph"/>
              <w:spacing w:line="314" w:lineRule="auto" w:before="60"/>
              <w:ind w:left="24" w:right="55"/>
              <w:jc w:val="left"/>
              <w:rPr>
                <w:rFonts w:ascii="宋体" w:hAnsi="宋体" w:cs="宋体" w:eastAsia="宋体" w:hint="default"/>
                <w:sz w:val="18"/>
                <w:szCs w:val="18"/>
              </w:rPr>
            </w:pPr>
            <w:r>
              <w:rPr>
                <w:rFonts w:ascii="宋体" w:hAnsi="宋体" w:cs="宋体" w:eastAsia="宋体" w:hint="default"/>
                <w:sz w:val="18"/>
                <w:szCs w:val="18"/>
              </w:rPr>
              <w:t>外泌体 </w:t>
            </w:r>
            <w:r>
              <w:rPr>
                <w:rFonts w:ascii="Times New Roman" w:hAnsi="Times New Roman" w:cs="Times New Roman" w:eastAsia="Times New Roman" w:hint="default"/>
                <w:sz w:val="18"/>
                <w:szCs w:val="18"/>
              </w:rPr>
              <w:t>miRNA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用于 急性心肌梗 死早筛的关 键技术研发</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9"/>
              <w:jc w:val="left"/>
              <w:rPr>
                <w:rFonts w:ascii="宋体" w:hAnsi="宋体" w:cs="宋体" w:eastAsia="宋体" w:hint="default"/>
                <w:sz w:val="18"/>
                <w:szCs w:val="18"/>
              </w:rPr>
            </w:pPr>
            <w:r>
              <w:rPr>
                <w:rFonts w:ascii="宋体" w:hAnsi="宋体" w:cs="宋体" w:eastAsia="宋体" w:hint="default"/>
                <w:sz w:val="18"/>
                <w:szCs w:val="18"/>
              </w:rPr>
              <w:t>高品质道地 中药材甘 草、黄芩、 金荞麦规模 化种植及精 准扶贫示范 研究</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152,300.00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152,300.00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全基因组测 序技术在抗 脓毒症感染 的精准应用 研究</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31,051.50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28,948.50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4" w:lineRule="auto"/>
        <w:jc w:val="left"/>
        <w:rPr>
          <w:rFonts w:ascii="宋体" w:hAnsi="宋体" w:cs="宋体" w:eastAsia="宋体" w:hint="default"/>
          <w:sz w:val="18"/>
          <w:szCs w:val="18"/>
        </w:rPr>
        <w:sectPr>
          <w:pgSz w:w="11910" w:h="16840"/>
          <w:pgMar w:header="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4"/>
        <w:gridCol w:w="1171"/>
        <w:gridCol w:w="1136"/>
        <w:gridCol w:w="1133"/>
        <w:gridCol w:w="1136"/>
        <w:gridCol w:w="850"/>
        <w:gridCol w:w="1135"/>
        <w:gridCol w:w="1133"/>
        <w:gridCol w:w="814"/>
      </w:tblGrid>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关于基于高 效图处理的 基因拼接分 析研究</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578,855.12</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21,964.00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556,891.12</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基因检测关 键共性技术 平台</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广东特支计 划百千万工 程青年拔尖 人才专项经 费</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11,862.28</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88,137.72</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55"/>
              <w:jc w:val="left"/>
              <w:rPr>
                <w:rFonts w:ascii="宋体" w:hAnsi="宋体" w:cs="宋体" w:eastAsia="宋体" w:hint="default"/>
                <w:sz w:val="18"/>
                <w:szCs w:val="18"/>
              </w:rPr>
            </w:pPr>
            <w:r>
              <w:rPr>
                <w:rFonts w:ascii="宋体" w:hAnsi="宋体" w:cs="宋体" w:eastAsia="宋体" w:hint="default"/>
                <w:sz w:val="18"/>
                <w:szCs w:val="18"/>
              </w:rPr>
              <w:t>环科园管委 会</w:t>
            </w:r>
            <w:r>
              <w:rPr>
                <w:rFonts w:ascii="Times New Roman" w:hAnsi="Times New Roman" w:cs="Times New Roman" w:eastAsia="Times New Roman" w:hint="default"/>
                <w:sz w:val="18"/>
                <w:szCs w:val="18"/>
              </w:rPr>
              <w:t>"</w:t>
            </w:r>
            <w:r>
              <w:rPr>
                <w:rFonts w:ascii="宋体" w:hAnsi="宋体" w:cs="宋体" w:eastAsia="宋体" w:hint="default"/>
                <w:sz w:val="18"/>
                <w:szCs w:val="18"/>
              </w:rPr>
              <w:t>陶都英才 </w:t>
            </w:r>
            <w:r>
              <w:rPr>
                <w:rFonts w:ascii="Times New Roman" w:hAnsi="Times New Roman" w:cs="Times New Roman" w:eastAsia="Times New Roman" w:hint="default"/>
                <w:sz w:val="18"/>
                <w:szCs w:val="18"/>
              </w:rPr>
              <w:t>"</w:t>
            </w:r>
            <w:r>
              <w:rPr>
                <w:rFonts w:ascii="宋体" w:hAnsi="宋体" w:cs="宋体" w:eastAsia="宋体" w:hint="default"/>
                <w:sz w:val="18"/>
                <w:szCs w:val="18"/>
              </w:rPr>
              <w:t>工程专项资 金</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pacing w:val="-1"/>
                <w:sz w:val="18"/>
              </w:rPr>
              <w:t>155,517.70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w w:val="95"/>
                <w:sz w:val="18"/>
              </w:rPr>
              <w:t>1,326.04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15,912.51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90" w:right="0"/>
              <w:jc w:val="left"/>
              <w:rPr>
                <w:rFonts w:ascii="Times New Roman" w:hAnsi="Times New Roman" w:cs="Times New Roman" w:eastAsia="Times New Roman" w:hint="default"/>
                <w:sz w:val="18"/>
                <w:szCs w:val="18"/>
              </w:rPr>
            </w:pPr>
            <w:r>
              <w:rPr>
                <w:rFonts w:ascii="Times New Roman"/>
                <w:sz w:val="18"/>
              </w:rPr>
              <w:t>138,279.15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8"/>
              <w:ind w:left="23" w:right="5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肾移植抗体 介导反应的 无创诊断与 综合生物治 疗研究</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29,255.08</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6,765.14</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22,489.94</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济宁市产学 研合作开发 项目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18,482.81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5,273.09</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13,209.72</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3551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光谷人 才计划</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9"/>
              <w:jc w:val="left"/>
              <w:rPr>
                <w:rFonts w:ascii="宋体" w:hAnsi="宋体" w:cs="宋体" w:eastAsia="宋体" w:hint="default"/>
                <w:sz w:val="18"/>
                <w:szCs w:val="18"/>
              </w:rPr>
            </w:pPr>
            <w:r>
              <w:rPr>
                <w:rFonts w:ascii="宋体" w:hAnsi="宋体" w:cs="宋体" w:eastAsia="宋体" w:hint="default"/>
                <w:sz w:val="18"/>
                <w:szCs w:val="18"/>
              </w:rPr>
              <w:t>科技创新平 台补助</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基于宏基因 组学的感染 诊断系统平 台和试剂盒 研发</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1,607,500.00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1,607,500.00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基于二代测 序的结构鉴 定与多线耐 药基因检测 平台的产业 化</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206,500.00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206,500.00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129"/>
              <w:jc w:val="left"/>
              <w:rPr>
                <w:rFonts w:ascii="宋体" w:hAnsi="宋体" w:cs="宋体" w:eastAsia="宋体" w:hint="default"/>
                <w:sz w:val="18"/>
                <w:szCs w:val="18"/>
              </w:rPr>
            </w:pPr>
            <w:r>
              <w:rPr>
                <w:rFonts w:ascii="宋体" w:hAnsi="宋体" w:cs="宋体" w:eastAsia="宋体" w:hint="default"/>
                <w:sz w:val="18"/>
                <w:szCs w:val="18"/>
              </w:rPr>
              <w:t>基于新生儿 遗传代谢病</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17,785.13</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1,982,214.87</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4"/>
        <w:gridCol w:w="1171"/>
        <w:gridCol w:w="1136"/>
        <w:gridCol w:w="1133"/>
        <w:gridCol w:w="1136"/>
        <w:gridCol w:w="850"/>
        <w:gridCol w:w="1135"/>
        <w:gridCol w:w="1133"/>
        <w:gridCol w:w="814"/>
      </w:tblGrid>
      <w:tr>
        <w:trPr>
          <w:trHeight w:val="129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29"/>
              <w:jc w:val="both"/>
              <w:rPr>
                <w:rFonts w:ascii="宋体" w:hAnsi="宋体" w:cs="宋体" w:eastAsia="宋体" w:hint="default"/>
                <w:sz w:val="18"/>
                <w:szCs w:val="18"/>
              </w:rPr>
            </w:pPr>
            <w:r>
              <w:rPr>
                <w:rFonts w:ascii="宋体" w:hAnsi="宋体" w:cs="宋体" w:eastAsia="宋体" w:hint="default"/>
                <w:sz w:val="18"/>
                <w:szCs w:val="18"/>
              </w:rPr>
              <w:t>筛查和诊断 的基因检测 产品的研发 及应用</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高通量测序 检测感染性 疾病血流感 染病原学新 技术开发及 其临床应用 研究</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结直肠癌筛 查和疗效预 后评估的芯 片开发及临 床应用规范 的建立</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171,739.53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771,739.53</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中肿结直肠 癌综合防治 研究专项</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85,955.13</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214,044.87</w:t>
            </w: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 研究开发资 助计划第二 批资助</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4,188,000.00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4,188,000.00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 研究开发资 助计划第三 批资助</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1,159,000.00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1,159,000.00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动植物多平 台联合组装 流程企业研 发投入项目</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1,180,000.00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1,180,000.00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市科创委研 究开发资助 配套项目</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719,000.00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719,000.00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年研究 开发企业财 政补助资金</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427,000.00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427,000.00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国家高新技 术企业认定 奖励性补助</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9" w:lineRule="auto"/>
        <w:jc w:val="left"/>
        <w:rPr>
          <w:rFonts w:ascii="宋体" w:hAnsi="宋体" w:cs="宋体" w:eastAsia="宋体" w:hint="default"/>
          <w:sz w:val="18"/>
          <w:szCs w:val="18"/>
        </w:rPr>
        <w:sectPr>
          <w:pgSz w:w="11910" w:h="16840"/>
          <w:pgMar w:header="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064"/>
        <w:gridCol w:w="1171"/>
        <w:gridCol w:w="1136"/>
        <w:gridCol w:w="1133"/>
        <w:gridCol w:w="1136"/>
        <w:gridCol w:w="850"/>
        <w:gridCol w:w="1135"/>
        <w:gridCol w:w="1133"/>
        <w:gridCol w:w="814"/>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生物产业发 展资金</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9"/>
              <w:jc w:val="both"/>
              <w:rPr>
                <w:rFonts w:ascii="宋体" w:hAnsi="宋体" w:cs="宋体" w:eastAsia="宋体" w:hint="default"/>
                <w:sz w:val="18"/>
                <w:szCs w:val="18"/>
              </w:rPr>
            </w:pPr>
            <w:r>
              <w:rPr>
                <w:rFonts w:ascii="宋体" w:hAnsi="宋体" w:cs="宋体" w:eastAsia="宋体" w:hint="default"/>
                <w:sz w:val="18"/>
                <w:szCs w:val="18"/>
              </w:rPr>
              <w:t>收武汉科学 技术局研发 投入补贴</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企业研究开 发资助市级 科技计划配 套资助</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2,094,000.00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2,094,000.00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4"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PacBio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单分 子实施测序 技术研发补 助</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pacing w:val="-1"/>
                <w:sz w:val="18"/>
              </w:rPr>
              <w:t>617,420.00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pacing w:val="-1"/>
                <w:sz w:val="18"/>
              </w:rPr>
              <w:t>617,420.00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33"/>
              <w:jc w:val="left"/>
              <w:rPr>
                <w:rFonts w:ascii="宋体" w:hAnsi="宋体" w:cs="宋体" w:eastAsia="宋体" w:hint="default"/>
                <w:sz w:val="18"/>
                <w:szCs w:val="18"/>
              </w:rPr>
            </w:pPr>
            <w:r>
              <w:rPr>
                <w:rFonts w:ascii="宋体" w:hAnsi="宋体" w:cs="宋体" w:eastAsia="宋体" w:hint="default"/>
                <w:sz w:val="18"/>
                <w:szCs w:val="18"/>
              </w:rPr>
              <w:t>番禺区财政 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 第二批高企 培育入库奖</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年研发 投入补贴</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2,095,500.00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2,095,500.00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1,819,990.95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1,105,313.27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714,677.68</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61,838,282.41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41,423,211.20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1,105,313.27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38,068,878.65</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31,062,990.14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33,024,311.55</w:t>
            </w:r>
          </w:p>
        </w:tc>
        <w:tc>
          <w:tcPr>
            <w:tcW w:w="8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10"/>
        <w:ind w:right="1131" w:firstLine="360"/>
        <w:jc w:val="both"/>
      </w:pPr>
      <w:r>
        <w:rPr>
          <w:spacing w:val="-2"/>
        </w:rPr>
        <w:t>注</w:t>
      </w:r>
      <w:r>
        <w:rPr>
          <w:rFonts w:ascii="宋体" w:hAnsi="宋体" w:cs="宋体" w:eastAsia="宋体" w:hint="default"/>
          <w:spacing w:val="-2"/>
        </w:rPr>
        <w:t>1</w:t>
      </w:r>
      <w:r>
        <w:rPr>
          <w:spacing w:val="-2"/>
        </w:rPr>
        <w:t>：“滨海华大基因产业研究院建设”项目收益性政府补助中“人才引进费</w:t>
      </w:r>
      <w:r>
        <w:rPr>
          <w:rFonts w:ascii="宋体" w:hAnsi="宋体" w:cs="宋体" w:eastAsia="宋体" w:hint="default"/>
          <w:spacing w:val="-2"/>
        </w:rPr>
        <w:t>100</w:t>
      </w:r>
      <w:r>
        <w:rPr>
          <w:spacing w:val="-2"/>
        </w:rPr>
        <w:t>万元”已由公司自筹经费承担，经天津</w:t>
      </w:r>
      <w:r>
        <w:rPr/>
        <w:t> 滨海新区科学技术委员会审批同意后，建设小组将收益性政府补助“人员费”预算中“高端人才引进费用</w:t>
      </w:r>
      <w:r>
        <w:rPr>
          <w:rFonts w:ascii="宋体" w:hAnsi="宋体" w:cs="宋体" w:eastAsia="宋体" w:hint="default"/>
        </w:rPr>
        <w:t>100</w:t>
      </w:r>
      <w:r>
        <w:rPr/>
        <w:t>万元”调整为</w:t>
      </w:r>
      <w:r>
        <w:rPr>
          <w:spacing w:val="-84"/>
        </w:rPr>
        <w:t> </w:t>
      </w:r>
      <w:r>
        <w:rPr>
          <w:spacing w:val="-84"/>
        </w:rPr>
      </w:r>
      <w:r>
        <w:rPr/>
        <w:t>资产性政府补助“仪器设备费用</w:t>
      </w:r>
      <w:r>
        <w:rPr>
          <w:rFonts w:ascii="宋体" w:hAnsi="宋体" w:cs="宋体" w:eastAsia="宋体" w:hint="default"/>
        </w:rPr>
        <w:t>100</w:t>
      </w:r>
      <w:r>
        <w:rPr/>
        <w:t>万元”。</w:t>
      </w:r>
    </w:p>
    <w:p>
      <w:pPr>
        <w:pStyle w:val="BodyText"/>
        <w:spacing w:line="240" w:lineRule="auto" w:before="59"/>
        <w:ind w:right="1133"/>
        <w:jc w:val="left"/>
      </w:pPr>
      <w:r>
        <w:rPr/>
        <w:t>其他说明：</w:t>
      </w:r>
    </w:p>
    <w:p>
      <w:pPr>
        <w:pStyle w:val="BodyText"/>
        <w:spacing w:line="316" w:lineRule="auto" w:before="115"/>
        <w:ind w:right="1133" w:firstLine="360"/>
        <w:jc w:val="both"/>
      </w:pPr>
      <w:r>
        <w:rPr>
          <w:rFonts w:ascii="宋体" w:hAnsi="宋体" w:cs="宋体" w:eastAsia="宋体" w:hint="default"/>
        </w:rPr>
        <w:t>2018</w:t>
      </w:r>
      <w:r>
        <w:rPr/>
        <w:t>年其他变动为重分类到未来一年内实现的递延收益。</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日流动部分为人民币</w:t>
      </w:r>
      <w:r>
        <w:rPr>
          <w:rFonts w:ascii="宋体" w:hAnsi="宋体" w:cs="宋体" w:eastAsia="宋体" w:hint="default"/>
        </w:rPr>
        <w:t>31,062,990.14</w:t>
      </w:r>
      <w:r>
        <w:rPr/>
        <w:t>元，非流动 部分为人民币</w:t>
      </w:r>
      <w:r>
        <w:rPr>
          <w:rFonts w:ascii="宋体" w:hAnsi="宋体" w:cs="宋体" w:eastAsia="宋体" w:hint="default"/>
        </w:rPr>
        <w:t>33,024,311.55</w:t>
      </w:r>
      <w:r>
        <w:rPr/>
        <w:t>元。</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27</w:t>
      </w:r>
      <w:r>
        <w:rPr/>
        <w:t>、其他非流动负债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尚未支付的投资款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28</w:t>
      </w:r>
      <w:r>
        <w:rPr/>
        <w:t>、股本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after="0" w:line="240" w:lineRule="auto"/>
        <w:jc w:val="right"/>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196"/>
        <w:gridCol w:w="1195"/>
        <w:gridCol w:w="1198"/>
        <w:gridCol w:w="1195"/>
        <w:gridCol w:w="1196"/>
        <w:gridCol w:w="1198"/>
        <w:gridCol w:w="1197"/>
        <w:gridCol w:w="1194"/>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400,100,000.00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400,100,000.00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29</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2,596,733,103.27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2,596,733,103.27</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371,522,974.05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164,907,154.22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206,615,819.83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2,968,256,077.32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164,907,154.22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2,803,348,923.10</w:t>
            </w:r>
          </w:p>
        </w:tc>
      </w:tr>
    </w:tbl>
    <w:p>
      <w:pPr>
        <w:pStyle w:val="BodyText"/>
        <w:spacing w:line="357" w:lineRule="auto" w:before="51"/>
        <w:ind w:left="513" w:right="1123" w:hanging="361"/>
        <w:jc w:val="left"/>
      </w:pPr>
      <w:r>
        <w:rPr/>
        <w:t>其他说明，包括本期增减变动情况、变动原因说明： 公司于</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12</w:t>
      </w:r>
      <w:r>
        <w:rPr/>
        <w:t>日向子公司北京吉比爱少数股东自然人方健秋收购北京吉比爱</w:t>
      </w:r>
      <w:r>
        <w:rPr>
          <w:rFonts w:ascii="宋体" w:hAnsi="宋体" w:cs="宋体" w:eastAsia="宋体" w:hint="default"/>
        </w:rPr>
        <w:t>25%</w:t>
      </w:r>
      <w:r>
        <w:rPr/>
        <w:t>的少数股权。此次收购对价为现</w:t>
      </w:r>
    </w:p>
    <w:p>
      <w:pPr>
        <w:pStyle w:val="BodyText"/>
        <w:spacing w:line="224" w:lineRule="exact"/>
        <w:ind w:right="986"/>
        <w:jc w:val="left"/>
      </w:pPr>
      <w:r>
        <w:rPr/>
        <w:t>金人民币</w:t>
      </w:r>
      <w:r>
        <w:rPr>
          <w:rFonts w:ascii="宋体" w:hAnsi="宋体" w:cs="宋体" w:eastAsia="宋体" w:hint="default"/>
        </w:rPr>
        <w:t>200,000,000.00</w:t>
      </w:r>
      <w:r>
        <w:rPr/>
        <w:t>元，北京吉比爱</w:t>
      </w:r>
      <w:r>
        <w:rPr>
          <w:rFonts w:ascii="宋体" w:hAnsi="宋体" w:cs="宋体" w:eastAsia="宋体" w:hint="default"/>
        </w:rPr>
        <w:t>25%</w:t>
      </w:r>
      <w:r>
        <w:rPr/>
        <w:t>的少数股权于该日账面净资产为人民币</w:t>
      </w:r>
      <w:r>
        <w:rPr>
          <w:rFonts w:ascii="宋体" w:hAnsi="宋体" w:cs="宋体" w:eastAsia="宋体" w:hint="default"/>
        </w:rPr>
        <w:t>35,856,569.53</w:t>
      </w:r>
      <w:r>
        <w:rPr/>
        <w:t>元，因此冲减公司资本公</w:t>
      </w:r>
    </w:p>
    <w:p>
      <w:pPr>
        <w:pStyle w:val="BodyText"/>
        <w:spacing w:line="316" w:lineRule="auto" w:before="76"/>
        <w:ind w:right="1133"/>
        <w:jc w:val="left"/>
      </w:pPr>
      <w:r>
        <w:rPr>
          <w:spacing w:val="-3"/>
        </w:rPr>
        <w:t>积人民币</w:t>
      </w:r>
      <w:r>
        <w:rPr>
          <w:rFonts w:ascii="宋体" w:hAnsi="宋体" w:cs="宋体" w:eastAsia="宋体" w:hint="default"/>
          <w:spacing w:val="-3"/>
        </w:rPr>
        <w:t>164,143,430.47</w:t>
      </w:r>
      <w:r>
        <w:rPr>
          <w:spacing w:val="-3"/>
        </w:rPr>
        <w:t>元。公司于</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月转让苏州泓迅共计</w:t>
      </w:r>
      <w:r>
        <w:rPr>
          <w:rFonts w:ascii="宋体" w:hAnsi="宋体" w:cs="宋体" w:eastAsia="宋体" w:hint="default"/>
          <w:spacing w:val="-3"/>
        </w:rPr>
        <w:t>333,000</w:t>
      </w:r>
      <w:r>
        <w:rPr>
          <w:spacing w:val="-3"/>
        </w:rPr>
        <w:t>股股份，转让后持股比例从</w:t>
      </w:r>
      <w:r>
        <w:rPr>
          <w:rFonts w:ascii="宋体" w:hAnsi="宋体" w:cs="宋体" w:eastAsia="宋体" w:hint="default"/>
          <w:spacing w:val="-3"/>
        </w:rPr>
        <w:t>16.22%</w:t>
      </w:r>
      <w:r>
        <w:rPr>
          <w:spacing w:val="-3"/>
        </w:rPr>
        <w:t>下降为</w:t>
      </w:r>
      <w:r>
        <w:rPr>
          <w:rFonts w:ascii="宋体" w:hAnsi="宋体" w:cs="宋体" w:eastAsia="宋体" w:hint="default"/>
          <w:spacing w:val="-3"/>
        </w:rPr>
        <w:t>12.89%</w:t>
      </w:r>
      <w:r>
        <w:rPr>
          <w:spacing w:val="-3"/>
        </w:rPr>
        <w:t>。</w:t>
      </w:r>
      <w:r>
        <w:rPr>
          <w:spacing w:val="-58"/>
        </w:rPr>
        <w:t> </w:t>
      </w:r>
      <w:r>
        <w:rPr/>
        <w:t>转让减少原计入资本公积的其他所有者权益变动人民币</w:t>
      </w:r>
      <w:r>
        <w:rPr>
          <w:rFonts w:ascii="宋体" w:hAnsi="宋体" w:cs="宋体" w:eastAsia="宋体" w:hint="default"/>
        </w:rPr>
        <w:t>763,723.75</w:t>
      </w:r>
      <w:r>
        <w:rPr/>
        <w:t>元。以上合计减少资本公积人民币</w:t>
      </w:r>
      <w:r>
        <w:rPr>
          <w:rFonts w:ascii="宋体" w:hAnsi="宋体" w:cs="宋体" w:eastAsia="宋体" w:hint="default"/>
        </w:rPr>
        <w:t>164,907,154.22</w:t>
      </w:r>
      <w:r>
        <w:rPr/>
        <w:t>元。</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30</w:t>
      </w:r>
      <w:r>
        <w:rPr/>
        <w:t>、其他综合收益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85"/>
        <w:gridCol w:w="1133"/>
        <w:gridCol w:w="1277"/>
        <w:gridCol w:w="1274"/>
        <w:gridCol w:w="1136"/>
        <w:gridCol w:w="1274"/>
        <w:gridCol w:w="1136"/>
        <w:gridCol w:w="1133"/>
      </w:tblGrid>
      <w:tr>
        <w:trPr>
          <w:trHeight w:val="401" w:hRule="exact"/>
        </w:trPr>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0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3" w:right="92"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8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1" w:right="110" w:hanging="269"/>
              <w:jc w:val="left"/>
              <w:rPr>
                <w:rFonts w:ascii="宋体" w:hAnsi="宋体" w:cs="宋体" w:eastAsia="宋体" w:hint="default"/>
                <w:sz w:val="18"/>
                <w:szCs w:val="18"/>
              </w:rPr>
            </w:pPr>
            <w:r>
              <w:rPr>
                <w:rFonts w:ascii="宋体" w:hAnsi="宋体" w:cs="宋体" w:eastAsia="宋体" w:hint="default"/>
                <w:sz w:val="18"/>
                <w:szCs w:val="18"/>
              </w:rPr>
              <w:t>减：所得税 费用</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3" w:right="89"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3" w:right="110" w:hanging="89"/>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133"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9"/>
              <w:jc w:val="both"/>
              <w:rPr>
                <w:rFonts w:ascii="宋体" w:hAnsi="宋体" w:cs="宋体" w:eastAsia="宋体" w:hint="default"/>
                <w:sz w:val="18"/>
                <w:szCs w:val="18"/>
              </w:rPr>
            </w:pPr>
            <w:r>
              <w:rPr>
                <w:rFonts w:ascii="宋体" w:hAnsi="宋体" w:cs="宋体" w:eastAsia="宋体" w:hint="default"/>
                <w:sz w:val="18"/>
                <w:szCs w:val="18"/>
              </w:rPr>
              <w:t>二、将重分类进 损益的其他综合 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28,371,863.34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-11,850,946.59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-4,737,651.00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-5,353,390.45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-1,759,905.14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23,018,472.89</w:t>
            </w:r>
          </w:p>
        </w:tc>
      </w:tr>
      <w:tr>
        <w:trPr>
          <w:trHeight w:val="1028"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89"/>
              <w:jc w:val="both"/>
              <w:rPr>
                <w:rFonts w:ascii="宋体" w:hAnsi="宋体" w:cs="宋体" w:eastAsia="宋体" w:hint="default"/>
                <w:sz w:val="18"/>
                <w:szCs w:val="18"/>
              </w:rPr>
            </w:pPr>
            <w:r>
              <w:rPr>
                <w:rFonts w:ascii="宋体" w:hAnsi="宋体" w:cs="宋体" w:eastAsia="宋体" w:hint="default"/>
                <w:sz w:val="18"/>
                <w:szCs w:val="18"/>
              </w:rPr>
              <w:t>其中：权益法下 可转损益的其他 综合收益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-23,874.36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16,932.49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15,393.33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1,539.16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-8,481.03</w:t>
            </w:r>
          </w:p>
        </w:tc>
      </w:tr>
      <w:tr>
        <w:trPr>
          <w:trHeight w:val="1025"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9" w:firstLine="540"/>
              <w:jc w:val="both"/>
              <w:rPr>
                <w:rFonts w:ascii="宋体" w:hAnsi="宋体" w:cs="宋体" w:eastAsia="宋体" w:hint="default"/>
                <w:sz w:val="18"/>
                <w:szCs w:val="18"/>
              </w:rPr>
            </w:pPr>
            <w:r>
              <w:rPr>
                <w:rFonts w:ascii="宋体" w:hAnsi="宋体" w:cs="宋体" w:eastAsia="宋体" w:hint="default"/>
                <w:sz w:val="18"/>
                <w:szCs w:val="18"/>
              </w:rPr>
              <w:t>可供出售 金融资产公允价 值变动损益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30,799,621.89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-28,713,036.36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-4,737,651.00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-21,796,022.83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-2,179,362.53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9,003,599.06</w:t>
            </w:r>
          </w:p>
        </w:tc>
      </w:tr>
      <w:tr>
        <w:trPr>
          <w:trHeight w:val="715"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9" w:firstLine="540"/>
              <w:jc w:val="left"/>
              <w:rPr>
                <w:rFonts w:ascii="宋体" w:hAnsi="宋体" w:cs="宋体" w:eastAsia="宋体" w:hint="default"/>
                <w:sz w:val="18"/>
                <w:szCs w:val="18"/>
              </w:rPr>
            </w:pPr>
            <w:r>
              <w:rPr>
                <w:rFonts w:ascii="宋体" w:hAnsi="宋体" w:cs="宋体" w:eastAsia="宋体" w:hint="default"/>
                <w:sz w:val="18"/>
                <w:szCs w:val="18"/>
              </w:rPr>
              <w:t>外币财务 报表折算差额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-2,403,884.19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16,845,157.28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16,427,239.05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417,918.23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14,023,354.86</w:t>
            </w:r>
          </w:p>
        </w:tc>
      </w:tr>
      <w:tr>
        <w:trPr>
          <w:trHeight w:val="713"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9"/>
              <w:jc w:val="left"/>
              <w:rPr>
                <w:rFonts w:ascii="宋体" w:hAnsi="宋体" w:cs="宋体" w:eastAsia="宋体" w:hint="default"/>
                <w:sz w:val="18"/>
                <w:szCs w:val="18"/>
              </w:rPr>
            </w:pPr>
            <w:r>
              <w:rPr>
                <w:rFonts w:ascii="宋体" w:hAnsi="宋体" w:cs="宋体" w:eastAsia="宋体" w:hint="default"/>
                <w:sz w:val="18"/>
                <w:szCs w:val="18"/>
              </w:rPr>
              <w:t>其他综合收益合 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28,371,863.34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-11,850,946.59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-4,737,651.00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-5,353,390.45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-1,759,905.14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23,018,472.89</w:t>
            </w:r>
          </w:p>
        </w:tc>
      </w:tr>
    </w:tbl>
    <w:p>
      <w:pPr>
        <w:pStyle w:val="BodyText"/>
        <w:spacing w:line="360" w:lineRule="auto" w:before="51"/>
        <w:ind w:left="513" w:right="4094" w:hanging="361"/>
        <w:jc w:val="left"/>
      </w:pPr>
      <w:r>
        <w:rPr/>
        <w:t>其他说明，包括对现金流量套期损益的有效部分转为被套期项目初始确认金额调整： 无</w:t>
      </w:r>
    </w:p>
    <w:p>
      <w:pPr>
        <w:spacing w:after="0" w:line="360" w:lineRule="auto"/>
        <w:jc w:val="left"/>
        <w:sectPr>
          <w:pgSz w:w="11910" w:h="16840"/>
          <w:pgMar w:header="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31</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48,385,556.50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28,219,195.75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76,604,752.25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48,385,556.50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28,219,195.75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76,604,752.25</w:t>
            </w:r>
          </w:p>
        </w:tc>
      </w:tr>
    </w:tbl>
    <w:p>
      <w:pPr>
        <w:pStyle w:val="BodyText"/>
        <w:spacing w:line="357" w:lineRule="auto" w:before="51"/>
        <w:ind w:left="441" w:right="1133" w:hanging="289"/>
        <w:jc w:val="left"/>
      </w:pPr>
      <w:r>
        <w:rPr/>
        <w:t>盈余公积说明，包括本期增减变动情况、变动原因说明： 根据公司法、公司章程的规定，公司按弥补以前年度亏损后净利润的</w:t>
      </w:r>
      <w:r>
        <w:rPr>
          <w:rFonts w:ascii="Times New Roman" w:hAnsi="Times New Roman" w:cs="Times New Roman" w:eastAsia="Times New Roman" w:hint="default"/>
        </w:rPr>
        <w:t>10%</w:t>
      </w:r>
      <w:r>
        <w:rPr/>
        <w:t>提取法定盈余公积金。法定盈余公积累计额为</w:t>
      </w:r>
    </w:p>
    <w:p>
      <w:pPr>
        <w:pStyle w:val="BodyText"/>
        <w:spacing w:line="214" w:lineRule="exact"/>
        <w:ind w:right="1133"/>
        <w:jc w:val="left"/>
      </w:pPr>
      <w:r>
        <w:rPr/>
        <w:t>公司注册资本</w:t>
      </w:r>
      <w:r>
        <w:rPr>
          <w:rFonts w:ascii="Times New Roman" w:hAnsi="Times New Roman" w:cs="Times New Roman" w:eastAsia="Times New Roman" w:hint="default"/>
        </w:rPr>
        <w:t>50%</w:t>
      </w:r>
      <w:r>
        <w:rPr/>
        <w:t>以上的，可不再提取。</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32</w:t>
      </w:r>
      <w:r>
        <w:rPr/>
        <w:t>、未分配利润</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726"/>
        <w:gridCol w:w="2924"/>
        <w:gridCol w:w="2919"/>
      </w:tblGrid>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703,511,125.46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428,886,999.79</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703,511,125.46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428,886,999.79</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386,645,517.08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398,091,510.29</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28,219,195.75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15,467,384.62</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200,050,000.00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108,000,000.00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861,887,446.79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703,511,125.46</w:t>
            </w:r>
          </w:p>
        </w:tc>
      </w:tr>
    </w:tbl>
    <w:p>
      <w:pPr>
        <w:pStyle w:val="BodyText"/>
        <w:spacing w:line="240" w:lineRule="auto" w:before="51"/>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33</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5"/>
        <w:gridCol w:w="1913"/>
      </w:tblGrid>
      <w:tr>
        <w:trPr>
          <w:trHeight w:val="401"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2,531,629,221.15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1,131,411,791.65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2,087,628,841.19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900,398,214.89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4,776,884.47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1,146,683.91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7,915,430.25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1,805,807.31</w:t>
            </w:r>
          </w:p>
        </w:tc>
      </w:tr>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2,536,406,105.62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1,132,558,475.56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2,095,544,271.44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902,204,022.20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34</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1,301,199.09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334,648.30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1,489,111.62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962,171.80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1,153,785.48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682,916.28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1,525,379.80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2,081,588.67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9,897.62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9,897.62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1,716,979.68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2,192,243.77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417,775.73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689,588.69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7,614,129.02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6,953,055.13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35</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205,222,073.61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176,309,160.66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167,438,696.59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124,832,485.35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44,029,475.65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33,032,212.50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27,700,643.68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21,763,776.55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19,954,973.32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15,111,828.24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16,207,156.72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12,333,996.63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10,425,772.47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3,868,524.02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7,939,997.87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3,435,404.11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6,015,662.39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5,205,009.33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3,846,394.67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3,565,926.88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5,494,719.04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2,402,912.42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514,275,566.01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401,861,236.69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36</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90,404,171.33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84,946,005.03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17,233,099.92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18,847,591.59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16,452,367.65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16,092,861.55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专业服务费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15,480,556.80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11,617,843.43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7,220,292.46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5,957,279.94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知识产权费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7,166,683.13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5,782,900.13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3,747,925.34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2,685,116.63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2,993,994.98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2,807,677.35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5,563,442.93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4,755,939.78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166,262,534.54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153,493,215.43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37</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108,827,709.23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81,577,022.87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材料成本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56,778,473.61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28,339,197.25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36,308,416.17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27,098,411.12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23,990,320.85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10,827,593.66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外协加工费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10,413,670.63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10,173,324.82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6,715,902.81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4,171,452.22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5,111,232.25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2,429,765.43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2,759,690.88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2,622,169.00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2,077,364.03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1,333,457.41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1,373,789.81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745,766.99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1,127,164.62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1,411,417.77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5,436,643.51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3,584,537.11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260,920,378.40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174,314,115.65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38</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270,553.21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307,169.47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-6,341,464.61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-2,323,731.20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汇兑损失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-19,012,349.67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2,496,365.88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2,308,927.02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2,539,167.89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64" w:right="0"/>
              <w:jc w:val="left"/>
              <w:rPr>
                <w:rFonts w:ascii="Times New Roman" w:hAnsi="Times New Roman" w:cs="Times New Roman" w:eastAsia="Times New Roman" w:hint="default"/>
                <w:sz w:val="18"/>
                <w:szCs w:val="18"/>
              </w:rPr>
            </w:pPr>
            <w:r>
              <w:rPr>
                <w:rFonts w:ascii="Times New Roman"/>
                <w:sz w:val="18"/>
              </w:rPr>
              <w:t>-22,774,334.05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3,018,972.04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39</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87,917,194.32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44,841,072.81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87,917,194.32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44,841,072.81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40</w:t>
      </w:r>
      <w:r>
        <w:rPr/>
        <w:t>、其他收益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与日常活动相关的政府补助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37,452,103.97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28,128,061.08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616,774.68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627,401.61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38,068,878.65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28,755,462.69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41</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459"/>
        <w:gridCol w:w="3192"/>
        <w:gridCol w:w="2917"/>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-2,560,936.71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-2,311,774.45</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8,897,267.97</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266,811.96</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43,865,672.97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68,654,207.02</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50,468,816.19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66,342,432.57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42</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246,439.86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178,626.58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43</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8" w:right="0"/>
              <w:jc w:val="left"/>
              <w:rPr>
                <w:rFonts w:ascii="Times New Roman" w:hAnsi="Times New Roman" w:cs="Times New Roman" w:eastAsia="Times New Roman" w:hint="default"/>
                <w:sz w:val="18"/>
                <w:szCs w:val="18"/>
              </w:rPr>
            </w:pPr>
            <w:r>
              <w:rPr>
                <w:rFonts w:ascii="Times New Roman"/>
                <w:sz w:val="18"/>
              </w:rPr>
              <w:t>1,105,313.27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3" w:right="0"/>
              <w:jc w:val="left"/>
              <w:rPr>
                <w:rFonts w:ascii="Times New Roman" w:hAnsi="Times New Roman" w:cs="Times New Roman" w:eastAsia="Times New Roman" w:hint="default"/>
                <w:sz w:val="18"/>
                <w:szCs w:val="18"/>
              </w:rPr>
            </w:pPr>
            <w:r>
              <w:rPr>
                <w:rFonts w:ascii="Times New Roman"/>
                <w:sz w:val="18"/>
              </w:rPr>
              <w:t>3,915,568.51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4" w:right="0"/>
              <w:jc w:val="left"/>
              <w:rPr>
                <w:rFonts w:ascii="Times New Roman" w:hAnsi="Times New Roman" w:cs="Times New Roman" w:eastAsia="Times New Roman" w:hint="default"/>
                <w:sz w:val="18"/>
                <w:szCs w:val="18"/>
              </w:rPr>
            </w:pPr>
            <w:r>
              <w:rPr>
                <w:rFonts w:ascii="Times New Roman"/>
                <w:sz w:val="18"/>
              </w:rPr>
              <w:t>1,105,313.27</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无需支付款项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37,996.34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1,275.49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37,996.34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固定资产报废收益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9,347.95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26,750.44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9,347.95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562,099.75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1,168,158.08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562,099.75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1,714,757.31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5,111,752.52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1,714,757.31</w:t>
            </w:r>
          </w:p>
        </w:tc>
      </w:tr>
    </w:tbl>
    <w:p>
      <w:pPr>
        <w:pStyle w:val="BodyText"/>
        <w:spacing w:line="240" w:lineRule="auto" w:before="51"/>
        <w:ind w:right="1133"/>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066"/>
        <w:gridCol w:w="1061"/>
        <w:gridCol w:w="817"/>
        <w:gridCol w:w="1702"/>
        <w:gridCol w:w="994"/>
        <w:gridCol w:w="742"/>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5"/>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盐田财政局 创业板上市 资助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5"/>
              <w:jc w:val="right"/>
              <w:rPr>
                <w:rFonts w:ascii="宋体" w:hAnsi="宋体" w:cs="宋体" w:eastAsia="宋体" w:hint="default"/>
                <w:sz w:val="18"/>
                <w:szCs w:val="18"/>
              </w:rPr>
            </w:pPr>
            <w:r>
              <w:rPr>
                <w:rFonts w:ascii="宋体" w:hAnsi="宋体" w:cs="宋体" w:eastAsia="宋体" w:hint="default"/>
                <w:sz w:val="18"/>
                <w:szCs w:val="18"/>
              </w:rPr>
              <w:t>盐田财政局</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6" w:right="43"/>
              <w:jc w:val="left"/>
              <w:rPr>
                <w:rFonts w:ascii="宋体" w:hAnsi="宋体" w:cs="宋体" w:eastAsia="宋体" w:hint="default"/>
                <w:sz w:val="18"/>
                <w:szCs w:val="18"/>
              </w:rPr>
            </w:pPr>
            <w:r>
              <w:rPr>
                <w:rFonts w:ascii="宋体" w:hAnsi="宋体" w:cs="宋体" w:eastAsia="宋体" w:hint="default"/>
                <w:sz w:val="18"/>
                <w:szCs w:val="18"/>
              </w:rPr>
              <w:t>奖励上市而给予的政 府补助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深圳市国际 营销网络建 设资助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5"/>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43"/>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83"/>
              <w:jc w:val="both"/>
              <w:rPr>
                <w:rFonts w:ascii="宋体" w:hAnsi="宋体" w:cs="宋体" w:eastAsia="宋体" w:hint="default"/>
                <w:sz w:val="18"/>
                <w:szCs w:val="18"/>
              </w:rPr>
            </w:pPr>
            <w:r>
              <w:rPr>
                <w:rFonts w:ascii="宋体" w:hAnsi="宋体" w:cs="宋体" w:eastAsia="宋体" w:hint="default"/>
                <w:sz w:val="18"/>
                <w:szCs w:val="18"/>
              </w:rPr>
              <w:t>深圳市质监 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年度深圳市 专利奖</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5"/>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43"/>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深圳市质监 委员会第十 八届中国专 利奖配套奖 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25"/>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43"/>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年知识 产权工作专 项资金（第 一批）省补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5"/>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43"/>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年度深 圳标准专项 资金资助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5"/>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43"/>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both"/>
              <w:rPr>
                <w:rFonts w:ascii="宋体" w:hAnsi="宋体" w:cs="宋体" w:eastAsia="宋体" w:hint="default"/>
                <w:sz w:val="18"/>
                <w:szCs w:val="18"/>
              </w:rPr>
            </w:pPr>
            <w:r>
              <w:rPr>
                <w:rFonts w:ascii="宋体" w:hAnsi="宋体" w:cs="宋体" w:eastAsia="宋体" w:hint="default"/>
                <w:sz w:val="18"/>
                <w:szCs w:val="18"/>
              </w:rPr>
              <w:t>技术中心省 级认定奖励</w:t>
            </w:r>
          </w:p>
          <w:p>
            <w:pPr>
              <w:pStyle w:val="TableParagraph"/>
              <w:spacing w:line="316" w:lineRule="auto" w:before="20"/>
              <w:ind w:left="24" w:right="130"/>
              <w:jc w:val="both"/>
              <w:rPr>
                <w:rFonts w:ascii="宋体" w:hAnsi="宋体" w:cs="宋体" w:eastAsia="宋体" w:hint="default"/>
                <w:sz w:val="18"/>
                <w:szCs w:val="18"/>
              </w:rPr>
            </w:pPr>
            <w:r>
              <w:rPr>
                <w:rFonts w:ascii="宋体" w:hAnsi="宋体" w:cs="宋体" w:eastAsia="宋体" w:hint="default"/>
                <w:sz w:val="18"/>
                <w:szCs w:val="18"/>
              </w:rPr>
              <w:t>（生物产业 发展奖励资 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5"/>
              <w:jc w:val="both"/>
              <w:rPr>
                <w:rFonts w:ascii="宋体" w:hAnsi="宋体" w:cs="宋体" w:eastAsia="宋体" w:hint="default"/>
                <w:sz w:val="18"/>
                <w:szCs w:val="18"/>
              </w:rPr>
            </w:pPr>
            <w:r>
              <w:rPr>
                <w:rFonts w:ascii="宋体" w:hAnsi="宋体" w:cs="宋体" w:eastAsia="宋体" w:hint="default"/>
                <w:sz w:val="18"/>
                <w:szCs w:val="18"/>
              </w:rPr>
              <w:t>武汉东湖新 技术开发区 管理委员会 财政局</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43"/>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43"/>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1,105,313.27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291,568.51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4" w:right="0"/>
              <w:jc w:val="center"/>
              <w:rPr>
                <w:rFonts w:ascii="Times New Roman" w:hAnsi="Times New Roman" w:cs="Times New Roman" w:eastAsia="Times New Roman" w:hint="default"/>
                <w:sz w:val="18"/>
                <w:szCs w:val="18"/>
              </w:rPr>
            </w:pPr>
            <w:r>
              <w:rPr>
                <w:rFonts w:ascii="Times New Roman"/>
                <w:sz w:val="18"/>
              </w:rPr>
              <w:t>1,105,313.27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3,915,568.51</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44</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388"/>
        <w:gridCol w:w="2396"/>
        <w:gridCol w:w="2393"/>
        <w:gridCol w:w="2391"/>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3,975,167.42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1,760,034.18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3,975,167.42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固定资产报废及盘亏损失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332,631.56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1,479,421.70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332,631.56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赔款及违约金支出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9,602,353.00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907,522.04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271,663.53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907,522.04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5,215,321.02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13,113,472.41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5,215,321.02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87,718,161.90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83,129,104.16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-20,646,658.33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-10,681,816.89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67,071,503.57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72,447,287.27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779"/>
        <w:gridCol w:w="4789"/>
      </w:tblGrid>
      <w:tr>
        <w:trPr>
          <w:trHeight w:val="39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474,915,732.81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118,728,933.20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-51,185,232.01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3,976,913.23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-3,722,775.11</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15,308,004.72</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来自合营企业和联营企业的损益</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387,076.35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可加计扣除的研发费用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-16,421,416.81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67,071,503.57</w:t>
            </w:r>
          </w:p>
        </w:tc>
      </w:tr>
    </w:tbl>
    <w:p>
      <w:pPr>
        <w:pStyle w:val="BodyText"/>
        <w:spacing w:line="240" w:lineRule="auto" w:before="51"/>
        <w:ind w:right="1133"/>
        <w:jc w:val="left"/>
      </w:pPr>
      <w:r>
        <w:rPr/>
        <w:t>其他说明</w:t>
      </w:r>
    </w:p>
    <w:p>
      <w:pPr>
        <w:pStyle w:val="BodyText"/>
        <w:spacing w:line="316" w:lineRule="auto" w:before="115"/>
        <w:ind w:right="1214" w:firstLine="360"/>
        <w:jc w:val="left"/>
      </w:pPr>
      <w:r>
        <w:rPr/>
        <w:t>公司所得税按在中国境内取得的估计应纳税所得额及法定税率计提。源于其他地区应纳税所得的税项根据公司经营所 在国家</w:t>
      </w:r>
      <w:r>
        <w:rPr>
          <w:rFonts w:ascii="宋体" w:hAnsi="宋体" w:cs="宋体" w:eastAsia="宋体" w:hint="default"/>
        </w:rPr>
        <w:t>/</w:t>
      </w:r>
      <w:r>
        <w:rPr/>
        <w:t>所受管辖区域的现行法律、解释公告和惯例，按照适用税率计算。</w:t>
      </w:r>
    </w:p>
    <w:p>
      <w:pPr>
        <w:spacing w:after="0" w:line="316" w:lineRule="auto"/>
        <w:jc w:val="left"/>
        <w:sectPr>
          <w:pgSz w:w="11910" w:h="16840"/>
          <w:pgMar w:header="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46</w:t>
      </w:r>
      <w:r>
        <w:rPr/>
        <w:t>、其他综合收益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详见附注七“合并财务报表项目注释”的“30、其他综合收益”。</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47</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40,650,918.82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33,688,423.51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6,341,464.61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2,323,731.20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代收合作项目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13,292,170.00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1,117,992.00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1,275,601.87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61,402,545.43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37,287,756.58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405,350,645.58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293,493,989.33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1,296,772.66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406,647,418.24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293,493,989.33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购买设备退回款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28,750,480.00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62,433,000.00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赎回理财产品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5,209,000,000.00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5,631,670,303.74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5,237,750,480.00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5,694,103,303.74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3,947,000,000.00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5,788,000,000.00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3,947,000,000.00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5,788,000,000.00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发行上市费用相关税费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14,120,020.00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收购少数股东股权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支付融资性保函保证金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78,091,395.65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278,091,395.65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14,120,020.00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407,844,229.24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423,686,096.17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87,917,194.32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44,841,072.81</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150,225,296.38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95,039,333.41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18,794,700.89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17,938,501.95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22,894,314.80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22,314,781.52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323,283.61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1,274,044.68</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-15,428,398.36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8,658,545.01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-50,468,816.19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-66,342,432.57</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52"/>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-22,414,894.47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-10,377,075.46</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52"/>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1,768,236.14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-304,741.43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-103,324,158.40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-64,988,097.91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-585,917,740.41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-278,217,247.02</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100,056,852.32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55,618,842.93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2,417,226.80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-5,481,196.11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14,687,326.67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243,660,427.98</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left="1463" w:right="0"/>
              <w:jc w:val="left"/>
              <w:rPr>
                <w:rFonts w:ascii="Times New Roman" w:hAnsi="Times New Roman" w:cs="Times New Roman" w:eastAsia="Times New Roman" w:hint="default"/>
                <w:sz w:val="18"/>
                <w:szCs w:val="18"/>
              </w:rPr>
            </w:pPr>
            <w:r>
              <w:rPr>
                <w:rFonts w:ascii="Times New Roman"/>
                <w:sz w:val="18"/>
              </w:rPr>
              <w:t>--</w:t>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463" w:right="0"/>
              <w:jc w:val="left"/>
              <w:rPr>
                <w:rFonts w:ascii="Times New Roman" w:hAnsi="Times New Roman" w:cs="Times New Roman" w:eastAsia="Times New Roman" w:hint="default"/>
                <w:sz w:val="18"/>
                <w:szCs w:val="18"/>
              </w:rPr>
            </w:pPr>
            <w:r>
              <w:rPr>
                <w:rFonts w:ascii="Times New Roman"/>
                <w:sz w:val="18"/>
              </w:rPr>
              <w:t>--</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990,672,640.92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946,450,202.62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946,450,202.62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748,448,424.48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44,222,438.30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198,001,778.14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34,747,128.05</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华大青兰生物科技（无锡）有限公司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34,747,128.05</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2,911,445.96</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华大青兰生物科技（无锡）有限公司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2,911,445.96</w:t>
            </w:r>
          </w:p>
        </w:tc>
      </w:tr>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31,835,682.09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88"/>
        <w:gridCol w:w="4580"/>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990,672,640.92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946,450,202.62</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72,707.74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81,921.04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974,386,878.03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935,471,881.54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16,213,055.15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10,896,400.04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990,672,640.92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946,450,202.62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49</w:t>
      </w:r>
      <w:r>
        <w:rPr/>
        <w:t>、所有者权益变动表项目注释</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5374" w:hanging="361"/>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50</w:t>
      </w:r>
      <w:r>
        <w:rPr/>
        <w:t>、所有权或使用权受到限制的资产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7"/>
        <w:gridCol w:w="3058"/>
        <w:gridCol w:w="3183"/>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79,388,168.31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79,388,168.31</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其他说明：</w:t>
      </w:r>
    </w:p>
    <w:p>
      <w:pPr>
        <w:pStyle w:val="BodyText"/>
        <w:spacing w:line="240" w:lineRule="auto" w:before="117"/>
        <w:ind w:left="513" w:right="1133"/>
        <w:jc w:val="left"/>
      </w:pPr>
      <w:r>
        <w:rPr/>
        <w:t>注</w:t>
      </w:r>
      <w:r>
        <w:rPr>
          <w:rFonts w:ascii="宋体" w:hAnsi="宋体" w:cs="宋体" w:eastAsia="宋体" w:hint="default"/>
        </w:rPr>
        <w:t>1</w:t>
      </w:r>
      <w:r>
        <w:rPr/>
        <w:t>：</w:t>
      </w:r>
    </w:p>
    <w:p>
      <w:pPr>
        <w:pStyle w:val="BodyText"/>
        <w:spacing w:line="240" w:lineRule="auto" w:before="76"/>
        <w:ind w:left="513" w:right="1133"/>
        <w:jc w:val="left"/>
        <w:rPr>
          <w:rFonts w:ascii="宋体" w:hAnsi="宋体" w:cs="宋体" w:eastAsia="宋体" w:hint="default"/>
        </w:rPr>
      </w:pPr>
      <w:r>
        <w:rPr>
          <w:rFonts w:ascii="Times New Roman" w:hAnsi="Times New Roman" w:cs="Times New Roman" w:eastAsia="Times New Roman" w:hint="default"/>
        </w:rPr>
        <w:t>(1)</w:t>
      </w:r>
      <w:r>
        <w:rPr/>
        <w:t>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日，账面价值为人民币</w:t>
      </w:r>
      <w:r>
        <w:rPr>
          <w:rFonts w:ascii="宋体" w:hAnsi="宋体" w:cs="宋体" w:eastAsia="宋体" w:hint="default"/>
        </w:rPr>
        <w:t>78,091,395.65</w:t>
      </w:r>
      <w:r>
        <w:rPr/>
        <w:t>元用于支付融资性保函的保证金，利息收入人民币</w:t>
      </w:r>
      <w:r>
        <w:rPr>
          <w:rFonts w:ascii="宋体" w:hAnsi="宋体" w:cs="宋体" w:eastAsia="宋体" w:hint="default"/>
        </w:rPr>
        <w:t>12,703.36</w:t>
      </w:r>
    </w:p>
    <w:p>
      <w:pPr>
        <w:pStyle w:val="BodyText"/>
        <w:spacing w:line="240" w:lineRule="auto" w:before="63"/>
        <w:ind w:right="1133"/>
        <w:jc w:val="left"/>
      </w:pPr>
      <w:r>
        <w:rPr/>
        <w:t>元；</w:t>
      </w:r>
    </w:p>
    <w:p>
      <w:pPr>
        <w:pStyle w:val="BodyText"/>
        <w:spacing w:line="300" w:lineRule="auto" w:before="76"/>
        <w:ind w:left="513" w:right="1453"/>
        <w:jc w:val="left"/>
        <w:rPr>
          <w:rFonts w:ascii="宋体" w:hAnsi="宋体" w:cs="宋体" w:eastAsia="宋体" w:hint="default"/>
        </w:rPr>
      </w:pPr>
      <w:r>
        <w:rPr>
          <w:rFonts w:ascii="Times New Roman" w:hAnsi="Times New Roman" w:cs="Times New Roman" w:eastAsia="Times New Roman" w:hint="default"/>
        </w:rPr>
        <w:t>(2)</w:t>
      </w:r>
      <w:r>
        <w:rPr/>
        <w:t>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日，账面价值为人民币</w:t>
      </w:r>
      <w:r>
        <w:rPr>
          <w:rFonts w:ascii="宋体" w:hAnsi="宋体" w:cs="宋体" w:eastAsia="宋体" w:hint="default"/>
        </w:rPr>
        <w:t>194,700.00</w:t>
      </w:r>
      <w:r>
        <w:rPr/>
        <w:t>元用于支付履约保函的保证金；</w:t>
      </w:r>
      <w:r>
        <w:rPr>
          <w:w w:val="99"/>
        </w:rPr>
        <w:t> </w:t>
      </w:r>
      <w:r>
        <w:rPr>
          <w:rFonts w:ascii="Times New Roman" w:hAnsi="Times New Roman" w:cs="Times New Roman" w:eastAsia="Times New Roman" w:hint="default"/>
        </w:rPr>
        <w:t>(3)</w:t>
      </w:r>
      <w:r>
        <w:rPr/>
        <w:t>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日，账面价值为人民币</w:t>
      </w:r>
      <w:r>
        <w:rPr>
          <w:rFonts w:ascii="宋体" w:hAnsi="宋体" w:cs="宋体" w:eastAsia="宋体" w:hint="default"/>
        </w:rPr>
        <w:t>890,000.00</w:t>
      </w:r>
      <w:r>
        <w:rPr/>
        <w:t>元用于支付预付款退款保函的保证金，利息收入人民币</w:t>
      </w:r>
      <w:r>
        <w:rPr>
          <w:rFonts w:ascii="宋体" w:hAnsi="宋体" w:cs="宋体" w:eastAsia="宋体" w:hint="default"/>
        </w:rPr>
        <w:t>17.31</w:t>
      </w:r>
    </w:p>
    <w:p>
      <w:pPr>
        <w:pStyle w:val="BodyText"/>
        <w:spacing w:line="240" w:lineRule="auto" w:before="13"/>
        <w:ind w:right="1133"/>
        <w:jc w:val="left"/>
      </w:pPr>
      <w:r>
        <w:rPr/>
        <w:t>元；</w:t>
      </w:r>
    </w:p>
    <w:p>
      <w:pPr>
        <w:pStyle w:val="BodyText"/>
        <w:spacing w:line="240" w:lineRule="auto" w:before="76"/>
        <w:ind w:left="513" w:right="1133"/>
        <w:jc w:val="left"/>
      </w:pPr>
      <w:r>
        <w:rPr>
          <w:rFonts w:ascii="Times New Roman" w:hAnsi="Times New Roman" w:cs="Times New Roman" w:eastAsia="Times New Roman" w:hint="default"/>
        </w:rPr>
        <w:t>(4)</w:t>
      </w:r>
      <w:r>
        <w:rPr/>
        <w:t>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日，账面价值为人民币</w:t>
      </w:r>
      <w:r>
        <w:rPr>
          <w:rFonts w:ascii="宋体" w:hAnsi="宋体" w:cs="宋体" w:eastAsia="宋体" w:hint="default"/>
        </w:rPr>
        <w:t>199,351.99</w:t>
      </w:r>
      <w:r>
        <w:rPr/>
        <w:t>元用于支付信用证保证金。</w:t>
      </w:r>
    </w:p>
    <w:p>
      <w:pPr>
        <w:spacing w:line="240" w:lineRule="auto" w:before="3"/>
        <w:rPr>
          <w:rFonts w:ascii="宋体" w:hAnsi="宋体" w:cs="宋体" w:eastAsia="宋体" w:hint="default"/>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51</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494"/>
        <w:gridCol w:w="2295"/>
        <w:gridCol w:w="2391"/>
        <w:gridCol w:w="2389"/>
      </w:tblGrid>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44,772,356.62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307,281,637.95</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12,871,978.22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101,010,274.69</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57,388,747.18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50,284,020.28</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464,079,269.00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28,726,506.75</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280,181.96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2,430,914.72</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丹麦克朗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1,882,245.94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1,977,864.03</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683,632.57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3,298,527.15</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210,115.26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1,051,879.01</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70,997.12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6.9494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493,387.39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2494"/>
        <w:gridCol w:w="2295"/>
        <w:gridCol w:w="2391"/>
        <w:gridCol w:w="2389"/>
      </w:tblGrid>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082"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15,687,520.84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107,666,593.03</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7,202,745.78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56,522,106.96</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36,593,220.69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32,062,979.97</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75,857,369.99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4,695,571.20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239,514.63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8.6762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2,078,076.83</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7"/>
              <w:jc w:val="right"/>
              <w:rPr>
                <w:rFonts w:ascii="宋体" w:hAnsi="宋体" w:cs="宋体" w:eastAsia="宋体" w:hint="default"/>
                <w:sz w:val="18"/>
                <w:szCs w:val="18"/>
              </w:rPr>
            </w:pPr>
            <w:r>
              <w:rPr>
                <w:rFonts w:ascii="宋体" w:hAnsi="宋体" w:cs="宋体" w:eastAsia="宋体" w:hint="default"/>
                <w:sz w:val="18"/>
                <w:szCs w:val="18"/>
              </w:rPr>
              <w:t>丹麦克朗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1,988,462.51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2,089,476.41</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298,204.62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4.825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1,438,837.29</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22,729.12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155,994.50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679,548.03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595,419.98</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8,363.73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65,632.70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1,900,397.00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117,634.57</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14,524.33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8.6762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126,015.99</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7"/>
              <w:jc w:val="right"/>
              <w:rPr>
                <w:rFonts w:ascii="宋体" w:hAnsi="宋体" w:cs="宋体" w:eastAsia="宋体" w:hint="default"/>
                <w:sz w:val="18"/>
                <w:szCs w:val="18"/>
              </w:rPr>
            </w:pPr>
            <w:r>
              <w:rPr>
                <w:rFonts w:ascii="宋体" w:hAnsi="宋体" w:cs="宋体" w:eastAsia="宋体" w:hint="default"/>
                <w:sz w:val="18"/>
                <w:szCs w:val="18"/>
              </w:rPr>
              <w:t>丹麦克朗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650,440.58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683,482.96</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120,000.98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0.8507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102,084.83</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2,128,635.02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14,609,247.87</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3,498,119.94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3,065,052.69</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17,920.13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140,624.64</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101,565.86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6,286.93</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8.6762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4,511.62</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7"/>
              <w:jc w:val="right"/>
              <w:rPr>
                <w:rFonts w:ascii="宋体" w:hAnsi="宋体" w:cs="宋体" w:eastAsia="宋体" w:hint="default"/>
                <w:sz w:val="18"/>
                <w:szCs w:val="18"/>
              </w:rPr>
            </w:pPr>
            <w:r>
              <w:rPr>
                <w:rFonts w:ascii="宋体" w:hAnsi="宋体" w:cs="宋体" w:eastAsia="宋体" w:hint="default"/>
                <w:sz w:val="18"/>
                <w:szCs w:val="18"/>
              </w:rPr>
              <w:t>丹麦克朗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434,880.43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456,972.36</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97"/>
              <w:jc w:val="right"/>
              <w:rPr>
                <w:rFonts w:ascii="宋体" w:hAnsi="宋体" w:cs="宋体" w:eastAsia="宋体" w:hint="default"/>
                <w:sz w:val="18"/>
                <w:szCs w:val="18"/>
              </w:rPr>
            </w:pPr>
            <w:r>
              <w:rPr>
                <w:rFonts w:ascii="宋体" w:hAnsi="宋体" w:cs="宋体" w:eastAsia="宋体" w:hint="default"/>
                <w:sz w:val="18"/>
                <w:szCs w:val="18"/>
              </w:rPr>
              <w:t>加拿大元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772.00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5.0381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3,889.41</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37,122.04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254,775.98</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156,225.14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136,884.47</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25,613.18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200,994.31</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1,341,717.10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83,052.29</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97"/>
              <w:jc w:val="right"/>
              <w:rPr>
                <w:rFonts w:ascii="宋体" w:hAnsi="宋体" w:cs="宋体" w:eastAsia="宋体" w:hint="default"/>
                <w:sz w:val="18"/>
                <w:szCs w:val="18"/>
              </w:rPr>
            </w:pPr>
            <w:r>
              <w:rPr>
                <w:rFonts w:ascii="宋体" w:hAnsi="宋体" w:cs="宋体" w:eastAsia="宋体" w:hint="default"/>
                <w:sz w:val="18"/>
                <w:szCs w:val="18"/>
              </w:rPr>
              <w:t>丹麦克朗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137,792.85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1.0508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144,792.73</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82"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0"/>
        </w:sectPr>
      </w:pPr>
    </w:p>
    <w:p>
      <w:pPr>
        <w:spacing w:line="240" w:lineRule="auto" w:before="9"/>
        <w:rPr>
          <w:rFonts w:ascii="Times New Roman" w:hAnsi="Times New Roman" w:cs="Times New Roman" w:eastAsia="Times New Roman" w:hint="default"/>
          <w:sz w:val="23"/>
          <w:szCs w:val="23"/>
        </w:rPr>
      </w:pPr>
    </w:p>
    <w:p>
      <w:pPr>
        <w:pStyle w:val="Heading3"/>
        <w:spacing w:line="259" w:lineRule="auto" w:before="36"/>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6"/>
        <w:rPr>
          <w:rFonts w:ascii="宋体" w:hAnsi="宋体" w:cs="宋体" w:eastAsia="宋体" w:hint="default"/>
          <w:sz w:val="7"/>
          <w:szCs w:val="7"/>
        </w:rPr>
      </w:pPr>
    </w:p>
    <w:tbl>
      <w:tblPr>
        <w:tblW w:w="0" w:type="auto"/>
        <w:jc w:val="left"/>
        <w:tblInd w:w="215" w:type="dxa"/>
        <w:tblLayout w:type="fixed"/>
        <w:tblCellMar>
          <w:top w:w="0" w:type="dxa"/>
          <w:left w:w="0" w:type="dxa"/>
          <w:bottom w:w="0" w:type="dxa"/>
          <w:right w:w="0" w:type="dxa"/>
        </w:tblCellMar>
        <w:tblLook w:val="01E0"/>
      </w:tblPr>
      <w:tblGrid>
        <w:gridCol w:w="3512"/>
        <w:gridCol w:w="814"/>
        <w:gridCol w:w="850"/>
        <w:gridCol w:w="4858"/>
      </w:tblGrid>
      <w:tr>
        <w:trPr>
          <w:trHeight w:val="773" w:hRule="exact"/>
        </w:trPr>
        <w:tc>
          <w:tcPr>
            <w:tcW w:w="35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1118" w:right="0"/>
              <w:jc w:val="left"/>
              <w:rPr>
                <w:rFonts w:ascii="宋体" w:hAnsi="宋体" w:cs="宋体" w:eastAsia="宋体" w:hint="default"/>
                <w:sz w:val="18"/>
                <w:szCs w:val="18"/>
              </w:rPr>
            </w:pPr>
            <w:r>
              <w:rPr>
                <w:rFonts w:ascii="宋体" w:hAnsi="宋体" w:cs="宋体" w:eastAsia="宋体" w:hint="default"/>
                <w:sz w:val="18"/>
                <w:szCs w:val="18"/>
              </w:rPr>
              <w:t>境外子公司名称</w:t>
            </w:r>
          </w:p>
        </w:tc>
        <w:tc>
          <w:tcPr>
            <w:tcW w:w="8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57" w:lineRule="auto" w:before="56"/>
              <w:ind w:left="129" w:right="127" w:firstLine="88"/>
              <w:jc w:val="left"/>
              <w:rPr>
                <w:rFonts w:ascii="宋体" w:hAnsi="宋体" w:cs="宋体" w:eastAsia="宋体" w:hint="default"/>
                <w:sz w:val="18"/>
                <w:szCs w:val="18"/>
              </w:rPr>
            </w:pPr>
            <w:r>
              <w:rPr>
                <w:rFonts w:ascii="宋体" w:hAnsi="宋体" w:cs="宋体" w:eastAsia="宋体" w:hint="default"/>
                <w:sz w:val="18"/>
                <w:szCs w:val="18"/>
              </w:rPr>
              <w:t>注册 经营地</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57" w:lineRule="auto" w:before="56"/>
              <w:ind w:left="148" w:right="144" w:firstLine="91"/>
              <w:jc w:val="left"/>
              <w:rPr>
                <w:rFonts w:ascii="宋体" w:hAnsi="宋体" w:cs="宋体" w:eastAsia="宋体" w:hint="default"/>
                <w:sz w:val="18"/>
                <w:szCs w:val="18"/>
              </w:rPr>
            </w:pPr>
            <w:r>
              <w:rPr>
                <w:rFonts w:ascii="宋体" w:hAnsi="宋体" w:cs="宋体" w:eastAsia="宋体" w:hint="default"/>
                <w:sz w:val="18"/>
                <w:szCs w:val="18"/>
              </w:rPr>
              <w:t>记账 本位币</w:t>
            </w:r>
          </w:p>
        </w:tc>
        <w:tc>
          <w:tcPr>
            <w:tcW w:w="48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采用记账本位币的依据</w:t>
            </w:r>
          </w:p>
        </w:tc>
      </w:tr>
      <w:tr>
        <w:trPr>
          <w:trHeight w:val="42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left"/>
              <w:rPr>
                <w:rFonts w:ascii="Times New Roman" w:hAnsi="Times New Roman" w:cs="Times New Roman" w:eastAsia="Times New Roman" w:hint="default"/>
                <w:sz w:val="18"/>
                <w:szCs w:val="18"/>
              </w:rPr>
            </w:pPr>
            <w:r>
              <w:rPr>
                <w:rFonts w:ascii="Times New Roman"/>
                <w:sz w:val="18"/>
              </w:rPr>
              <w:t>BGI HEALTH (HK)</w:t>
            </w:r>
            <w:r>
              <w:rPr>
                <w:rFonts w:ascii="Times New Roman"/>
                <w:spacing w:val="-6"/>
                <w:sz w:val="18"/>
              </w:rPr>
              <w:t> </w:t>
            </w:r>
            <w:r>
              <w:rPr>
                <w:rFonts w:ascii="Times New Roman"/>
                <w:sz w:val="18"/>
              </w:rPr>
              <w:t>CO.,LTD</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4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销售、采购、融资及其他经营活动主要采用港元计价</w:t>
            </w:r>
          </w:p>
        </w:tc>
      </w:tr>
      <w:tr>
        <w:trPr>
          <w:trHeight w:val="42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BGI Tech Solution (Europe) Cooperatief</w:t>
            </w:r>
            <w:r>
              <w:rPr>
                <w:rFonts w:ascii="Times New Roman"/>
                <w:spacing w:val="-16"/>
                <w:sz w:val="18"/>
              </w:rPr>
              <w:t> </w:t>
            </w:r>
            <w:r>
              <w:rPr>
                <w:rFonts w:ascii="Times New Roman"/>
                <w:sz w:val="18"/>
              </w:rPr>
              <w:t>U.A.</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荷兰</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4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销售、采购、融资及其他经营活动主要采用欧元计价</w:t>
            </w:r>
          </w:p>
        </w:tc>
      </w:tr>
      <w:tr>
        <w:trPr>
          <w:trHeight w:val="740"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105"/>
              <w:ind w:left="2" w:right="37"/>
              <w:jc w:val="left"/>
              <w:rPr>
                <w:rFonts w:ascii="Times New Roman" w:hAnsi="Times New Roman" w:cs="Times New Roman" w:eastAsia="Times New Roman" w:hint="default"/>
                <w:sz w:val="18"/>
                <w:szCs w:val="18"/>
              </w:rPr>
            </w:pPr>
            <w:r>
              <w:rPr>
                <w:rFonts w:ascii="Times New Roman"/>
                <w:sz w:val="18"/>
              </w:rPr>
              <w:t>BGI TECH SOLUTIONS (HONGKONG)</w:t>
            </w:r>
            <w:r>
              <w:rPr>
                <w:rFonts w:ascii="Times New Roman"/>
                <w:spacing w:val="-11"/>
                <w:sz w:val="18"/>
              </w:rPr>
              <w:t> </w:t>
            </w:r>
            <w:r>
              <w:rPr>
                <w:rFonts w:ascii="Times New Roman"/>
                <w:sz w:val="18"/>
              </w:rPr>
              <w:t>CO.,</w:t>
            </w:r>
            <w:r>
              <w:rPr>
                <w:rFonts w:ascii="Times New Roman"/>
                <w:w w:val="99"/>
                <w:sz w:val="18"/>
              </w:rPr>
              <w:t> </w:t>
            </w:r>
            <w:r>
              <w:rPr>
                <w:rFonts w:ascii="Times New Roman"/>
                <w:sz w:val="18"/>
              </w:rPr>
              <w:t>LIMITED</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4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销售、采购、融资及其他经营活动主要采用港元计价</w:t>
            </w:r>
          </w:p>
        </w:tc>
      </w:tr>
      <w:tr>
        <w:trPr>
          <w:trHeight w:val="42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BGI Tech Holding (HongKong) Co.,</w:t>
            </w:r>
            <w:r>
              <w:rPr>
                <w:rFonts w:ascii="Times New Roman"/>
                <w:spacing w:val="-16"/>
                <w:sz w:val="18"/>
              </w:rPr>
              <w:t> </w:t>
            </w:r>
            <w:r>
              <w:rPr>
                <w:rFonts w:ascii="Times New Roman"/>
                <w:sz w:val="18"/>
              </w:rPr>
              <w:t>Limited</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4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销售、采购、融资及其他经营活动主要采用港元计价</w:t>
            </w:r>
          </w:p>
        </w:tc>
      </w:tr>
      <w:tr>
        <w:trPr>
          <w:trHeight w:val="42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BGI Tech Solutions (Europe)</w:t>
            </w:r>
            <w:r>
              <w:rPr>
                <w:rFonts w:ascii="Times New Roman"/>
                <w:spacing w:val="-7"/>
                <w:sz w:val="18"/>
              </w:rPr>
              <w:t> </w:t>
            </w:r>
            <w:r>
              <w:rPr>
                <w:rFonts w:ascii="Times New Roman"/>
                <w:sz w:val="18"/>
              </w:rPr>
              <w:t>B.V.</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荷兰</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4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销售、采购、融资及其他经营活动主要采用欧元计价</w:t>
            </w:r>
          </w:p>
        </w:tc>
      </w:tr>
      <w:tr>
        <w:trPr>
          <w:trHeight w:val="42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BGI Health (SG) Company Pte.</w:t>
            </w:r>
            <w:r>
              <w:rPr>
                <w:rFonts w:ascii="Times New Roman"/>
                <w:spacing w:val="-8"/>
                <w:sz w:val="18"/>
              </w:rPr>
              <w:t> </w:t>
            </w:r>
            <w:r>
              <w:rPr>
                <w:rFonts w:ascii="Times New Roman"/>
                <w:sz w:val="18"/>
              </w:rPr>
              <w:t>Ltd.</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4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销售、采购、融资及其他经营活动主要采用美元计价</w:t>
            </w:r>
          </w:p>
        </w:tc>
      </w:tr>
      <w:tr>
        <w:trPr>
          <w:trHeight w:val="73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3"/>
              <w:ind w:left="2" w:right="49"/>
              <w:jc w:val="left"/>
              <w:rPr>
                <w:rFonts w:ascii="Times New Roman" w:hAnsi="Times New Roman" w:cs="Times New Roman" w:eastAsia="Times New Roman" w:hint="default"/>
                <w:sz w:val="18"/>
                <w:szCs w:val="18"/>
              </w:rPr>
            </w:pPr>
            <w:r>
              <w:rPr>
                <w:rFonts w:ascii="Times New Roman"/>
                <w:sz w:val="18"/>
              </w:rPr>
              <w:t>China Hong Kong International Medical</w:t>
            </w:r>
            <w:r>
              <w:rPr>
                <w:rFonts w:ascii="Times New Roman"/>
                <w:spacing w:val="-10"/>
                <w:sz w:val="18"/>
              </w:rPr>
              <w:t> </w:t>
            </w:r>
            <w:r>
              <w:rPr>
                <w:rFonts w:ascii="Times New Roman"/>
                <w:sz w:val="18"/>
              </w:rPr>
              <w:t>Centre</w:t>
            </w:r>
            <w:r>
              <w:rPr>
                <w:rFonts w:ascii="Times New Roman"/>
                <w:sz w:val="18"/>
              </w:rPr>
              <w:t> Co.,</w:t>
            </w:r>
            <w:r>
              <w:rPr>
                <w:rFonts w:ascii="Times New Roman"/>
                <w:spacing w:val="-6"/>
                <w:sz w:val="18"/>
              </w:rPr>
              <w:t> </w:t>
            </w:r>
            <w:r>
              <w:rPr>
                <w:rFonts w:ascii="Times New Roman"/>
                <w:sz w:val="18"/>
              </w:rPr>
              <w:t>Limited</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4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销售、采购、融资及其他经营活动主要采用港元计价</w:t>
            </w:r>
          </w:p>
        </w:tc>
      </w:tr>
      <w:tr>
        <w:trPr>
          <w:trHeight w:val="42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BGI Europe</w:t>
            </w:r>
            <w:r>
              <w:rPr>
                <w:rFonts w:ascii="Times New Roman"/>
                <w:spacing w:val="-5"/>
                <w:sz w:val="18"/>
              </w:rPr>
              <w:t> </w:t>
            </w:r>
            <w:r>
              <w:rPr>
                <w:rFonts w:ascii="Times New Roman"/>
                <w:sz w:val="18"/>
              </w:rPr>
              <w:t>A/S</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丹麦</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丹麦克朗</w:t>
            </w:r>
          </w:p>
        </w:tc>
        <w:tc>
          <w:tcPr>
            <w:tcW w:w="4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销售、采购、融资及其他经营活动主要采用丹麦克朗计价</w:t>
            </w:r>
          </w:p>
        </w:tc>
      </w:tr>
      <w:tr>
        <w:trPr>
          <w:trHeight w:val="42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BGI JAPAN</w:t>
            </w:r>
            <w:r>
              <w:rPr>
                <w:rFonts w:ascii="Times New Roman"/>
                <w:spacing w:val="-5"/>
                <w:sz w:val="18"/>
              </w:rPr>
              <w:t> </w:t>
            </w:r>
            <w:r>
              <w:rPr>
                <w:rFonts w:ascii="Times New Roman"/>
                <w:sz w:val="18"/>
              </w:rPr>
              <w:t>KABUSHIKIKAISYA</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4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销售、采购、融资及其他经营活动主要采用日元计价</w:t>
            </w:r>
          </w:p>
        </w:tc>
      </w:tr>
      <w:tr>
        <w:trPr>
          <w:trHeight w:val="425"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BGI Americas</w:t>
            </w:r>
            <w:r>
              <w:rPr>
                <w:rFonts w:ascii="Times New Roman"/>
                <w:spacing w:val="-3"/>
                <w:sz w:val="18"/>
              </w:rPr>
              <w:t> </w:t>
            </w:r>
            <w:r>
              <w:rPr>
                <w:rFonts w:ascii="Times New Roman"/>
                <w:sz w:val="18"/>
              </w:rPr>
              <w:t>Corporation</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4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销售、采购、融资及其他经营活动主要采用美元计价</w:t>
            </w:r>
          </w:p>
        </w:tc>
      </w:tr>
      <w:tr>
        <w:trPr>
          <w:trHeight w:val="42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GBI DIAGNOSTICS</w:t>
            </w:r>
            <w:r>
              <w:rPr>
                <w:rFonts w:ascii="Times New Roman"/>
                <w:spacing w:val="-6"/>
                <w:sz w:val="18"/>
              </w:rPr>
              <w:t> </w:t>
            </w:r>
            <w:r>
              <w:rPr>
                <w:rFonts w:ascii="Times New Roman"/>
                <w:sz w:val="18"/>
              </w:rPr>
              <w:t>INC</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4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销售、采购、融资及其他经营活动主要采用美元计价</w:t>
            </w:r>
          </w:p>
        </w:tc>
      </w:tr>
      <w:tr>
        <w:trPr>
          <w:trHeight w:val="742"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105"/>
              <w:ind w:left="2" w:right="301"/>
              <w:jc w:val="left"/>
              <w:rPr>
                <w:rFonts w:ascii="Times New Roman" w:hAnsi="Times New Roman" w:cs="Times New Roman" w:eastAsia="Times New Roman" w:hint="default"/>
                <w:sz w:val="18"/>
                <w:szCs w:val="18"/>
              </w:rPr>
            </w:pPr>
            <w:r>
              <w:rPr>
                <w:rFonts w:ascii="Times New Roman"/>
                <w:sz w:val="18"/>
              </w:rPr>
              <w:t>BGI BIO-SOLUTIONS HONGKONG</w:t>
            </w:r>
            <w:r>
              <w:rPr>
                <w:rFonts w:ascii="Times New Roman"/>
                <w:spacing w:val="-10"/>
                <w:sz w:val="18"/>
              </w:rPr>
              <w:t> </w:t>
            </w:r>
            <w:r>
              <w:rPr>
                <w:rFonts w:ascii="Times New Roman"/>
                <w:sz w:val="18"/>
              </w:rPr>
              <w:t>CO.,</w:t>
            </w:r>
            <w:r>
              <w:rPr>
                <w:rFonts w:ascii="Times New Roman"/>
                <w:sz w:val="18"/>
              </w:rPr>
              <w:t> LIMITED</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4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销售、采购、融资及其他经营活动主要采用港元计价</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52</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4634" w:hanging="361"/>
        <w:jc w:val="left"/>
      </w:pPr>
      <w:r>
        <w:rPr/>
        <w:t>按照套期类别披露套期项目及相关套期工具、被套期风险的定性和定量信息：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53</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17,930,648.97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17,930,648.97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19,521,455.00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19,521,455.00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1,105,313.27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1,105,313.27</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38,557,417.24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38,557,417.24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4" w:right="9851"/>
        <w:jc w:val="center"/>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244"/>
        <w:gridCol w:w="883"/>
        <w:gridCol w:w="1102"/>
        <w:gridCol w:w="1027"/>
        <w:gridCol w:w="956"/>
        <w:gridCol w:w="1171"/>
        <w:gridCol w:w="1063"/>
        <w:gridCol w:w="1061"/>
        <w:gridCol w:w="1063"/>
      </w:tblGrid>
      <w:tr>
        <w:trPr>
          <w:trHeight w:val="1026"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6"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55" w:right="9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20" w:right="5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383" w:right="21"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4"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34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华大青兰生物 科技（无锡） 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53,121,736.42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变更公司章 程手续完 成，支付大 部分投资款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591,303.50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37,367.01</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1129" w:firstLine="360"/>
        <w:jc w:val="both"/>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月，公司之子公司北京六合与无锡青兰原股东戴俊彪、林继伟、陈逸东、杭州红叶投资管理有限公司签订股 </w:t>
      </w:r>
      <w:r>
        <w:rPr>
          <w:spacing w:val="-1"/>
        </w:rPr>
        <w:t>权转让协议。协议约定北京六合以现金对价人民币</w:t>
      </w:r>
      <w:r>
        <w:rPr>
          <w:rFonts w:ascii="Times New Roman" w:hAnsi="Times New Roman" w:cs="Times New Roman" w:eastAsia="Times New Roman" w:hint="default"/>
          <w:spacing w:val="-1"/>
        </w:rPr>
        <w:t>53,121,736.42</w:t>
      </w:r>
      <w:r>
        <w:rPr>
          <w:spacing w:val="-1"/>
        </w:rPr>
        <w:t>元分别收购自然人戴俊彪、林继伟、陈逸东持有的无锡青兰</w:t>
      </w:r>
      <w:r>
        <w:rPr>
          <w:spacing w:val="-69"/>
        </w:rPr>
        <w:t> </w:t>
      </w:r>
      <w:r>
        <w:rPr>
          <w:spacing w:val="-69"/>
        </w:rPr>
      </w:r>
      <w:r>
        <w:rPr>
          <w:rFonts w:ascii="Times New Roman" w:hAnsi="Times New Roman" w:cs="Times New Roman" w:eastAsia="Times New Roman" w:hint="default"/>
        </w:rPr>
        <w:t>47.82%</w:t>
      </w:r>
      <w:r>
        <w:rPr/>
        <w:t>、</w:t>
      </w:r>
      <w:r>
        <w:rPr>
          <w:rFonts w:ascii="Times New Roman" w:hAnsi="Times New Roman" w:cs="Times New Roman" w:eastAsia="Times New Roman" w:hint="default"/>
        </w:rPr>
        <w:t>30.18%</w:t>
      </w:r>
      <w:r>
        <w:rPr/>
        <w:t>、</w:t>
      </w:r>
      <w:r>
        <w:rPr>
          <w:rFonts w:ascii="Times New Roman" w:hAnsi="Times New Roman" w:cs="Times New Roman" w:eastAsia="Times New Roman" w:hint="default"/>
        </w:rPr>
        <w:t>10.00%</w:t>
      </w:r>
      <w:r>
        <w:rPr/>
        <w:t>的股权以及杭州红叶投资管理有限公司持有的无锡青兰</w:t>
      </w:r>
      <w:r>
        <w:rPr>
          <w:rFonts w:ascii="Times New Roman" w:hAnsi="Times New Roman" w:cs="Times New Roman" w:eastAsia="Times New Roman" w:hint="default"/>
        </w:rPr>
        <w:t>12.00%</w:t>
      </w:r>
      <w:r>
        <w:rPr/>
        <w:t>的股权。</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5070"/>
        <w:gridCol w:w="4499"/>
      </w:tblGrid>
      <w:tr>
        <w:trPr>
          <w:trHeight w:val="404" w:hRule="exact"/>
        </w:trPr>
        <w:tc>
          <w:tcPr>
            <w:tcW w:w="5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49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3"/>
              <w:ind w:left="804" w:right="0"/>
              <w:jc w:val="left"/>
              <w:rPr>
                <w:rFonts w:ascii="宋体" w:hAnsi="宋体" w:cs="宋体" w:eastAsia="宋体" w:hint="default"/>
                <w:sz w:val="18"/>
                <w:szCs w:val="18"/>
              </w:rPr>
            </w:pPr>
            <w:r>
              <w:rPr>
                <w:rFonts w:ascii="宋体" w:hAnsi="宋体" w:cs="宋体" w:eastAsia="宋体" w:hint="default"/>
                <w:sz w:val="18"/>
                <w:szCs w:val="18"/>
              </w:rPr>
              <w:t>华大青兰生物科技（无锡）有限公司</w:t>
            </w:r>
          </w:p>
        </w:tc>
      </w:tr>
      <w:tr>
        <w:trPr>
          <w:trHeight w:val="402" w:hRule="exact"/>
        </w:trPr>
        <w:tc>
          <w:tcPr>
            <w:tcW w:w="5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53,121,736.42</w:t>
            </w:r>
          </w:p>
        </w:tc>
      </w:tr>
      <w:tr>
        <w:trPr>
          <w:trHeight w:val="402" w:hRule="exact"/>
        </w:trPr>
        <w:tc>
          <w:tcPr>
            <w:tcW w:w="5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53,121,736.42</w:t>
            </w:r>
          </w:p>
        </w:tc>
      </w:tr>
      <w:tr>
        <w:trPr>
          <w:trHeight w:val="403" w:hRule="exact"/>
        </w:trPr>
        <w:tc>
          <w:tcPr>
            <w:tcW w:w="5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47,109,401.10</w:t>
            </w:r>
          </w:p>
        </w:tc>
      </w:tr>
    </w:tbl>
    <w:p>
      <w:pPr>
        <w:pStyle w:val="BodyText"/>
        <w:spacing w:line="357" w:lineRule="auto" w:before="51"/>
        <w:ind w:left="513" w:right="1213" w:hanging="361"/>
        <w:jc w:val="left"/>
      </w:pPr>
      <w:r>
        <w:rPr/>
        <w:t>合并成本公允价值的确定方法、或有对价及其变动的说明： 股权支付对价</w:t>
      </w:r>
      <w:r>
        <w:rPr>
          <w:rFonts w:ascii="宋体" w:hAnsi="宋体" w:cs="宋体" w:eastAsia="宋体" w:hint="default"/>
        </w:rPr>
        <w:t>53,121,736.42</w:t>
      </w:r>
      <w:r>
        <w:rPr/>
        <w:t>元由协议约定的企业价值人民币</w:t>
      </w:r>
      <w:r>
        <w:rPr>
          <w:rFonts w:ascii="宋体" w:hAnsi="宋体" w:cs="宋体" w:eastAsia="宋体" w:hint="default"/>
        </w:rPr>
        <w:t>50,000,000</w:t>
      </w:r>
      <w:r>
        <w:rPr/>
        <w:t>元以及截至交割基准日</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31</w:t>
      </w:r>
      <w:r>
        <w:rPr/>
        <w:t>日无锡青</w:t>
      </w:r>
    </w:p>
    <w:p>
      <w:pPr>
        <w:pStyle w:val="BodyText"/>
        <w:spacing w:line="224" w:lineRule="exact"/>
        <w:ind w:right="1133"/>
        <w:jc w:val="left"/>
      </w:pPr>
      <w:r>
        <w:rPr/>
        <w:t>兰账面净流动资产与非流动负债合计人民币</w:t>
      </w:r>
      <w:r>
        <w:rPr>
          <w:rFonts w:ascii="宋体" w:hAnsi="宋体" w:cs="宋体" w:eastAsia="宋体" w:hint="default"/>
        </w:rPr>
        <w:t>3,121,736.42</w:t>
      </w:r>
      <w:r>
        <w:rPr/>
        <w:t>元构成。</w:t>
      </w:r>
    </w:p>
    <w:p>
      <w:pPr>
        <w:pStyle w:val="BodyText"/>
        <w:spacing w:line="316" w:lineRule="auto" w:before="76"/>
        <w:ind w:left="513" w:right="1213"/>
        <w:jc w:val="left"/>
      </w:pPr>
      <w:r>
        <w:rPr/>
        <w:t>大额商誉形成的主要原因： 无锡青兰生物科技有限公司于</w:t>
      </w:r>
      <w:r>
        <w:rPr>
          <w:rFonts w:ascii="宋体" w:hAnsi="宋体" w:cs="宋体" w:eastAsia="宋体" w:hint="default"/>
        </w:rPr>
        <w:t>2012</w:t>
      </w:r>
      <w:r>
        <w:rPr/>
        <w:t>年在江苏省宜兴市成立，致力于基因合成以及合成生物学在生命科学领域的应用，</w:t>
      </w:r>
    </w:p>
    <w:p>
      <w:pPr>
        <w:pStyle w:val="BodyText"/>
        <w:spacing w:line="319" w:lineRule="auto" w:before="19"/>
        <w:ind w:right="1124"/>
        <w:jc w:val="left"/>
      </w:pPr>
      <w:r>
        <w:rPr/>
        <w:t>主要业务为全基因合成技术服务，服务内容主要包括基因合成、</w:t>
      </w:r>
      <w:r>
        <w:rPr>
          <w:rFonts w:ascii="宋体" w:hAnsi="宋体" w:cs="宋体" w:eastAsia="宋体" w:hint="default"/>
        </w:rPr>
        <w:t>DNA</w:t>
      </w:r>
      <w:r>
        <w:rPr/>
        <w:t>序列的设计与优化、克隆载体选择。无锡青兰的“一次 组装”技术特色，在复杂</w:t>
      </w:r>
      <w:r>
        <w:rPr>
          <w:rFonts w:ascii="宋体" w:hAnsi="宋体" w:cs="宋体" w:eastAsia="宋体" w:hint="default"/>
        </w:rPr>
        <w:t>DNA</w:t>
      </w:r>
      <w:r>
        <w:rPr/>
        <w:t>序列合成方面具有明显的成本和时间优势，且在</w:t>
      </w:r>
      <w:r>
        <w:rPr>
          <w:rFonts w:ascii="宋体" w:hAnsi="宋体" w:cs="宋体" w:eastAsia="宋体" w:hint="default"/>
        </w:rPr>
        <w:t>oligo</w:t>
      </w:r>
      <w:r>
        <w:rPr/>
        <w:t>合成、电泳等实验部分对设备和耗材进 行了一定的适配性改进，在一定程度上降低了成本；同时还开发了一套与实验技术配套的，极具实用性的计算机辅助软</w:t>
      </w:r>
    </w:p>
    <w:p>
      <w:pPr>
        <w:spacing w:after="0" w:line="319" w:lineRule="auto"/>
        <w:jc w:val="left"/>
        <w:sectPr>
          <w:pgSz w:w="11910" w:h="16840"/>
          <w:pgMar w:header="0" w:footer="974" w:top="1100" w:bottom="1160" w:left="980" w:right="0"/>
        </w:sectPr>
      </w:pPr>
    </w:p>
    <w:p>
      <w:pPr>
        <w:spacing w:line="240" w:lineRule="auto" w:before="0"/>
        <w:rPr>
          <w:rFonts w:ascii="宋体" w:hAnsi="宋体" w:cs="宋体" w:eastAsia="宋体" w:hint="default"/>
          <w:sz w:val="22"/>
          <w:szCs w:val="22"/>
        </w:rPr>
      </w:pPr>
    </w:p>
    <w:p>
      <w:pPr>
        <w:pStyle w:val="BodyText"/>
        <w:spacing w:line="316" w:lineRule="auto" w:before="44"/>
        <w:ind w:right="1214"/>
        <w:jc w:val="left"/>
      </w:pPr>
      <w:r>
        <w:rPr/>
        <w:t>件，提高了工作效率。无锡青兰领先的生产技术与公司的基因合成业务可产生较强的协同效应，随着双方业务的整合，公 司将在基因合成方面拥有更大的市场份额。</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744" w:right="0"/>
              <w:jc w:val="left"/>
              <w:rPr>
                <w:rFonts w:ascii="宋体" w:hAnsi="宋体" w:cs="宋体" w:eastAsia="宋体" w:hint="default"/>
                <w:sz w:val="18"/>
                <w:szCs w:val="18"/>
              </w:rPr>
            </w:pPr>
            <w:r>
              <w:rPr>
                <w:rFonts w:ascii="宋体" w:hAnsi="宋体" w:cs="宋体" w:eastAsia="宋体" w:hint="default"/>
                <w:sz w:val="18"/>
                <w:szCs w:val="18"/>
              </w:rPr>
              <w:t>华大青兰生物科技（无锡）有限公司</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2,911,445.96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2,911,445.96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2,559,754.35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2,559,754.35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231,826.09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231,826.09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1,845,943.72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2,026,537.72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65,634.03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65,634.03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49,556.20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49,556.20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28,961.29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28,961.29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106,850.80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106,850.80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553,416.80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553,416.80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166,546.75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166,546.75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396,873.64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396,873.64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301,580.63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303,734.58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155,517.70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622,070.80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6,012,335.32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5,724,222.27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6,012,335.32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5,724,222.27</w:t>
            </w:r>
          </w:p>
        </w:tc>
      </w:tr>
    </w:tbl>
    <w:p>
      <w:pPr>
        <w:pStyle w:val="BodyText"/>
        <w:spacing w:line="357" w:lineRule="auto" w:before="51"/>
        <w:ind w:left="513" w:right="1213" w:hanging="361"/>
        <w:jc w:val="left"/>
      </w:pPr>
      <w:r>
        <w:rPr/>
        <w:t>可辨认资产、负债公允价值的确定方法： 无锡青兰可辨认净资产公允价值以北京北方亚事资产评估事务所（特殊普通合伙）出具的《北方亚事评报字</w:t>
      </w:r>
      <w:r>
        <w:rPr>
          <w:rFonts w:ascii="宋体" w:hAnsi="宋体" w:cs="宋体" w:eastAsia="宋体" w:hint="default"/>
        </w:rPr>
        <w:t>[2018]</w:t>
      </w:r>
      <w:r>
        <w:rPr/>
        <w:t>第</w:t>
      </w:r>
    </w:p>
    <w:p>
      <w:pPr>
        <w:pStyle w:val="BodyText"/>
        <w:spacing w:line="224" w:lineRule="exact"/>
        <w:ind w:right="1133"/>
        <w:jc w:val="left"/>
      </w:pPr>
      <w:r>
        <w:rPr>
          <w:rFonts w:ascii="宋体" w:hAnsi="宋体" w:cs="宋体" w:eastAsia="宋体" w:hint="default"/>
        </w:rPr>
        <w:t>01-383</w:t>
      </w:r>
      <w:r>
        <w:rPr/>
        <w:t>号》资产基础法评估值为基础确定。</w:t>
      </w:r>
    </w:p>
    <w:p>
      <w:pPr>
        <w:pStyle w:val="BodyText"/>
        <w:spacing w:line="360" w:lineRule="auto" w:before="118"/>
        <w:ind w:left="513" w:right="7514" w:hanging="361"/>
        <w:jc w:val="left"/>
      </w:pPr>
      <w:r>
        <w:rPr/>
        <w:t>企业合并中承担的被购买方的或有负债：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是否存在通过多次交易分步实现企业合并且在报告期内取得控制权的交易</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4" w:right="9851"/>
        <w:jc w:val="center"/>
      </w:pPr>
      <w:r>
        <w:rPr/>
        <w:t>无</w:t>
      </w:r>
    </w:p>
    <w:p>
      <w:pPr>
        <w:spacing w:after="0" w:line="240" w:lineRule="auto"/>
        <w:jc w:val="center"/>
        <w:sectPr>
          <w:pgSz w:w="11910" w:h="16840"/>
          <w:pgMar w:header="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441" w:right="1210" w:hanging="289"/>
        <w:jc w:val="left"/>
        <w:rPr>
          <w:rFonts w:ascii="宋体" w:hAnsi="宋体" w:cs="宋体" w:eastAsia="宋体" w:hint="default"/>
        </w:rPr>
      </w:pPr>
      <w:r>
        <w:rPr/>
        <w:t>说明其他原因导致的合并范围变动（如，新设子公司、清算子公司等）及其相关情况：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月在美国加利福利亚洲尔湾市设立全资子公司</w:t>
      </w:r>
      <w:r>
        <w:rPr>
          <w:rFonts w:ascii="Times New Roman" w:hAnsi="Times New Roman" w:cs="Times New Roman" w:eastAsia="Times New Roman" w:hint="default"/>
        </w:rPr>
        <w:t>GBI Diagnostics</w:t>
      </w:r>
      <w:r>
        <w:rPr>
          <w:rFonts w:ascii="Times New Roman" w:hAnsi="Times New Roman" w:cs="Times New Roman" w:eastAsia="Times New Roman" w:hint="default"/>
          <w:spacing w:val="-10"/>
        </w:rPr>
        <w:t> </w:t>
      </w:r>
      <w:r>
        <w:rPr>
          <w:rFonts w:ascii="Times New Roman" w:hAnsi="Times New Roman" w:cs="Times New Roman" w:eastAsia="Times New Roman" w:hint="default"/>
        </w:rPr>
        <w:t>Inc.</w:t>
      </w:r>
      <w:r>
        <w:rPr/>
        <w:t>，注册资本为</w:t>
      </w:r>
      <w:r>
        <w:rPr>
          <w:rFonts w:ascii="Times New Roman" w:hAnsi="Times New Roman" w:cs="Times New Roman" w:eastAsia="Times New Roman" w:hint="default"/>
        </w:rPr>
        <w:t>100</w:t>
      </w:r>
      <w:r>
        <w:rPr/>
        <w:t>万美元，于</w:t>
      </w:r>
      <w:r>
        <w:rPr>
          <w:rFonts w:ascii="宋体" w:hAnsi="宋体" w:cs="宋体" w:eastAsia="宋体" w:hint="default"/>
        </w:rPr>
        <w:t>2018</w:t>
      </w:r>
      <w:r>
        <w:rPr/>
        <w:t>年</w:t>
      </w:r>
      <w:r>
        <w:rPr>
          <w:rFonts w:ascii="宋体" w:hAnsi="宋体" w:cs="宋体" w:eastAsia="宋体" w:hint="default"/>
        </w:rPr>
        <w:t>6</w:t>
      </w:r>
    </w:p>
    <w:p>
      <w:pPr>
        <w:pStyle w:val="BodyText"/>
        <w:spacing w:line="199" w:lineRule="exact"/>
        <w:ind w:right="1133"/>
        <w:jc w:val="left"/>
      </w:pPr>
      <w:r>
        <w:rPr/>
        <w:t>月实际出资，经营范围为科学研究和技术服务业。</w:t>
      </w:r>
    </w:p>
    <w:p>
      <w:pPr>
        <w:pStyle w:val="BodyText"/>
        <w:spacing w:line="300" w:lineRule="auto" w:before="76"/>
        <w:ind w:right="1241" w:firstLine="288"/>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月在河北石家庄设立了河北华大医学检验实验室有限公司，注册资本为</w:t>
      </w:r>
      <w:r>
        <w:rPr>
          <w:rFonts w:ascii="Times New Roman" w:hAnsi="Times New Roman" w:cs="Times New Roman" w:eastAsia="Times New Roman" w:hint="default"/>
        </w:rPr>
        <w:t>1,500</w:t>
      </w:r>
      <w:r>
        <w:rPr/>
        <w:t>万元人民币，注册地址为 石家庄高新区太行南大街</w:t>
      </w:r>
      <w:r>
        <w:rPr>
          <w:rFonts w:ascii="Times New Roman" w:hAnsi="Times New Roman" w:cs="Times New Roman" w:eastAsia="Times New Roman" w:hint="default"/>
        </w:rPr>
        <w:t>197</w:t>
      </w:r>
      <w:r>
        <w:rPr/>
        <w:t>号智同药谷四号楼，经营范围为科学研究和技术服务业。</w:t>
      </w:r>
    </w:p>
    <w:p>
      <w:pPr>
        <w:spacing w:line="240" w:lineRule="auto" w:before="6"/>
        <w:rPr>
          <w:rFonts w:ascii="宋体" w:hAnsi="宋体" w:cs="宋体" w:eastAsia="宋体" w:hint="default"/>
          <w:sz w:val="20"/>
          <w:szCs w:val="20"/>
        </w:rPr>
      </w:pPr>
    </w:p>
    <w:p>
      <w:pPr>
        <w:pStyle w:val="Heading2"/>
        <w:spacing w:line="240" w:lineRule="auto"/>
        <w:ind w:right="1133"/>
        <w:jc w:val="left"/>
        <w:rPr>
          <w:b w:val="0"/>
          <w:bCs w:val="0"/>
        </w:rPr>
      </w:pPr>
      <w:r>
        <w:rPr/>
        <w:t>九、在其他主体中的权益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4" w:right="238"/>
              <w:jc w:val="left"/>
              <w:rPr>
                <w:rFonts w:ascii="Times New Roman" w:hAnsi="Times New Roman" w:cs="Times New Roman" w:eastAsia="Times New Roman" w:hint="default"/>
                <w:sz w:val="18"/>
                <w:szCs w:val="18"/>
              </w:rPr>
            </w:pPr>
            <w:r>
              <w:rPr>
                <w:rFonts w:ascii="Times New Roman"/>
                <w:sz w:val="18"/>
              </w:rPr>
              <w:t>BGI</w:t>
            </w:r>
            <w:r>
              <w:rPr>
                <w:rFonts w:ascii="Times New Roman"/>
                <w:spacing w:val="-1"/>
                <w:sz w:val="18"/>
              </w:rPr>
              <w:t> </w:t>
            </w:r>
            <w:r>
              <w:rPr>
                <w:rFonts w:ascii="Times New Roman"/>
                <w:spacing w:val="-3"/>
                <w:sz w:val="18"/>
              </w:rPr>
              <w:t>HEALTH</w:t>
            </w:r>
            <w:r>
              <w:rPr>
                <w:rFonts w:ascii="Times New Roman"/>
                <w:w w:val="99"/>
                <w:sz w:val="18"/>
              </w:rPr>
              <w:t> </w:t>
            </w:r>
            <w:r>
              <w:rPr>
                <w:rFonts w:ascii="Times New Roman"/>
                <w:sz w:val="18"/>
              </w:rPr>
              <w:t>(HK) </w:t>
            </w:r>
            <w:r>
              <w:rPr>
                <w:rFonts w:ascii="Times New Roman"/>
                <w:spacing w:val="-3"/>
                <w:sz w:val="18"/>
              </w:rPr>
              <w:t>CO.,LTD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北京华大优康科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本溪华大医学检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本溪</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广州华大基因医 学检验所有限公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南京华大基因科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潍坊华大基因健 康科技有限公司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武汉华大医学检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云南华大基因医 学有限公司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武汉华大基因生 物医学工程有限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40"/>
              <w:jc w:val="left"/>
              <w:rPr>
                <w:rFonts w:ascii="Times New Roman" w:hAnsi="Times New Roman" w:cs="Times New Roman" w:eastAsia="Times New Roman" w:hint="default"/>
                <w:sz w:val="18"/>
                <w:szCs w:val="18"/>
              </w:rPr>
            </w:pPr>
            <w:r>
              <w:rPr>
                <w:rFonts w:ascii="Times New Roman"/>
                <w:sz w:val="18"/>
              </w:rPr>
              <w:t>BGI</w:t>
            </w:r>
            <w:r>
              <w:rPr>
                <w:rFonts w:ascii="Times New Roman"/>
                <w:spacing w:val="-3"/>
                <w:sz w:val="18"/>
              </w:rPr>
              <w:t> </w:t>
            </w:r>
            <w:r>
              <w:rPr>
                <w:rFonts w:ascii="Times New Roman"/>
                <w:spacing w:val="-4"/>
                <w:sz w:val="18"/>
              </w:rPr>
              <w:t>Tech</w:t>
            </w:r>
            <w:r>
              <w:rPr>
                <w:rFonts w:ascii="Times New Roman"/>
                <w:sz w:val="18"/>
              </w:rPr>
              <w:t> Solution</w:t>
            </w:r>
            <w:r>
              <w:rPr>
                <w:rFonts w:ascii="Times New Roman"/>
                <w:spacing w:val="-3"/>
                <w:sz w:val="18"/>
              </w:rPr>
              <w:t> </w:t>
            </w:r>
            <w:r>
              <w:rPr>
                <w:rFonts w:ascii="Times New Roman"/>
                <w:sz w:val="18"/>
              </w:rPr>
              <w:t>(Europe)</w:t>
            </w:r>
            <w:r>
              <w:rPr>
                <w:rFonts w:ascii="Times New Roman"/>
                <w:w w:val="99"/>
                <w:sz w:val="18"/>
              </w:rPr>
              <w:t> </w:t>
            </w:r>
            <w:r>
              <w:rPr>
                <w:rFonts w:ascii="Times New Roman"/>
                <w:sz w:val="18"/>
              </w:rPr>
              <w:t>Cooperatief</w:t>
            </w:r>
            <w:r>
              <w:rPr>
                <w:rFonts w:ascii="Times New Roman"/>
                <w:spacing w:val="-6"/>
                <w:sz w:val="18"/>
              </w:rPr>
              <w:t> </w:t>
            </w:r>
            <w:r>
              <w:rPr>
                <w:rFonts w:ascii="Times New Roman"/>
                <w:sz w:val="18"/>
              </w:rPr>
              <w:t>U.A.</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南京华大医学检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178"/>
              <w:jc w:val="left"/>
              <w:rPr>
                <w:rFonts w:ascii="Times New Roman" w:hAnsi="Times New Roman" w:cs="Times New Roman" w:eastAsia="Times New Roman" w:hint="default"/>
                <w:sz w:val="18"/>
                <w:szCs w:val="18"/>
              </w:rPr>
            </w:pPr>
            <w:r>
              <w:rPr>
                <w:rFonts w:ascii="Times New Roman"/>
                <w:sz w:val="18"/>
              </w:rPr>
              <w:t>BGI</w:t>
            </w:r>
            <w:r>
              <w:rPr>
                <w:rFonts w:ascii="Times New Roman"/>
                <w:spacing w:val="-3"/>
                <w:sz w:val="18"/>
              </w:rPr>
              <w:t> </w:t>
            </w:r>
            <w:r>
              <w:rPr>
                <w:rFonts w:ascii="Times New Roman"/>
                <w:sz w:val="18"/>
              </w:rPr>
              <w:t>TECH</w:t>
            </w:r>
            <w:r>
              <w:rPr>
                <w:rFonts w:ascii="Times New Roman"/>
                <w:sz w:val="18"/>
              </w:rPr>
              <w:t> SOLUTIONS</w:t>
            </w:r>
            <w:r>
              <w:rPr>
                <w:rFonts w:ascii="Times New Roman"/>
                <w:w w:val="99"/>
                <w:sz w:val="18"/>
              </w:rPr>
              <w:t> </w:t>
            </w:r>
            <w:r>
              <w:rPr>
                <w:rFonts w:ascii="Times New Roman"/>
                <w:sz w:val="18"/>
              </w:rPr>
              <w:t>(HONGKONG)</w:t>
            </w:r>
            <w:r>
              <w:rPr>
                <w:rFonts w:ascii="Times New Roman"/>
                <w:w w:val="99"/>
                <w:sz w:val="18"/>
              </w:rPr>
              <w:t> </w:t>
            </w:r>
            <w:r>
              <w:rPr>
                <w:rFonts w:ascii="Times New Roman"/>
                <w:sz w:val="18"/>
              </w:rPr>
              <w:t>CO.,</w:t>
            </w:r>
            <w:r>
              <w:rPr>
                <w:rFonts w:ascii="Times New Roman"/>
                <w:spacing w:val="-4"/>
                <w:sz w:val="18"/>
              </w:rPr>
              <w:t> </w:t>
            </w:r>
            <w:r>
              <w:rPr>
                <w:rFonts w:ascii="Times New Roman"/>
                <w:sz w:val="18"/>
              </w:rPr>
              <w:t>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69"/>
              <w:jc w:val="left"/>
              <w:rPr>
                <w:rFonts w:ascii="Times New Roman" w:hAnsi="Times New Roman" w:cs="Times New Roman" w:eastAsia="Times New Roman" w:hint="default"/>
                <w:sz w:val="18"/>
                <w:szCs w:val="18"/>
              </w:rPr>
            </w:pPr>
            <w:r>
              <w:rPr>
                <w:rFonts w:ascii="Times New Roman"/>
                <w:sz w:val="18"/>
              </w:rPr>
              <w:t>BGI</w:t>
            </w:r>
            <w:r>
              <w:rPr>
                <w:rFonts w:ascii="Times New Roman"/>
                <w:spacing w:val="-3"/>
                <w:sz w:val="18"/>
              </w:rPr>
              <w:t> </w:t>
            </w:r>
            <w:r>
              <w:rPr>
                <w:rFonts w:ascii="Times New Roman"/>
                <w:spacing w:val="-4"/>
                <w:sz w:val="18"/>
              </w:rPr>
              <w:t>Tech</w:t>
            </w:r>
            <w:r>
              <w:rPr>
                <w:rFonts w:ascii="Times New Roman"/>
                <w:sz w:val="18"/>
              </w:rPr>
              <w:t> Holding (HongKong)</w:t>
            </w:r>
            <w:r>
              <w:rPr>
                <w:rFonts w:ascii="Times New Roman"/>
                <w:spacing w:val="-3"/>
                <w:sz w:val="18"/>
              </w:rPr>
              <w:t> </w:t>
            </w:r>
            <w:r>
              <w:rPr>
                <w:rFonts w:ascii="Times New Roman"/>
                <w:sz w:val="18"/>
              </w:rPr>
              <w:t>Co.,</w:t>
            </w:r>
            <w:r>
              <w:rPr>
                <w:rFonts w:ascii="Times New Roman"/>
                <w:sz w:val="18"/>
              </w:rPr>
              <w:t> 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333"/>
              <w:jc w:val="left"/>
              <w:rPr>
                <w:rFonts w:ascii="Times New Roman" w:hAnsi="Times New Roman" w:cs="Times New Roman" w:eastAsia="Times New Roman" w:hint="default"/>
                <w:sz w:val="18"/>
                <w:szCs w:val="18"/>
              </w:rPr>
            </w:pPr>
            <w:r>
              <w:rPr>
                <w:rFonts w:ascii="Times New Roman"/>
                <w:sz w:val="18"/>
              </w:rPr>
              <w:t>BGI</w:t>
            </w:r>
            <w:r>
              <w:rPr>
                <w:rFonts w:ascii="Times New Roman"/>
                <w:spacing w:val="-3"/>
                <w:sz w:val="18"/>
              </w:rPr>
              <w:t> </w:t>
            </w:r>
            <w:r>
              <w:rPr>
                <w:rFonts w:ascii="Times New Roman"/>
                <w:spacing w:val="-4"/>
                <w:sz w:val="18"/>
              </w:rPr>
              <w:t>Tech</w:t>
            </w:r>
            <w:r>
              <w:rPr>
                <w:rFonts w:ascii="Times New Roman"/>
                <w:sz w:val="18"/>
              </w:rPr>
              <w:t> Solutions</w:t>
            </w:r>
            <w:r>
              <w:rPr>
                <w:rFonts w:ascii="Times New Roman"/>
                <w:w w:val="99"/>
                <w:sz w:val="18"/>
              </w:rPr>
              <w:t> </w:t>
            </w:r>
            <w:r>
              <w:rPr>
                <w:rFonts w:ascii="Times New Roman"/>
                <w:sz w:val="18"/>
              </w:rPr>
              <w:t>(Europe)</w:t>
            </w:r>
            <w:r>
              <w:rPr>
                <w:rFonts w:ascii="Times New Roman"/>
                <w:spacing w:val="2"/>
                <w:sz w:val="18"/>
              </w:rPr>
              <w:t> </w:t>
            </w:r>
            <w:r>
              <w:rPr>
                <w:rFonts w:ascii="Times New Roman"/>
                <w:spacing w:val="-7"/>
                <w:sz w:val="18"/>
              </w:rPr>
              <w:t>B.V.</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4"/>
              <w:ind w:left="24" w:right="107"/>
              <w:jc w:val="left"/>
              <w:rPr>
                <w:rFonts w:ascii="Times New Roman" w:hAnsi="Times New Roman" w:cs="Times New Roman" w:eastAsia="Times New Roman" w:hint="default"/>
                <w:sz w:val="18"/>
                <w:szCs w:val="18"/>
              </w:rPr>
            </w:pPr>
            <w:r>
              <w:rPr>
                <w:rFonts w:ascii="Times New Roman"/>
                <w:sz w:val="18"/>
              </w:rPr>
              <w:t>BGI Health</w:t>
            </w:r>
            <w:r>
              <w:rPr>
                <w:rFonts w:ascii="Times New Roman"/>
                <w:spacing w:val="-5"/>
                <w:sz w:val="18"/>
              </w:rPr>
              <w:t> </w:t>
            </w:r>
            <w:r>
              <w:rPr>
                <w:rFonts w:ascii="Times New Roman"/>
                <w:sz w:val="18"/>
              </w:rPr>
              <w:t>(SG)</w:t>
            </w:r>
            <w:r>
              <w:rPr>
                <w:rFonts w:ascii="Times New Roman"/>
                <w:w w:val="99"/>
                <w:sz w:val="18"/>
              </w:rPr>
              <w:t> </w:t>
            </w:r>
            <w:r>
              <w:rPr>
                <w:rFonts w:ascii="Times New Roman"/>
                <w:sz w:val="18"/>
              </w:rPr>
              <w:t>Company</w:t>
            </w:r>
            <w:r>
              <w:rPr>
                <w:rFonts w:ascii="Times New Roman"/>
                <w:spacing w:val="-3"/>
                <w:sz w:val="18"/>
              </w:rPr>
              <w:t> </w:t>
            </w:r>
            <w:r>
              <w:rPr>
                <w:rFonts w:ascii="Times New Roman"/>
                <w:sz w:val="18"/>
              </w:rPr>
              <w:t>Pte.</w:t>
            </w:r>
          </w:p>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天津华大医学检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济宁华大基因医 学研究有限公司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成都华大创新医 学检验所有限公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长垣华大医学检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云南华大昆华医 学检验所有限公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219"/>
              <w:jc w:val="left"/>
              <w:rPr>
                <w:rFonts w:ascii="Times New Roman" w:hAnsi="Times New Roman" w:cs="Times New Roman" w:eastAsia="Times New Roman" w:hint="default"/>
                <w:sz w:val="18"/>
                <w:szCs w:val="18"/>
              </w:rPr>
            </w:pPr>
            <w:r>
              <w:rPr>
                <w:rFonts w:ascii="Times New Roman"/>
                <w:sz w:val="18"/>
              </w:rPr>
              <w:t>China</w:t>
            </w:r>
            <w:r>
              <w:rPr>
                <w:rFonts w:ascii="Times New Roman"/>
                <w:spacing w:val="-1"/>
                <w:sz w:val="18"/>
              </w:rPr>
              <w:t> </w:t>
            </w:r>
            <w:r>
              <w:rPr>
                <w:rFonts w:ascii="Times New Roman"/>
                <w:sz w:val="18"/>
              </w:rPr>
              <w:t>Hong</w:t>
            </w:r>
            <w:r>
              <w:rPr>
                <w:rFonts w:ascii="Times New Roman"/>
                <w:sz w:val="18"/>
              </w:rPr>
              <w:t> Kong International</w:t>
            </w:r>
            <w:r>
              <w:rPr>
                <w:rFonts w:ascii="Times New Roman"/>
                <w:w w:val="100"/>
                <w:sz w:val="18"/>
              </w:rPr>
              <w:t> </w:t>
            </w:r>
            <w:r>
              <w:rPr>
                <w:rFonts w:ascii="Times New Roman"/>
                <w:sz w:val="18"/>
              </w:rPr>
              <w:t>Medical</w:t>
            </w:r>
            <w:r>
              <w:rPr>
                <w:rFonts w:ascii="Times New Roman"/>
                <w:spacing w:val="-2"/>
                <w:sz w:val="18"/>
              </w:rPr>
              <w:t> </w:t>
            </w:r>
            <w:r>
              <w:rPr>
                <w:rFonts w:ascii="Times New Roman"/>
                <w:sz w:val="18"/>
              </w:rPr>
              <w:t>Centre</w:t>
            </w:r>
            <w:r>
              <w:rPr>
                <w:rFonts w:ascii="Times New Roman"/>
                <w:w w:val="100"/>
                <w:sz w:val="18"/>
              </w:rPr>
              <w:t> </w:t>
            </w:r>
            <w:r>
              <w:rPr>
                <w:rFonts w:ascii="Times New Roman"/>
                <w:sz w:val="18"/>
              </w:rPr>
              <w:t>Co.,</w:t>
            </w:r>
            <w:r>
              <w:rPr>
                <w:rFonts w:ascii="Times New Roman"/>
                <w:spacing w:val="-6"/>
                <w:sz w:val="18"/>
              </w:rPr>
              <w:t> </w:t>
            </w:r>
            <w:r>
              <w:rPr>
                <w:rFonts w:ascii="Times New Roman"/>
                <w:sz w:val="18"/>
              </w:rPr>
              <w:t>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北京六合华大基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75"/>
              <w:jc w:val="left"/>
              <w:rPr>
                <w:rFonts w:ascii="宋体" w:hAnsi="宋体" w:cs="宋体" w:eastAsia="宋体" w:hint="default"/>
                <w:sz w:val="18"/>
                <w:szCs w:val="18"/>
              </w:rPr>
            </w:pPr>
            <w:r>
              <w:rPr>
                <w:rFonts w:ascii="宋体" w:hAnsi="宋体" w:cs="宋体" w:eastAsia="宋体" w:hint="default"/>
                <w:sz w:val="18"/>
                <w:szCs w:val="18"/>
              </w:rPr>
              <w:t>因（香港）科技 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秦皇岛华大基因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贵州华大医学检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青岛华大精准医 学管理中心有限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重庆华大医学检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安徽华大医学检 验所有限公司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河北华大医学检 验实验室有限公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138"/>
              <w:jc w:val="left"/>
              <w:rPr>
                <w:rFonts w:ascii="Times New Roman" w:hAnsi="Times New Roman" w:cs="Times New Roman" w:eastAsia="Times New Roman" w:hint="default"/>
                <w:sz w:val="18"/>
                <w:szCs w:val="18"/>
              </w:rPr>
            </w:pPr>
            <w:r>
              <w:rPr>
                <w:rFonts w:ascii="Times New Roman"/>
                <w:sz w:val="18"/>
              </w:rPr>
              <w:t>GBI DIAGNOSTICS</w:t>
            </w:r>
            <w:r>
              <w:rPr>
                <w:rFonts w:ascii="Times New Roman"/>
                <w:w w:val="99"/>
                <w:sz w:val="18"/>
              </w:rPr>
              <w:t> </w:t>
            </w:r>
            <w:r>
              <w:rPr>
                <w:rFonts w:ascii="Times New Roman"/>
                <w:sz w:val="18"/>
              </w:rPr>
              <w:t>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上海华大基因科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深圳华大临床检 验中心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97.50%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天津华大基因科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华大生物科技</w:t>
            </w:r>
          </w:p>
          <w:p>
            <w:pPr>
              <w:pStyle w:val="TableParagraph"/>
              <w:spacing w:line="316" w:lineRule="auto" w:before="76"/>
              <w:ind w:left="24" w:right="75"/>
              <w:jc w:val="left"/>
              <w:rPr>
                <w:rFonts w:ascii="宋体" w:hAnsi="宋体" w:cs="宋体" w:eastAsia="宋体" w:hint="default"/>
                <w:sz w:val="18"/>
                <w:szCs w:val="18"/>
              </w:rPr>
            </w:pPr>
            <w:r>
              <w:rPr>
                <w:rFonts w:ascii="宋体" w:hAnsi="宋体" w:cs="宋体" w:eastAsia="宋体" w:hint="default"/>
                <w:sz w:val="18"/>
                <w:szCs w:val="18"/>
              </w:rPr>
              <w:t>（武汉）有限公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75"/>
              <w:jc w:val="left"/>
              <w:rPr>
                <w:rFonts w:ascii="宋体" w:hAnsi="宋体" w:cs="宋体" w:eastAsia="宋体" w:hint="default"/>
                <w:sz w:val="18"/>
                <w:szCs w:val="18"/>
              </w:rPr>
            </w:pPr>
            <w:r>
              <w:rPr>
                <w:rFonts w:ascii="宋体" w:hAnsi="宋体" w:cs="宋体" w:eastAsia="宋体" w:hint="default"/>
                <w:sz w:val="18"/>
                <w:szCs w:val="18"/>
              </w:rPr>
              <w:t>深圳华大基因科 技服务有限公司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90.91%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深圳华大基因生 物医学工程有限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华大基因生物科 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BGI Europe</w:t>
            </w:r>
            <w:r>
              <w:rPr>
                <w:rFonts w:ascii="Times New Roman"/>
                <w:spacing w:val="-13"/>
                <w:sz w:val="18"/>
              </w:rPr>
              <w:t> </w:t>
            </w:r>
            <w:r>
              <w:rPr>
                <w:rFonts w:ascii="Times New Roman"/>
                <w:sz w:val="18"/>
              </w:rPr>
              <w:t>A/S</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丹麦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丹麦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北京华大吉比爱 生物技术有限公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w:t>
            </w:r>
          </w:p>
        </w:tc>
      </w:tr>
    </w:tbl>
    <w:p>
      <w:pPr>
        <w:spacing w:after="0" w:line="240" w:lineRule="auto"/>
        <w:jc w:val="left"/>
        <w:rPr>
          <w:rFonts w:ascii="宋体" w:hAnsi="宋体" w:cs="宋体" w:eastAsia="宋体" w:hint="default"/>
          <w:sz w:val="18"/>
          <w:szCs w:val="18"/>
        </w:rPr>
        <w:sectPr>
          <w:pgSz w:w="11910" w:h="16840"/>
          <w:pgMar w:header="0" w:footer="974"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27"/>
              <w:jc w:val="left"/>
              <w:rPr>
                <w:rFonts w:ascii="Times New Roman" w:hAnsi="Times New Roman" w:cs="Times New Roman" w:eastAsia="Times New Roman" w:hint="default"/>
                <w:sz w:val="18"/>
                <w:szCs w:val="18"/>
              </w:rPr>
            </w:pPr>
            <w:r>
              <w:rPr>
                <w:rFonts w:ascii="Times New Roman"/>
                <w:sz w:val="18"/>
              </w:rPr>
              <w:t>BGI</w:t>
            </w:r>
            <w:r>
              <w:rPr>
                <w:rFonts w:ascii="Times New Roman"/>
                <w:spacing w:val="-1"/>
                <w:sz w:val="18"/>
              </w:rPr>
              <w:t> </w:t>
            </w:r>
            <w:r>
              <w:rPr>
                <w:rFonts w:ascii="Times New Roman"/>
                <w:spacing w:val="-4"/>
                <w:sz w:val="18"/>
              </w:rPr>
              <w:t>JAPAN</w:t>
            </w:r>
            <w:r>
              <w:rPr>
                <w:rFonts w:ascii="Times New Roman"/>
                <w:w w:val="99"/>
                <w:sz w:val="18"/>
              </w:rPr>
              <w:t> </w:t>
            </w:r>
            <w:r>
              <w:rPr>
                <w:rFonts w:ascii="Times New Roman"/>
                <w:sz w:val="18"/>
              </w:rPr>
              <w:t>KABUSHIKIKAI</w:t>
            </w:r>
            <w:r>
              <w:rPr>
                <w:rFonts w:ascii="Times New Roman"/>
                <w:w w:val="99"/>
                <w:sz w:val="18"/>
              </w:rPr>
              <w:t> </w:t>
            </w:r>
            <w:r>
              <w:rPr>
                <w:rFonts w:ascii="Times New Roman"/>
                <w:spacing w:val="-7"/>
                <w:sz w:val="18"/>
              </w:rPr>
              <w:t>SYA</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302"/>
              <w:jc w:val="left"/>
              <w:rPr>
                <w:rFonts w:ascii="Times New Roman" w:hAnsi="Times New Roman" w:cs="Times New Roman" w:eastAsia="Times New Roman" w:hint="default"/>
                <w:sz w:val="18"/>
                <w:szCs w:val="18"/>
              </w:rPr>
            </w:pPr>
            <w:r>
              <w:rPr>
                <w:rFonts w:ascii="Times New Roman"/>
                <w:sz w:val="18"/>
              </w:rPr>
              <w:t>BGI</w:t>
            </w:r>
            <w:r>
              <w:rPr>
                <w:rFonts w:ascii="Times New Roman"/>
                <w:spacing w:val="-13"/>
                <w:sz w:val="18"/>
              </w:rPr>
              <w:t> </w:t>
            </w:r>
            <w:r>
              <w:rPr>
                <w:rFonts w:ascii="Times New Roman"/>
                <w:sz w:val="18"/>
              </w:rPr>
              <w:t>Americas</w:t>
            </w:r>
            <w:r>
              <w:rPr>
                <w:rFonts w:ascii="Times New Roman"/>
                <w:w w:val="99"/>
                <w:sz w:val="18"/>
              </w:rPr>
              <w:t> </w:t>
            </w:r>
            <w:r>
              <w:rPr>
                <w:rFonts w:ascii="Times New Roman"/>
                <w:sz w:val="18"/>
              </w:rPr>
              <w:t>Corporation</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北京六合华大基 因科技有限公司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华大青兰生物科 技（无锡）有限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57" w:lineRule="auto" w:before="51"/>
        <w:ind w:left="513" w:right="6974" w:hanging="361"/>
        <w:jc w:val="left"/>
      </w:pPr>
      <w:r>
        <w:rPr/>
        <w:t>在子公司的持股比例不同于表决权比例的说明： 无</w:t>
      </w:r>
    </w:p>
    <w:p>
      <w:pPr>
        <w:pStyle w:val="BodyText"/>
        <w:spacing w:line="360" w:lineRule="auto" w:before="29"/>
        <w:ind w:left="513" w:right="1123" w:hanging="361"/>
        <w:jc w:val="left"/>
      </w:pPr>
      <w:r>
        <w:rPr/>
        <w:t>持有半数或以下表决权但仍控制被投资单位、以及持有半数以上表决权但不控制被投资单位的依据： 公司于</w:t>
      </w:r>
      <w:r>
        <w:rPr>
          <w:rFonts w:ascii="宋体" w:hAnsi="宋体" w:cs="宋体" w:eastAsia="宋体" w:hint="default"/>
        </w:rPr>
        <w:t>2018</w:t>
      </w:r>
      <w:r>
        <w:rPr/>
        <w:t>年</w:t>
      </w:r>
      <w:r>
        <w:rPr>
          <w:rFonts w:ascii="宋体" w:hAnsi="宋体" w:cs="宋体" w:eastAsia="宋体" w:hint="default"/>
        </w:rPr>
        <w:t>4</w:t>
      </w:r>
      <w:r>
        <w:rPr/>
        <w:t>月与湖南湘江新区发展集团有限公司共同签订《关于设立长沙梅溪湖华大医学检验所有限公司的出资协</w:t>
      </w:r>
    </w:p>
    <w:p>
      <w:pPr>
        <w:pStyle w:val="BodyText"/>
        <w:spacing w:line="222" w:lineRule="exact"/>
        <w:ind w:right="986"/>
        <w:jc w:val="left"/>
      </w:pPr>
      <w:r>
        <w:rPr/>
        <w:t>议》，约定以人民币</w:t>
      </w:r>
      <w:r>
        <w:rPr>
          <w:rFonts w:ascii="宋体" w:hAnsi="宋体" w:cs="宋体" w:eastAsia="宋体" w:hint="default"/>
        </w:rPr>
        <w:t>7,650,000.00</w:t>
      </w:r>
      <w:r>
        <w:rPr/>
        <w:t>元出资，持股比例为</w:t>
      </w:r>
      <w:r>
        <w:rPr>
          <w:rFonts w:ascii="宋体" w:hAnsi="宋体" w:cs="宋体" w:eastAsia="宋体" w:hint="default"/>
        </w:rPr>
        <w:t>51%</w:t>
      </w:r>
      <w:r>
        <w:rPr/>
        <w:t>。根据出资协议和公司章程，公司的重大事项需要经代表超过三</w:t>
      </w:r>
    </w:p>
    <w:p>
      <w:pPr>
        <w:pStyle w:val="BodyText"/>
        <w:spacing w:line="316" w:lineRule="auto" w:before="76"/>
        <w:ind w:right="986"/>
        <w:jc w:val="left"/>
      </w:pPr>
      <w:r>
        <w:rPr>
          <w:spacing w:val="-2"/>
        </w:rPr>
        <w:t>分之二的表决权的股东通过方可做出决议，因此于本年其并未纳入公司合并范围，而将其作为用权益法进行后续计量的长期</w:t>
      </w:r>
      <w:r>
        <w:rPr>
          <w:spacing w:val="-64"/>
        </w:rPr>
        <w:t> </w:t>
      </w:r>
      <w:r>
        <w:rPr>
          <w:spacing w:val="-64"/>
        </w:rPr>
      </w:r>
      <w:r>
        <w:rPr/>
        <w:t>股权投资进行核算。</w:t>
      </w:r>
    </w:p>
    <w:p>
      <w:pPr>
        <w:pStyle w:val="BodyText"/>
        <w:spacing w:line="357" w:lineRule="auto" w:before="59"/>
        <w:ind w:left="513" w:right="6434" w:hanging="361"/>
        <w:jc w:val="left"/>
      </w:pPr>
      <w:r>
        <w:rPr/>
        <w:t>对于纳入合并范围的重要的结构化主体，控制的依据： 无</w:t>
      </w:r>
    </w:p>
    <w:p>
      <w:pPr>
        <w:pStyle w:val="BodyText"/>
        <w:spacing w:line="357" w:lineRule="auto" w:before="29"/>
        <w:ind w:left="513" w:right="7694" w:hanging="361"/>
        <w:jc w:val="left"/>
      </w:pPr>
      <w:r>
        <w:rPr/>
        <w:t>确定公司是代理人还是委托人的依据： 无</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6"/>
        <w:gridCol w:w="1916"/>
        <w:gridCol w:w="1913"/>
        <w:gridCol w:w="1913"/>
        <w:gridCol w:w="1913"/>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北京华大吉比爱生物技 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21,346,630.54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23,238,164.94</w:t>
            </w:r>
          </w:p>
        </w:tc>
      </w:tr>
    </w:tbl>
    <w:p>
      <w:pPr>
        <w:pStyle w:val="BodyText"/>
        <w:spacing w:line="357" w:lineRule="auto" w:before="51"/>
        <w:ind w:left="513" w:right="6434" w:hanging="361"/>
        <w:jc w:val="left"/>
      </w:pPr>
      <w:r>
        <w:rPr/>
        <w:t>子公司少数股东的持股比例不同于表决权比例的说明： 无</w:t>
      </w:r>
    </w:p>
    <w:p>
      <w:pPr>
        <w:spacing w:after="0" w:line="357" w:lineRule="auto"/>
        <w:jc w:val="left"/>
        <w:sectPr>
          <w:pgSz w:w="11910" w:h="16840"/>
          <w:pgMar w:header="0" w:footer="974" w:top="1100" w:bottom="1160" w:left="980" w:right="0"/>
        </w:sectPr>
      </w:pPr>
    </w:p>
    <w:p>
      <w:pPr>
        <w:spacing w:line="240" w:lineRule="auto" w:before="0"/>
        <w:rPr>
          <w:rFonts w:ascii="宋体" w:hAnsi="宋体" w:cs="宋体" w:eastAsia="宋体" w:hint="default"/>
          <w:sz w:val="24"/>
          <w:szCs w:val="24"/>
        </w:rPr>
      </w:pPr>
    </w:p>
    <w:p>
      <w:pPr>
        <w:pStyle w:val="Heading3"/>
        <w:spacing w:line="240" w:lineRule="auto"/>
        <w:ind w:left="140" w:right="0"/>
        <w:jc w:val="left"/>
        <w:rPr>
          <w:b w:val="0"/>
          <w:bCs w:val="0"/>
        </w:rPr>
      </w:pPr>
      <w:r>
        <w:rPr/>
        <w:pict>
          <v:group style="position:absolute;margin-left:70.559998pt;margin-top:-.476309pt;width:700.95pt;height:.1pt;mso-position-horizontal-relative:page;mso-position-vertical-relative:paragraph;z-index:2704" coordorigin="1411,-10" coordsize="14019,2">
            <v:shape style="position:absolute;left:1411;top:-10;width:14019;height:2" coordorigin="1411,-10" coordsize="14019,0" path="m1411,-10l15430,-10e" filled="false" stroked="true" strokeweight=".72pt" strokecolor="#000000">
              <v:path arrowok="t"/>
            </v:shape>
            <w10:wrap type="none"/>
          </v:group>
        </w:pict>
      </w:r>
      <w:r>
        <w:rPr>
          <w:spacing w:val="-1"/>
        </w:rPr>
        <w:t>（</w:t>
      </w:r>
      <w:r>
        <w:rPr>
          <w:rFonts w:ascii="Times New Roman" w:hAnsi="Times New Roman" w:cs="Times New Roman" w:eastAsia="Times New Roman" w:hint="default"/>
          <w:spacing w:val="-1"/>
        </w:rPr>
        <w:t>3</w:t>
      </w:r>
      <w:r>
        <w:rPr>
          <w:spacing w:val="-1"/>
        </w:rPr>
        <w:t>）重要非全资子公司的主要财务信息</w:t>
      </w:r>
      <w:r>
        <w:rPr>
          <w:b w:val="0"/>
          <w:bCs w:val="0"/>
          <w:spacing w:val="-1"/>
        </w:rPr>
      </w:r>
    </w:p>
    <w:p>
      <w:pPr>
        <w:pStyle w:val="BodyText"/>
        <w:spacing w:line="240" w:lineRule="auto" w:before="17"/>
        <w:ind w:left="140" w:right="0"/>
        <w:jc w:val="left"/>
      </w:pPr>
      <w:r>
        <w:rPr/>
        <w:br w:type="column"/>
      </w:r>
      <w:r>
        <w:rPr/>
        <w:t>深圳华大基因股份有限公司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p>
      <w:pPr>
        <w:spacing w:after="0" w:line="240" w:lineRule="auto"/>
        <w:jc w:val="left"/>
        <w:sectPr>
          <w:headerReference w:type="default" r:id="rId56"/>
          <w:footerReference w:type="default" r:id="rId57"/>
          <w:pgSz w:w="16840" w:h="11910" w:orient="landscape"/>
          <w:pgMar w:header="0" w:footer="0" w:top="800" w:bottom="0" w:left="1300" w:right="1300"/>
          <w:cols w:num="2" w:equalWidth="0">
            <w:col w:w="3832" w:space="6257"/>
            <w:col w:w="4151"/>
          </w:cols>
        </w:sectPr>
      </w:pPr>
    </w:p>
    <w:p>
      <w:pPr>
        <w:spacing w:line="240" w:lineRule="auto" w:before="1"/>
        <w:rPr>
          <w:rFonts w:ascii="宋体" w:hAnsi="宋体" w:cs="宋体" w:eastAsia="宋体" w:hint="default"/>
          <w:sz w:val="23"/>
          <w:szCs w:val="23"/>
        </w:rPr>
      </w:pPr>
    </w:p>
    <w:p>
      <w:pPr>
        <w:pStyle w:val="BodyText"/>
        <w:spacing w:line="240" w:lineRule="auto" w:before="44"/>
        <w:ind w:left="0" w:right="135"/>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1251"/>
        <w:gridCol w:w="1181"/>
        <w:gridCol w:w="1093"/>
        <w:gridCol w:w="1181"/>
        <w:gridCol w:w="1174"/>
        <w:gridCol w:w="528"/>
        <w:gridCol w:w="1354"/>
        <w:gridCol w:w="1181"/>
        <w:gridCol w:w="1090"/>
        <w:gridCol w:w="1181"/>
        <w:gridCol w:w="1092"/>
        <w:gridCol w:w="526"/>
        <w:gridCol w:w="1092"/>
      </w:tblGrid>
      <w:tr>
        <w:trPr>
          <w:trHeight w:val="401" w:hRule="exact"/>
        </w:trPr>
        <w:tc>
          <w:tcPr>
            <w:tcW w:w="12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51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16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7" w:hRule="exact"/>
        </w:trPr>
        <w:tc>
          <w:tcPr>
            <w:tcW w:w="1251"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9"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4"/>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1025" w:hRule="exact"/>
        </w:trPr>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1" w:right="137"/>
              <w:jc w:val="both"/>
              <w:rPr>
                <w:rFonts w:ascii="宋体" w:hAnsi="宋体" w:cs="宋体" w:eastAsia="宋体" w:hint="default"/>
                <w:sz w:val="18"/>
                <w:szCs w:val="18"/>
              </w:rPr>
            </w:pPr>
            <w:r>
              <w:rPr>
                <w:rFonts w:ascii="宋体" w:hAnsi="宋体" w:cs="宋体" w:eastAsia="宋体" w:hint="default"/>
                <w:sz w:val="18"/>
                <w:szCs w:val="18"/>
              </w:rPr>
              <w:t>北京华大吉比 爱生物技术有 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239,990,771.26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52,541,632.95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292,532,404.21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137,611,304.62</w:t>
            </w:r>
          </w:p>
        </w:tc>
        <w:tc>
          <w:tcPr>
            <w:tcW w:w="528"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137,611,304.62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134,665,280.25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38,098,241.01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172,763,521.26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79,052,093.99</w:t>
            </w:r>
          </w:p>
        </w:tc>
        <w:tc>
          <w:tcPr>
            <w:tcW w:w="52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79,052,093.99</w:t>
            </w:r>
          </w:p>
        </w:tc>
      </w:tr>
    </w:tbl>
    <w:p>
      <w:pPr>
        <w:pStyle w:val="BodyText"/>
        <w:spacing w:line="240" w:lineRule="auto" w:before="51"/>
        <w:ind w:left="0" w:right="135"/>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2715"/>
        <w:gridCol w:w="1251"/>
        <w:gridCol w:w="1253"/>
        <w:gridCol w:w="1253"/>
        <w:gridCol w:w="1251"/>
        <w:gridCol w:w="1550"/>
        <w:gridCol w:w="1551"/>
        <w:gridCol w:w="1548"/>
        <w:gridCol w:w="1551"/>
      </w:tblGrid>
      <w:tr>
        <w:trPr>
          <w:trHeight w:val="401" w:hRule="exact"/>
        </w:trPr>
        <w:tc>
          <w:tcPr>
            <w:tcW w:w="27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0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0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715" w:type="dxa"/>
            <w:vMerge/>
            <w:tcBorders>
              <w:left w:val="single" w:sz="4" w:space="0" w:color="000000"/>
              <w:bottom w:val="single" w:sz="4" w:space="0" w:color="000000"/>
              <w:right w:val="single" w:sz="4" w:space="0" w:color="000000"/>
            </w:tcBorders>
            <w:shd w:val="clear" w:color="auto" w:fill="D2D2D2"/>
          </w:tcPr>
          <w:p>
            <w:pP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综合收益总额</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9" w:right="81" w:hanging="361"/>
              <w:jc w:val="left"/>
              <w:rPr>
                <w:rFonts w:ascii="宋体" w:hAnsi="宋体" w:cs="宋体" w:eastAsia="宋体" w:hint="default"/>
                <w:sz w:val="18"/>
                <w:szCs w:val="18"/>
              </w:rPr>
            </w:pPr>
            <w:r>
              <w:rPr>
                <w:rFonts w:ascii="宋体" w:hAnsi="宋体" w:cs="宋体" w:eastAsia="宋体" w:hint="default"/>
                <w:sz w:val="18"/>
                <w:szCs w:val="18"/>
              </w:rPr>
              <w:t>经营活动现金 流量</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713"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61"/>
              <w:jc w:val="left"/>
              <w:rPr>
                <w:rFonts w:ascii="宋体" w:hAnsi="宋体" w:cs="宋体" w:eastAsia="宋体" w:hint="default"/>
                <w:sz w:val="18"/>
                <w:szCs w:val="18"/>
              </w:rPr>
            </w:pPr>
            <w:r>
              <w:rPr>
                <w:rFonts w:ascii="宋体" w:hAnsi="宋体" w:cs="宋体" w:eastAsia="宋体" w:hint="default"/>
                <w:sz w:val="18"/>
                <w:szCs w:val="18"/>
              </w:rPr>
              <w:t>北京华大吉比爱生物技术有限公 司</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257,583,067.57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60,577,440.80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61,209,672.32</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64,538,653.87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180,680,401.41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36,631,780.59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36,631,780.59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13,851,969.13</w:t>
            </w:r>
          </w:p>
        </w:tc>
      </w:tr>
    </w:tbl>
    <w:p>
      <w:pPr>
        <w:spacing w:line="240" w:lineRule="auto" w:before="3"/>
        <w:rPr>
          <w:rFonts w:ascii="宋体" w:hAnsi="宋体" w:cs="宋体" w:eastAsia="宋体" w:hint="default"/>
          <w:sz w:val="19"/>
          <w:szCs w:val="19"/>
        </w:rPr>
      </w:pPr>
    </w:p>
    <w:p>
      <w:pPr>
        <w:pStyle w:val="Heading3"/>
        <w:spacing w:line="240" w:lineRule="auto" w:before="36"/>
        <w:ind w:left="140"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00"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left="140"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00" w:right="0"/>
        <w:jc w:val="left"/>
      </w:pP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0" w:right="133"/>
        <w:jc w:val="right"/>
        <w:rPr>
          <w:rFonts w:ascii="Times New Roman" w:hAnsi="Times New Roman" w:cs="Times New Roman" w:eastAsia="Times New Roman" w:hint="default"/>
        </w:rPr>
      </w:pPr>
      <w:r>
        <w:rPr>
          <w:rFonts w:ascii="Times New Roman"/>
        </w:rPr>
        <w:t>247</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5" name="image1.jpeg" descr=""/>
            <wp:cNvGraphicFramePr>
              <a:graphicFrameLocks noChangeAspect="1"/>
            </wp:cNvGraphicFramePr>
            <a:graphic>
              <a:graphicData uri="http://schemas.openxmlformats.org/drawingml/2006/picture">
                <pic:pic>
                  <pic:nvPicPr>
                    <pic:cNvPr id="16" name="image1.jpeg"/>
                    <pic:cNvPicPr/>
                  </pic:nvPicPr>
                  <pic:blipFill>
                    <a:blip r:embed="rId26"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30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15" w:firstLine="324"/>
        <w:jc w:val="left"/>
      </w:pPr>
      <w:r>
        <w:rPr/>
        <w:t>根据公司全资子公司华大生物科技（武汉）有限公司于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日召开的股东会会议审议通过以人民币</w:t>
      </w:r>
      <w:r>
        <w:rPr>
          <w:rFonts w:ascii="Times New Roman" w:hAnsi="Times New Roman" w:cs="Times New Roman" w:eastAsia="Times New Roman" w:hint="default"/>
        </w:rPr>
        <w:t>20,000</w:t>
      </w:r>
      <w:r>
        <w:rPr/>
        <w:t>万元</w:t>
      </w:r>
      <w:r>
        <w:rPr>
          <w:spacing w:val="-3"/>
        </w:rPr>
        <w:t> </w:t>
      </w:r>
      <w:r>
        <w:rPr/>
        <w:t>向自然人方健秋收购北京吉比爱</w:t>
      </w:r>
      <w:r>
        <w:rPr>
          <w:rFonts w:ascii="Times New Roman" w:hAnsi="Times New Roman" w:cs="Times New Roman" w:eastAsia="Times New Roman" w:hint="default"/>
        </w:rPr>
        <w:t>25%</w:t>
      </w:r>
      <w:r>
        <w:rPr/>
        <w:t>的少数股权。双方于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日签订股权转让协议并进行了交割。</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D0CECE"/>
          </w:tcPr>
          <w:p>
            <w:pP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35,856,569.53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164,143,430.47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-164,143,430.47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60" w:lineRule="auto" w:before="51"/>
        <w:ind w:left="513" w:right="5894" w:hanging="361"/>
        <w:jc w:val="left"/>
      </w:pPr>
      <w:r>
        <w:rPr/>
        <w:t>在合营企业或联营企业的持股比例不同于表决权比例的说明： 无</w:t>
      </w:r>
    </w:p>
    <w:p>
      <w:pPr>
        <w:pStyle w:val="BodyText"/>
        <w:spacing w:line="338" w:lineRule="auto" w:before="27"/>
        <w:ind w:left="513" w:right="3348" w:hanging="361"/>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 无</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8"/>
          <w:pgSz w:w="11910" w:h="16840"/>
          <w:pgMar w:footer="974" w:header="0" w:top="1100" w:bottom="1160" w:left="980" w:right="0"/>
          <w:pgNumType w:start="248"/>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10,387,824.51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-348,530.25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-348,530.25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17,249,800.73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11,357,993.68</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-2,212,406.46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-2,311,774.45</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16,932.49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-26,261.68</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-2,195,473.97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-2,338,036.13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235"/>
        <w:gridCol w:w="2410"/>
        <w:gridCol w:w="2530"/>
        <w:gridCol w:w="2393"/>
      </w:tblGrid>
      <w:tr>
        <w:trPr>
          <w:trHeight w:val="715"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累积未确认前期累计认的损失</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0" w:right="89" w:hanging="632"/>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同并相联</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25" w:right="0"/>
              <w:jc w:val="left"/>
              <w:rPr>
                <w:rFonts w:ascii="Times New Roman" w:hAnsi="Times New Roman" w:cs="Times New Roman" w:eastAsia="Times New Roman" w:hint="default"/>
                <w:sz w:val="18"/>
                <w:szCs w:val="18"/>
              </w:rPr>
            </w:pPr>
            <w:r>
              <w:rPr>
                <w:rFonts w:ascii="Times New Roman"/>
                <w:sz w:val="18"/>
              </w:rPr>
              <w:t>-191,751.49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90" w:right="0"/>
              <w:jc w:val="left"/>
              <w:rPr>
                <w:rFonts w:ascii="Times New Roman" w:hAnsi="Times New Roman" w:cs="Times New Roman" w:eastAsia="Times New Roman" w:hint="default"/>
                <w:sz w:val="18"/>
                <w:szCs w:val="18"/>
              </w:rPr>
            </w:pPr>
            <w:r>
              <w:rPr>
                <w:rFonts w:ascii="Times New Roman"/>
                <w:sz w:val="18"/>
              </w:rPr>
              <w:t>-191,751.49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4" w:right="9851"/>
        <w:jc w:val="center"/>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4" w:right="9851"/>
        <w:jc w:val="center"/>
      </w:pPr>
      <w:r>
        <w:rPr/>
        <w:t>无</w:t>
      </w:r>
    </w:p>
    <w:p>
      <w:pPr>
        <w:spacing w:line="240" w:lineRule="auto" w:before="0"/>
        <w:rPr>
          <w:rFonts w:ascii="宋体" w:hAnsi="宋体" w:cs="宋体" w:eastAsia="宋体" w:hint="default"/>
          <w:sz w:val="18"/>
          <w:szCs w:val="18"/>
        </w:rPr>
      </w:pPr>
    </w:p>
    <w:p>
      <w:pPr>
        <w:pStyle w:val="Heading3"/>
        <w:spacing w:line="240" w:lineRule="auto" w:before="118"/>
        <w:ind w:left="134" w:right="10013"/>
        <w:jc w:val="center"/>
        <w:rPr>
          <w:b w:val="0"/>
          <w:bCs w:val="0"/>
        </w:rPr>
      </w:pP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4" w:right="9851"/>
        <w:jc w:val="center"/>
      </w:pPr>
      <w:r>
        <w:rPr/>
        <w:t>无</w:t>
      </w:r>
    </w:p>
    <w:p>
      <w:pPr>
        <w:spacing w:after="0" w:line="240" w:lineRule="auto"/>
        <w:jc w:val="center"/>
        <w:sectPr>
          <w:pgSz w:w="11910" w:h="16840"/>
          <w:pgMar w:header="0" w:footer="974" w:top="1100" w:bottom="1160" w:left="980" w:right="0"/>
        </w:sectPr>
      </w:pPr>
    </w:p>
    <w:p>
      <w:pPr>
        <w:spacing w:line="240" w:lineRule="auto" w:before="12"/>
        <w:rPr>
          <w:rFonts w:ascii="宋体" w:hAnsi="宋体" w:cs="宋体" w:eastAsia="宋体" w:hint="default"/>
          <w:sz w:val="19"/>
          <w:szCs w:val="19"/>
        </w:rPr>
      </w:pPr>
    </w:p>
    <w:p>
      <w:pPr>
        <w:pStyle w:val="Heading2"/>
        <w:spacing w:line="240" w:lineRule="auto" w:before="26"/>
        <w:ind w:right="1133"/>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Heading5"/>
        <w:spacing w:line="240" w:lineRule="auto" w:before="0"/>
        <w:ind w:left="152" w:right="1133"/>
        <w:jc w:val="left"/>
        <w:rPr>
          <w:b w:val="0"/>
          <w:bCs w:val="0"/>
        </w:rPr>
      </w:pPr>
      <w:r>
        <w:rPr/>
        <w:t>金融工具分类</w:t>
      </w:r>
      <w:r>
        <w:rPr>
          <w:b w:val="0"/>
          <w:bCs w:val="0"/>
        </w:rPr>
      </w:r>
    </w:p>
    <w:p>
      <w:pPr>
        <w:pStyle w:val="BodyText"/>
        <w:spacing w:line="240" w:lineRule="auto" w:before="115"/>
        <w:ind w:left="513" w:right="1133"/>
        <w:jc w:val="left"/>
      </w:pPr>
      <w:r>
        <w:rPr/>
        <w:t>资产负债表日的各类金融工具的账面价值如下：</w:t>
      </w:r>
    </w:p>
    <w:p>
      <w:pPr>
        <w:pStyle w:val="BodyText"/>
        <w:spacing w:line="240" w:lineRule="auto" w:before="117"/>
        <w:ind w:left="513" w:right="1133"/>
        <w:jc w:val="left"/>
      </w:pPr>
      <w:r>
        <w:rPr>
          <w:rFonts w:ascii="Times New Roman" w:hAnsi="Times New Roman" w:cs="Times New Roman" w:eastAsia="Times New Roman" w:hint="default"/>
        </w:rPr>
        <w:t>2018</w:t>
      </w:r>
      <w:r>
        <w:rPr/>
        <w:t>年</w:t>
      </w:r>
    </w:p>
    <w:p>
      <w:pPr>
        <w:pStyle w:val="BodyText"/>
        <w:spacing w:line="240" w:lineRule="auto" w:before="103"/>
        <w:ind w:left="513" w:right="1133"/>
        <w:jc w:val="left"/>
      </w:pPr>
      <w:r>
        <w:rPr/>
        <w:t>金融资产</w:t>
      </w:r>
    </w:p>
    <w:p>
      <w:pPr>
        <w:spacing w:line="240" w:lineRule="auto" w:before="13"/>
        <w:rPr>
          <w:rFonts w:ascii="宋体" w:hAnsi="宋体" w:cs="宋体" w:eastAsia="宋体" w:hint="default"/>
          <w:sz w:val="7"/>
          <w:szCs w:val="7"/>
        </w:rPr>
      </w:pPr>
    </w:p>
    <w:tbl>
      <w:tblPr>
        <w:tblW w:w="0" w:type="auto"/>
        <w:jc w:val="left"/>
        <w:tblInd w:w="609" w:type="dxa"/>
        <w:tblLayout w:type="fixed"/>
        <w:tblCellMar>
          <w:top w:w="0" w:type="dxa"/>
          <w:left w:w="0" w:type="dxa"/>
          <w:bottom w:w="0" w:type="dxa"/>
          <w:right w:w="0" w:type="dxa"/>
        </w:tblCellMar>
        <w:tblLook w:val="01E0"/>
      </w:tblPr>
      <w:tblGrid>
        <w:gridCol w:w="2107"/>
        <w:gridCol w:w="1985"/>
        <w:gridCol w:w="1985"/>
        <w:gridCol w:w="1983"/>
      </w:tblGrid>
      <w:tr>
        <w:trPr>
          <w:trHeight w:val="427" w:hRule="exact"/>
        </w:trPr>
        <w:tc>
          <w:tcPr>
            <w:tcW w:w="2107"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53"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7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8"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1,070,060,809.23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1,070,060,809.23</w:t>
            </w:r>
          </w:p>
        </w:tc>
      </w:tr>
      <w:tr>
        <w:trPr>
          <w:trHeight w:val="427" w:hRule="exact"/>
        </w:trPr>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应收账款及应收票据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1,264,653,657.63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1,264,653,657.63</w:t>
            </w:r>
          </w:p>
        </w:tc>
      </w:tr>
      <w:tr>
        <w:trPr>
          <w:trHeight w:val="428" w:hRule="exact"/>
        </w:trPr>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32,004,604.56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32,004,604.56</w:t>
            </w:r>
          </w:p>
        </w:tc>
      </w:tr>
      <w:tr>
        <w:trPr>
          <w:trHeight w:val="427" w:hRule="exact"/>
        </w:trPr>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250,978,298.59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250,978,298.59</w:t>
            </w:r>
          </w:p>
        </w:tc>
      </w:tr>
      <w:tr>
        <w:trPr>
          <w:trHeight w:val="427" w:hRule="exact"/>
        </w:trPr>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1,946,750.96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1,946,750.96</w:t>
            </w:r>
          </w:p>
        </w:tc>
      </w:tr>
      <w:tr>
        <w:trPr>
          <w:trHeight w:val="427" w:hRule="exact"/>
        </w:trPr>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466,281,788.79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466,281,788.79</w:t>
            </w:r>
          </w:p>
        </w:tc>
      </w:tr>
      <w:tr>
        <w:trPr>
          <w:trHeight w:val="427" w:hRule="exact"/>
        </w:trPr>
        <w:tc>
          <w:tcPr>
            <w:tcW w:w="2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2,834,947,611.17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250,978,298.59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3,085,925,909.76</w:t>
            </w:r>
          </w:p>
        </w:tc>
      </w:tr>
    </w:tbl>
    <w:p>
      <w:pPr>
        <w:spacing w:line="240" w:lineRule="auto" w:before="4"/>
        <w:rPr>
          <w:rFonts w:ascii="宋体" w:hAnsi="宋体" w:cs="宋体" w:eastAsia="宋体" w:hint="default"/>
          <w:sz w:val="27"/>
          <w:szCs w:val="27"/>
        </w:rPr>
      </w:pPr>
    </w:p>
    <w:p>
      <w:pPr>
        <w:pStyle w:val="BodyText"/>
        <w:spacing w:line="240" w:lineRule="auto" w:before="44"/>
        <w:ind w:left="513" w:right="1133"/>
        <w:jc w:val="left"/>
      </w:pPr>
      <w:r>
        <w:rPr/>
        <w:t>金融负债</w:t>
      </w:r>
    </w:p>
    <w:p>
      <w:pPr>
        <w:spacing w:line="240" w:lineRule="auto" w:before="2"/>
        <w:rPr>
          <w:rFonts w:ascii="宋体" w:hAnsi="宋体" w:cs="宋体" w:eastAsia="宋体" w:hint="default"/>
          <w:sz w:val="8"/>
          <w:szCs w:val="8"/>
        </w:rPr>
      </w:pPr>
    </w:p>
    <w:tbl>
      <w:tblPr>
        <w:tblW w:w="0" w:type="auto"/>
        <w:jc w:val="left"/>
        <w:tblInd w:w="609" w:type="dxa"/>
        <w:tblLayout w:type="fixed"/>
        <w:tblCellMar>
          <w:top w:w="0" w:type="dxa"/>
          <w:left w:w="0" w:type="dxa"/>
          <w:bottom w:w="0" w:type="dxa"/>
          <w:right w:w="0" w:type="dxa"/>
        </w:tblCellMar>
        <w:tblLook w:val="01E0"/>
      </w:tblPr>
      <w:tblGrid>
        <w:gridCol w:w="3524"/>
        <w:gridCol w:w="2410"/>
        <w:gridCol w:w="2127"/>
      </w:tblGrid>
      <w:tr>
        <w:trPr>
          <w:trHeight w:val="427" w:hRule="exact"/>
        </w:trPr>
        <w:tc>
          <w:tcPr>
            <w:tcW w:w="3524"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57"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8" w:hRule="exact"/>
        </w:trPr>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139,034,161.03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139,034,161.03</w:t>
            </w:r>
          </w:p>
        </w:tc>
      </w:tr>
      <w:tr>
        <w:trPr>
          <w:trHeight w:val="427" w:hRule="exact"/>
        </w:trPr>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184,796,001.50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184,796,001.50</w:t>
            </w:r>
          </w:p>
        </w:tc>
      </w:tr>
      <w:tr>
        <w:trPr>
          <w:trHeight w:val="427" w:hRule="exact"/>
        </w:trPr>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323,830,162.53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323,830,162.53</w:t>
            </w:r>
          </w:p>
        </w:tc>
      </w:tr>
    </w:tbl>
    <w:p>
      <w:pPr>
        <w:spacing w:line="240" w:lineRule="auto" w:before="4"/>
        <w:rPr>
          <w:rFonts w:ascii="宋体" w:hAnsi="宋体" w:cs="宋体" w:eastAsia="宋体" w:hint="default"/>
          <w:sz w:val="27"/>
          <w:szCs w:val="27"/>
        </w:rPr>
      </w:pPr>
    </w:p>
    <w:p>
      <w:pPr>
        <w:pStyle w:val="BodyText"/>
        <w:spacing w:line="240" w:lineRule="auto" w:before="44"/>
        <w:ind w:left="513" w:right="1133"/>
        <w:jc w:val="left"/>
      </w:pPr>
      <w:r>
        <w:rPr>
          <w:rFonts w:ascii="Times New Roman" w:hAnsi="Times New Roman" w:cs="Times New Roman" w:eastAsia="Times New Roman" w:hint="default"/>
        </w:rPr>
        <w:t>2017</w:t>
      </w:r>
      <w:r>
        <w:rPr/>
        <w:t>年</w:t>
      </w:r>
    </w:p>
    <w:p>
      <w:pPr>
        <w:pStyle w:val="BodyText"/>
        <w:spacing w:line="240" w:lineRule="auto" w:before="103"/>
        <w:ind w:left="513" w:right="1133"/>
        <w:jc w:val="left"/>
      </w:pPr>
      <w:r>
        <w:rPr/>
        <w:t>金融资产</w:t>
      </w:r>
    </w:p>
    <w:p>
      <w:pPr>
        <w:spacing w:line="240" w:lineRule="auto" w:before="13"/>
        <w:rPr>
          <w:rFonts w:ascii="宋体" w:hAnsi="宋体" w:cs="宋体" w:eastAsia="宋体" w:hint="default"/>
          <w:sz w:val="7"/>
          <w:szCs w:val="7"/>
        </w:rPr>
      </w:pPr>
    </w:p>
    <w:tbl>
      <w:tblPr>
        <w:tblW w:w="0" w:type="auto"/>
        <w:jc w:val="left"/>
        <w:tblInd w:w="609" w:type="dxa"/>
        <w:tblLayout w:type="fixed"/>
        <w:tblCellMar>
          <w:top w:w="0" w:type="dxa"/>
          <w:left w:w="0" w:type="dxa"/>
          <w:bottom w:w="0" w:type="dxa"/>
          <w:right w:w="0" w:type="dxa"/>
        </w:tblCellMar>
        <w:tblLook w:val="01E0"/>
      </w:tblPr>
      <w:tblGrid>
        <w:gridCol w:w="2249"/>
        <w:gridCol w:w="1843"/>
        <w:gridCol w:w="1985"/>
        <w:gridCol w:w="1983"/>
      </w:tblGrid>
      <w:tr>
        <w:trPr>
          <w:trHeight w:val="427" w:hRule="exact"/>
        </w:trPr>
        <w:tc>
          <w:tcPr>
            <w:tcW w:w="2249"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83"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7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8"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946,644,902.62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946,644,902.62</w:t>
            </w:r>
          </w:p>
        </w:tc>
      </w:tr>
      <w:tr>
        <w:trPr>
          <w:trHeight w:val="428" w:hRule="exact"/>
        </w:trPr>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应收账款及应收票据</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828,106,325.75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pacing w:val="-1"/>
                <w:sz w:val="18"/>
              </w:rPr>
              <w:t>828,106,325.75</w:t>
            </w:r>
          </w:p>
        </w:tc>
      </w:tr>
      <w:tr>
        <w:trPr>
          <w:trHeight w:val="427" w:hRule="exact"/>
        </w:trPr>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14,869,394.16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14,869,394.16</w:t>
            </w:r>
          </w:p>
        </w:tc>
      </w:tr>
      <w:tr>
        <w:trPr>
          <w:trHeight w:val="427" w:hRule="exact"/>
        </w:trPr>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206,391,334.95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206,391,334.95</w:t>
            </w:r>
          </w:p>
        </w:tc>
      </w:tr>
      <w:tr>
        <w:trPr>
          <w:trHeight w:val="427" w:hRule="exact"/>
        </w:trPr>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2,240,346.27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2,240,346.27</w:t>
            </w:r>
          </w:p>
        </w:tc>
      </w:tr>
      <w:tr>
        <w:trPr>
          <w:trHeight w:val="427" w:hRule="exact"/>
        </w:trPr>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1,784,360,810.49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1,784,360,810.49</w:t>
            </w:r>
          </w:p>
        </w:tc>
      </w:tr>
      <w:tr>
        <w:trPr>
          <w:trHeight w:val="427" w:hRule="exact"/>
        </w:trPr>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3,576,221,779.29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206,391,334.95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3,782,613,114.24</w:t>
            </w:r>
          </w:p>
        </w:tc>
      </w:tr>
    </w:tbl>
    <w:p>
      <w:pPr>
        <w:spacing w:line="240" w:lineRule="auto" w:before="4"/>
        <w:rPr>
          <w:rFonts w:ascii="宋体" w:hAnsi="宋体" w:cs="宋体" w:eastAsia="宋体" w:hint="default"/>
          <w:sz w:val="27"/>
          <w:szCs w:val="27"/>
        </w:rPr>
      </w:pPr>
    </w:p>
    <w:p>
      <w:pPr>
        <w:pStyle w:val="BodyText"/>
        <w:spacing w:line="240" w:lineRule="auto" w:before="44"/>
        <w:ind w:left="513" w:right="1133"/>
        <w:jc w:val="left"/>
      </w:pPr>
      <w:r>
        <w:rPr/>
        <w:t>金融负债</w:t>
      </w:r>
    </w:p>
    <w:p>
      <w:pPr>
        <w:spacing w:line="240" w:lineRule="auto" w:before="2"/>
        <w:rPr>
          <w:rFonts w:ascii="宋体" w:hAnsi="宋体" w:cs="宋体" w:eastAsia="宋体" w:hint="default"/>
          <w:sz w:val="8"/>
          <w:szCs w:val="8"/>
        </w:rPr>
      </w:pPr>
    </w:p>
    <w:tbl>
      <w:tblPr>
        <w:tblW w:w="0" w:type="auto"/>
        <w:jc w:val="left"/>
        <w:tblInd w:w="609" w:type="dxa"/>
        <w:tblLayout w:type="fixed"/>
        <w:tblCellMar>
          <w:top w:w="0" w:type="dxa"/>
          <w:left w:w="0" w:type="dxa"/>
          <w:bottom w:w="0" w:type="dxa"/>
          <w:right w:w="0" w:type="dxa"/>
        </w:tblCellMar>
        <w:tblLook w:val="01E0"/>
      </w:tblPr>
      <w:tblGrid>
        <w:gridCol w:w="3524"/>
        <w:gridCol w:w="2410"/>
        <w:gridCol w:w="2131"/>
      </w:tblGrid>
      <w:tr>
        <w:trPr>
          <w:trHeight w:val="428" w:hRule="exact"/>
        </w:trPr>
        <w:tc>
          <w:tcPr>
            <w:tcW w:w="3524"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03"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
              <w:jc w:val="right"/>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right"/>
        <w:rPr>
          <w:rFonts w:ascii="宋体" w:hAnsi="宋体" w:cs="宋体" w:eastAsia="宋体" w:hint="default"/>
          <w:sz w:val="18"/>
          <w:szCs w:val="18"/>
        </w:rPr>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609" w:type="dxa"/>
        <w:tblLayout w:type="fixed"/>
        <w:tblCellMar>
          <w:top w:w="0" w:type="dxa"/>
          <w:left w:w="0" w:type="dxa"/>
          <w:bottom w:w="0" w:type="dxa"/>
          <w:right w:w="0" w:type="dxa"/>
        </w:tblCellMar>
        <w:tblLook w:val="01E0"/>
      </w:tblPr>
      <w:tblGrid>
        <w:gridCol w:w="3524"/>
        <w:gridCol w:w="2410"/>
        <w:gridCol w:w="2127"/>
      </w:tblGrid>
      <w:tr>
        <w:trPr>
          <w:trHeight w:val="428" w:hRule="exact"/>
        </w:trPr>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8,000,000.00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27" w:hRule="exact"/>
        </w:trPr>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119,658,078.74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119,658,078.74</w:t>
            </w:r>
          </w:p>
        </w:tc>
      </w:tr>
      <w:tr>
        <w:trPr>
          <w:trHeight w:val="427" w:hRule="exact"/>
        </w:trPr>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99,325,278.67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99,325,278.67</w:t>
            </w:r>
          </w:p>
        </w:tc>
      </w:tr>
      <w:tr>
        <w:trPr>
          <w:trHeight w:val="427" w:hRule="exact"/>
        </w:trPr>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226,983,357.41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226,983,357.41</w:t>
            </w:r>
          </w:p>
        </w:tc>
      </w:tr>
    </w:tbl>
    <w:p>
      <w:pPr>
        <w:spacing w:line="240" w:lineRule="auto" w:before="4"/>
        <w:rPr>
          <w:rFonts w:ascii="宋体" w:hAnsi="宋体" w:cs="宋体" w:eastAsia="宋体" w:hint="default"/>
          <w:sz w:val="27"/>
          <w:szCs w:val="27"/>
        </w:rPr>
      </w:pPr>
    </w:p>
    <w:p>
      <w:pPr>
        <w:pStyle w:val="Heading5"/>
        <w:spacing w:line="240" w:lineRule="auto"/>
        <w:ind w:left="134" w:right="9668"/>
        <w:jc w:val="center"/>
        <w:rPr>
          <w:b w:val="0"/>
          <w:bCs w:val="0"/>
        </w:rPr>
      </w:pPr>
      <w:r>
        <w:rPr/>
        <w:t>金融工具风险</w:t>
      </w:r>
      <w:r>
        <w:rPr>
          <w:b w:val="0"/>
          <w:bCs w:val="0"/>
        </w:rPr>
      </w:r>
    </w:p>
    <w:p>
      <w:pPr>
        <w:pStyle w:val="BodyText"/>
        <w:spacing w:line="316" w:lineRule="auto" w:before="117"/>
        <w:ind w:right="986" w:firstLine="360"/>
        <w:jc w:val="left"/>
      </w:pPr>
      <w:r>
        <w:rPr>
          <w:spacing w:val="-2"/>
        </w:rPr>
        <w:t>公司的主要金融工具，包括货币资金，银行借款等。这些金融工具的主要目的在于为公司的运营融资。公司具有多种因</w:t>
      </w:r>
      <w:r>
        <w:rPr/>
        <w:t> 经营而直接产生的其他金融资产和负债，如应收账款和应付账款等。</w:t>
      </w:r>
    </w:p>
    <w:p>
      <w:pPr>
        <w:pStyle w:val="BodyText"/>
        <w:spacing w:line="357" w:lineRule="auto" w:before="59"/>
        <w:ind w:right="1934" w:firstLine="360"/>
        <w:jc w:val="left"/>
        <w:rPr>
          <w:rFonts w:ascii="宋体" w:hAnsi="宋体" w:cs="宋体" w:eastAsia="宋体" w:hint="default"/>
        </w:rPr>
      </w:pPr>
      <w:r>
        <w:rPr/>
        <w:t>公司的金融工具导致的主要风险是信用风险、流动性风险及汇率风险。公司对此的风险管理政策概述如下。 </w:t>
      </w:r>
      <w:r>
        <w:rPr>
          <w:rFonts w:ascii="宋体" w:hAnsi="宋体" w:cs="宋体" w:eastAsia="宋体" w:hint="default"/>
          <w:b/>
          <w:bCs/>
        </w:rPr>
        <w:t>信用风险</w:t>
      </w:r>
      <w:r>
        <w:rPr>
          <w:rFonts w:ascii="宋体" w:hAnsi="宋体" w:cs="宋体" w:eastAsia="宋体" w:hint="default"/>
        </w:rPr>
      </w:r>
    </w:p>
    <w:p>
      <w:pPr>
        <w:pStyle w:val="BodyText"/>
        <w:spacing w:line="316" w:lineRule="auto" w:before="29"/>
        <w:ind w:right="1130" w:firstLine="360"/>
        <w:jc w:val="both"/>
      </w:pPr>
      <w:r>
        <w:rPr>
          <w:spacing w:val="-2"/>
        </w:rPr>
        <w:t>公司仅与经认可的、信誉良好的第三方进行交易。按照公司的政策，需对所有要求采用信用方式进行交易的客户进行信</w:t>
      </w:r>
      <w:r>
        <w:rPr/>
        <w:t> </w:t>
      </w:r>
      <w:r>
        <w:rPr>
          <w:spacing w:val="-2"/>
        </w:rPr>
        <w:t>用审核。另外，公司对应收账款余额进行持续监控，以确保公司不致面临重大坏账风险。对于未采用相关经营单位的记账本</w:t>
      </w:r>
      <w:r>
        <w:rPr>
          <w:spacing w:val="-64"/>
        </w:rPr>
        <w:t> </w:t>
      </w:r>
      <w:r>
        <w:rPr>
          <w:spacing w:val="-64"/>
        </w:rPr>
      </w:r>
      <w:r>
        <w:rPr/>
        <w:t>位币结算的交易，除非公司信用控制部门特别批准，否则公司不提供信用交易条件。</w:t>
      </w:r>
    </w:p>
    <w:p>
      <w:pPr>
        <w:pStyle w:val="BodyText"/>
        <w:spacing w:line="316" w:lineRule="auto" w:before="59"/>
        <w:ind w:right="986" w:firstLine="360"/>
        <w:jc w:val="left"/>
      </w:pPr>
      <w:r>
        <w:rPr>
          <w:spacing w:val="-2"/>
        </w:rPr>
        <w:t>公司其他金融资产包括货币资金、应收账款、其他应收款、其他流动资产等，这些金融资产的信用风险源自交易对手违</w:t>
      </w:r>
      <w:r>
        <w:rPr/>
        <w:t> 约，最大风险敞口等于这些工具的账面金额。</w:t>
      </w:r>
    </w:p>
    <w:p>
      <w:pPr>
        <w:pStyle w:val="BodyText"/>
        <w:spacing w:line="316" w:lineRule="auto" w:before="57"/>
        <w:ind w:right="986" w:firstLine="360"/>
        <w:jc w:val="left"/>
      </w:pPr>
      <w:r>
        <w:rPr>
          <w:spacing w:val="-2"/>
        </w:rPr>
        <w:t>由于公司仅与经认可的且信誉良好的第三方进行交易，所以无需担保物。信用风险集中按照客户、地理区域和行业进行</w:t>
      </w:r>
      <w:r>
        <w:rPr/>
        <w:t> 管理。公司对应收账款余额未持有任何担保物或其他信用增级。</w:t>
      </w:r>
    </w:p>
    <w:p>
      <w:pPr>
        <w:pStyle w:val="BodyText"/>
        <w:spacing w:line="300" w:lineRule="auto" w:before="59"/>
        <w:ind w:right="1118" w:firstLine="360"/>
        <w:jc w:val="left"/>
      </w:pPr>
      <w:r>
        <w:rPr>
          <w:spacing w:val="-1"/>
        </w:rPr>
        <w:t>公司因应收账款和其他应收款产生的信用风险敞口的量化数据，参见</w:t>
      </w:r>
      <w:r>
        <w:rPr>
          <w:rFonts w:ascii="Times New Roman" w:hAnsi="Times New Roman" w:cs="Times New Roman" w:eastAsia="Times New Roman" w:hint="default"/>
          <w:spacing w:val="-1"/>
        </w:rPr>
        <w:t>“</w:t>
      </w:r>
      <w:r>
        <w:rPr>
          <w:spacing w:val="-1"/>
        </w:rPr>
        <w:t>七、合并财务报表项目注释</w:t>
      </w:r>
      <w:r>
        <w:rPr>
          <w:rFonts w:ascii="Times New Roman" w:hAnsi="Times New Roman" w:cs="Times New Roman" w:eastAsia="Times New Roman" w:hint="default"/>
          <w:spacing w:val="-1"/>
        </w:rPr>
        <w:t>”</w:t>
      </w:r>
      <w:r>
        <w:rPr>
          <w:spacing w:val="-1"/>
        </w:rPr>
        <w:t>的</w:t>
      </w:r>
      <w:r>
        <w:rPr>
          <w:rFonts w:ascii="Times New Roman" w:hAnsi="Times New Roman" w:cs="Times New Roman" w:eastAsia="Times New Roman" w:hint="default"/>
          <w:spacing w:val="-1"/>
        </w:rPr>
        <w:t>“2</w:t>
      </w:r>
      <w:r>
        <w:rPr>
          <w:spacing w:val="-1"/>
        </w:rPr>
        <w:t>、应收票据及应</w:t>
      </w:r>
      <w:r>
        <w:rPr/>
        <w:t> 收账款</w:t>
      </w:r>
      <w:r>
        <w:rPr>
          <w:rFonts w:ascii="Times New Roman" w:hAnsi="Times New Roman" w:cs="Times New Roman" w:eastAsia="Times New Roman" w:hint="default"/>
        </w:rPr>
        <w:t>”</w:t>
      </w:r>
      <w:r>
        <w:rPr/>
        <w:t>和</w:t>
      </w:r>
      <w:r>
        <w:rPr>
          <w:rFonts w:ascii="Times New Roman" w:hAnsi="Times New Roman" w:cs="Times New Roman" w:eastAsia="Times New Roman" w:hint="default"/>
        </w:rPr>
        <w:t>“4</w:t>
      </w:r>
      <w:r>
        <w:rPr/>
        <w:t>、其他应收款</w:t>
      </w:r>
      <w:r>
        <w:rPr>
          <w:rFonts w:ascii="Times New Roman" w:hAnsi="Times New Roman" w:cs="Times New Roman" w:eastAsia="Times New Roman" w:hint="default"/>
        </w:rPr>
        <w:t>”</w:t>
      </w:r>
      <w:r>
        <w:rPr/>
        <w:t>中。</w:t>
      </w:r>
    </w:p>
    <w:p>
      <w:pPr>
        <w:pStyle w:val="BodyText"/>
        <w:spacing w:line="240" w:lineRule="auto" w:before="54"/>
        <w:ind w:left="513" w:right="1133"/>
        <w:jc w:val="left"/>
      </w:pPr>
      <w:r>
        <w:rPr/>
        <w:t>于</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日，认为没有发生减值的金融资产的期限分析如下：</w:t>
      </w:r>
    </w:p>
    <w:p>
      <w:pPr>
        <w:pStyle w:val="BodyText"/>
        <w:spacing w:line="240" w:lineRule="auto" w:before="101"/>
        <w:ind w:left="513" w:right="1133"/>
        <w:jc w:val="left"/>
      </w:pPr>
      <w:r>
        <w:rPr>
          <w:rFonts w:ascii="Times New Roman" w:hAnsi="Times New Roman" w:cs="Times New Roman" w:eastAsia="Times New Roman" w:hint="default"/>
        </w:rPr>
        <w:t>2018</w:t>
      </w:r>
      <w:r>
        <w:rPr/>
        <w:t>年</w:t>
      </w:r>
    </w:p>
    <w:p>
      <w:pPr>
        <w:spacing w:line="240" w:lineRule="auto" w:before="1"/>
        <w:rPr>
          <w:rFonts w:ascii="宋体" w:hAnsi="宋体" w:cs="宋体" w:eastAsia="宋体" w:hint="default"/>
          <w:sz w:val="7"/>
          <w:szCs w:val="7"/>
        </w:rPr>
      </w:pPr>
    </w:p>
    <w:tbl>
      <w:tblPr>
        <w:tblW w:w="0" w:type="auto"/>
        <w:jc w:val="left"/>
        <w:tblInd w:w="609" w:type="dxa"/>
        <w:tblLayout w:type="fixed"/>
        <w:tblCellMar>
          <w:top w:w="0" w:type="dxa"/>
          <w:left w:w="0" w:type="dxa"/>
          <w:bottom w:w="0" w:type="dxa"/>
          <w:right w:w="0" w:type="dxa"/>
        </w:tblCellMar>
        <w:tblLook w:val="01E0"/>
      </w:tblPr>
      <w:tblGrid>
        <w:gridCol w:w="1733"/>
        <w:gridCol w:w="1652"/>
        <w:gridCol w:w="1700"/>
        <w:gridCol w:w="1560"/>
        <w:gridCol w:w="1417"/>
      </w:tblGrid>
      <w:tr>
        <w:trPr>
          <w:trHeight w:val="427" w:hRule="exact"/>
        </w:trPr>
        <w:tc>
          <w:tcPr>
            <w:tcW w:w="1733" w:type="dxa"/>
            <w:vMerge w:val="restart"/>
            <w:tcBorders>
              <w:top w:val="single" w:sz="6" w:space="0" w:color="000000"/>
              <w:left w:val="single" w:sz="6" w:space="0" w:color="000000"/>
              <w:right w:val="single" w:sz="6" w:space="0" w:color="000000"/>
            </w:tcBorders>
          </w:tcPr>
          <w:p>
            <w:pPr/>
          </w:p>
        </w:tc>
        <w:tc>
          <w:tcPr>
            <w:tcW w:w="1652"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未逾期</w:t>
            </w:r>
          </w:p>
        </w:tc>
        <w:tc>
          <w:tcPr>
            <w:tcW w:w="29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逾期</w:t>
            </w:r>
          </w:p>
        </w:tc>
      </w:tr>
      <w:tr>
        <w:trPr>
          <w:trHeight w:val="427" w:hRule="exact"/>
        </w:trPr>
        <w:tc>
          <w:tcPr>
            <w:tcW w:w="1733" w:type="dxa"/>
            <w:vMerge/>
            <w:tcBorders>
              <w:left w:val="single" w:sz="6" w:space="0" w:color="000000"/>
              <w:bottom w:val="single" w:sz="6" w:space="0" w:color="000000"/>
              <w:right w:val="single" w:sz="6" w:space="0" w:color="000000"/>
            </w:tcBorders>
          </w:tcPr>
          <w:p>
            <w:pPr/>
          </w:p>
        </w:tc>
        <w:tc>
          <w:tcPr>
            <w:tcW w:w="1652" w:type="dxa"/>
            <w:vMerge/>
            <w:tcBorders>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未减值</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r>
      <w:tr>
        <w:trPr>
          <w:trHeight w:val="427"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1,070,060,809.23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1,070,060,809.23</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1,264,653,657.63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486,213,303.87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445,969,004.59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332,471,349.17</w:t>
            </w:r>
          </w:p>
        </w:tc>
      </w:tr>
      <w:tr>
        <w:trPr>
          <w:trHeight w:val="425"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250,978,298.59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250,978,298.59</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1,946,750.96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1,946,750.96</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32,004,604.56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29,158,991.85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2,471,623.46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373,989.25</w:t>
            </w:r>
          </w:p>
        </w:tc>
      </w:tr>
      <w:tr>
        <w:trPr>
          <w:trHeight w:val="427"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466,281,788.79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466,281,788.79</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3,085,925,909.76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2,304,639,943.29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pacing w:val="-1"/>
                <w:sz w:val="18"/>
              </w:rPr>
              <w:t>448,440,628.05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332,845,338.42</w:t>
            </w:r>
          </w:p>
        </w:tc>
      </w:tr>
    </w:tbl>
    <w:p>
      <w:pPr>
        <w:spacing w:line="240" w:lineRule="auto" w:before="6"/>
        <w:rPr>
          <w:rFonts w:ascii="宋体" w:hAnsi="宋体" w:cs="宋体" w:eastAsia="宋体" w:hint="default"/>
          <w:sz w:val="27"/>
          <w:szCs w:val="27"/>
        </w:rPr>
      </w:pPr>
    </w:p>
    <w:p>
      <w:pPr>
        <w:pStyle w:val="BodyText"/>
        <w:spacing w:line="240" w:lineRule="auto" w:before="44"/>
        <w:ind w:left="513" w:right="1133"/>
        <w:jc w:val="left"/>
      </w:pPr>
      <w:r>
        <w:rPr>
          <w:rFonts w:ascii="Times New Roman" w:hAnsi="Times New Roman" w:cs="Times New Roman" w:eastAsia="Times New Roman" w:hint="default"/>
        </w:rPr>
        <w:t>2017</w:t>
      </w:r>
      <w:r>
        <w:rPr/>
        <w:t>年</w:t>
      </w:r>
    </w:p>
    <w:p>
      <w:pPr>
        <w:spacing w:line="240" w:lineRule="auto" w:before="12"/>
        <w:rPr>
          <w:rFonts w:ascii="宋体" w:hAnsi="宋体" w:cs="宋体" w:eastAsia="宋体" w:hint="default"/>
          <w:sz w:val="6"/>
          <w:szCs w:val="6"/>
        </w:rPr>
      </w:pPr>
    </w:p>
    <w:tbl>
      <w:tblPr>
        <w:tblW w:w="0" w:type="auto"/>
        <w:jc w:val="left"/>
        <w:tblInd w:w="609" w:type="dxa"/>
        <w:tblLayout w:type="fixed"/>
        <w:tblCellMar>
          <w:top w:w="0" w:type="dxa"/>
          <w:left w:w="0" w:type="dxa"/>
          <w:bottom w:w="0" w:type="dxa"/>
          <w:right w:w="0" w:type="dxa"/>
        </w:tblCellMar>
        <w:tblLook w:val="01E0"/>
      </w:tblPr>
      <w:tblGrid>
        <w:gridCol w:w="1733"/>
        <w:gridCol w:w="1652"/>
        <w:gridCol w:w="1700"/>
        <w:gridCol w:w="1560"/>
        <w:gridCol w:w="1417"/>
      </w:tblGrid>
      <w:tr>
        <w:trPr>
          <w:trHeight w:val="427" w:hRule="exact"/>
        </w:trPr>
        <w:tc>
          <w:tcPr>
            <w:tcW w:w="1733" w:type="dxa"/>
            <w:vMerge w:val="restart"/>
            <w:tcBorders>
              <w:top w:val="single" w:sz="6" w:space="0" w:color="000000"/>
              <w:left w:val="single" w:sz="6" w:space="0" w:color="000000"/>
              <w:right w:val="single" w:sz="6" w:space="0" w:color="000000"/>
            </w:tcBorders>
          </w:tcPr>
          <w:p>
            <w:pPr/>
          </w:p>
        </w:tc>
        <w:tc>
          <w:tcPr>
            <w:tcW w:w="165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71"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29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逾期</w:t>
            </w:r>
          </w:p>
        </w:tc>
      </w:tr>
      <w:tr>
        <w:trPr>
          <w:trHeight w:val="427" w:hRule="exact"/>
        </w:trPr>
        <w:tc>
          <w:tcPr>
            <w:tcW w:w="1733" w:type="dxa"/>
            <w:vMerge/>
            <w:tcBorders>
              <w:left w:val="single" w:sz="6" w:space="0" w:color="000000"/>
              <w:bottom w:val="single" w:sz="6" w:space="0" w:color="000000"/>
              <w:right w:val="single" w:sz="6" w:space="0" w:color="000000"/>
            </w:tcBorders>
          </w:tcPr>
          <w:p>
            <w:pPr/>
          </w:p>
        </w:tc>
        <w:tc>
          <w:tcPr>
            <w:tcW w:w="1652" w:type="dxa"/>
            <w:vMerge/>
            <w:tcBorders>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71" w:right="0"/>
              <w:jc w:val="left"/>
              <w:rPr>
                <w:rFonts w:ascii="宋体" w:hAnsi="宋体" w:cs="宋体" w:eastAsia="宋体" w:hint="default"/>
                <w:sz w:val="18"/>
                <w:szCs w:val="18"/>
              </w:rPr>
            </w:pPr>
            <w:r>
              <w:rPr>
                <w:rFonts w:ascii="宋体" w:hAnsi="宋体" w:cs="宋体" w:eastAsia="宋体" w:hint="default"/>
                <w:sz w:val="18"/>
                <w:szCs w:val="18"/>
              </w:rPr>
              <w:t>未减值</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r>
      <w:tr>
        <w:trPr>
          <w:trHeight w:val="428"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946,644,902.62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56" w:right="0"/>
              <w:jc w:val="left"/>
              <w:rPr>
                <w:rFonts w:ascii="Times New Roman" w:hAnsi="Times New Roman" w:cs="Times New Roman" w:eastAsia="Times New Roman" w:hint="default"/>
                <w:sz w:val="18"/>
                <w:szCs w:val="18"/>
              </w:rPr>
            </w:pPr>
            <w:r>
              <w:rPr>
                <w:rFonts w:ascii="Times New Roman"/>
                <w:sz w:val="18"/>
              </w:rPr>
              <w:t>946,644,902.62</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828,106,325.75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56" w:right="0"/>
              <w:jc w:val="left"/>
              <w:rPr>
                <w:rFonts w:ascii="Times New Roman" w:hAnsi="Times New Roman" w:cs="Times New Roman" w:eastAsia="Times New Roman" w:hint="default"/>
                <w:sz w:val="18"/>
                <w:szCs w:val="18"/>
              </w:rPr>
            </w:pPr>
            <w:r>
              <w:rPr>
                <w:rFonts w:ascii="Times New Roman"/>
                <w:sz w:val="18"/>
              </w:rPr>
              <w:t>682,992,980.21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08" w:right="0"/>
              <w:jc w:val="left"/>
              <w:rPr>
                <w:rFonts w:ascii="Times New Roman" w:hAnsi="Times New Roman" w:cs="Times New Roman" w:eastAsia="Times New Roman" w:hint="default"/>
                <w:sz w:val="18"/>
                <w:szCs w:val="18"/>
              </w:rPr>
            </w:pPr>
            <w:r>
              <w:rPr>
                <w:rFonts w:ascii="Times New Roman"/>
                <w:sz w:val="18"/>
              </w:rPr>
              <w:t>99,446,224.48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45,667,121.06</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609" w:type="dxa"/>
        <w:tblLayout w:type="fixed"/>
        <w:tblCellMar>
          <w:top w:w="0" w:type="dxa"/>
          <w:left w:w="0" w:type="dxa"/>
          <w:bottom w:w="0" w:type="dxa"/>
          <w:right w:w="0" w:type="dxa"/>
        </w:tblCellMar>
        <w:tblLook w:val="01E0"/>
      </w:tblPr>
      <w:tblGrid>
        <w:gridCol w:w="1733"/>
        <w:gridCol w:w="1652"/>
        <w:gridCol w:w="1700"/>
        <w:gridCol w:w="1560"/>
        <w:gridCol w:w="1417"/>
      </w:tblGrid>
      <w:tr>
        <w:trPr>
          <w:trHeight w:val="428"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206,391,334.95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206,391,334.95</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2,240,346.27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2,240,346.27</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14,869,394.16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13,850,991.84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828,856.73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189,545.59</w:t>
            </w:r>
          </w:p>
        </w:tc>
      </w:tr>
      <w:tr>
        <w:trPr>
          <w:trHeight w:val="427"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1,784,360,810.49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1,784,360,810.49</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3,782,613,114.24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3,636,481,366.38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100,275,081.21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45,856,666.65</w:t>
            </w:r>
          </w:p>
        </w:tc>
      </w:tr>
    </w:tbl>
    <w:p>
      <w:pPr>
        <w:spacing w:line="240" w:lineRule="auto" w:before="4"/>
        <w:rPr>
          <w:rFonts w:ascii="宋体" w:hAnsi="宋体" w:cs="宋体" w:eastAsia="宋体" w:hint="default"/>
          <w:sz w:val="27"/>
          <w:szCs w:val="27"/>
        </w:rPr>
      </w:pPr>
    </w:p>
    <w:p>
      <w:pPr>
        <w:pStyle w:val="BodyText"/>
        <w:spacing w:line="340" w:lineRule="auto" w:before="44"/>
        <w:ind w:left="513" w:right="986"/>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日，尚未逾期和发生减值的应收账款及其他应收款与大量的近期无违约记录的分散化的客户有关。 </w:t>
      </w: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日，已逾期但未减值的应收账款及其他应收款与大量的和公司有良好交易记录的独立客户有关。根据以</w:t>
      </w:r>
    </w:p>
    <w:p>
      <w:pPr>
        <w:pStyle w:val="BodyText"/>
        <w:spacing w:line="215" w:lineRule="exact"/>
        <w:ind w:right="1133"/>
        <w:jc w:val="left"/>
      </w:pPr>
      <w:r>
        <w:rPr/>
        <w:t>往经验，由于信用质量未发生重大变化且仍被认为可全额收回，公司认为无需对其计提减值准备。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5"/>
        <w:spacing w:line="240" w:lineRule="auto" w:before="0"/>
        <w:ind w:left="152" w:right="1133"/>
        <w:jc w:val="left"/>
        <w:rPr>
          <w:b w:val="0"/>
          <w:bCs w:val="0"/>
        </w:rPr>
      </w:pPr>
      <w:r>
        <w:rPr/>
        <w:t>流动性风险</w:t>
      </w:r>
      <w:r>
        <w:rPr>
          <w:b w:val="0"/>
          <w:bCs w:val="0"/>
        </w:rPr>
      </w:r>
    </w:p>
    <w:p>
      <w:pPr>
        <w:pStyle w:val="BodyText"/>
        <w:spacing w:line="316" w:lineRule="auto" w:before="117"/>
        <w:ind w:right="986" w:firstLine="360"/>
        <w:jc w:val="left"/>
      </w:pPr>
      <w:r>
        <w:rPr>
          <w:spacing w:val="-2"/>
        </w:rPr>
        <w:t>公司采用循环流动性计划工具管理资金短缺风险。该工具既考虑其金融工具的到期日，也考虑公司运营产生的预计现金</w:t>
      </w:r>
      <w:r>
        <w:rPr/>
        <w:t> 流量。</w:t>
      </w:r>
    </w:p>
    <w:p>
      <w:pPr>
        <w:pStyle w:val="BodyText"/>
        <w:spacing w:line="240" w:lineRule="auto" w:before="57"/>
        <w:ind w:left="513" w:right="1133"/>
        <w:jc w:val="left"/>
      </w:pPr>
      <w:r>
        <w:rPr/>
        <w:t>下表概括了金融负债按未折现的合同现金流量所作的到期期限分析：</w:t>
      </w:r>
    </w:p>
    <w:p>
      <w:pPr>
        <w:pStyle w:val="BodyText"/>
        <w:spacing w:line="240" w:lineRule="auto" w:before="117"/>
        <w:ind w:left="513" w:right="1133"/>
        <w:jc w:val="left"/>
      </w:pPr>
      <w:r>
        <w:rPr>
          <w:rFonts w:ascii="Times New Roman" w:hAnsi="Times New Roman" w:cs="Times New Roman" w:eastAsia="Times New Roman" w:hint="default"/>
        </w:rPr>
        <w:t>2018</w:t>
      </w:r>
      <w:r>
        <w:rPr/>
        <w:t>年</w:t>
      </w:r>
    </w:p>
    <w:p>
      <w:pPr>
        <w:spacing w:line="240" w:lineRule="auto" w:before="1"/>
        <w:rPr>
          <w:rFonts w:ascii="宋体" w:hAnsi="宋体" w:cs="宋体" w:eastAsia="宋体" w:hint="default"/>
          <w:sz w:val="7"/>
          <w:szCs w:val="7"/>
        </w:rPr>
      </w:pPr>
    </w:p>
    <w:tbl>
      <w:tblPr>
        <w:tblW w:w="0" w:type="auto"/>
        <w:jc w:val="left"/>
        <w:tblInd w:w="609" w:type="dxa"/>
        <w:tblLayout w:type="fixed"/>
        <w:tblCellMar>
          <w:top w:w="0" w:type="dxa"/>
          <w:left w:w="0" w:type="dxa"/>
          <w:bottom w:w="0" w:type="dxa"/>
          <w:right w:w="0" w:type="dxa"/>
        </w:tblCellMar>
        <w:tblLook w:val="01E0"/>
      </w:tblPr>
      <w:tblGrid>
        <w:gridCol w:w="2028"/>
        <w:gridCol w:w="1681"/>
        <w:gridCol w:w="1678"/>
        <w:gridCol w:w="1680"/>
        <w:gridCol w:w="1613"/>
      </w:tblGrid>
      <w:tr>
        <w:trPr>
          <w:trHeight w:val="427" w:hRule="exact"/>
        </w:trPr>
        <w:tc>
          <w:tcPr>
            <w:tcW w:w="2028" w:type="dxa"/>
            <w:tcBorders>
              <w:top w:val="single" w:sz="6" w:space="0" w:color="000000"/>
              <w:left w:val="single" w:sz="6" w:space="0" w:color="000000"/>
              <w:bottom w:val="single" w:sz="6" w:space="0" w:color="000000"/>
              <w:right w:val="single" w:sz="6" w:space="0" w:color="000000"/>
            </w:tcBorders>
          </w:tcPr>
          <w:p>
            <w:pP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即期</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427" w:hRule="exact"/>
        </w:trPr>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139,034,161.03</w:t>
            </w:r>
          </w:p>
        </w:tc>
        <w:tc>
          <w:tcPr>
            <w:tcW w:w="167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37" w:right="0"/>
              <w:jc w:val="left"/>
              <w:rPr>
                <w:rFonts w:ascii="Times New Roman" w:hAnsi="Times New Roman" w:cs="Times New Roman" w:eastAsia="Times New Roman" w:hint="default"/>
                <w:sz w:val="18"/>
                <w:szCs w:val="18"/>
              </w:rPr>
            </w:pPr>
            <w:r>
              <w:rPr>
                <w:rFonts w:ascii="Times New Roman"/>
                <w:sz w:val="18"/>
              </w:rPr>
              <w:t>139,034,161.03</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184,796,001.50</w:t>
            </w:r>
          </w:p>
        </w:tc>
        <w:tc>
          <w:tcPr>
            <w:tcW w:w="167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37" w:right="0"/>
              <w:jc w:val="left"/>
              <w:rPr>
                <w:rFonts w:ascii="Times New Roman" w:hAnsi="Times New Roman" w:cs="Times New Roman" w:eastAsia="Times New Roman" w:hint="default"/>
                <w:sz w:val="18"/>
                <w:szCs w:val="18"/>
              </w:rPr>
            </w:pPr>
            <w:r>
              <w:rPr>
                <w:rFonts w:ascii="Times New Roman"/>
                <w:sz w:val="18"/>
              </w:rPr>
              <w:t>184,796,001.50</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323,830,162.53</w:t>
            </w:r>
          </w:p>
        </w:tc>
        <w:tc>
          <w:tcPr>
            <w:tcW w:w="167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37" w:right="0"/>
              <w:jc w:val="left"/>
              <w:rPr>
                <w:rFonts w:ascii="Times New Roman" w:hAnsi="Times New Roman" w:cs="Times New Roman" w:eastAsia="Times New Roman" w:hint="default"/>
                <w:sz w:val="18"/>
                <w:szCs w:val="18"/>
              </w:rPr>
            </w:pPr>
            <w:r>
              <w:rPr>
                <w:rFonts w:ascii="Times New Roman"/>
                <w:sz w:val="18"/>
              </w:rPr>
              <w:t>323,830,162.53</w:t>
            </w:r>
          </w:p>
        </w:tc>
        <w:tc>
          <w:tcPr>
            <w:tcW w:w="161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27"/>
          <w:szCs w:val="27"/>
        </w:rPr>
      </w:pPr>
    </w:p>
    <w:p>
      <w:pPr>
        <w:pStyle w:val="BodyText"/>
        <w:spacing w:line="240" w:lineRule="auto" w:before="44"/>
        <w:ind w:left="513" w:right="1133"/>
        <w:jc w:val="left"/>
      </w:pPr>
      <w:r>
        <w:rPr>
          <w:rFonts w:ascii="Times New Roman" w:hAnsi="Times New Roman" w:cs="Times New Roman" w:eastAsia="Times New Roman" w:hint="default"/>
        </w:rPr>
        <w:t>2017</w:t>
      </w:r>
      <w:r>
        <w:rPr/>
        <w:t>年</w:t>
      </w:r>
    </w:p>
    <w:p>
      <w:pPr>
        <w:spacing w:line="240" w:lineRule="auto" w:before="1"/>
        <w:rPr>
          <w:rFonts w:ascii="宋体" w:hAnsi="宋体" w:cs="宋体" w:eastAsia="宋体" w:hint="default"/>
          <w:sz w:val="7"/>
          <w:szCs w:val="7"/>
        </w:rPr>
      </w:pPr>
    </w:p>
    <w:tbl>
      <w:tblPr>
        <w:tblW w:w="0" w:type="auto"/>
        <w:jc w:val="left"/>
        <w:tblInd w:w="609" w:type="dxa"/>
        <w:tblLayout w:type="fixed"/>
        <w:tblCellMar>
          <w:top w:w="0" w:type="dxa"/>
          <w:left w:w="0" w:type="dxa"/>
          <w:bottom w:w="0" w:type="dxa"/>
          <w:right w:w="0" w:type="dxa"/>
        </w:tblCellMar>
        <w:tblLook w:val="01E0"/>
      </w:tblPr>
      <w:tblGrid>
        <w:gridCol w:w="2028"/>
        <w:gridCol w:w="1681"/>
        <w:gridCol w:w="1678"/>
        <w:gridCol w:w="1680"/>
        <w:gridCol w:w="1613"/>
      </w:tblGrid>
      <w:tr>
        <w:trPr>
          <w:trHeight w:val="427" w:hRule="exact"/>
        </w:trPr>
        <w:tc>
          <w:tcPr>
            <w:tcW w:w="2028" w:type="dxa"/>
            <w:tcBorders>
              <w:top w:val="single" w:sz="6" w:space="0" w:color="000000"/>
              <w:left w:val="single" w:sz="6" w:space="0" w:color="000000"/>
              <w:bottom w:val="single" w:sz="6" w:space="0" w:color="000000"/>
              <w:right w:val="single" w:sz="6" w:space="0" w:color="000000"/>
            </w:tcBorders>
          </w:tcPr>
          <w:p>
            <w:pP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即期</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427" w:hRule="exact"/>
        </w:trPr>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8,236,890.27</w:t>
            </w:r>
          </w:p>
        </w:tc>
        <w:tc>
          <w:tcPr>
            <w:tcW w:w="167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8,236,890.27</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119,658,078.74</w:t>
            </w:r>
          </w:p>
        </w:tc>
        <w:tc>
          <w:tcPr>
            <w:tcW w:w="167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119,658,078.74</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99,325,278.67</w:t>
            </w:r>
          </w:p>
        </w:tc>
        <w:tc>
          <w:tcPr>
            <w:tcW w:w="167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99,325,278.67</w:t>
            </w: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227,220,247.68</w:t>
            </w:r>
          </w:p>
        </w:tc>
        <w:tc>
          <w:tcPr>
            <w:tcW w:w="1678"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227,220,247.68</w:t>
            </w:r>
          </w:p>
        </w:tc>
        <w:tc>
          <w:tcPr>
            <w:tcW w:w="161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27"/>
          <w:szCs w:val="27"/>
        </w:rPr>
      </w:pPr>
    </w:p>
    <w:p>
      <w:pPr>
        <w:pStyle w:val="Heading5"/>
        <w:spacing w:line="240" w:lineRule="auto"/>
        <w:ind w:left="152" w:right="1133"/>
        <w:jc w:val="left"/>
        <w:rPr>
          <w:b w:val="0"/>
          <w:bCs w:val="0"/>
        </w:rPr>
      </w:pPr>
      <w:r>
        <w:rPr/>
        <w:t>汇率风险</w:t>
      </w:r>
      <w:r>
        <w:rPr>
          <w:b w:val="0"/>
          <w:bCs w:val="0"/>
        </w:rPr>
      </w:r>
    </w:p>
    <w:p>
      <w:pPr>
        <w:pStyle w:val="BodyText"/>
        <w:spacing w:line="357" w:lineRule="auto" w:before="117"/>
        <w:ind w:left="513" w:right="986"/>
        <w:jc w:val="left"/>
      </w:pPr>
      <w:r>
        <w:rPr/>
        <w:t>公司面临交易性的汇率风险。此类风险由于经营单位以其记账本位币以外的货币进行的销售或采购所致。 </w:t>
      </w:r>
      <w:r>
        <w:rPr>
          <w:spacing w:val="-2"/>
        </w:rPr>
        <w:t>下表为汇率风险的敏感性分析，反映了在其他变量不变的假设下，港币和美元汇率发生合理、可能的变动时，金融工具</w:t>
      </w:r>
    </w:p>
    <w:p>
      <w:pPr>
        <w:pStyle w:val="BodyText"/>
        <w:spacing w:line="224" w:lineRule="exact"/>
        <w:ind w:right="1133"/>
        <w:jc w:val="left"/>
      </w:pPr>
      <w:r>
        <w:rPr/>
        <w:t>将对净利润和其他综合收益总额产生的影响。</w:t>
      </w:r>
    </w:p>
    <w:p>
      <w:pPr>
        <w:pStyle w:val="BodyText"/>
        <w:spacing w:line="240" w:lineRule="auto" w:before="117"/>
        <w:ind w:left="861" w:right="1133"/>
        <w:jc w:val="left"/>
      </w:pPr>
      <w:r>
        <w:rPr>
          <w:rFonts w:ascii="Times New Roman" w:hAnsi="Times New Roman" w:cs="Times New Roman" w:eastAsia="Times New Roman" w:hint="default"/>
        </w:rPr>
        <w:t>2018</w:t>
      </w:r>
      <w:r>
        <w:rPr/>
        <w:t>年</w:t>
      </w:r>
    </w:p>
    <w:p>
      <w:pPr>
        <w:spacing w:line="240" w:lineRule="auto" w:before="1"/>
        <w:rPr>
          <w:rFonts w:ascii="宋体" w:hAnsi="宋体" w:cs="宋体" w:eastAsia="宋体" w:hint="default"/>
          <w:sz w:val="7"/>
          <w:szCs w:val="7"/>
        </w:rPr>
      </w:pPr>
    </w:p>
    <w:tbl>
      <w:tblPr>
        <w:tblW w:w="0" w:type="auto"/>
        <w:jc w:val="left"/>
        <w:tblInd w:w="604" w:type="dxa"/>
        <w:tblLayout w:type="fixed"/>
        <w:tblCellMar>
          <w:top w:w="0" w:type="dxa"/>
          <w:left w:w="0" w:type="dxa"/>
          <w:bottom w:w="0" w:type="dxa"/>
          <w:right w:w="0" w:type="dxa"/>
        </w:tblCellMar>
        <w:tblLook w:val="01E0"/>
      </w:tblPr>
      <w:tblGrid>
        <w:gridCol w:w="2014"/>
        <w:gridCol w:w="1640"/>
        <w:gridCol w:w="1702"/>
        <w:gridCol w:w="1699"/>
        <w:gridCol w:w="1765"/>
      </w:tblGrid>
      <w:tr>
        <w:trPr>
          <w:trHeight w:val="1131" w:hRule="exact"/>
        </w:trPr>
        <w:tc>
          <w:tcPr>
            <w:tcW w:w="2014"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360" w:lineRule="auto"/>
              <w:ind w:left="370" w:right="362" w:firstLine="163"/>
              <w:jc w:val="left"/>
              <w:rPr>
                <w:rFonts w:ascii="Times New Roman" w:hAnsi="Times New Roman" w:cs="Times New Roman" w:eastAsia="Times New Roman" w:hint="default"/>
                <w:sz w:val="18"/>
                <w:szCs w:val="18"/>
              </w:rPr>
            </w:pPr>
            <w:r>
              <w:rPr>
                <w:rFonts w:ascii="宋体" w:hAnsi="宋体" w:cs="宋体" w:eastAsia="宋体" w:hint="default"/>
                <w:sz w:val="18"/>
                <w:szCs w:val="18"/>
              </w:rPr>
              <w:t>汇率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360" w:lineRule="auto"/>
              <w:ind w:left="398" w:right="396" w:firstLine="175"/>
              <w:jc w:val="left"/>
              <w:rPr>
                <w:rFonts w:ascii="Times New Roman" w:hAnsi="Times New Roman" w:cs="Times New Roman" w:eastAsia="Times New Roman" w:hint="default"/>
                <w:sz w:val="18"/>
                <w:szCs w:val="18"/>
              </w:rPr>
            </w:pPr>
            <w:r>
              <w:rPr>
                <w:rFonts w:ascii="宋体" w:hAnsi="宋体" w:cs="宋体" w:eastAsia="宋体" w:hint="default"/>
                <w:sz w:val="18"/>
                <w:szCs w:val="18"/>
              </w:rPr>
              <w:t>净损益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1"/>
              <w:ind w:left="391" w:right="300"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其他综合收益 的税后净额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1"/>
              <w:ind w:left="430" w:right="427" w:firstLine="2"/>
              <w:jc w:val="center"/>
              <w:rPr>
                <w:rFonts w:ascii="Times New Roman" w:hAnsi="Times New Roman" w:cs="Times New Roman" w:eastAsia="Times New Roman" w:hint="default"/>
                <w:sz w:val="18"/>
                <w:szCs w:val="18"/>
              </w:rPr>
            </w:pPr>
            <w:r>
              <w:rPr>
                <w:rFonts w:ascii="宋体" w:hAnsi="宋体" w:cs="宋体" w:eastAsia="宋体" w:hint="default"/>
                <w:sz w:val="18"/>
                <w:szCs w:val="18"/>
              </w:rPr>
              <w:t>股东权益 合计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427"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人民币对港币贬值</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6" w:right="0"/>
              <w:jc w:val="center"/>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39" w:right="0"/>
              <w:jc w:val="left"/>
              <w:rPr>
                <w:rFonts w:ascii="Times New Roman" w:hAnsi="Times New Roman" w:cs="Times New Roman" w:eastAsia="Times New Roman" w:hint="default"/>
                <w:sz w:val="18"/>
                <w:szCs w:val="18"/>
              </w:rPr>
            </w:pPr>
            <w:r>
              <w:rPr>
                <w:rFonts w:ascii="Times New Roman"/>
                <w:sz w:val="18"/>
              </w:rPr>
              <w:t>1,044,436.49</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802" w:right="0"/>
              <w:jc w:val="left"/>
              <w:rPr>
                <w:rFonts w:ascii="Times New Roman" w:hAnsi="Times New Roman" w:cs="Times New Roman" w:eastAsia="Times New Roman" w:hint="default"/>
                <w:sz w:val="18"/>
                <w:szCs w:val="18"/>
              </w:rPr>
            </w:pPr>
            <w:r>
              <w:rPr>
                <w:rFonts w:ascii="Times New Roman"/>
                <w:sz w:val="18"/>
              </w:rPr>
              <w:t>1,044,436.49</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604" w:type="dxa"/>
        <w:tblLayout w:type="fixed"/>
        <w:tblCellMar>
          <w:top w:w="0" w:type="dxa"/>
          <w:left w:w="0" w:type="dxa"/>
          <w:bottom w:w="0" w:type="dxa"/>
          <w:right w:w="0" w:type="dxa"/>
        </w:tblCellMar>
        <w:tblLook w:val="01E0"/>
      </w:tblPr>
      <w:tblGrid>
        <w:gridCol w:w="2014"/>
        <w:gridCol w:w="1640"/>
        <w:gridCol w:w="1702"/>
        <w:gridCol w:w="1699"/>
        <w:gridCol w:w="1765"/>
      </w:tblGrid>
      <w:tr>
        <w:trPr>
          <w:trHeight w:val="428"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人民币对港币升值</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70"/>
              <w:jc w:val="right"/>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(1,044,436.49)</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(1,044,436.49)</w:t>
            </w:r>
          </w:p>
        </w:tc>
      </w:tr>
      <w:tr>
        <w:trPr>
          <w:trHeight w:val="427"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人民币对美元贬值</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12"/>
              <w:jc w:val="right"/>
              <w:rPr>
                <w:rFonts w:ascii="Times New Roman" w:hAnsi="Times New Roman" w:cs="Times New Roman" w:eastAsia="Times New Roman" w:hint="default"/>
                <w:sz w:val="18"/>
                <w:szCs w:val="18"/>
              </w:rPr>
            </w:pPr>
            <w:r>
              <w:rPr>
                <w:rFonts w:ascii="Times New Roman"/>
                <w:spacing w:val="-1"/>
                <w:sz w:val="18"/>
              </w:rPr>
              <w:t>(5%)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1,749,187.72</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1,749,187.72</w:t>
            </w:r>
          </w:p>
        </w:tc>
      </w:tr>
      <w:tr>
        <w:trPr>
          <w:trHeight w:val="427"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人民币对美元升值</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70"/>
              <w:jc w:val="right"/>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(1,749,187.72)</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(1,749,187.72)</w:t>
            </w:r>
          </w:p>
        </w:tc>
      </w:tr>
    </w:tbl>
    <w:p>
      <w:pPr>
        <w:spacing w:line="240" w:lineRule="auto" w:before="4"/>
        <w:rPr>
          <w:rFonts w:ascii="宋体" w:hAnsi="宋体" w:cs="宋体" w:eastAsia="宋体" w:hint="default"/>
          <w:sz w:val="27"/>
          <w:szCs w:val="27"/>
        </w:rPr>
      </w:pPr>
    </w:p>
    <w:p>
      <w:pPr>
        <w:pStyle w:val="BodyText"/>
        <w:spacing w:line="240" w:lineRule="auto" w:before="44"/>
        <w:ind w:left="1005" w:right="1133"/>
        <w:jc w:val="left"/>
      </w:pPr>
      <w:r>
        <w:rPr>
          <w:rFonts w:ascii="Times New Roman" w:hAnsi="Times New Roman" w:cs="Times New Roman" w:eastAsia="Times New Roman" w:hint="default"/>
        </w:rPr>
        <w:t>2017</w:t>
      </w:r>
      <w:r>
        <w:rPr/>
        <w:t>年</w:t>
      </w:r>
    </w:p>
    <w:p>
      <w:pPr>
        <w:spacing w:line="240" w:lineRule="auto" w:before="1"/>
        <w:rPr>
          <w:rFonts w:ascii="宋体" w:hAnsi="宋体" w:cs="宋体" w:eastAsia="宋体" w:hint="default"/>
          <w:sz w:val="7"/>
          <w:szCs w:val="7"/>
        </w:rPr>
      </w:pPr>
    </w:p>
    <w:tbl>
      <w:tblPr>
        <w:tblW w:w="0" w:type="auto"/>
        <w:jc w:val="left"/>
        <w:tblInd w:w="604" w:type="dxa"/>
        <w:tblLayout w:type="fixed"/>
        <w:tblCellMar>
          <w:top w:w="0" w:type="dxa"/>
          <w:left w:w="0" w:type="dxa"/>
          <w:bottom w:w="0" w:type="dxa"/>
          <w:right w:w="0" w:type="dxa"/>
        </w:tblCellMar>
        <w:tblLook w:val="01E0"/>
      </w:tblPr>
      <w:tblGrid>
        <w:gridCol w:w="2014"/>
        <w:gridCol w:w="1640"/>
        <w:gridCol w:w="1702"/>
        <w:gridCol w:w="1699"/>
        <w:gridCol w:w="1765"/>
      </w:tblGrid>
      <w:tr>
        <w:trPr>
          <w:trHeight w:val="1130" w:hRule="exact"/>
        </w:trPr>
        <w:tc>
          <w:tcPr>
            <w:tcW w:w="2014"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357" w:lineRule="auto"/>
              <w:ind w:left="370" w:right="362" w:firstLine="163"/>
              <w:jc w:val="left"/>
              <w:rPr>
                <w:rFonts w:ascii="Times New Roman" w:hAnsi="Times New Roman" w:cs="Times New Roman" w:eastAsia="Times New Roman" w:hint="default"/>
                <w:sz w:val="18"/>
                <w:szCs w:val="18"/>
              </w:rPr>
            </w:pPr>
            <w:r>
              <w:rPr>
                <w:rFonts w:ascii="宋体" w:hAnsi="宋体" w:cs="宋体" w:eastAsia="宋体" w:hint="default"/>
                <w:sz w:val="18"/>
                <w:szCs w:val="18"/>
              </w:rPr>
              <w:t>汇率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357" w:lineRule="auto"/>
              <w:ind w:left="398" w:right="396" w:firstLine="175"/>
              <w:jc w:val="left"/>
              <w:rPr>
                <w:rFonts w:ascii="Times New Roman" w:hAnsi="Times New Roman" w:cs="Times New Roman" w:eastAsia="Times New Roman" w:hint="default"/>
                <w:sz w:val="18"/>
                <w:szCs w:val="18"/>
              </w:rPr>
            </w:pPr>
            <w:r>
              <w:rPr>
                <w:rFonts w:ascii="宋体" w:hAnsi="宋体" w:cs="宋体" w:eastAsia="宋体" w:hint="default"/>
                <w:sz w:val="18"/>
                <w:szCs w:val="18"/>
              </w:rPr>
              <w:t>净损益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1"/>
              <w:ind w:left="391" w:right="300"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其他综合收益 的税后净额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1"/>
              <w:ind w:left="430" w:right="427" w:firstLine="2"/>
              <w:jc w:val="center"/>
              <w:rPr>
                <w:rFonts w:ascii="Times New Roman" w:hAnsi="Times New Roman" w:cs="Times New Roman" w:eastAsia="Times New Roman" w:hint="default"/>
                <w:sz w:val="18"/>
                <w:szCs w:val="18"/>
              </w:rPr>
            </w:pPr>
            <w:r>
              <w:rPr>
                <w:rFonts w:ascii="宋体" w:hAnsi="宋体" w:cs="宋体" w:eastAsia="宋体" w:hint="default"/>
                <w:sz w:val="18"/>
                <w:szCs w:val="18"/>
              </w:rPr>
              <w:t>股东权益 合计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428"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人民币对港币贬值</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612"/>
              <w:jc w:val="right"/>
              <w:rPr>
                <w:rFonts w:ascii="Times New Roman" w:hAnsi="Times New Roman" w:cs="Times New Roman" w:eastAsia="Times New Roman" w:hint="default"/>
                <w:sz w:val="18"/>
                <w:szCs w:val="18"/>
              </w:rPr>
            </w:pPr>
            <w:r>
              <w:rPr>
                <w:rFonts w:ascii="Times New Roman"/>
                <w:spacing w:val="-1"/>
                <w:sz w:val="18"/>
              </w:rPr>
              <w:t>(5%)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407,344.89</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407,344.89</w:t>
            </w:r>
          </w:p>
        </w:tc>
      </w:tr>
      <w:tr>
        <w:trPr>
          <w:trHeight w:val="427"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人民币对港币升值</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670"/>
              <w:jc w:val="right"/>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(407,344.89)</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(407,344.89)</w:t>
            </w:r>
          </w:p>
        </w:tc>
      </w:tr>
      <w:tr>
        <w:trPr>
          <w:trHeight w:val="427"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人民币对美元贬值</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12"/>
              <w:jc w:val="right"/>
              <w:rPr>
                <w:rFonts w:ascii="Times New Roman" w:hAnsi="Times New Roman" w:cs="Times New Roman" w:eastAsia="Times New Roman" w:hint="default"/>
                <w:sz w:val="18"/>
                <w:szCs w:val="18"/>
              </w:rPr>
            </w:pPr>
            <w:r>
              <w:rPr>
                <w:rFonts w:ascii="Times New Roman"/>
                <w:spacing w:val="-1"/>
                <w:sz w:val="18"/>
              </w:rPr>
              <w:t>(5%)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2,562,083.62</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2,562,083.62</w:t>
            </w:r>
          </w:p>
        </w:tc>
      </w:tr>
      <w:tr>
        <w:trPr>
          <w:trHeight w:val="427"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 w:right="0"/>
              <w:jc w:val="left"/>
              <w:rPr>
                <w:rFonts w:ascii="宋体" w:hAnsi="宋体" w:cs="宋体" w:eastAsia="宋体" w:hint="default"/>
                <w:sz w:val="18"/>
                <w:szCs w:val="18"/>
              </w:rPr>
            </w:pPr>
            <w:r>
              <w:rPr>
                <w:rFonts w:ascii="宋体" w:hAnsi="宋体" w:cs="宋体" w:eastAsia="宋体" w:hint="default"/>
                <w:sz w:val="18"/>
                <w:szCs w:val="18"/>
              </w:rPr>
              <w:t>人民币对美元升值</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70"/>
              <w:jc w:val="right"/>
              <w:rPr>
                <w:rFonts w:ascii="Times New Roman" w:hAnsi="Times New Roman" w:cs="Times New Roman" w:eastAsia="Times New Roman" w:hint="default"/>
                <w:sz w:val="18"/>
                <w:szCs w:val="18"/>
              </w:rPr>
            </w:pPr>
            <w:r>
              <w:rPr>
                <w:rFonts w:ascii="Times New Roman"/>
                <w:sz w:val="18"/>
              </w:rPr>
              <w:t>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(2,562,083.62)</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(2,562,083.62)</w:t>
            </w:r>
          </w:p>
        </w:tc>
      </w:tr>
    </w:tbl>
    <w:p>
      <w:pPr>
        <w:spacing w:line="240" w:lineRule="auto" w:before="4"/>
        <w:rPr>
          <w:rFonts w:ascii="宋体" w:hAnsi="宋体" w:cs="宋体" w:eastAsia="宋体" w:hint="default"/>
          <w:sz w:val="27"/>
          <w:szCs w:val="27"/>
        </w:rPr>
      </w:pPr>
    </w:p>
    <w:p>
      <w:pPr>
        <w:pStyle w:val="Heading5"/>
        <w:spacing w:line="240" w:lineRule="auto"/>
        <w:ind w:left="152" w:right="1133"/>
        <w:jc w:val="left"/>
        <w:rPr>
          <w:b w:val="0"/>
          <w:bCs w:val="0"/>
        </w:rPr>
      </w:pPr>
      <w:r>
        <w:rPr/>
        <w:t>资本管理</w:t>
      </w:r>
      <w:r>
        <w:rPr>
          <w:b w:val="0"/>
          <w:bCs w:val="0"/>
        </w:rPr>
      </w:r>
    </w:p>
    <w:p>
      <w:pPr>
        <w:pStyle w:val="BodyText"/>
        <w:spacing w:line="240" w:lineRule="auto" w:before="117"/>
        <w:ind w:left="513" w:right="1133"/>
        <w:jc w:val="left"/>
      </w:pPr>
      <w:r>
        <w:rPr/>
        <w:t>公司资本管理的主要目标是确保本公司持续经营的能力，并保持健康的资本比率，以支持业务发展并使股东价值最大</w:t>
      </w:r>
    </w:p>
    <w:p>
      <w:pPr>
        <w:pStyle w:val="BodyText"/>
        <w:spacing w:line="240" w:lineRule="auto" w:before="76"/>
        <w:ind w:right="1133"/>
        <w:jc w:val="left"/>
      </w:pPr>
      <w:r>
        <w:rPr/>
        <w:t>化。</w:t>
      </w:r>
    </w:p>
    <w:p>
      <w:pPr>
        <w:pStyle w:val="BodyText"/>
        <w:spacing w:line="240" w:lineRule="auto" w:before="117"/>
        <w:ind w:left="513" w:right="986"/>
        <w:jc w:val="left"/>
      </w:pPr>
      <w:r>
        <w:rPr/>
        <w:t>公司管理资本结构并根据经济形势以及相关资产的风险特征的变化对其进行调整。公司通过对股东的利润分配、向股东</w:t>
      </w:r>
    </w:p>
    <w:p>
      <w:pPr>
        <w:pStyle w:val="BodyText"/>
        <w:spacing w:line="300" w:lineRule="auto" w:before="77"/>
        <w:ind w:right="986"/>
        <w:jc w:val="left"/>
      </w:pPr>
      <w:r>
        <w:rPr>
          <w:spacing w:val="-5"/>
        </w:rPr>
        <w:t>归还资本或发行新股等方式维持或调整资本结构。公司不受外部强制性资本要求约束。</w:t>
      </w:r>
      <w:r>
        <w:rPr>
          <w:rFonts w:ascii="Times New Roman" w:hAnsi="Times New Roman" w:cs="Times New Roman" w:eastAsia="Times New Roman" w:hint="default"/>
          <w:spacing w:val="-5"/>
        </w:rPr>
        <w:t>2018</w:t>
      </w:r>
      <w:r>
        <w:rPr>
          <w:spacing w:val="-5"/>
        </w:rPr>
        <w:t>年度及</w:t>
      </w:r>
      <w:r>
        <w:rPr>
          <w:rFonts w:ascii="Times New Roman" w:hAnsi="Times New Roman" w:cs="Times New Roman" w:eastAsia="Times New Roman" w:hint="default"/>
          <w:spacing w:val="-5"/>
        </w:rPr>
        <w:t>2017</w:t>
      </w:r>
      <w:r>
        <w:rPr>
          <w:spacing w:val="-5"/>
        </w:rPr>
        <w:t>年度，资本管理目标、</w:t>
      </w:r>
      <w:r>
        <w:rPr>
          <w:spacing w:val="-55"/>
        </w:rPr>
        <w:t> </w:t>
      </w:r>
      <w:r>
        <w:rPr>
          <w:spacing w:val="-55"/>
        </w:rPr>
      </w:r>
      <w:r>
        <w:rPr/>
        <w:t>政策或程序未发生变化。</w:t>
      </w:r>
    </w:p>
    <w:p>
      <w:pPr>
        <w:pStyle w:val="BodyText"/>
        <w:spacing w:line="240" w:lineRule="auto" w:before="70"/>
        <w:ind w:left="513" w:right="1133"/>
        <w:jc w:val="left"/>
      </w:pPr>
      <w:r>
        <w:rPr/>
        <w:t>公司采用资产负债率来管理资本，资产负债率是总负债和总资产的比率。公司于资产负债表日的资产负债率如下：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609" w:type="dxa"/>
        <w:tblLayout w:type="fixed"/>
        <w:tblCellMar>
          <w:top w:w="0" w:type="dxa"/>
          <w:left w:w="0" w:type="dxa"/>
          <w:bottom w:w="0" w:type="dxa"/>
          <w:right w:w="0" w:type="dxa"/>
        </w:tblCellMar>
        <w:tblLook w:val="01E0"/>
      </w:tblPr>
      <w:tblGrid>
        <w:gridCol w:w="4321"/>
        <w:gridCol w:w="2175"/>
        <w:gridCol w:w="2276"/>
      </w:tblGrid>
      <w:tr>
        <w:trPr>
          <w:trHeight w:val="427" w:hRule="exact"/>
        </w:trPr>
        <w:tc>
          <w:tcPr>
            <w:tcW w:w="4321" w:type="dxa"/>
            <w:tcBorders>
              <w:top w:val="single" w:sz="6" w:space="0" w:color="000000"/>
              <w:left w:val="single" w:sz="6" w:space="0" w:color="000000"/>
              <w:bottom w:val="single" w:sz="6" w:space="0" w:color="000000"/>
              <w:right w:val="single" w:sz="6" w:space="0" w:color="000000"/>
            </w:tcBorders>
          </w:tcPr>
          <w:p>
            <w:pP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427"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5,251,400,301.45</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5,111,813,147.52</w:t>
            </w:r>
          </w:p>
        </w:tc>
      </w:tr>
      <w:tr>
        <w:trPr>
          <w:trHeight w:val="427"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999,039,932.39</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853,878,299.55</w:t>
            </w:r>
          </w:p>
        </w:tc>
      </w:tr>
      <w:tr>
        <w:trPr>
          <w:trHeight w:val="427" w:hRule="exact"/>
        </w:trPr>
        <w:tc>
          <w:tcPr>
            <w:tcW w:w="4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19.02%</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16.70%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2"/>
        <w:spacing w:line="240" w:lineRule="auto" w:before="26"/>
        <w:ind w:right="1133"/>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235"/>
        <w:gridCol w:w="1985"/>
        <w:gridCol w:w="1985"/>
        <w:gridCol w:w="1985"/>
        <w:gridCol w:w="1380"/>
      </w:tblGrid>
      <w:tr>
        <w:trPr>
          <w:trHeight w:val="403" w:hRule="exact"/>
        </w:trPr>
        <w:tc>
          <w:tcPr>
            <w:tcW w:w="22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1" w:hRule="exact"/>
        </w:trPr>
        <w:tc>
          <w:tcPr>
            <w:tcW w:w="2235"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46,105,389.12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46,105,389.12</w:t>
            </w:r>
          </w:p>
        </w:tc>
      </w:tr>
      <w:tr>
        <w:trPr>
          <w:trHeight w:val="403"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46,105,389.12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46,105,389.12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2235"/>
        <w:gridCol w:w="1985"/>
        <w:gridCol w:w="1985"/>
        <w:gridCol w:w="1985"/>
        <w:gridCol w:w="1380"/>
      </w:tblGrid>
      <w:tr>
        <w:trPr>
          <w:trHeight w:val="40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（五）长期应收款</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1,946,750.96</w:t>
            </w:r>
          </w:p>
        </w:tc>
        <w:tc>
          <w:tcPr>
            <w:tcW w:w="198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1,946,750.96</w:t>
            </w:r>
          </w:p>
        </w:tc>
      </w:tr>
      <w:tr>
        <w:trPr>
          <w:trHeight w:val="715"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39"/>
              <w:jc w:val="left"/>
              <w:rPr>
                <w:rFonts w:ascii="宋体" w:hAnsi="宋体" w:cs="宋体" w:eastAsia="宋体" w:hint="default"/>
                <w:sz w:val="18"/>
                <w:szCs w:val="18"/>
              </w:rPr>
            </w:pPr>
            <w:r>
              <w:rPr>
                <w:rFonts w:ascii="宋体" w:hAnsi="宋体" w:cs="宋体" w:eastAsia="宋体" w:hint="default"/>
                <w:sz w:val="18"/>
                <w:szCs w:val="18"/>
              </w:rPr>
              <w:t>持续以公允价值计量的资产 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9" w:right="0"/>
              <w:jc w:val="left"/>
              <w:rPr>
                <w:rFonts w:ascii="Times New Roman" w:hAnsi="Times New Roman" w:cs="Times New Roman" w:eastAsia="Times New Roman" w:hint="default"/>
                <w:sz w:val="18"/>
                <w:szCs w:val="18"/>
              </w:rPr>
            </w:pPr>
            <w:r>
              <w:rPr>
                <w:rFonts w:ascii="Times New Roman"/>
                <w:sz w:val="18"/>
              </w:rPr>
              <w:t>46,105,389.12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1,946,750.96</w:t>
            </w:r>
          </w:p>
        </w:tc>
        <w:tc>
          <w:tcPr>
            <w:tcW w:w="198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48,052,140.08</w:t>
            </w:r>
          </w:p>
        </w:tc>
      </w:tr>
      <w:tr>
        <w:trPr>
          <w:trHeight w:val="402"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929" w:right="0"/>
              <w:jc w:val="left"/>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86" w:firstLine="360"/>
        <w:jc w:val="left"/>
      </w:pP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日公司的货币资金、应收票据及应收账款、其他应收款、其他流动资产、应付账款、其他应付款、短期借</w:t>
      </w:r>
      <w:r>
        <w:rPr/>
        <w:t> 款等，因剩余期限不长，公允价值与账面价值相若。</w:t>
      </w:r>
    </w:p>
    <w:p>
      <w:pPr>
        <w:pStyle w:val="BodyText"/>
        <w:spacing w:line="319" w:lineRule="auto" w:before="19"/>
        <w:ind w:right="1133" w:firstLine="360"/>
        <w:jc w:val="left"/>
      </w:pP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日公司的可供出售金融资产除上述所列以公允价值计量以外，其他均因在活跃市场中没有报价且其公允 价值无法可靠计量，按照账面成本计量。</w:t>
      </w:r>
    </w:p>
    <w:p>
      <w:pPr>
        <w:spacing w:line="240" w:lineRule="auto" w:before="6"/>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本年无第一层次与第二层次公允价值计量之间的转移，亦无转入或转出第三层次。</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86" w:firstLine="360"/>
        <w:jc w:val="left"/>
      </w:pPr>
      <w:r>
        <w:rPr>
          <w:spacing w:val="-2"/>
        </w:rPr>
        <w:t>公司的财务部负责制定金融工具公允价值计量的政策和程序，并直接向财务总监报告。每个资产负债表日，财务部分析</w:t>
      </w:r>
      <w:r>
        <w:rPr/>
        <w:t> 金融工具价值变动，确定估值适用的主要输入值，并经财务总监审核批准。</w:t>
      </w:r>
    </w:p>
    <w:p>
      <w:pPr>
        <w:spacing w:after="0" w:line="316" w:lineRule="auto"/>
        <w:jc w:val="left"/>
        <w:sectPr>
          <w:pgSz w:w="11910" w:h="16840"/>
          <w:pgMar w:header="0" w:footer="974" w:top="1100" w:bottom="1160" w:left="980" w:right="0"/>
        </w:sectPr>
      </w:pPr>
    </w:p>
    <w:p>
      <w:pPr>
        <w:spacing w:line="240" w:lineRule="auto" w:before="12"/>
        <w:rPr>
          <w:rFonts w:ascii="宋体" w:hAnsi="宋体" w:cs="宋体" w:eastAsia="宋体" w:hint="default"/>
          <w:sz w:val="19"/>
          <w:szCs w:val="19"/>
        </w:rPr>
      </w:pPr>
    </w:p>
    <w:p>
      <w:pPr>
        <w:pStyle w:val="Heading2"/>
        <w:spacing w:line="240" w:lineRule="auto" w:before="26"/>
        <w:ind w:right="1133"/>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1"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7" w:right="0"/>
              <w:jc w:val="left"/>
              <w:rPr>
                <w:rFonts w:ascii="Times New Roman" w:hAnsi="Times New Roman" w:cs="Times New Roman" w:eastAsia="Times New Roman" w:hint="default"/>
                <w:sz w:val="18"/>
                <w:szCs w:val="18"/>
              </w:rPr>
            </w:pPr>
            <w:r>
              <w:rPr>
                <w:rFonts w:ascii="Times New Roman"/>
                <w:sz w:val="18"/>
              </w:rPr>
              <w:t>38.16%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8" w:right="0"/>
              <w:jc w:val="left"/>
              <w:rPr>
                <w:rFonts w:ascii="Times New Roman" w:hAnsi="Times New Roman" w:cs="Times New Roman" w:eastAsia="Times New Roman" w:hint="default"/>
                <w:sz w:val="18"/>
                <w:szCs w:val="18"/>
              </w:rPr>
            </w:pPr>
            <w:r>
              <w:rPr>
                <w:rFonts w:ascii="Times New Roman"/>
                <w:sz w:val="18"/>
              </w:rPr>
              <w:t>38.16%</w:t>
            </w:r>
          </w:p>
        </w:tc>
      </w:tr>
    </w:tbl>
    <w:p>
      <w:pPr>
        <w:pStyle w:val="BodyText"/>
        <w:spacing w:line="360" w:lineRule="auto" w:before="51"/>
        <w:ind w:left="513" w:right="1123" w:hanging="361"/>
        <w:jc w:val="left"/>
      </w:pPr>
      <w:r>
        <w:rPr/>
        <w:t>本企业的母公司情况的说明 深圳华大基因科技有限公司系由自然人汪建、王俊和杨爽共同出资设立，于</w:t>
      </w:r>
      <w:r>
        <w:rPr>
          <w:rFonts w:ascii="宋体" w:hAnsi="宋体" w:cs="宋体" w:eastAsia="宋体" w:hint="default"/>
        </w:rPr>
        <w:t>2008</w:t>
      </w:r>
      <w:r>
        <w:rPr/>
        <w:t>年</w:t>
      </w:r>
      <w:r>
        <w:rPr>
          <w:rFonts w:ascii="宋体" w:hAnsi="宋体" w:cs="宋体" w:eastAsia="宋体" w:hint="default"/>
        </w:rPr>
        <w:t>8</w:t>
      </w:r>
      <w:r>
        <w:rPr/>
        <w:t>月</w:t>
      </w:r>
      <w:r>
        <w:rPr>
          <w:rFonts w:ascii="宋体" w:hAnsi="宋体" w:cs="宋体" w:eastAsia="宋体" w:hint="default"/>
        </w:rPr>
        <w:t>21</w:t>
      </w:r>
      <w:r>
        <w:rPr/>
        <w:t>日取得工商行政管理局颁发的</w:t>
      </w:r>
    </w:p>
    <w:p>
      <w:pPr>
        <w:pStyle w:val="BodyText"/>
        <w:spacing w:line="222" w:lineRule="exact"/>
        <w:ind w:right="1133"/>
        <w:jc w:val="left"/>
      </w:pPr>
      <w:r>
        <w:rPr/>
        <w:t>企业法人营业执照。</w:t>
      </w:r>
    </w:p>
    <w:p>
      <w:pPr>
        <w:pStyle w:val="BodyText"/>
        <w:spacing w:line="316" w:lineRule="auto" w:before="77"/>
        <w:ind w:right="1133" w:firstLine="360"/>
        <w:jc w:val="left"/>
      </w:pPr>
      <w:r>
        <w:rPr>
          <w:spacing w:val="-2"/>
        </w:rPr>
        <w:t>经营范围：计算机软硬件及外围设备的技术研发和销售；货物及技术进出口业务；股权投资；投资兴办实业（具体项目</w:t>
      </w:r>
      <w:r>
        <w:rPr/>
        <w:t> 另行申报）；水产品养殖和销售。</w:t>
      </w:r>
    </w:p>
    <w:p>
      <w:pPr>
        <w:pStyle w:val="BodyText"/>
        <w:spacing w:line="240" w:lineRule="auto" w:before="19"/>
        <w:ind w:left="513" w:right="1133"/>
        <w:jc w:val="left"/>
      </w:pPr>
      <w:r>
        <w:rPr/>
        <w:t>本企业最终控制方是汪建。</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本企业子公司的情况详见附注第十一节财务报告附注“九、在其他主体中的权益”中“1、在子公司中的权益”。</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4" w:firstLine="360"/>
        <w:jc w:val="left"/>
      </w:pPr>
      <w:r>
        <w:rPr/>
        <w:t>本企业重要的合营或联营企业详见附注第十一节财务报告附注“九、在其他主体中的权益”中“3、在合营合排或联营 企业中的权益”。</w:t>
      </w:r>
    </w:p>
    <w:p>
      <w:pPr>
        <w:pStyle w:val="BodyText"/>
        <w:spacing w:line="240" w:lineRule="auto" w:before="17"/>
        <w:ind w:left="513" w:right="1133"/>
        <w:jc w:val="left"/>
      </w:pPr>
      <w:r>
        <w:rPr/>
        <w:t>本期与本公司发生关联方交易，或前期与本公司发生关联方交易形成余额的其他合营或联营企业情况如下：</w:t>
      </w:r>
    </w:p>
    <w:p>
      <w:pPr>
        <w:spacing w:line="240" w:lineRule="auto" w:before="0"/>
        <w:rPr>
          <w:rFonts w:ascii="宋体" w:hAnsi="宋体" w:cs="宋体" w:eastAsia="宋体" w:hint="default"/>
          <w:sz w:val="5"/>
          <w:szCs w:val="5"/>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深圳市同并相联科技有限公司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山东泰山华大医学检验所有限公司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Bangkok    Genomics    Innovation</w:t>
            </w:r>
            <w:r>
              <w:rPr>
                <w:rFonts w:ascii="Times New Roman"/>
                <w:spacing w:val="-14"/>
                <w:sz w:val="18"/>
              </w:rPr>
              <w:t> </w:t>
            </w:r>
            <w:r>
              <w:rPr>
                <w:rFonts w:ascii="Times New Roman"/>
                <w:sz w:val="18"/>
              </w:rPr>
              <w:t>Co.,Ltd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苏州泓迅生物科技股份有限公司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云南华大基因研究院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云南华大基因科技有限公司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深圳华大小米产业股份有限公司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大连华安中茂国际贸易有限公司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深圳华大优选科技有限公司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深圳华大海洋科技有限公司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深圳华大智造科技有限公司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北京华大基因研究中心有限公司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bl>
    <w:p>
      <w:pPr>
        <w:spacing w:after="0" w:line="240" w:lineRule="auto"/>
        <w:jc w:val="center"/>
        <w:rPr>
          <w:rFonts w:ascii="宋体" w:hAnsi="宋体" w:cs="宋体" w:eastAsia="宋体" w:hint="default"/>
          <w:sz w:val="18"/>
          <w:szCs w:val="18"/>
        </w:rPr>
        <w:sectPr>
          <w:pgSz w:w="11910" w:h="16840"/>
          <w:pgMar w:header="0" w:footer="974"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湖北华大基因研究院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深圳华大三生园科技有限公司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武汉华大基因科技有限公司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深圳华大生命科学研究院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华大基因香港研发中心有限公司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华大（镇江）水产科技产业有限公司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北京华大方瑞司法物证鉴定中心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Complete</w:t>
            </w:r>
            <w:r>
              <w:rPr>
                <w:rFonts w:ascii="Times New Roman"/>
                <w:spacing w:val="-6"/>
                <w:sz w:val="18"/>
              </w:rPr>
              <w:t> </w:t>
            </w:r>
            <w:r>
              <w:rPr>
                <w:rFonts w:ascii="Times New Roman"/>
                <w:sz w:val="18"/>
              </w:rPr>
              <w:t>Genomics,Inc.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BGI Complete Genomics Hong Kong Co.,</w:t>
            </w:r>
            <w:r>
              <w:rPr>
                <w:rFonts w:ascii="Times New Roman"/>
                <w:spacing w:val="-15"/>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深圳华大互联网信息服务有限公司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武汉华大智造科技有限公司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华大精准营养（深圳）科技有限公司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深圳市华大农业应用研究院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BGI Hong Kong </w:t>
            </w:r>
            <w:r>
              <w:rPr>
                <w:rFonts w:ascii="Times New Roman"/>
                <w:spacing w:val="-5"/>
                <w:sz w:val="18"/>
              </w:rPr>
              <w:t>Tech </w:t>
            </w:r>
            <w:r>
              <w:rPr>
                <w:rFonts w:ascii="Times New Roman"/>
                <w:sz w:val="18"/>
              </w:rPr>
              <w:t>Co.,</w:t>
            </w:r>
            <w:r>
              <w:rPr>
                <w:rFonts w:ascii="Times New Roman"/>
                <w:spacing w:val="-2"/>
                <w:sz w:val="18"/>
              </w:rPr>
              <w:t> </w:t>
            </w:r>
            <w:r>
              <w:rPr>
                <w:rFonts w:ascii="Times New Roman"/>
                <w:sz w:val="18"/>
              </w:rPr>
              <w:t>Limitd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北京知因盒子健康科技有限公司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最终控股股东参股公司</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北京聚道科技有限公司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229"/>
        <w:gridCol w:w="1322"/>
        <w:gridCol w:w="1229"/>
        <w:gridCol w:w="1418"/>
        <w:gridCol w:w="1222"/>
        <w:gridCol w:w="1181"/>
      </w:tblGrid>
      <w:tr>
        <w:trPr>
          <w:trHeight w:val="713"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获批的交易额度</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27" w:right="63" w:hanging="360"/>
              <w:jc w:val="left"/>
              <w:rPr>
                <w:rFonts w:ascii="宋体" w:hAnsi="宋体" w:cs="宋体" w:eastAsia="宋体" w:hint="default"/>
                <w:sz w:val="18"/>
                <w:szCs w:val="18"/>
              </w:rPr>
            </w:pPr>
            <w:r>
              <w:rPr>
                <w:rFonts w:ascii="宋体" w:hAnsi="宋体" w:cs="宋体" w:eastAsia="宋体" w:hint="default"/>
                <w:sz w:val="18"/>
                <w:szCs w:val="18"/>
              </w:rPr>
              <w:t>是否超过交易 额度</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苏州泓迅生物科技股份有限公司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3,099,259.58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6,852,786.93</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深圳华大生命科学研究院</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19,031,128.64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55,880,000.00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432,850.68</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深圳华大智造科技有限公司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2,530,990.99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9,347,343.77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北京知因盒子健康科技有限公司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深圳华大智造科技有限公司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采购固定资产</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268,414,625.95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268,470,000.00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210,536,558.90</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武汉华大智造科技有限公司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采购固定资产</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150,922,822.96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157,490,000.00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129"/>
              <w:jc w:val="left"/>
              <w:rPr>
                <w:rFonts w:ascii="Times New Roman" w:hAnsi="Times New Roman" w:cs="Times New Roman" w:eastAsia="Times New Roman" w:hint="default"/>
                <w:sz w:val="18"/>
                <w:szCs w:val="18"/>
              </w:rPr>
            </w:pPr>
            <w:r>
              <w:rPr>
                <w:rFonts w:ascii="Times New Roman"/>
                <w:sz w:val="18"/>
              </w:rPr>
              <w:t>BGI Complete Genomics Hong Kong</w:t>
            </w:r>
            <w:r>
              <w:rPr>
                <w:rFonts w:ascii="Times New Roman"/>
                <w:spacing w:val="-9"/>
                <w:sz w:val="18"/>
              </w:rPr>
              <w:t> </w:t>
            </w:r>
            <w:r>
              <w:rPr>
                <w:rFonts w:ascii="Times New Roman"/>
                <w:sz w:val="18"/>
              </w:rPr>
              <w:t>Co.,</w:t>
            </w:r>
            <w:r>
              <w:rPr>
                <w:rFonts w:ascii="Times New Roman"/>
                <w:sz w:val="18"/>
              </w:rPr>
              <w:t> Limited</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采购固定资产</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48,698,974.90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50,444,800.00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Complete</w:t>
            </w:r>
            <w:r>
              <w:rPr>
                <w:rFonts w:ascii="Times New Roman"/>
                <w:spacing w:val="-6"/>
                <w:sz w:val="18"/>
              </w:rPr>
              <w:t> </w:t>
            </w:r>
            <w:r>
              <w:rPr>
                <w:rFonts w:ascii="Times New Roman"/>
                <w:sz w:val="18"/>
              </w:rPr>
              <w:t>Genomics,Inc.</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采购固定资产</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963,735.19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深圳华大智造科技有限公司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139,215,285.96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153,751,157.31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82,290,271.40</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武汉华大智造科技有限公司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8,130,438.51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18,388,842.69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229"/>
        <w:gridCol w:w="1322"/>
        <w:gridCol w:w="1229"/>
        <w:gridCol w:w="1418"/>
        <w:gridCol w:w="1222"/>
        <w:gridCol w:w="1181"/>
      </w:tblGrid>
      <w:tr>
        <w:trPr>
          <w:trHeight w:val="71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4"/>
              <w:ind w:left="24" w:right="129"/>
              <w:jc w:val="left"/>
              <w:rPr>
                <w:rFonts w:ascii="Times New Roman" w:hAnsi="Times New Roman" w:cs="Times New Roman" w:eastAsia="Times New Roman" w:hint="default"/>
                <w:sz w:val="18"/>
                <w:szCs w:val="18"/>
              </w:rPr>
            </w:pPr>
            <w:r>
              <w:rPr>
                <w:rFonts w:ascii="Times New Roman"/>
                <w:sz w:val="18"/>
              </w:rPr>
              <w:t>BGI Complete Genomics Hong Kong</w:t>
            </w:r>
            <w:r>
              <w:rPr>
                <w:rFonts w:ascii="Times New Roman"/>
                <w:spacing w:val="-9"/>
                <w:sz w:val="18"/>
              </w:rPr>
              <w:t> </w:t>
            </w:r>
            <w:r>
              <w:rPr>
                <w:rFonts w:ascii="Times New Roman"/>
                <w:sz w:val="18"/>
              </w:rPr>
              <w:t>Co.,</w:t>
            </w:r>
            <w:r>
              <w:rPr>
                <w:rFonts w:ascii="Times New Roman"/>
                <w:sz w:val="18"/>
              </w:rPr>
              <w:t> Limited</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8,950,469.62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4,270,337.74</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Complete</w:t>
            </w:r>
            <w:r>
              <w:rPr>
                <w:rFonts w:ascii="Times New Roman"/>
                <w:spacing w:val="-5"/>
                <w:sz w:val="18"/>
              </w:rPr>
              <w:t> </w:t>
            </w:r>
            <w:r>
              <w:rPr>
                <w:rFonts w:ascii="Times New Roman"/>
                <w:sz w:val="18"/>
              </w:rPr>
              <w:t>Genomics,Inc.</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2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3,263,624.99</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1,205,609.58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171,661.00</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深圳华大互联网信息服务有限公司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975,851.05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497,607.48</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深圳华大小米产业股份有限公司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606,061.26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深圳华大优选科技有限公司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554,633.06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613,706.46</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华大精准营养（深圳）科技有限公司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497,237.19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826,500.00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225,311.75</w:t>
            </w:r>
          </w:p>
        </w:tc>
      </w:tr>
      <w:tr>
        <w:trPr>
          <w:trHeight w:val="40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深圳华大三生园科技有限公司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22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396,300.79</w:t>
            </w:r>
          </w:p>
        </w:tc>
      </w:tr>
      <w:tr>
        <w:trPr>
          <w:trHeight w:val="40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大连华安中茂国际贸易有限公司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22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110,748.17</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w:t>
            </w:r>
            <w:r>
              <w:rPr>
                <w:rFonts w:ascii="Times New Roman" w:hAnsi="Times New Roman" w:cs="Times New Roman" w:eastAsia="Times New Roman" w:hint="default"/>
                <w:sz w:val="18"/>
                <w:szCs w:val="18"/>
              </w:rPr>
              <w:t>(</w:t>
            </w:r>
            <w:r>
              <w:rPr>
                <w:rFonts w:ascii="宋体" w:hAnsi="宋体" w:cs="宋体" w:eastAsia="宋体" w:hint="default"/>
                <w:sz w:val="18"/>
                <w:szCs w:val="18"/>
              </w:rPr>
              <w:t>镇江</w:t>
            </w:r>
            <w:r>
              <w:rPr>
                <w:rFonts w:ascii="Times New Roman" w:hAnsi="Times New Roman" w:cs="Times New Roman" w:eastAsia="Times New Roman" w:hint="default"/>
                <w:sz w:val="18"/>
                <w:szCs w:val="18"/>
              </w:rPr>
              <w:t>)</w:t>
            </w:r>
            <w:r>
              <w:rPr>
                <w:rFonts w:ascii="宋体" w:hAnsi="宋体" w:cs="宋体" w:eastAsia="宋体" w:hint="default"/>
                <w:sz w:val="18"/>
                <w:szCs w:val="18"/>
              </w:rPr>
              <w:t>水产科技产业有限公司</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22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8,179.67</w:t>
            </w:r>
          </w:p>
        </w:tc>
      </w:tr>
    </w:tbl>
    <w:p>
      <w:pPr>
        <w:pStyle w:val="BodyText"/>
        <w:spacing w:line="240" w:lineRule="auto" w:before="51"/>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087"/>
        <w:gridCol w:w="1570"/>
        <w:gridCol w:w="2259"/>
        <w:gridCol w:w="2653"/>
      </w:tblGrid>
      <w:tr>
        <w:trPr>
          <w:trHeight w:val="403" w:hRule="exact"/>
        </w:trPr>
        <w:tc>
          <w:tcPr>
            <w:tcW w:w="3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Bangkok Genomics Innovation Co.,</w:t>
            </w:r>
            <w:r>
              <w:rPr>
                <w:rFonts w:ascii="Times New Roman"/>
                <w:spacing w:val="-12"/>
                <w:sz w:val="18"/>
              </w:rPr>
              <w:t> </w:t>
            </w:r>
            <w:r>
              <w:rPr>
                <w:rFonts w:ascii="Times New Roman"/>
                <w:sz w:val="18"/>
              </w:rPr>
              <w:t>Ltd</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9,149,489.17</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深圳华大生命科学研究院</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4,958,422.92</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7,114,342.56</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4,911,988.67</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2,884,848.70</w:t>
            </w:r>
          </w:p>
        </w:tc>
      </w:tr>
      <w:tr>
        <w:trPr>
          <w:trHeight w:val="40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山东泰山华大医学检验所有限公司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4,773,680.00</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深圳华大海洋科技有限公司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2,406,926.04</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193,240.85</w:t>
            </w: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深圳市华大农业应用研究院</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2,140,040.75</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深圳华大三生园科技有限公司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746,501.11</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深圳市同并相联科技有限公司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694,770.00</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华大精准营养（深圳）科技有限公司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447,093.20</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云南华大基因研究院</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384,461.65</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187,193.42</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华大（镇江）水产科技产业有限公司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219,759.91</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782,096.34</w:t>
            </w:r>
          </w:p>
        </w:tc>
      </w:tr>
      <w:tr>
        <w:trPr>
          <w:trHeight w:val="40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云南华大基因科技有限公司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64,039.48</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52,310.33</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Complete</w:t>
            </w:r>
            <w:r>
              <w:rPr>
                <w:rFonts w:ascii="Times New Roman"/>
                <w:spacing w:val="-6"/>
                <w:sz w:val="18"/>
              </w:rPr>
              <w:t> </w:t>
            </w:r>
            <w:r>
              <w:rPr>
                <w:rFonts w:ascii="Times New Roman"/>
                <w:sz w:val="18"/>
              </w:rPr>
              <w:t>Genomics,Inc.</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27,469,234.57</w:t>
            </w:r>
          </w:p>
        </w:tc>
      </w:tr>
      <w:tr>
        <w:trPr>
          <w:trHeight w:val="40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北京华大方瑞司法物证鉴定中心</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272,312.75</w:t>
            </w:r>
          </w:p>
        </w:tc>
      </w:tr>
      <w:tr>
        <w:trPr>
          <w:trHeight w:val="40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深圳华大智造科技有限公司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229,912.44</w:t>
            </w:r>
          </w:p>
        </w:tc>
      </w:tr>
    </w:tbl>
    <w:p>
      <w:pPr>
        <w:pStyle w:val="BodyText"/>
        <w:spacing w:line="360" w:lineRule="auto" w:before="51"/>
        <w:ind w:left="513" w:right="7334" w:hanging="361"/>
        <w:jc w:val="left"/>
      </w:pPr>
      <w:r>
        <w:rPr/>
        <w:t>购销商品、提供和接受劳务的关联交易说明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133"/>
        <w:jc w:val="left"/>
      </w:pPr>
      <w:r>
        <w:rPr/>
        <w:t>无</w:t>
      </w:r>
    </w:p>
    <w:p>
      <w:pPr>
        <w:spacing w:after="0" w:line="240" w:lineRule="auto"/>
        <w:jc w:val="left"/>
        <w:sectPr>
          <w:pgSz w:w="11910" w:h="16840"/>
          <w:pgMar w:header="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t>本公司作为出租方：</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802"/>
        <w:gridCol w:w="1980"/>
        <w:gridCol w:w="2393"/>
        <w:gridCol w:w="2393"/>
      </w:tblGrid>
      <w:tr>
        <w:trPr>
          <w:trHeight w:val="401"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145,714.32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5,749,321.96</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华大基因香港研发中心有限公司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408,640.08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610,252.45</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湖北华大基因研究院</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171,428.58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342,857.16</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BGI Hong Kong </w:t>
            </w:r>
            <w:r>
              <w:rPr>
                <w:rFonts w:ascii="Times New Roman"/>
                <w:spacing w:val="-5"/>
                <w:sz w:val="18"/>
              </w:rPr>
              <w:t>Tech </w:t>
            </w:r>
            <w:r>
              <w:rPr>
                <w:rFonts w:ascii="Times New Roman"/>
                <w:sz w:val="18"/>
              </w:rPr>
              <w:t>Co.,</w:t>
            </w:r>
            <w:r>
              <w:rPr>
                <w:rFonts w:ascii="Times New Roman"/>
                <w:spacing w:val="-3"/>
                <w:sz w:val="18"/>
              </w:rPr>
              <w:t> </w:t>
            </w:r>
            <w:r>
              <w:rPr>
                <w:rFonts w:ascii="Times New Roman"/>
                <w:sz w:val="18"/>
              </w:rPr>
              <w:t>Limited</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280,777.31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武汉华大基因科技有限公司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124,260.92</w:t>
            </w:r>
          </w:p>
        </w:tc>
      </w:tr>
    </w:tbl>
    <w:p>
      <w:pPr>
        <w:pStyle w:val="BodyText"/>
        <w:spacing w:line="240" w:lineRule="auto" w:before="51"/>
        <w:ind w:right="1133"/>
        <w:jc w:val="left"/>
      </w:pPr>
      <w:r>
        <w:rPr/>
        <w:t>本公司作为承租方：</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802"/>
        <w:gridCol w:w="1982"/>
        <w:gridCol w:w="2393"/>
        <w:gridCol w:w="2391"/>
      </w:tblGrid>
      <w:tr>
        <w:trPr>
          <w:trHeight w:val="403"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深圳华大生命科学研究院</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3" w:right="0"/>
              <w:jc w:val="left"/>
              <w:rPr>
                <w:rFonts w:ascii="Times New Roman" w:hAnsi="Times New Roman" w:cs="Times New Roman" w:eastAsia="Times New Roman" w:hint="default"/>
                <w:sz w:val="18"/>
                <w:szCs w:val="18"/>
              </w:rPr>
            </w:pPr>
            <w:r>
              <w:rPr>
                <w:rFonts w:ascii="Times New Roman"/>
                <w:sz w:val="18"/>
              </w:rPr>
              <w:t>1,601,409.30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4" w:right="0"/>
              <w:jc w:val="left"/>
              <w:rPr>
                <w:rFonts w:ascii="Times New Roman" w:hAnsi="Times New Roman" w:cs="Times New Roman" w:eastAsia="Times New Roman" w:hint="default"/>
                <w:sz w:val="18"/>
                <w:szCs w:val="18"/>
              </w:rPr>
            </w:pPr>
            <w:r>
              <w:rPr>
                <w:rFonts w:ascii="Times New Roman"/>
                <w:sz w:val="18"/>
              </w:rPr>
              <w:t>1,589,023.21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88"/>
        <w:gridCol w:w="3190"/>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9,585,611.00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10,018,325.68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214" w:firstLine="360"/>
        <w:jc w:val="left"/>
      </w:pPr>
      <w:r>
        <w:rPr>
          <w:rFonts w:ascii="Times New Roman" w:hAnsi="Times New Roman" w:cs="Times New Roman" w:eastAsia="Times New Roman" w:hint="default"/>
        </w:rPr>
        <w:t>2013</w:t>
      </w:r>
      <w:r>
        <w:rPr/>
        <w:t>年本公司进行业务重组，以双方拟定的协议价向最终控股股东收购子公司或构成业务合并的资产组。本公司从最 终控股股东及其若干个子公司处获取了业务合同，按照合同购买或是重组协议，本公司需要承担原合同项下的权利和义 务，包括但不限于继续向最终客户提供服务以及相应的收款权利。合同原签署方仍旧是相关关联方最终客户，回款通常直 接支付给原合同签约单位之后再定期转给本公司。在</w:t>
      </w:r>
      <w:r>
        <w:rPr>
          <w:rFonts w:ascii="Times New Roman" w:hAnsi="Times New Roman" w:cs="Times New Roman" w:eastAsia="Times New Roman" w:hint="default"/>
        </w:rPr>
        <w:t>2018</w:t>
      </w:r>
      <w:r>
        <w:rPr/>
        <w:t>年及</w:t>
      </w:r>
      <w:r>
        <w:rPr>
          <w:rFonts w:ascii="Times New Roman" w:hAnsi="Times New Roman" w:cs="Times New Roman" w:eastAsia="Times New Roman" w:hint="default"/>
        </w:rPr>
        <w:t>2017</w:t>
      </w:r>
      <w:r>
        <w:rPr/>
        <w:t>年，在以上协议下，本公司向关联方或通过关联方向最 终客户提供服务金额如下：</w:t>
      </w:r>
    </w:p>
    <w:p>
      <w:pPr>
        <w:spacing w:after="0" w:line="309" w:lineRule="auto"/>
        <w:jc w:val="left"/>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79" w:type="dxa"/>
        <w:tblLayout w:type="fixed"/>
        <w:tblCellMar>
          <w:top w:w="0" w:type="dxa"/>
          <w:left w:w="0" w:type="dxa"/>
          <w:bottom w:w="0" w:type="dxa"/>
          <w:right w:w="0" w:type="dxa"/>
        </w:tblCellMar>
        <w:tblLook w:val="01E0"/>
      </w:tblPr>
      <w:tblGrid>
        <w:gridCol w:w="3815"/>
        <w:gridCol w:w="2268"/>
        <w:gridCol w:w="2125"/>
      </w:tblGrid>
      <w:tr>
        <w:trPr>
          <w:trHeight w:val="428" w:hRule="exact"/>
        </w:trPr>
        <w:tc>
          <w:tcPr>
            <w:tcW w:w="3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关联单位</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346" w:hRule="exact"/>
        </w:trPr>
        <w:tc>
          <w:tcPr>
            <w:tcW w:w="3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2,521,451.16</w:t>
            </w:r>
          </w:p>
        </w:tc>
      </w:tr>
      <w:tr>
        <w:trPr>
          <w:trHeight w:val="348" w:hRule="exact"/>
        </w:trPr>
        <w:tc>
          <w:tcPr>
            <w:tcW w:w="3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深圳华大生命科学研究院</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1,245,466.15</w:t>
            </w:r>
          </w:p>
        </w:tc>
      </w:tr>
      <w:tr>
        <w:trPr>
          <w:trHeight w:val="348" w:hRule="exact"/>
        </w:trPr>
        <w:tc>
          <w:tcPr>
            <w:tcW w:w="3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华大基因香港研发中心有限公司</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3,766,917.31</w:t>
            </w:r>
          </w:p>
        </w:tc>
      </w:tr>
    </w:tbl>
    <w:p>
      <w:pPr>
        <w:pStyle w:val="BodyText"/>
        <w:spacing w:line="300" w:lineRule="auto" w:before="10"/>
        <w:ind w:right="1214" w:firstLine="36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日，最终控股股东或其控制的非本公司合并范围内子公司作为原合同主体在购买 的合同或是重组协议项下转移的合同累计代本公司收款人民币</w:t>
      </w:r>
      <w:r>
        <w:rPr>
          <w:rFonts w:ascii="Times New Roman" w:hAnsi="Times New Roman" w:cs="Times New Roman" w:eastAsia="Times New Roman" w:hint="default"/>
        </w:rPr>
        <w:t>239,540,156.34</w:t>
      </w:r>
      <w:r>
        <w:rPr/>
        <w:t>元及人民币</w:t>
      </w:r>
      <w:r>
        <w:rPr>
          <w:rFonts w:ascii="Times New Roman" w:hAnsi="Times New Roman" w:cs="Times New Roman" w:eastAsia="Times New Roman" w:hint="default"/>
        </w:rPr>
        <w:t>237,259,956.34</w:t>
      </w:r>
      <w:r>
        <w:rPr/>
        <w:t>元。</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385"/>
        <w:gridCol w:w="2410"/>
        <w:gridCol w:w="1560"/>
        <w:gridCol w:w="1416"/>
        <w:gridCol w:w="1419"/>
        <w:gridCol w:w="1378"/>
      </w:tblGrid>
      <w:tr>
        <w:trPr>
          <w:trHeight w:val="403" w:hRule="exact"/>
        </w:trPr>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Complete Genomics,</w:t>
            </w:r>
            <w:r>
              <w:rPr>
                <w:rFonts w:ascii="Times New Roman"/>
                <w:spacing w:val="-6"/>
                <w:sz w:val="18"/>
              </w:rPr>
              <w:t> </w:t>
            </w:r>
            <w:r>
              <w:rPr>
                <w:rFonts w:ascii="Times New Roman"/>
                <w:sz w:val="18"/>
              </w:rPr>
              <w:t>Inc.</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27,712,796.10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27,469,234.57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274,692.35</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8,927,362.40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1,250,298.80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4,015,373.73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911,277.75</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深圳华大生命科学研究院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7,226,577.15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276,399.63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4,371,196.23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43,711.96</w:t>
            </w:r>
          </w:p>
        </w:tc>
      </w:tr>
      <w:tr>
        <w:trPr>
          <w:trHeight w:val="71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126"/>
              <w:jc w:val="left"/>
              <w:rPr>
                <w:rFonts w:ascii="Times New Roman" w:hAnsi="Times New Roman" w:cs="Times New Roman" w:eastAsia="Times New Roman" w:hint="default"/>
                <w:sz w:val="18"/>
                <w:szCs w:val="18"/>
              </w:rPr>
            </w:pPr>
            <w:r>
              <w:rPr>
                <w:rFonts w:ascii="Times New Roman"/>
                <w:sz w:val="18"/>
              </w:rPr>
              <w:t>Bangkok Genomics</w:t>
            </w:r>
            <w:r>
              <w:rPr>
                <w:rFonts w:ascii="Times New Roman"/>
                <w:spacing w:val="-7"/>
                <w:sz w:val="18"/>
              </w:rPr>
              <w:t> </w:t>
            </w:r>
            <w:r>
              <w:rPr>
                <w:rFonts w:ascii="Times New Roman"/>
                <w:sz w:val="18"/>
              </w:rPr>
              <w:t>Innovation</w:t>
            </w:r>
            <w:r>
              <w:rPr>
                <w:rFonts w:ascii="Times New Roman"/>
                <w:sz w:val="18"/>
              </w:rPr>
              <w:t> co.,Ltd</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5,273,319.74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52,733.20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山东泰山华大医学检验所有限 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2,273,980.00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22,739.80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华大（镇江）水产科技产业有 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1,498,648.68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179,765.74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1,278,888.77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80,231.49</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深圳市同并相联科技有限公司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702,770.00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7,027.70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深圳华大三生园科技有限公司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464,942.86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4,649.43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华大精准营养（深圳）科技有 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447,093.20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4,470.93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深圳市华大农业应用研究院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278,334.35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2,783.34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深圳华大海洋科技有限公司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138,839.61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9,023.67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68,693.17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818.41</w:t>
            </w:r>
          </w:p>
        </w:tc>
      </w:tr>
      <w:tr>
        <w:trPr>
          <w:trHeight w:val="71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北京华大方瑞司法物证鉴定中 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15,909.24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15,909.24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18,267.74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8,121.51</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云南华大基因研究院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3,148.70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6,459.77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64.60</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深圳华大生命科学研究院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36,844,458.14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北京聚道科技有限公司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深圳市同并相联科技有限公司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深圳华大智造科技有限公司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119,709,205.03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385"/>
        <w:gridCol w:w="3827"/>
        <w:gridCol w:w="2268"/>
        <w:gridCol w:w="2089"/>
      </w:tblGrid>
      <w:tr>
        <w:trPr>
          <w:trHeight w:val="403"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BGI Complete Genomics Hong Kong</w:t>
            </w:r>
            <w:r>
              <w:rPr>
                <w:rFonts w:ascii="Times New Roman"/>
                <w:spacing w:val="-15"/>
                <w:sz w:val="18"/>
              </w:rPr>
              <w:t> </w:t>
            </w:r>
            <w:r>
              <w:rPr>
                <w:rFonts w:ascii="Times New Roman"/>
                <w:sz w:val="18"/>
              </w:rPr>
              <w:t>Co.,Limited</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40,423,327.95</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237,697.18</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苏州泓迅生物科技股份有限公司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2,012,383.10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3,558,180.84</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Complete Genomics,</w:t>
            </w:r>
            <w:r>
              <w:rPr>
                <w:rFonts w:ascii="Times New Roman"/>
                <w:spacing w:val="-6"/>
                <w:sz w:val="18"/>
              </w:rPr>
              <w:t> </w:t>
            </w:r>
            <w:r>
              <w:rPr>
                <w:rFonts w:ascii="Times New Roman"/>
                <w:sz w:val="18"/>
              </w:rPr>
              <w:t>Inc.</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1,022,092.81</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70,863.40</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深圳华大优选科技有限公司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160,325.95</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深圳华大智造科技有限公司</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59,854,112.43</w:t>
            </w:r>
          </w:p>
        </w:tc>
      </w:tr>
      <w:tr>
        <w:trPr>
          <w:trHeight w:val="40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北京知因盒子健康科技有限公司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2,830,490.50</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中国农业科学院深圳生物育种创新研究院</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1,423,332.26</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深圳华大生命科学研究院</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917,641.08</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360.00</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深圳华大海洋科技有限公司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411,189.06</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1,481,282.75</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53,775.66</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585,257.50</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深圳市华大农业应用研究院</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458,695.01</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云南华大基因研究院</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33,368.45</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113,695.68</w:t>
            </w:r>
          </w:p>
        </w:tc>
      </w:tr>
      <w:tr>
        <w:trPr>
          <w:trHeight w:val="40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云南华大基因科技有限公司</w:t>
            </w:r>
          </w:p>
        </w:tc>
        <w:tc>
          <w:tcPr>
            <w:tcW w:w="2268"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15,299.04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3013"/>
        <w:jc w:val="left"/>
      </w:pPr>
      <w:r>
        <w:rPr/>
        <w:t>以下为公司于资产负债表日，已签约而尚未在资产负债表上列示的与关联方有关的承诺事项： 设备采购承诺</w:t>
      </w:r>
    </w:p>
    <w:tbl>
      <w:tblPr>
        <w:tblW w:w="0" w:type="auto"/>
        <w:jc w:val="left"/>
        <w:tblInd w:w="878" w:type="dxa"/>
        <w:tblLayout w:type="fixed"/>
        <w:tblCellMar>
          <w:top w:w="0" w:type="dxa"/>
          <w:left w:w="0" w:type="dxa"/>
          <w:bottom w:w="0" w:type="dxa"/>
          <w:right w:w="0" w:type="dxa"/>
        </w:tblCellMar>
        <w:tblLook w:val="01E0"/>
      </w:tblPr>
      <w:tblGrid>
        <w:gridCol w:w="3116"/>
        <w:gridCol w:w="2268"/>
        <w:gridCol w:w="2125"/>
      </w:tblGrid>
      <w:tr>
        <w:trPr>
          <w:trHeight w:val="427"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关联单位</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348"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武汉华大智造科技有限公司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16" w:right="0"/>
              <w:jc w:val="left"/>
              <w:rPr>
                <w:rFonts w:ascii="Times New Roman" w:hAnsi="Times New Roman" w:cs="Times New Roman" w:eastAsia="Times New Roman" w:hint="default"/>
                <w:sz w:val="18"/>
                <w:szCs w:val="18"/>
              </w:rPr>
            </w:pPr>
            <w:r>
              <w:rPr>
                <w:rFonts w:ascii="Times New Roman"/>
                <w:sz w:val="18"/>
              </w:rPr>
              <w:t>22,968,000.00</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2"/>
        <w:rPr>
          <w:rFonts w:ascii="宋体" w:hAnsi="宋体" w:cs="宋体" w:eastAsia="宋体" w:hint="default"/>
          <w:sz w:val="21"/>
          <w:szCs w:val="21"/>
        </w:rPr>
      </w:pPr>
    </w:p>
    <w:p>
      <w:pPr>
        <w:pStyle w:val="BodyText"/>
        <w:spacing w:line="240" w:lineRule="auto" w:before="44"/>
        <w:ind w:left="513" w:right="1133"/>
        <w:jc w:val="left"/>
      </w:pPr>
      <w:r>
        <w:rPr/>
        <w:t>房屋租赁承诺</w:t>
      </w:r>
    </w:p>
    <w:p>
      <w:pPr>
        <w:spacing w:line="240" w:lineRule="auto" w:before="0"/>
        <w:rPr>
          <w:rFonts w:ascii="宋体" w:hAnsi="宋体" w:cs="宋体" w:eastAsia="宋体" w:hint="default"/>
          <w:sz w:val="5"/>
          <w:szCs w:val="5"/>
        </w:rPr>
      </w:pPr>
    </w:p>
    <w:tbl>
      <w:tblPr>
        <w:tblW w:w="0" w:type="auto"/>
        <w:jc w:val="left"/>
        <w:tblInd w:w="878" w:type="dxa"/>
        <w:tblLayout w:type="fixed"/>
        <w:tblCellMar>
          <w:top w:w="0" w:type="dxa"/>
          <w:left w:w="0" w:type="dxa"/>
          <w:bottom w:w="0" w:type="dxa"/>
          <w:right w:w="0" w:type="dxa"/>
        </w:tblCellMar>
        <w:tblLook w:val="01E0"/>
      </w:tblPr>
      <w:tblGrid>
        <w:gridCol w:w="3116"/>
        <w:gridCol w:w="2268"/>
        <w:gridCol w:w="2125"/>
      </w:tblGrid>
      <w:tr>
        <w:trPr>
          <w:trHeight w:val="428"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关联单位</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346"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深圳华大生命科学研究院</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05" w:right="0"/>
              <w:jc w:val="left"/>
              <w:rPr>
                <w:rFonts w:ascii="Times New Roman" w:hAnsi="Times New Roman" w:cs="Times New Roman" w:eastAsia="Times New Roman" w:hint="default"/>
                <w:sz w:val="18"/>
                <w:szCs w:val="18"/>
              </w:rPr>
            </w:pPr>
            <w:r>
              <w:rPr>
                <w:rFonts w:ascii="Times New Roman"/>
                <w:sz w:val="18"/>
              </w:rPr>
              <w:t>3,828,188.00</w:t>
            </w:r>
          </w:p>
        </w:tc>
        <w:tc>
          <w:tcPr>
            <w:tcW w:w="212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十三、承诺及或有事项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资产负债表日存在的重要承诺</w:t>
      </w:r>
    </w:p>
    <w:p>
      <w:pPr>
        <w:spacing w:after="0" w:line="240" w:lineRule="auto"/>
        <w:jc w:val="left"/>
        <w:sectPr>
          <w:pgSz w:w="11910" w:h="16840"/>
          <w:pgMar w:header="0" w:footer="974" w:top="1100" w:bottom="1160" w:left="980" w:right="0"/>
        </w:sectPr>
      </w:pPr>
    </w:p>
    <w:p>
      <w:pPr>
        <w:spacing w:line="240" w:lineRule="auto" w:before="0"/>
        <w:rPr>
          <w:rFonts w:ascii="宋体" w:hAnsi="宋体" w:cs="宋体" w:eastAsia="宋体" w:hint="default"/>
          <w:sz w:val="22"/>
          <w:szCs w:val="22"/>
        </w:rPr>
      </w:pPr>
    </w:p>
    <w:p>
      <w:pPr>
        <w:pStyle w:val="BodyText"/>
        <w:spacing w:line="240" w:lineRule="auto" w:before="44"/>
        <w:ind w:left="513" w:right="1133"/>
        <w:jc w:val="left"/>
      </w:pPr>
      <w:r>
        <w:rPr/>
        <w:t>（</w:t>
      </w:r>
      <w:r>
        <w:rPr>
          <w:rFonts w:ascii="Times New Roman" w:hAnsi="Times New Roman" w:cs="Times New Roman" w:eastAsia="Times New Roman" w:hint="default"/>
        </w:rPr>
        <w:t>1</w:t>
      </w:r>
      <w:r>
        <w:rPr/>
        <w:t>）资本承诺</w:t>
      </w:r>
    </w:p>
    <w:p>
      <w:pPr>
        <w:spacing w:line="240" w:lineRule="auto" w:before="1"/>
        <w:rPr>
          <w:rFonts w:ascii="宋体" w:hAnsi="宋体" w:cs="宋体" w:eastAsia="宋体" w:hint="default"/>
          <w:sz w:val="7"/>
          <w:szCs w:val="7"/>
        </w:rPr>
      </w:pPr>
    </w:p>
    <w:tbl>
      <w:tblPr>
        <w:tblW w:w="0" w:type="auto"/>
        <w:jc w:val="left"/>
        <w:tblInd w:w="323" w:type="dxa"/>
        <w:tblLayout w:type="fixed"/>
        <w:tblCellMar>
          <w:top w:w="0" w:type="dxa"/>
          <w:left w:w="0" w:type="dxa"/>
          <w:bottom w:w="0" w:type="dxa"/>
          <w:right w:w="0" w:type="dxa"/>
        </w:tblCellMar>
        <w:tblLook w:val="01E0"/>
      </w:tblPr>
      <w:tblGrid>
        <w:gridCol w:w="4095"/>
        <w:gridCol w:w="2124"/>
        <w:gridCol w:w="1844"/>
      </w:tblGrid>
      <w:tr>
        <w:trPr>
          <w:trHeight w:val="346" w:hRule="exact"/>
        </w:trPr>
        <w:tc>
          <w:tcPr>
            <w:tcW w:w="4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8" w:right="0"/>
              <w:jc w:val="left"/>
              <w:rPr>
                <w:rFonts w:ascii="宋体" w:hAnsi="宋体" w:cs="宋体" w:eastAsia="宋体" w:hint="default"/>
                <w:sz w:val="18"/>
                <w:szCs w:val="18"/>
              </w:rPr>
            </w:pPr>
            <w:r>
              <w:rPr>
                <w:rFonts w:ascii="宋体" w:hAnsi="宋体" w:cs="宋体" w:eastAsia="宋体" w:hint="default"/>
                <w:sz w:val="18"/>
                <w:szCs w:val="18"/>
              </w:rPr>
              <w:t>资本承诺</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348" w:hRule="exact"/>
        </w:trPr>
        <w:tc>
          <w:tcPr>
            <w:tcW w:w="4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8" w:right="0"/>
              <w:jc w:val="left"/>
              <w:rPr>
                <w:rFonts w:ascii="宋体" w:hAnsi="宋体" w:cs="宋体" w:eastAsia="宋体" w:hint="default"/>
                <w:sz w:val="18"/>
                <w:szCs w:val="18"/>
              </w:rPr>
            </w:pPr>
            <w:r>
              <w:rPr>
                <w:rFonts w:ascii="宋体" w:hAnsi="宋体" w:cs="宋体" w:eastAsia="宋体" w:hint="default"/>
                <w:sz w:val="18"/>
                <w:szCs w:val="18"/>
              </w:rPr>
              <w:t>已签约但未拨备</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23,368,000.00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17,475,801.48</w:t>
            </w:r>
          </w:p>
        </w:tc>
      </w:tr>
    </w:tbl>
    <w:p>
      <w:pPr>
        <w:pStyle w:val="BodyText"/>
        <w:spacing w:line="240" w:lineRule="auto" w:before="10"/>
        <w:ind w:left="441" w:right="1133"/>
        <w:jc w:val="left"/>
      </w:pPr>
      <w:r>
        <w:rPr/>
        <w:t>注：资本承诺金额包括对关联方武汉华大智造科技有限公司的设备采购承诺金额人民币</w:t>
      </w:r>
      <w:r>
        <w:rPr>
          <w:rFonts w:ascii="Times New Roman" w:hAnsi="Times New Roman" w:cs="Times New Roman" w:eastAsia="Times New Roman" w:hint="default"/>
        </w:rPr>
        <w:t>22,968,000.00</w:t>
      </w:r>
      <w:r>
        <w:rPr/>
        <w:t>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40" w:lineRule="auto"/>
        <w:ind w:left="513" w:right="4453"/>
        <w:jc w:val="left"/>
      </w:pPr>
      <w:r>
        <w:rPr/>
        <w:t>（</w:t>
      </w:r>
      <w:r>
        <w:rPr>
          <w:rFonts w:ascii="Times New Roman" w:hAnsi="Times New Roman" w:cs="Times New Roman" w:eastAsia="Times New Roman" w:hint="default"/>
        </w:rPr>
        <w:t>2</w:t>
      </w:r>
      <w:r>
        <w:rPr/>
        <w:t>）经营租赁承诺 根据与出租人签订的租赁合同，不可撤销经营租赁的最低租赁付款额如下：</w:t>
      </w:r>
    </w:p>
    <w:p>
      <w:pPr>
        <w:spacing w:line="240" w:lineRule="auto" w:before="5"/>
        <w:rPr>
          <w:rFonts w:ascii="宋体" w:hAnsi="宋体" w:cs="宋体" w:eastAsia="宋体" w:hint="default"/>
          <w:sz w:val="2"/>
          <w:szCs w:val="2"/>
        </w:rPr>
      </w:pPr>
    </w:p>
    <w:tbl>
      <w:tblPr>
        <w:tblW w:w="0" w:type="auto"/>
        <w:jc w:val="left"/>
        <w:tblInd w:w="419" w:type="dxa"/>
        <w:tblLayout w:type="fixed"/>
        <w:tblCellMar>
          <w:top w:w="0" w:type="dxa"/>
          <w:left w:w="0" w:type="dxa"/>
          <w:bottom w:w="0" w:type="dxa"/>
          <w:right w:w="0" w:type="dxa"/>
        </w:tblCellMar>
        <w:tblLook w:val="01E0"/>
      </w:tblPr>
      <w:tblGrid>
        <w:gridCol w:w="4090"/>
        <w:gridCol w:w="2096"/>
        <w:gridCol w:w="1861"/>
      </w:tblGrid>
      <w:tr>
        <w:trPr>
          <w:trHeight w:val="346" w:hRule="exact"/>
        </w:trPr>
        <w:tc>
          <w:tcPr>
            <w:tcW w:w="4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427" w:hRule="exact"/>
        </w:trPr>
        <w:tc>
          <w:tcPr>
            <w:tcW w:w="4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16,318,886.74</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18,809,534.05</w:t>
            </w:r>
          </w:p>
        </w:tc>
      </w:tr>
      <w:tr>
        <w:trPr>
          <w:trHeight w:val="349" w:hRule="exact"/>
        </w:trPr>
        <w:tc>
          <w:tcPr>
            <w:tcW w:w="4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spacing w:val="-1"/>
                <w:sz w:val="18"/>
              </w:rPr>
              <w:t>9,233,430.79</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5,685,300.45</w:t>
            </w:r>
          </w:p>
        </w:tc>
      </w:tr>
      <w:tr>
        <w:trPr>
          <w:trHeight w:val="346" w:hRule="exact"/>
        </w:trPr>
        <w:tc>
          <w:tcPr>
            <w:tcW w:w="4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7,761,050.79</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655,488.00</w:t>
            </w:r>
          </w:p>
        </w:tc>
      </w:tr>
      <w:tr>
        <w:trPr>
          <w:trHeight w:val="348" w:hRule="exact"/>
        </w:trPr>
        <w:tc>
          <w:tcPr>
            <w:tcW w:w="4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6,151,570.80</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2,367,856.00</w:t>
            </w:r>
          </w:p>
        </w:tc>
      </w:tr>
      <w:tr>
        <w:trPr>
          <w:trHeight w:val="348" w:hRule="exact"/>
        </w:trPr>
        <w:tc>
          <w:tcPr>
            <w:tcW w:w="4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39,464,939.12</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27,518,178.50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公司不存在需要披露的重要或有事项。</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十四、资产负债表日后事项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4983"/>
        <w:gridCol w:w="4585"/>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40,010,000.00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40,010,000.00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作为出租人</w:t>
      </w:r>
    </w:p>
    <w:p>
      <w:pPr>
        <w:pStyle w:val="BodyText"/>
        <w:spacing w:line="300" w:lineRule="auto" w:before="77"/>
        <w:ind w:right="986" w:firstLine="360"/>
        <w:jc w:val="left"/>
      </w:pPr>
      <w:r>
        <w:rPr>
          <w:spacing w:val="-4"/>
        </w:rPr>
        <w:t>融资租赁：于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日，未实现融资收益的余额为人民币</w:t>
      </w:r>
      <w:r>
        <w:rPr>
          <w:rFonts w:ascii="Times New Roman" w:hAnsi="Times New Roman" w:cs="Times New Roman" w:eastAsia="Times New Roman" w:hint="default"/>
          <w:spacing w:val="-4"/>
        </w:rPr>
        <w:t>453,249.04</w:t>
      </w:r>
      <w:r>
        <w:rPr>
          <w:spacing w:val="-4"/>
        </w:rPr>
        <w:t>元（</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日：人民币</w:t>
      </w:r>
      <w:r>
        <w:rPr>
          <w:rFonts w:ascii="Times New Roman" w:hAnsi="Times New Roman" w:cs="Times New Roman" w:eastAsia="Times New Roman" w:hint="default"/>
          <w:spacing w:val="-4"/>
        </w:rPr>
        <w:t>959,653.73</w:t>
      </w:r>
      <w:r>
        <w:rPr>
          <w:spacing w:val="-4"/>
        </w:rPr>
        <w:t>元），</w:t>
      </w:r>
      <w:r>
        <w:rPr/>
        <w:t> 采用实际利率法在租赁期内各个期间进行分摊。根据与承租人签订的租赁合同，不可撤销租赁的最低租赁收款额如下：</w:t>
      </w:r>
    </w:p>
    <w:p>
      <w:pPr>
        <w:spacing w:after="0" w:line="300" w:lineRule="auto"/>
        <w:jc w:val="left"/>
        <w:sectPr>
          <w:pgSz w:w="11910" w:h="16840"/>
          <w:pgMar w:header="0" w:footer="974" w:top="110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tbl>
      <w:tblPr>
        <w:tblW w:w="0" w:type="auto"/>
        <w:jc w:val="left"/>
        <w:tblInd w:w="277" w:type="dxa"/>
        <w:tblLayout w:type="fixed"/>
        <w:tblCellMar>
          <w:top w:w="0" w:type="dxa"/>
          <w:left w:w="0" w:type="dxa"/>
          <w:bottom w:w="0" w:type="dxa"/>
          <w:right w:w="0" w:type="dxa"/>
        </w:tblCellMar>
        <w:tblLook w:val="01E0"/>
      </w:tblPr>
      <w:tblGrid>
        <w:gridCol w:w="3289"/>
        <w:gridCol w:w="2410"/>
        <w:gridCol w:w="2410"/>
      </w:tblGrid>
      <w:tr>
        <w:trPr>
          <w:trHeight w:val="427" w:hRule="exact"/>
        </w:trPr>
        <w:tc>
          <w:tcPr>
            <w:tcW w:w="3289"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427" w:hRule="exact"/>
        </w:trPr>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800,000.00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27" w:hRule="exact"/>
        </w:trPr>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800,000.00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27" w:hRule="exact"/>
        </w:trPr>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800,000.00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27" w:hRule="exact"/>
        </w:trPr>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410"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27" w:hRule="exact"/>
        </w:trPr>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2,400,000.00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3,200,000.00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2"/>
        <w:spacing w:line="240" w:lineRule="auto" w:before="26"/>
        <w:ind w:right="1133"/>
        <w:jc w:val="left"/>
        <w:rPr>
          <w:b w:val="0"/>
          <w:bCs w:val="0"/>
        </w:rPr>
      </w:pPr>
      <w:r>
        <w:rPr/>
        <w:t>十五、其他重要事项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214" w:firstLine="360"/>
        <w:jc w:val="left"/>
      </w:pPr>
      <w:r>
        <w:rPr/>
        <w:t>公司依托世界领先的生物信息研发、转化和应用平台，通过基因检测、分析、解读等手段，提供完整的基因组学解决 方案，为临床行为提供诊断和治疗依据，为生命科学及医学创新提供技术和研究服务。管理层从内部组织机构、管理要 求、内部报告制度等方面考虑，认为公司内各公司的业务具有明显的相似性，因此把公司内所有公司视为一个经营分部。</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513" w:right="9133"/>
        <w:jc w:val="left"/>
      </w:pPr>
      <w:r>
        <w:rPr/>
        <w:t>产品和劳务信息 对外交易收入</w:t>
      </w:r>
    </w:p>
    <w:tbl>
      <w:tblPr>
        <w:tblW w:w="0" w:type="auto"/>
        <w:jc w:val="left"/>
        <w:tblInd w:w="465" w:type="dxa"/>
        <w:tblLayout w:type="fixed"/>
        <w:tblCellMar>
          <w:top w:w="0" w:type="dxa"/>
          <w:left w:w="0" w:type="dxa"/>
          <w:bottom w:w="0" w:type="dxa"/>
          <w:right w:w="0" w:type="dxa"/>
        </w:tblCellMar>
        <w:tblLook w:val="01E0"/>
      </w:tblPr>
      <w:tblGrid>
        <w:gridCol w:w="3101"/>
        <w:gridCol w:w="2696"/>
        <w:gridCol w:w="2408"/>
      </w:tblGrid>
      <w:tr>
        <w:trPr>
          <w:trHeight w:val="427"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42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生育健康基础研究和临床应用服务</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1,376,430,326.41</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1,138,840,573.02</w:t>
            </w:r>
          </w:p>
        </w:tc>
      </w:tr>
      <w:tr>
        <w:trPr>
          <w:trHeight w:val="42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肿瘤防控及转化医学类服务</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357,068,856.14</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229,572,378.62</w:t>
            </w:r>
          </w:p>
        </w:tc>
      </w:tr>
      <w:tr>
        <w:trPr>
          <w:trHeight w:val="42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感染防控基础研究和临床应用服务</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95,172,398.43</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63,687,443.32</w:t>
            </w:r>
          </w:p>
        </w:tc>
      </w:tr>
      <w:tr>
        <w:trPr>
          <w:trHeight w:val="42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多组学大数据服务与合成业务</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702,957,640.17</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655,528,446.23</w:t>
            </w:r>
          </w:p>
        </w:tc>
      </w:tr>
      <w:tr>
        <w:trPr>
          <w:trHeight w:val="425"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4,776,884.47</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7,915,430.25</w:t>
            </w:r>
          </w:p>
        </w:tc>
      </w:tr>
      <w:tr>
        <w:trPr>
          <w:trHeight w:val="43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right"/>
              <w:rPr>
                <w:rFonts w:ascii="Times New Roman" w:hAnsi="Times New Roman" w:cs="Times New Roman" w:eastAsia="Times New Roman" w:hint="default"/>
                <w:sz w:val="20"/>
                <w:szCs w:val="20"/>
              </w:rPr>
            </w:pPr>
            <w:r>
              <w:rPr>
                <w:rFonts w:ascii="Times New Roman"/>
                <w:spacing w:val="-1"/>
                <w:sz w:val="20"/>
              </w:rPr>
              <w:t>2,536,406,105.62</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
              <w:jc w:val="right"/>
              <w:rPr>
                <w:rFonts w:ascii="Times New Roman" w:hAnsi="Times New Roman" w:cs="Times New Roman" w:eastAsia="Times New Roman" w:hint="default"/>
                <w:sz w:val="20"/>
                <w:szCs w:val="20"/>
              </w:rPr>
            </w:pPr>
            <w:r>
              <w:rPr>
                <w:rFonts w:ascii="Times New Roman"/>
                <w:spacing w:val="-1"/>
                <w:sz w:val="20"/>
              </w:rPr>
              <w:t>2,095,544,271.44</w:t>
            </w:r>
          </w:p>
        </w:tc>
      </w:tr>
    </w:tbl>
    <w:p>
      <w:pPr>
        <w:spacing w:line="240" w:lineRule="auto" w:before="10"/>
        <w:rPr>
          <w:rFonts w:ascii="宋体" w:hAnsi="宋体" w:cs="宋体" w:eastAsia="宋体" w:hint="default"/>
          <w:sz w:val="21"/>
          <w:szCs w:val="21"/>
        </w:rPr>
      </w:pPr>
    </w:p>
    <w:p>
      <w:pPr>
        <w:pStyle w:val="BodyText"/>
        <w:spacing w:line="240" w:lineRule="auto" w:before="44"/>
        <w:ind w:left="513" w:right="1133"/>
        <w:jc w:val="left"/>
      </w:pPr>
      <w:r>
        <w:rPr/>
        <w:t>地理信息</w:t>
      </w:r>
    </w:p>
    <w:p>
      <w:pPr>
        <w:spacing w:after="0" w:line="240" w:lineRule="auto"/>
        <w:jc w:val="left"/>
        <w:sectPr>
          <w:pgSz w:w="11910" w:h="16840"/>
          <w:pgMar w:header="0" w:footer="974" w:top="1100" w:bottom="1160" w:left="980" w:right="0"/>
        </w:sectPr>
      </w:pPr>
    </w:p>
    <w:p>
      <w:pPr>
        <w:spacing w:line="240" w:lineRule="auto" w:before="0"/>
        <w:rPr>
          <w:rFonts w:ascii="宋体" w:hAnsi="宋体" w:cs="宋体" w:eastAsia="宋体" w:hint="default"/>
          <w:sz w:val="22"/>
          <w:szCs w:val="22"/>
        </w:rPr>
      </w:pPr>
    </w:p>
    <w:p>
      <w:pPr>
        <w:pStyle w:val="BodyText"/>
        <w:spacing w:line="240" w:lineRule="auto" w:before="44"/>
        <w:ind w:left="513" w:right="1133"/>
        <w:jc w:val="left"/>
      </w:pPr>
      <w:r>
        <w:rPr/>
        <w:t>对外交易收入</w:t>
      </w:r>
    </w:p>
    <w:p>
      <w:pPr>
        <w:spacing w:line="240" w:lineRule="auto" w:before="0"/>
        <w:rPr>
          <w:rFonts w:ascii="宋体" w:hAnsi="宋体" w:cs="宋体" w:eastAsia="宋体" w:hint="default"/>
          <w:sz w:val="5"/>
          <w:szCs w:val="5"/>
        </w:rPr>
      </w:pPr>
    </w:p>
    <w:tbl>
      <w:tblPr>
        <w:tblW w:w="0" w:type="auto"/>
        <w:jc w:val="left"/>
        <w:tblInd w:w="465" w:type="dxa"/>
        <w:tblLayout w:type="fixed"/>
        <w:tblCellMar>
          <w:top w:w="0" w:type="dxa"/>
          <w:left w:w="0" w:type="dxa"/>
          <w:bottom w:w="0" w:type="dxa"/>
          <w:right w:w="0" w:type="dxa"/>
        </w:tblCellMar>
        <w:tblLook w:val="01E0"/>
      </w:tblPr>
      <w:tblGrid>
        <w:gridCol w:w="3101"/>
        <w:gridCol w:w="2696"/>
        <w:gridCol w:w="2408"/>
      </w:tblGrid>
      <w:tr>
        <w:trPr>
          <w:trHeight w:val="427"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42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2,051,364,869.26</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1,596,075,469.56</w:t>
            </w:r>
          </w:p>
        </w:tc>
      </w:tr>
      <w:tr>
        <w:trPr>
          <w:trHeight w:val="42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欧洲及非洲</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191,261,735.94</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198,281,337.79</w:t>
            </w:r>
          </w:p>
        </w:tc>
      </w:tr>
      <w:tr>
        <w:trPr>
          <w:trHeight w:val="42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美洲</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137,581,231.53</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139,998,611.52</w:t>
            </w:r>
          </w:p>
        </w:tc>
      </w:tr>
      <w:tr>
        <w:trPr>
          <w:trHeight w:val="42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亚洲（不含中国大陆）</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156,198,268.89</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161,188,852.57</w:t>
            </w:r>
          </w:p>
        </w:tc>
      </w:tr>
      <w:tr>
        <w:trPr>
          <w:trHeight w:val="42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2,536,406,105.62</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2,095,544,271.44</w:t>
            </w:r>
          </w:p>
        </w:tc>
      </w:tr>
    </w:tbl>
    <w:p>
      <w:pPr>
        <w:pStyle w:val="BodyText"/>
        <w:spacing w:line="636" w:lineRule="auto" w:before="10"/>
        <w:ind w:left="513" w:right="7513"/>
        <w:jc w:val="left"/>
      </w:pPr>
      <w:r>
        <w:rPr/>
        <w:pict>
          <v:shape style="position:absolute;margin-left:72.264pt;margin-top:46.801723pt;width:411.35pt;height:128.8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01"/>
                    <w:gridCol w:w="2696"/>
                    <w:gridCol w:w="2408"/>
                  </w:tblGrid>
                  <w:tr>
                    <w:trPr>
                      <w:trHeight w:val="427"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42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left"/>
                          <w:rPr>
                            <w:rFonts w:ascii="宋体" w:hAnsi="宋体" w:cs="宋体" w:eastAsia="宋体" w:hint="default"/>
                            <w:sz w:val="20"/>
                            <w:szCs w:val="20"/>
                          </w:rPr>
                        </w:pPr>
                        <w:r>
                          <w:rPr>
                            <w:rFonts w:ascii="宋体" w:hAnsi="宋体" w:cs="宋体" w:eastAsia="宋体" w:hint="default"/>
                            <w:sz w:val="20"/>
                            <w:szCs w:val="20"/>
                          </w:rPr>
                          <w:t>中国大陆</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1,179,122,123.38</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836,334,117.38</w:t>
                        </w:r>
                      </w:p>
                    </w:tc>
                  </w:tr>
                  <w:tr>
                    <w:trPr>
                      <w:trHeight w:val="425"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left"/>
                          <w:rPr>
                            <w:rFonts w:ascii="宋体" w:hAnsi="宋体" w:cs="宋体" w:eastAsia="宋体" w:hint="default"/>
                            <w:sz w:val="20"/>
                            <w:szCs w:val="20"/>
                          </w:rPr>
                        </w:pPr>
                        <w:r>
                          <w:rPr>
                            <w:rFonts w:ascii="宋体" w:hAnsi="宋体" w:cs="宋体" w:eastAsia="宋体" w:hint="default"/>
                            <w:sz w:val="20"/>
                            <w:szCs w:val="20"/>
                          </w:rPr>
                          <w:t>香港</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189,145,024.78</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127,914,915.79</w:t>
                        </w:r>
                      </w:p>
                    </w:tc>
                  </w:tr>
                  <w:tr>
                    <w:trPr>
                      <w:trHeight w:val="42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4" w:right="0"/>
                          <w:jc w:val="left"/>
                          <w:rPr>
                            <w:rFonts w:ascii="宋体" w:hAnsi="宋体" w:cs="宋体" w:eastAsia="宋体" w:hint="default"/>
                            <w:sz w:val="20"/>
                            <w:szCs w:val="20"/>
                          </w:rPr>
                        </w:pPr>
                        <w:r>
                          <w:rPr>
                            <w:rFonts w:ascii="宋体" w:hAnsi="宋体" w:cs="宋体" w:eastAsia="宋体" w:hint="default"/>
                            <w:sz w:val="20"/>
                            <w:szCs w:val="20"/>
                          </w:rPr>
                          <w:t>美国</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5,014,832.42</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5,932,093.20</w:t>
                        </w:r>
                      </w:p>
                    </w:tc>
                  </w:tr>
                  <w:tr>
                    <w:trPr>
                      <w:trHeight w:val="42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4" w:right="0"/>
                          <w:jc w:val="left"/>
                          <w:rPr>
                            <w:rFonts w:ascii="宋体" w:hAnsi="宋体" w:cs="宋体" w:eastAsia="宋体" w:hint="default"/>
                            <w:sz w:val="20"/>
                            <w:szCs w:val="20"/>
                          </w:rPr>
                        </w:pPr>
                        <w:r>
                          <w:rPr>
                            <w:rFonts w:ascii="宋体" w:hAnsi="宋体" w:cs="宋体" w:eastAsia="宋体" w:hint="default"/>
                            <w:sz w:val="20"/>
                            <w:szCs w:val="20"/>
                          </w:rPr>
                          <w:t>欧洲</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8,988,370.89</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5,610,362.90</w:t>
                        </w:r>
                      </w:p>
                    </w:tc>
                  </w:tr>
                  <w:tr>
                    <w:trPr>
                      <w:trHeight w:val="42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1,382,270,351.47</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975,791,489.27</w:t>
                        </w:r>
                      </w:p>
                    </w:tc>
                  </w:tr>
                </w:tbl>
                <w:p>
                  <w:pPr/>
                </w:p>
              </w:txbxContent>
            </v:textbox>
            <w10:wrap type="none"/>
          </v:shape>
        </w:pict>
      </w:r>
      <w:r>
        <w:rPr/>
        <w:t>对外交易收入归属于客户所处区域。 非流动资产总额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44"/>
        <w:ind w:left="513" w:right="1133"/>
        <w:jc w:val="left"/>
      </w:pPr>
      <w:r>
        <w:rPr/>
        <w:t>非流动资产归属于该资产所处区域，不包括金融资产、长期股权投资、商誉、递延所得税资产和其他非流动资产。</w:t>
      </w:r>
    </w:p>
    <w:p>
      <w:pPr>
        <w:spacing w:line="240" w:lineRule="auto" w:before="0"/>
        <w:rPr>
          <w:rFonts w:ascii="宋体" w:hAnsi="宋体" w:cs="宋体" w:eastAsia="宋体" w:hint="default"/>
          <w:sz w:val="18"/>
          <w:szCs w:val="18"/>
        </w:rPr>
      </w:pPr>
    </w:p>
    <w:p>
      <w:pPr>
        <w:pStyle w:val="BodyText"/>
        <w:spacing w:line="240" w:lineRule="auto" w:before="153"/>
        <w:ind w:left="513" w:right="1133"/>
        <w:jc w:val="left"/>
      </w:pPr>
      <w:r>
        <w:rPr/>
        <w:t>主要客户信息</w:t>
      </w:r>
    </w:p>
    <w:p>
      <w:pPr>
        <w:pStyle w:val="BodyText"/>
        <w:spacing w:line="240" w:lineRule="auto" w:before="76"/>
        <w:ind w:left="513" w:right="1133"/>
        <w:jc w:val="left"/>
      </w:pPr>
      <w:r>
        <w:rPr>
          <w:rFonts w:ascii="Times New Roman" w:hAnsi="Times New Roman" w:cs="Times New Roman" w:eastAsia="Times New Roman" w:hint="default"/>
        </w:rPr>
        <w:t>2018</w:t>
      </w:r>
      <w:r>
        <w:rPr/>
        <w:t>年度及</w:t>
      </w:r>
      <w:r>
        <w:rPr>
          <w:rFonts w:ascii="Times New Roman" w:hAnsi="Times New Roman" w:cs="Times New Roman" w:eastAsia="Times New Roman" w:hint="default"/>
        </w:rPr>
        <w:t>2017</w:t>
      </w:r>
      <w:r>
        <w:rPr/>
        <w:t>年度，无对某一单个客户的收入达到或超过公司收入</w:t>
      </w:r>
      <w:r>
        <w:rPr>
          <w:rFonts w:ascii="Times New Roman" w:hAnsi="Times New Roman" w:cs="Times New Roman" w:eastAsia="Times New Roman" w:hint="default"/>
        </w:rPr>
        <w:t>10%</w:t>
      </w:r>
      <w:r>
        <w:rPr/>
        <w:t>。</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left="554" w:right="1133" w:firstLine="0"/>
        <w:jc w:val="left"/>
      </w:pPr>
      <w:r>
        <w:rPr>
          <w:w w:val="99"/>
        </w:rPr>
        <w:t>无</w:t>
      </w:r>
      <w:r>
        <w:rPr/>
      </w:r>
    </w:p>
    <w:p>
      <w:pPr>
        <w:spacing w:line="240" w:lineRule="auto" w:before="6"/>
        <w:rPr>
          <w:rFonts w:ascii="宋体" w:hAnsi="宋体" w:cs="宋体" w:eastAsia="宋体" w:hint="default"/>
          <w:sz w:val="24"/>
          <w:szCs w:val="24"/>
        </w:rPr>
      </w:pPr>
    </w:p>
    <w:p>
      <w:pPr>
        <w:pStyle w:val="Heading2"/>
        <w:spacing w:line="240" w:lineRule="auto"/>
        <w:ind w:right="1133"/>
        <w:jc w:val="left"/>
        <w:rPr>
          <w:b w:val="0"/>
          <w:bCs w:val="0"/>
        </w:rPr>
      </w:pPr>
      <w:r>
        <w:rPr/>
        <w:t>十六、母公司财务报表主要项目注释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4,438,584.86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4,438,584.86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0"/>
        </w:sectPr>
      </w:pPr>
    </w:p>
    <w:p>
      <w:pPr>
        <w:spacing w:line="240" w:lineRule="auto" w:before="12"/>
        <w:rPr>
          <w:rFonts w:ascii="宋体" w:hAnsi="宋体" w:cs="宋体" w:eastAsia="宋体" w:hint="default"/>
          <w:sz w:val="20"/>
          <w:szCs w:val="20"/>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635"/>
        <w:gridCol w:w="1167"/>
        <w:gridCol w:w="852"/>
        <w:gridCol w:w="1277"/>
        <w:gridCol w:w="850"/>
        <w:gridCol w:w="1133"/>
        <w:gridCol w:w="566"/>
        <w:gridCol w:w="428"/>
        <w:gridCol w:w="566"/>
        <w:gridCol w:w="566"/>
        <w:gridCol w:w="528"/>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527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20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133"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528"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799,568.79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17.90%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799,568.79</w:t>
            </w: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2,827,773.21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28,277.73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2,799,495.48</w:t>
            </w: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839,520.59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18.79%</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839,520.59</w:t>
            </w: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4,466,862.59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28,277.73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4,438,584.86</w:t>
            </w: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995"/>
        <w:gridCol w:w="1837"/>
        <w:gridCol w:w="1913"/>
        <w:gridCol w:w="1913"/>
        <w:gridCol w:w="1913"/>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799,568.79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经过减值测试，预计可 以收回</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799,568.79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113" w:space="4716"/>
            <w:col w:w="2101"/>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494"/>
        <w:gridCol w:w="2295"/>
        <w:gridCol w:w="2391"/>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2,827,773.21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28,277.73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2,827,773.21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28,277.73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57" w:lineRule="auto" w:before="51"/>
        <w:ind w:left="441" w:right="1285" w:hanging="289"/>
        <w:jc w:val="left"/>
      </w:pPr>
      <w:r>
        <w:rPr/>
        <w:t>确定该组合依据的说明： 对于单项金额重大未单独计提坏账准备及单项金额不重大未单独计提坏账准备的应收账款，公司以账龄作为信用风险</w:t>
      </w:r>
    </w:p>
    <w:p>
      <w:pPr>
        <w:pStyle w:val="BodyText"/>
        <w:spacing w:line="224" w:lineRule="exact"/>
        <w:ind w:right="1133"/>
        <w:jc w:val="left"/>
      </w:pPr>
      <w:r>
        <w:rPr/>
        <w:t>特征，并采用账龄分析法对应收账款计提坏账准备。</w:t>
      </w:r>
    </w:p>
    <w:p>
      <w:pPr>
        <w:pStyle w:val="BodyText"/>
        <w:spacing w:line="240" w:lineRule="auto" w:before="117"/>
        <w:ind w:right="1133"/>
        <w:jc w:val="left"/>
      </w:pPr>
      <w:r>
        <w:rPr/>
        <w:t>组合中，采用余额百分比法计提坏账准备的应收账款：</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2"/>
          <w:szCs w:val="22"/>
        </w:rPr>
      </w:pPr>
    </w:p>
    <w:p>
      <w:pPr>
        <w:pStyle w:val="BodyText"/>
        <w:spacing w:line="340" w:lineRule="auto" w:before="44"/>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39"/>
        <w:ind w:left="513" w:right="1133"/>
        <w:jc w:val="left"/>
      </w:pPr>
      <w:r>
        <w:rPr/>
        <w:t>无</w:t>
      </w:r>
    </w:p>
    <w:p>
      <w:pPr>
        <w:pStyle w:val="BodyText"/>
        <w:spacing w:line="240" w:lineRule="auto" w:before="117"/>
        <w:ind w:right="1133"/>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left="513" w:right="1133"/>
        <w:jc w:val="left"/>
      </w:pPr>
      <w:r>
        <w:rPr/>
        <w:t>本期计提坏账准备金额</w:t>
      </w:r>
      <w:r>
        <w:rPr>
          <w:spacing w:val="-47"/>
        </w:rPr>
        <w:t> </w:t>
      </w:r>
      <w:r>
        <w:rPr>
          <w:rFonts w:ascii="Times New Roman" w:hAnsi="Times New Roman" w:cs="Times New Roman" w:eastAsia="Times New Roman" w:hint="default"/>
        </w:rPr>
        <w:t>28,277.73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pStyle w:val="BodyText"/>
        <w:spacing w:line="316" w:lineRule="auto" w:before="101"/>
        <w:ind w:left="513" w:right="8234" w:hanging="361"/>
        <w:jc w:val="left"/>
      </w:pPr>
      <w:r>
        <w:rPr>
          <w:rFonts w:ascii="宋体" w:hAnsi="宋体" w:cs="宋体" w:eastAsia="宋体" w:hint="default"/>
        </w:rPr>
        <w:t>3)</w:t>
      </w:r>
      <w:r>
        <w:rPr/>
        <w:t>本期实际核销的应收账款情况 无</w:t>
      </w:r>
    </w:p>
    <w:p>
      <w:pPr>
        <w:pStyle w:val="BodyText"/>
        <w:spacing w:line="240" w:lineRule="auto" w:before="59"/>
        <w:ind w:right="1133"/>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1985"/>
        <w:gridCol w:w="1561"/>
        <w:gridCol w:w="1560"/>
        <w:gridCol w:w="1700"/>
        <w:gridCol w:w="1419"/>
      </w:tblGrid>
      <w:tr>
        <w:trPr>
          <w:trHeight w:val="341"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3" w:right="0"/>
              <w:jc w:val="left"/>
              <w:rPr>
                <w:rFonts w:ascii="宋体" w:hAnsi="宋体" w:cs="宋体" w:eastAsia="宋体" w:hint="default"/>
                <w:sz w:val="18"/>
                <w:szCs w:val="18"/>
              </w:rPr>
            </w:pPr>
            <w:r>
              <w:rPr>
                <w:rFonts w:ascii="宋体" w:hAnsi="宋体" w:cs="宋体" w:eastAsia="宋体" w:hint="default"/>
                <w:sz w:val="18"/>
                <w:szCs w:val="18"/>
              </w:rPr>
              <w:t>占应收账款</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20"/>
              <w:ind w:left="323" w:right="0"/>
              <w:jc w:val="left"/>
              <w:rPr>
                <w:rFonts w:ascii="宋体" w:hAnsi="宋体" w:cs="宋体" w:eastAsia="宋体" w:hint="default"/>
                <w:sz w:val="18"/>
                <w:szCs w:val="18"/>
              </w:rPr>
            </w:pPr>
            <w:r>
              <w:rPr>
                <w:rFonts w:ascii="宋体" w:hAnsi="宋体" w:cs="宋体" w:eastAsia="宋体" w:hint="default"/>
                <w:sz w:val="18"/>
                <w:szCs w:val="18"/>
              </w:rPr>
              <w:t>坏账准备金额</w:t>
            </w:r>
          </w:p>
        </w:tc>
      </w:tr>
      <w:tr>
        <w:trPr>
          <w:trHeight w:val="344" w:hRule="exact"/>
        </w:trPr>
        <w:tc>
          <w:tcPr>
            <w:tcW w:w="1985"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3" w:right="0"/>
              <w:jc w:val="left"/>
              <w:rPr>
                <w:rFonts w:ascii="宋体" w:hAnsi="宋体" w:cs="宋体" w:eastAsia="宋体" w:hint="default"/>
                <w:sz w:val="18"/>
                <w:szCs w:val="18"/>
              </w:rPr>
            </w:pPr>
            <w:r>
              <w:rPr>
                <w:rFonts w:ascii="宋体" w:hAnsi="宋体" w:cs="宋体" w:eastAsia="宋体" w:hint="default"/>
                <w:sz w:val="18"/>
                <w:szCs w:val="18"/>
              </w:rPr>
              <w:t>总额的比例</w:t>
            </w:r>
          </w:p>
        </w:tc>
        <w:tc>
          <w:tcPr>
            <w:tcW w:w="1419" w:type="dxa"/>
            <w:vMerge/>
            <w:tcBorders>
              <w:left w:val="single" w:sz="4" w:space="0" w:color="000000"/>
              <w:bottom w:val="single" w:sz="4" w:space="0" w:color="000000"/>
              <w:right w:val="single" w:sz="4" w:space="0" w:color="000000"/>
            </w:tcBorders>
          </w:tcPr>
          <w:p>
            <w:pPr/>
          </w:p>
        </w:tc>
      </w:tr>
      <w:tr>
        <w:trPr>
          <w:trHeight w:val="34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799,568.79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17.90%</w:t>
            </w: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534,034.76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11.96%</w:t>
            </w: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163,919.64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3.67%</w:t>
            </w: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128,098.19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2.87%</w:t>
            </w: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42,140.00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0.94%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09" w:right="0"/>
              <w:jc w:val="left"/>
              <w:rPr>
                <w:rFonts w:ascii="Times New Roman" w:hAnsi="Times New Roman" w:cs="Times New Roman" w:eastAsia="Times New Roman" w:hint="default"/>
                <w:sz w:val="18"/>
                <w:szCs w:val="18"/>
              </w:rPr>
            </w:pPr>
            <w:r>
              <w:rPr>
                <w:rFonts w:ascii="Times New Roman"/>
                <w:sz w:val="18"/>
              </w:rPr>
              <w:t>421.40</w:t>
            </w:r>
          </w:p>
        </w:tc>
      </w:tr>
    </w:tbl>
    <w:p>
      <w:pPr>
        <w:spacing w:line="240" w:lineRule="auto" w:before="5"/>
        <w:rPr>
          <w:rFonts w:ascii="宋体" w:hAnsi="宋体" w:cs="宋体" w:eastAsia="宋体" w:hint="default"/>
          <w:sz w:val="24"/>
          <w:szCs w:val="24"/>
        </w:rPr>
      </w:pPr>
    </w:p>
    <w:p>
      <w:pPr>
        <w:pStyle w:val="BodyText"/>
        <w:spacing w:line="338" w:lineRule="auto" w:before="44"/>
        <w:ind w:left="513" w:right="7544" w:hanging="361"/>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38" w:lineRule="auto" w:before="44"/>
        <w:ind w:left="513" w:right="6824" w:hanging="361"/>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911,824.65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1,451,120,406.75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979,613,752.33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1,540,782,231.40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979,613,752.33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1)</w:t>
      </w:r>
      <w:r>
        <w:rPr/>
        <w:t>应收利息分类</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911,824.65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911,824.65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rFonts w:ascii="Times New Roman" w:hAnsi="Times New Roman" w:cs="Times New Roman" w:eastAsia="Times New Roman" w:hint="default"/>
        </w:rPr>
        <w:t>2)</w:t>
      </w:r>
      <w:r>
        <w:rPr/>
        <w:t>重要逾期利息</w:t>
      </w:r>
    </w:p>
    <w:p>
      <w:pPr>
        <w:spacing w:after="0" w:line="240" w:lineRule="auto"/>
        <w:jc w:val="left"/>
        <w:sectPr>
          <w:pgSz w:w="11910" w:h="16840"/>
          <w:pgMar w:header="0" w:footer="974" w:top="1100" w:bottom="1160" w:left="980" w:right="0"/>
        </w:sectPr>
      </w:pPr>
    </w:p>
    <w:p>
      <w:pPr>
        <w:spacing w:line="240" w:lineRule="auto" w:before="0"/>
        <w:rPr>
          <w:rFonts w:ascii="宋体" w:hAnsi="宋体" w:cs="宋体" w:eastAsia="宋体" w:hint="default"/>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5"/>
        <w:gridCol w:w="1913"/>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73" w:right="48"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1)</w:t>
      </w:r>
      <w:r>
        <w:rPr/>
        <w:t>应收股利</w:t>
      </w:r>
    </w:p>
    <w:p>
      <w:pPr>
        <w:pStyle w:val="BodyText"/>
        <w:spacing w:line="240" w:lineRule="auto" w:before="103"/>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深圳华大临床检验中心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48,750,000.00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武汉华大医学检验所有限公司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0" w:lineRule="auto" w:before="51"/>
        <w:ind w:left="513" w:right="8085" w:hanging="361"/>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 </w:t>
      </w:r>
      <w:r>
        <w:rPr/>
        <w:t>年的应收股利</w:t>
      </w:r>
      <w:r>
        <w:rPr>
          <w:w w:val="99"/>
        </w:rPr>
        <w:t> </w:t>
      </w:r>
      <w:r>
        <w:rPr/>
        <w:t>无</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85"/>
        <w:gridCol w:w="1417"/>
        <w:gridCol w:w="710"/>
        <w:gridCol w:w="425"/>
        <w:gridCol w:w="425"/>
        <w:gridCol w:w="1419"/>
        <w:gridCol w:w="1274"/>
        <w:gridCol w:w="711"/>
        <w:gridCol w:w="425"/>
        <w:gridCol w:w="425"/>
        <w:gridCol w:w="1277"/>
      </w:tblGrid>
      <w:tr>
        <w:trPr>
          <w:trHeight w:val="396" w:hRule="exact"/>
        </w:trPr>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3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385" w:type="dxa"/>
            <w:vMerge/>
            <w:tcBorders>
              <w:left w:val="single" w:sz="4" w:space="0" w:color="000000"/>
              <w:right w:val="single" w:sz="4" w:space="0" w:color="000000"/>
            </w:tcBorders>
            <w:shd w:val="clear" w:color="auto" w:fill="D2D2D2"/>
          </w:tcPr>
          <w:p>
            <w:pP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8" w:right="24"/>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8" w:right="24"/>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9"/>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1,450,255,628.89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99.94%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1,450,255,628.89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979,105,377.95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979,105,377.95</w:t>
            </w:r>
          </w:p>
        </w:tc>
      </w:tr>
      <w:tr>
        <w:trPr>
          <w:trHeight w:val="1337"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9"/>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准备的其他应收 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864,777.86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864,777.86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508,374.38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508,374.38</w:t>
            </w:r>
          </w:p>
        </w:tc>
      </w:tr>
      <w:tr>
        <w:trPr>
          <w:trHeight w:val="403"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1,451,120,406.75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1,451,120,406.75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979,613,752.33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979,613,752.33</w:t>
            </w:r>
          </w:p>
        </w:tc>
      </w:tr>
    </w:tbl>
    <w:p>
      <w:pPr>
        <w:pStyle w:val="BodyText"/>
        <w:spacing w:line="240" w:lineRule="auto" w:before="51"/>
        <w:ind w:right="1133"/>
        <w:jc w:val="left"/>
      </w:pPr>
      <w:r>
        <w:rPr/>
        <w:t>期末单项金额重大并单项计提坏账准备的其他应收款：</w:t>
      </w:r>
    </w:p>
    <w:p>
      <w:pPr>
        <w:pStyle w:val="BodyText"/>
        <w:spacing w:line="340" w:lineRule="auto" w:before="115"/>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340" w:lineRule="auto" w:before="39"/>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组合中，采用余额百分比法计提坏账准备的其他应收款：</w:t>
      </w:r>
    </w:p>
    <w:p>
      <w:pPr>
        <w:pStyle w:val="BodyText"/>
        <w:spacing w:line="338" w:lineRule="auto" w:before="41"/>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spacing w:after="0" w:line="338" w:lineRule="auto"/>
        <w:jc w:val="left"/>
        <w:sectPr>
          <w:pgSz w:w="11910" w:h="16840"/>
          <w:pgMar w:header="0" w:footer="974" w:top="1100" w:bottom="1160" w:left="980" w:right="0"/>
        </w:sectPr>
      </w:pPr>
    </w:p>
    <w:p>
      <w:pPr>
        <w:spacing w:line="240" w:lineRule="auto" w:before="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974" w:top="1100" w:bottom="1160" w:left="980" w:right="0"/>
        </w:sectPr>
      </w:pPr>
    </w:p>
    <w:p>
      <w:pPr>
        <w:pStyle w:val="BodyText"/>
        <w:spacing w:line="240" w:lineRule="auto" w:before="44"/>
        <w:ind w:right="-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3"/>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1"/>
        <w:ind w:left="513" w:right="-13"/>
        <w:jc w:val="left"/>
      </w:pPr>
      <w:r>
        <w:rPr/>
        <w:t>本期计提坏账准备金额</w:t>
      </w:r>
      <w:r>
        <w:rPr>
          <w:spacing w:val="-47"/>
        </w:rPr>
        <w:t> </w:t>
      </w:r>
      <w:r>
        <w:rPr>
          <w:rFonts w:ascii="Times New Roman" w:hAnsi="Times New Roman" w:cs="Times New Roman" w:eastAsia="Times New Roman" w:hint="default"/>
        </w:rPr>
        <w:t>0.00 </w:t>
      </w:r>
      <w:r>
        <w:rPr/>
        <w:t>元；本期收回或转回坏账准备金额</w:t>
      </w:r>
      <w:r>
        <w:rPr>
          <w:spacing w:val="-46"/>
        </w:rPr>
        <w:t> </w:t>
      </w:r>
      <w:r>
        <w:rPr>
          <w:rFonts w:ascii="Times New Roman" w:hAnsi="Times New Roman" w:cs="Times New Roman" w:eastAsia="Times New Roman" w:hint="default"/>
        </w:rPr>
        <w:t>0.00 </w:t>
      </w:r>
      <w:r>
        <w:rPr/>
        <w:t>元。</w:t>
      </w:r>
    </w:p>
    <w:p>
      <w:pPr>
        <w:pStyle w:val="BodyText"/>
        <w:spacing w:line="316" w:lineRule="auto" w:before="103"/>
        <w:ind w:left="513" w:right="3315" w:hanging="361"/>
        <w:jc w:val="left"/>
      </w:pPr>
      <w:r>
        <w:rPr>
          <w:rFonts w:ascii="宋体" w:hAnsi="宋体" w:cs="宋体" w:eastAsia="宋体" w:hint="default"/>
        </w:rPr>
        <w:t>3)</w:t>
      </w:r>
      <w:r>
        <w:rPr/>
        <w:t>本期实际核销的其他应收款情况 无</w:t>
      </w:r>
    </w:p>
    <w:p>
      <w:pPr>
        <w:pStyle w:val="BodyText"/>
        <w:spacing w:line="240" w:lineRule="auto" w:before="59"/>
        <w:ind w:right="-13"/>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188" w:space="2641"/>
            <w:col w:w="2101"/>
          </w:cols>
        </w:sectPr>
      </w:pP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68"/>
        <w:gridCol w:w="3101"/>
        <w:gridCol w:w="3099"/>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员工业务借款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505,514.95</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443,057.48</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应收关联方款项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1,436,720,301.29</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979,105,377.95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13,535,327.60</w:t>
            </w:r>
          </w:p>
        </w:tc>
        <w:tc>
          <w:tcPr>
            <w:tcW w:w="30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359,262.91</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65,316.90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1,451,120,406.75</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979,613,752.33</w:t>
            </w:r>
          </w:p>
        </w:tc>
      </w:tr>
    </w:tbl>
    <w:p>
      <w:pPr>
        <w:pStyle w:val="BodyText"/>
        <w:spacing w:line="240" w:lineRule="auto" w:before="51"/>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683"/>
        <w:gridCol w:w="1553"/>
        <w:gridCol w:w="1550"/>
        <w:gridCol w:w="1553"/>
        <w:gridCol w:w="1616"/>
        <w:gridCol w:w="1615"/>
      </w:tblGrid>
      <w:tr>
        <w:trPr>
          <w:trHeight w:val="715"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317,555,589.46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21.88%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273,952,215.62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18.88%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207,248,265.83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14.28%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198,874,972.26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13.71%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83,160,263.92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1,080,791,307.09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74.48%</w:t>
            </w: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026"/>
        <w:gridCol w:w="1865"/>
        <w:gridCol w:w="1868"/>
        <w:gridCol w:w="1867"/>
        <w:gridCol w:w="1945"/>
      </w:tblGrid>
      <w:tr>
        <w:trPr>
          <w:trHeight w:val="713"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21"/>
          <w:szCs w:val="21"/>
        </w:rPr>
      </w:pPr>
    </w:p>
    <w:p>
      <w:pPr>
        <w:pStyle w:val="BodyText"/>
        <w:spacing w:line="316" w:lineRule="auto" w:before="44"/>
        <w:ind w:left="513" w:right="7334" w:hanging="361"/>
        <w:jc w:val="left"/>
      </w:pPr>
      <w:r>
        <w:rPr>
          <w:rFonts w:ascii="宋体" w:hAnsi="宋体" w:cs="宋体" w:eastAsia="宋体" w:hint="default"/>
        </w:rPr>
        <w:t>7)</w:t>
      </w:r>
      <w:r>
        <w:rPr/>
        <w:t>因金融资产转移而终止确认的其他应收款 无</w:t>
      </w:r>
    </w:p>
    <w:p>
      <w:pPr>
        <w:pStyle w:val="BodyText"/>
        <w:spacing w:line="340" w:lineRule="auto" w:before="59"/>
        <w:ind w:left="513" w:right="6644" w:hanging="361"/>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368"/>
        <w:gridCol w:w="1369"/>
        <w:gridCol w:w="1366"/>
        <w:gridCol w:w="1368"/>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3,005,871,166.21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3,005,871,166.21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2,987,319,931.21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2,987,319,931.21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6,951,495.67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6,951,495.67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465,081.11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465,081.11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3,012,822,661.88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3,012,822,661.88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2,987,785,012.32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2,987,785,012.32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448"/>
        <w:gridCol w:w="1335"/>
        <w:gridCol w:w="1337"/>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上海华大基因科 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16,576,742.23</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16,576,742.23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北京华大优康科 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9,720,608.00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9,720,608.00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武汉华大医学检 验所有限公司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325,000,001.00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325,000,001.00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南京华大基因科 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19,033,750.00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19,033,750.00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北京华大医学检 验所有限公司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本溪华大医学检 验所有限公司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6"/>
              <w:ind w:left="24" w:right="272"/>
              <w:jc w:val="left"/>
              <w:rPr>
                <w:rFonts w:ascii="Times New Roman" w:hAnsi="Times New Roman" w:cs="Times New Roman" w:eastAsia="Times New Roman" w:hint="default"/>
                <w:sz w:val="18"/>
                <w:szCs w:val="18"/>
              </w:rPr>
            </w:pPr>
            <w:r>
              <w:rPr>
                <w:rFonts w:ascii="Times New Roman"/>
                <w:sz w:val="18"/>
              </w:rPr>
              <w:t>BGI</w:t>
            </w:r>
            <w:r>
              <w:rPr>
                <w:rFonts w:ascii="Times New Roman"/>
                <w:spacing w:val="-1"/>
                <w:sz w:val="18"/>
              </w:rPr>
              <w:t> </w:t>
            </w:r>
            <w:r>
              <w:rPr>
                <w:rFonts w:ascii="Times New Roman"/>
                <w:spacing w:val="-3"/>
                <w:sz w:val="18"/>
              </w:rPr>
              <w:t>HEALTH</w:t>
            </w:r>
            <w:r>
              <w:rPr>
                <w:rFonts w:ascii="Times New Roman"/>
                <w:w w:val="99"/>
                <w:sz w:val="18"/>
              </w:rPr>
              <w:t> </w:t>
            </w:r>
            <w:r>
              <w:rPr>
                <w:rFonts w:ascii="Times New Roman"/>
                <w:sz w:val="18"/>
              </w:rPr>
              <w:t>(HK) CO.,</w:t>
            </w:r>
            <w:r>
              <w:rPr>
                <w:rFonts w:ascii="Times New Roman"/>
                <w:spacing w:val="-2"/>
                <w:sz w:val="18"/>
              </w:rPr>
              <w:t> </w:t>
            </w:r>
            <w:r>
              <w:rPr>
                <w:rFonts w:ascii="Times New Roman"/>
                <w:spacing w:val="-7"/>
                <w:sz w:val="18"/>
              </w:rPr>
              <w:t>LTD</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36,090,815.00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13,551,235.00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49,642,050.00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天津华大基因科 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17,536,894.85</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17,536,894.85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天津华大医学检 验所有限公司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170,412,939.62</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170,412,939.62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53"/>
              <w:jc w:val="left"/>
              <w:rPr>
                <w:rFonts w:ascii="宋体" w:hAnsi="宋体" w:cs="宋体" w:eastAsia="宋体" w:hint="default"/>
                <w:sz w:val="18"/>
                <w:szCs w:val="18"/>
              </w:rPr>
            </w:pPr>
            <w:r>
              <w:rPr>
                <w:rFonts w:ascii="宋体" w:hAnsi="宋体" w:cs="宋体" w:eastAsia="宋体" w:hint="default"/>
                <w:sz w:val="18"/>
                <w:szCs w:val="18"/>
              </w:rPr>
              <w:t>深圳华大临床检 验中心</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114,218,595.80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114,218,595.80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both"/>
              <w:rPr>
                <w:rFonts w:ascii="宋体" w:hAnsi="宋体" w:cs="宋体" w:eastAsia="宋体" w:hint="default"/>
                <w:sz w:val="18"/>
                <w:szCs w:val="18"/>
              </w:rPr>
            </w:pPr>
            <w:r>
              <w:rPr>
                <w:rFonts w:ascii="宋体" w:hAnsi="宋体" w:cs="宋体" w:eastAsia="宋体" w:hint="default"/>
                <w:sz w:val="18"/>
                <w:szCs w:val="18"/>
              </w:rPr>
              <w:t>广州华大基因医 学检验所有限公 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深圳华大基因科 技服务有限公司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2,189,170,915.80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2,189,170,915.80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潍坊华大基因健 康科技有限公司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云南华大基因医 学有限公司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448"/>
        <w:gridCol w:w="1335"/>
        <w:gridCol w:w="1337"/>
        <w:gridCol w:w="1335"/>
        <w:gridCol w:w="1334"/>
        <w:gridCol w:w="1390"/>
        <w:gridCol w:w="1390"/>
      </w:tblGrid>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华大生物科技</w:t>
            </w:r>
          </w:p>
          <w:p>
            <w:pPr>
              <w:pStyle w:val="TableParagraph"/>
              <w:spacing w:line="316" w:lineRule="auto" w:before="76"/>
              <w:ind w:left="24" w:right="153"/>
              <w:jc w:val="left"/>
              <w:rPr>
                <w:rFonts w:ascii="宋体" w:hAnsi="宋体" w:cs="宋体" w:eastAsia="宋体" w:hint="default"/>
                <w:sz w:val="18"/>
                <w:szCs w:val="18"/>
              </w:rPr>
            </w:pPr>
            <w:r>
              <w:rPr>
                <w:rFonts w:ascii="宋体" w:hAnsi="宋体" w:cs="宋体" w:eastAsia="宋体" w:hint="default"/>
                <w:sz w:val="18"/>
                <w:szCs w:val="18"/>
              </w:rPr>
              <w:t>（武汉）有限公 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19,835,995.57</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19,835,995.57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both"/>
              <w:rPr>
                <w:rFonts w:ascii="宋体" w:hAnsi="宋体" w:cs="宋体" w:eastAsia="宋体" w:hint="default"/>
                <w:sz w:val="18"/>
                <w:szCs w:val="18"/>
              </w:rPr>
            </w:pPr>
            <w:r>
              <w:rPr>
                <w:rFonts w:ascii="宋体" w:hAnsi="宋体" w:cs="宋体" w:eastAsia="宋体" w:hint="default"/>
                <w:sz w:val="18"/>
                <w:szCs w:val="18"/>
              </w:rPr>
              <w:t>深圳华大基因生 物医学工程有限 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12,431,955.96</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12,431,955.96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BGI Europe</w:t>
            </w:r>
            <w:r>
              <w:rPr>
                <w:rFonts w:ascii="Times New Roman"/>
                <w:spacing w:val="-13"/>
                <w:sz w:val="18"/>
              </w:rPr>
              <w:t> </w:t>
            </w:r>
            <w:r>
              <w:rPr>
                <w:rFonts w:ascii="Times New Roman"/>
                <w:sz w:val="18"/>
              </w:rPr>
              <w:t>A/S</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2,370,717.38</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2,370,717.38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both"/>
              <w:rPr>
                <w:rFonts w:ascii="宋体" w:hAnsi="宋体" w:cs="宋体" w:eastAsia="宋体" w:hint="default"/>
                <w:sz w:val="18"/>
                <w:szCs w:val="18"/>
              </w:rPr>
            </w:pPr>
            <w:r>
              <w:rPr>
                <w:rFonts w:ascii="宋体" w:hAnsi="宋体" w:cs="宋体" w:eastAsia="宋体" w:hint="default"/>
                <w:sz w:val="18"/>
                <w:szCs w:val="18"/>
              </w:rPr>
              <w:t>青岛华大精准医 学管理中心有限 公司</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河北华大医学检 验实验室有限公 司</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2,987,319,931.21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18,551,235.00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3,005,871,166.21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960"/>
        <w:gridCol w:w="991"/>
        <w:gridCol w:w="1136"/>
        <w:gridCol w:w="425"/>
        <w:gridCol w:w="991"/>
        <w:gridCol w:w="708"/>
        <w:gridCol w:w="710"/>
        <w:gridCol w:w="850"/>
        <w:gridCol w:w="708"/>
        <w:gridCol w:w="428"/>
        <w:gridCol w:w="1133"/>
        <w:gridCol w:w="533"/>
      </w:tblGrid>
      <w:tr>
        <w:trPr>
          <w:trHeight w:val="402" w:hRule="exact"/>
        </w:trPr>
        <w:tc>
          <w:tcPr>
            <w:tcW w:w="9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81" w:right="79"/>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026" w:hRule="exact"/>
        </w:trPr>
        <w:tc>
          <w:tcPr>
            <w:tcW w:w="960"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1" w:right="77"/>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4"/>
              <w:jc w:val="both"/>
              <w:rPr>
                <w:rFonts w:ascii="宋体" w:hAnsi="宋体" w:cs="宋体" w:eastAsia="宋体" w:hint="default"/>
                <w:sz w:val="18"/>
                <w:szCs w:val="18"/>
              </w:rPr>
            </w:pPr>
            <w:r>
              <w:rPr>
                <w:rFonts w:ascii="宋体" w:hAnsi="宋体" w:cs="宋体" w:eastAsia="宋体" w:hint="default"/>
                <w:sz w:val="18"/>
                <w:szCs w:val="18"/>
              </w:rPr>
              <w:t>山东泰山华 大医学检验 所有限公司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7,000,000.00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-48,504.33</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6,951,495.67</w:t>
            </w: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深圳市同并 相联科技有 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465,081.11</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-465,081.11</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465,081.11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1" w:right="0"/>
              <w:jc w:val="center"/>
              <w:rPr>
                <w:rFonts w:ascii="Times New Roman" w:hAnsi="Times New Roman" w:cs="Times New Roman" w:eastAsia="Times New Roman" w:hint="default"/>
                <w:sz w:val="18"/>
                <w:szCs w:val="18"/>
              </w:rPr>
            </w:pPr>
            <w:r>
              <w:rPr>
                <w:rFonts w:ascii="Times New Roman"/>
                <w:sz w:val="18"/>
              </w:rPr>
              <w:t>7,000,000.00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-513,585.44</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6,951,495.67</w:t>
            </w: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465,081.11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 w:right="0"/>
              <w:jc w:val="center"/>
              <w:rPr>
                <w:rFonts w:ascii="Times New Roman" w:hAnsi="Times New Roman" w:cs="Times New Roman" w:eastAsia="Times New Roman" w:hint="default"/>
                <w:sz w:val="18"/>
                <w:szCs w:val="18"/>
              </w:rPr>
            </w:pPr>
            <w:r>
              <w:rPr>
                <w:rFonts w:ascii="Times New Roman"/>
                <w:sz w:val="18"/>
              </w:rPr>
              <w:t>7,000,000.00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-513,585.44</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6,951,495.67</w:t>
            </w:r>
          </w:p>
        </w:tc>
        <w:tc>
          <w:tcPr>
            <w:tcW w:w="5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0" w:footer="974" w:top="1100" w:bottom="1160" w:left="980" w:right="0"/>
        </w:sectPr>
      </w:pP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995"/>
        <w:gridCol w:w="1837"/>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18,377,746.17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6,590,959.23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2,466,787.44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1,259,524.57</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268,953,917.00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179,471,189.93</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287,331,663.17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6,590,959.23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181,937,977.37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1,259,524.57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-513,585.44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-1,074,033.71</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子公司分红</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103,683,692.96</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23,411,730.13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65,294,939.81</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249,898,144.69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167,904,599.06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4" w:right="9851"/>
        <w:jc w:val="center"/>
      </w:pPr>
      <w:r>
        <w:rPr/>
        <w:t>无</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325"/>
        <w:gridCol w:w="3058"/>
        <w:gridCol w:w="3188"/>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-76,843.75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38,557,417.24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43,865,672.97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5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2,088,460.93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-3,665,818.69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8,897,267.97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处置联营公司股权产生的投资收益</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10,598,347.37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1,598,559.59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77,469,249.71</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4" w:top="1100" w:bottom="1160" w:left="980" w:right="0"/>
        </w:sectPr>
      </w:pPr>
    </w:p>
    <w:p>
      <w:pPr>
        <w:spacing w:line="240" w:lineRule="auto" w:before="0"/>
        <w:rPr>
          <w:rFonts w:ascii="宋体" w:hAnsi="宋体" w:cs="宋体" w:eastAsia="宋体" w:hint="default"/>
          <w:sz w:val="22"/>
          <w:szCs w:val="22"/>
        </w:rPr>
      </w:pPr>
    </w:p>
    <w:p>
      <w:pPr>
        <w:pStyle w:val="BodyText"/>
        <w:spacing w:line="240" w:lineRule="auto" w:before="44"/>
        <w:ind w:left="513" w:right="1133"/>
        <w:jc w:val="left"/>
      </w:pPr>
      <w:r>
        <w:rPr/>
        <w:t>对公司根据《公开发行证券的公司信息披露解释性公告第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非经常性损益》定义界定的非经常性损益项目，以</w:t>
      </w:r>
    </w:p>
    <w:p>
      <w:pPr>
        <w:pStyle w:val="BodyText"/>
        <w:spacing w:line="300" w:lineRule="auto" w:before="63"/>
        <w:ind w:right="1216"/>
        <w:jc w:val="left"/>
      </w:pPr>
      <w:r>
        <w:rPr/>
        <w:t>及把《公开发行证券的公司信息披露解释性公告第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非经常性损益》中列举的非经常性损益项目界定为经常性损益 的项目，应说明原因。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2663"/>
        <w:gridCol w:w="3080"/>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0"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0.97</w:t>
            </w:r>
          </w:p>
        </w:tc>
      </w:tr>
      <w:tr>
        <w:trPr>
          <w:trHeight w:val="71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0.77</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59" w:lineRule="auto"/>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4" w:right="9851"/>
        <w:jc w:val="center"/>
      </w:pPr>
      <w:r>
        <w:rPr/>
        <w:t>无</w:t>
      </w:r>
    </w:p>
    <w:p>
      <w:pPr>
        <w:spacing w:after="0" w:line="240" w:lineRule="auto"/>
        <w:jc w:val="center"/>
        <w:sectPr>
          <w:pgSz w:w="11910" w:h="16840"/>
          <w:pgMar w:header="0" w:footer="974"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285" w:right="1133"/>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9"/>
        <w:rPr>
          <w:rFonts w:ascii="宋体" w:hAnsi="宋体" w:cs="宋体" w:eastAsia="宋体" w:hint="default"/>
          <w:b/>
          <w:bCs/>
          <w:sz w:val="42"/>
          <w:szCs w:val="42"/>
        </w:rPr>
      </w:pPr>
    </w:p>
    <w:p>
      <w:pPr>
        <w:pStyle w:val="BodyText"/>
        <w:spacing w:line="439" w:lineRule="auto"/>
        <w:ind w:left="513" w:right="3013"/>
        <w:jc w:val="left"/>
      </w:pPr>
      <w:r>
        <w:rPr/>
        <w:t>一、载有公司法定代表人、主管会计工作的负责人与会计机构负责人签名并盖章的财务报表。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2018</w:t>
      </w:r>
      <w:r>
        <w:rPr/>
        <w:t>年年度报告文本原件。</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6"/>
          <w:szCs w:val="16"/>
        </w:rPr>
      </w:pPr>
    </w:p>
    <w:p>
      <w:pPr>
        <w:pStyle w:val="BodyText"/>
        <w:spacing w:line="240" w:lineRule="auto"/>
        <w:ind w:left="513" w:right="1133"/>
        <w:jc w:val="left"/>
      </w:pPr>
      <w:r>
        <w:rPr/>
        <w:t>以上备查文件的备置地点：深圳华大基因股份有限公司证券部办公室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18"/>
        <w:ind w:left="0" w:right="1131"/>
        <w:jc w:val="right"/>
      </w:pPr>
      <w:r>
        <w:rPr/>
        <w:t>深圳华大基因股份有限公司</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left="0" w:right="1131"/>
        <w:jc w:val="right"/>
      </w:pPr>
      <w:r>
        <w:rPr/>
        <w:t>法定代表人：尹烨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left="0" w:right="1220"/>
        <w:jc w:val="righ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w:t>
      </w:r>
    </w:p>
    <w:sectPr>
      <w:pgSz w:w="11910" w:h="16840"/>
      <w:pgMar w:header="0" w:footer="974"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Light">
    <w:altName w:val="等线 Light"/>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98232" type="#_x0000_t75" stroked="false">
          <v:imagedata r:id="rId1" o:title=""/>
        </v:shape>
      </w:pict>
    </w:r>
    <w:r>
      <w:rPr/>
      <w:pict>
        <v:shape style="position:absolute;margin-left:533.099976pt;margin-top:795.87793pt;width:6.5pt;height:11pt;mso-position-horizontal-relative:page;mso-position-vertical-relative:page;z-index:-13982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97608" type="#_x0000_t75" stroked="false">
          <v:imagedata r:id="rId1" o:title=""/>
        </v:shape>
      </w:pict>
    </w:r>
    <w:r>
      <w:rPr/>
      <w:pict>
        <v:shape style="position:absolute;margin-left:523.099976pt;margin-top:782.197937pt;width:17.7pt;height:11pt;mso-position-horizontal-relative:page;mso-position-vertical-relative:page;z-index:-13975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114</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97536" type="#_x0000_t75" stroked="false">
          <v:imagedata r:id="rId1" o:title=""/>
        </v:shape>
      </w:pict>
    </w:r>
    <w:r>
      <w:rPr/>
      <w:pict>
        <v:shape style="position:absolute;margin-left:754.47998pt;margin-top:535.573914pt;width:17.7pt;height:11pt;mso-position-horizontal-relative:page;mso-position-vertical-relative:page;z-index:-1397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164</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97440" type="#_x0000_t75" stroked="false">
          <v:imagedata r:id="rId1" o:title=""/>
        </v:shape>
      </w:pict>
    </w:r>
    <w:r>
      <w:rPr/>
      <w:pict>
        <v:shape style="position:absolute;margin-left:523.099976pt;margin-top:782.197937pt;width:17.7pt;height:11pt;mso-position-horizontal-relative:page;mso-position-vertical-relative:page;z-index:-1397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171</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97392" type="#_x0000_t75" stroked="false">
          <v:imagedata r:id="rId1" o:title=""/>
        </v:shape>
      </w:pict>
    </w:r>
    <w:r>
      <w:rPr/>
      <w:pict>
        <v:shape style="position:absolute;margin-left:523.099976pt;margin-top:782.197937pt;width:17.7pt;height:11pt;mso-position-horizontal-relative:page;mso-position-vertical-relative:page;z-index:-1397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195</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97344" type="#_x0000_t75" stroked="false">
          <v:imagedata r:id="rId1" o:title=""/>
        </v:shape>
      </w:pict>
    </w:r>
    <w:r>
      <w:rPr/>
      <w:pict>
        <v:shape style="position:absolute;margin-left:523.099976pt;margin-top:782.197937pt;width:17.7pt;height:11pt;mso-position-horizontal-relative:page;mso-position-vertical-relative:page;z-index:-1397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200</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97296" type="#_x0000_t75" stroked="false">
          <v:imagedata r:id="rId1" o:title=""/>
        </v:shape>
      </w:pict>
    </w:r>
    <w:r>
      <w:rPr/>
      <w:pict>
        <v:shape style="position:absolute;margin-left:523.099976pt;margin-top:782.197937pt;width:17.7pt;height:11pt;mso-position-horizontal-relative:page;mso-position-vertical-relative:page;z-index:-1397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205</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98184" type="#_x0000_t75" stroked="false">
          <v:imagedata r:id="rId1" o:title=""/>
        </v:shape>
      </w:pict>
    </w:r>
    <w:r>
      <w:rPr/>
      <w:pict>
        <v:shape style="position:absolute;margin-left:527.659973pt;margin-top:782.197937pt;width:13.15pt;height:11pt;mso-position-horizontal-relative:page;mso-position-vertical-relative:page;z-index:-1398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97248" type="#_x0000_t75" stroked="false">
          <v:imagedata r:id="rId1" o:title=""/>
        </v:shape>
      </w:pict>
    </w:r>
    <w:r>
      <w:rPr/>
      <w:pict>
        <v:shape style="position:absolute;margin-left:523.099976pt;margin-top:782.197937pt;width:17.7pt;height:11pt;mso-position-horizontal-relative:page;mso-position-vertical-relative:page;z-index:-1397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208</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97200" type="#_x0000_t75" stroked="false">
          <v:imagedata r:id="rId1" o:title=""/>
        </v:shape>
      </w:pict>
    </w:r>
    <w:r>
      <w:rPr/>
      <w:pict>
        <v:shape style="position:absolute;margin-left:523.099976pt;margin-top:782.197937pt;width:17.7pt;height:11pt;mso-position-horizontal-relative:page;mso-position-vertical-relative:page;z-index:-1397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212</w:t>
                </w:r>
                <w:r>
                  <w:rPr/>
                  <w:fldChar w:fldCharType="end"/>
                </w:r>
                <w:r>
                  <w:rPr>
                    <w:rFonts w:ascii="Times New Roman"/>
                    <w:spacing w:val="1"/>
                  </w:rPr>
                </w:r>
                <w:r>
                  <w:rPr>
                    <w:rFonts w:ascii="Times New Roman"/>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97152" type="#_x0000_t75" stroked="false">
          <v:imagedata r:id="rId1" o:title=""/>
        </v:shape>
      </w:pict>
    </w:r>
    <w:r>
      <w:rPr/>
      <w:pict>
        <v:shape style="position:absolute;margin-left:523.099976pt;margin-top:782.197937pt;width:17.7pt;height:11pt;mso-position-horizontal-relative:page;mso-position-vertical-relative:page;z-index:-1397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248</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98112" type="#_x0000_t75" stroked="false">
          <v:imagedata r:id="rId1" o:title=""/>
        </v:shape>
      </w:pict>
    </w:r>
    <w:r>
      <w:rPr/>
      <w:pict>
        <v:shape style="position:absolute;margin-left:759.039978pt;margin-top:535.573914pt;width:13.15pt;height:11pt;mso-position-horizontal-relative:page;mso-position-vertical-relative:page;z-index:-1398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98016" type="#_x0000_t75" stroked="false">
          <v:imagedata r:id="rId1" o:title=""/>
        </v:shape>
      </w:pict>
    </w:r>
    <w:r>
      <w:rPr/>
      <w:pict>
        <v:shape style="position:absolute;margin-left:527.659973pt;margin-top:782.197937pt;width:13.15pt;height:11pt;mso-position-horizontal-relative:page;mso-position-vertical-relative:page;z-index:-1397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72</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2.197937pt;width:17.7pt;height:11pt;mso-position-horizontal-relative:page;mso-position-vertical-relative:page;z-index:-13979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97944" type="#_x0000_t75" stroked="false">
          <v:imagedata r:id="rId1" o:title=""/>
        </v:shape>
      </w:pict>
    </w:r>
    <w:r>
      <w:rPr/>
      <w:pict>
        <v:shape style="position:absolute;margin-left:523.099976pt;margin-top:782.197937pt;width:17.7pt;height:11pt;mso-position-horizontal-relative:page;mso-position-vertical-relative:page;z-index:-1397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97872" type="#_x0000_t75" stroked="false">
          <v:imagedata r:id="rId1" o:title=""/>
        </v:shape>
      </w:pict>
    </w:r>
    <w:r>
      <w:rPr/>
      <w:pict>
        <v:shape style="position:absolute;margin-left:754.47998pt;margin-top:535.573914pt;width:17.7pt;height:11pt;mso-position-horizontal-relative:page;mso-position-vertical-relative:page;z-index:-1397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103</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97776" type="#_x0000_t75" stroked="false">
          <v:imagedata r:id="rId1" o:title=""/>
        </v:shape>
      </w:pict>
    </w:r>
    <w:r>
      <w:rPr/>
      <w:pict>
        <v:shape style="position:absolute;margin-left:523.099976pt;margin-top:782.197937pt;width:17.7pt;height:11pt;mso-position-horizontal-relative:page;mso-position-vertical-relative:page;z-index:-1397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105</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397704" type="#_x0000_t75" stroked="false">
          <v:imagedata r:id="rId1" o:title=""/>
        </v:shape>
      </w:pict>
    </w:r>
    <w:r>
      <w:rPr/>
      <w:pict>
        <v:shape style="position:absolute;margin-left:754.47998pt;margin-top:535.573914pt;width:17.7pt;height:11pt;mso-position-horizontal-relative:page;mso-position-vertical-relative:page;z-index:-1397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107</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385609pt;width:195.75pt;height:11.5pt;mso-position-horizontal-relative:page;mso-position-vertical-relative:page;z-index:-1398256" type="#_x0000_t202" filled="false" stroked="false">
          <v:textbox inset="0,0,0,0">
            <w:txbxContent>
              <w:p>
                <w:pPr>
                  <w:pStyle w:val="BodyText"/>
                  <w:spacing w:line="214" w:lineRule="exact"/>
                  <w:ind w:left="20" w:right="0"/>
                  <w:jc w:val="left"/>
                </w:pPr>
                <w:r>
                  <w:rPr/>
                  <w:t>深圳华大基因股份有限公司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985634pt;width:195.7pt;height:11.5pt;mso-position-horizontal-relative:page;mso-position-vertical-relative:page;z-index:-1398136" type="#_x0000_t202" filled="false" stroked="false">
          <v:textbox inset="0,0,0,0">
            <w:txbxContent>
              <w:p>
                <w:pPr>
                  <w:pStyle w:val="BodyText"/>
                  <w:spacing w:line="214" w:lineRule="exact"/>
                  <w:ind w:left="20" w:right="0"/>
                  <w:jc w:val="left"/>
                </w:pPr>
                <w:r>
                  <w:rPr/>
                  <w:t>深圳华大基因股份有限公司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3980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985607pt;width:195.75pt;height:11.5pt;mso-position-horizontal-relative:page;mso-position-vertical-relative:page;z-index:-1398040" type="#_x0000_t202" filled="false" stroked="false">
          <v:textbox inset="0,0,0,0">
            <w:txbxContent>
              <w:p>
                <w:pPr>
                  <w:pStyle w:val="BodyText"/>
                  <w:spacing w:line="214" w:lineRule="exact"/>
                  <w:ind w:left="20" w:right="0"/>
                  <w:jc w:val="left"/>
                </w:pPr>
                <w:r>
                  <w:rPr/>
                  <w:t>深圳华大基因股份有限公司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985634pt;width:195.7pt;height:11.5pt;mso-position-horizontal-relative:page;mso-position-vertical-relative:page;z-index:-1397896" type="#_x0000_t202" filled="false" stroked="false">
          <v:textbox inset="0,0,0,0">
            <w:txbxContent>
              <w:p>
                <w:pPr>
                  <w:pStyle w:val="BodyText"/>
                  <w:spacing w:line="214" w:lineRule="exact"/>
                  <w:ind w:left="20" w:right="0"/>
                  <w:jc w:val="left"/>
                </w:pPr>
                <w:r>
                  <w:rPr/>
                  <w:t>深圳华大基因股份有限公司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3978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985607pt;width:195.75pt;height:11.5pt;mso-position-horizontal-relative:page;mso-position-vertical-relative:page;z-index:-1397800" type="#_x0000_t202" filled="false" stroked="false">
          <v:textbox inset="0,0,0,0">
            <w:txbxContent>
              <w:p>
                <w:pPr>
                  <w:pStyle w:val="BodyText"/>
                  <w:spacing w:line="214" w:lineRule="exact"/>
                  <w:ind w:left="20" w:right="0"/>
                  <w:jc w:val="left"/>
                </w:pPr>
                <w:r>
                  <w:rPr/>
                  <w:t>深圳华大基因股份有限公司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985634pt;width:195.7pt;height:11.5pt;mso-position-horizontal-relative:page;mso-position-vertical-relative:page;z-index:-1397728" type="#_x0000_t202" filled="false" stroked="false">
          <v:textbox inset="0,0,0,0">
            <w:txbxContent>
              <w:p>
                <w:pPr>
                  <w:pStyle w:val="BodyText"/>
                  <w:spacing w:line="214" w:lineRule="exact"/>
                  <w:ind w:left="20" w:right="0"/>
                  <w:jc w:val="left"/>
                </w:pPr>
                <w:r>
                  <w:rPr/>
                  <w:t>深圳华大基因股份有限公司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3976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985607pt;width:195.75pt;height:11.5pt;mso-position-horizontal-relative:page;mso-position-vertical-relative:page;z-index:-1397632" type="#_x0000_t202" filled="false" stroked="false">
          <v:textbox inset="0,0,0,0">
            <w:txbxContent>
              <w:p>
                <w:pPr>
                  <w:pStyle w:val="BodyText"/>
                  <w:spacing w:line="214" w:lineRule="exact"/>
                  <w:ind w:left="20" w:right="0"/>
                  <w:jc w:val="left"/>
                </w:pPr>
                <w:r>
                  <w:rPr/>
                  <w:t>深圳华大基因股份有限公司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985634pt;width:195.7pt;height:11.5pt;mso-position-horizontal-relative:page;mso-position-vertical-relative:page;z-index:-1397560" type="#_x0000_t202" filled="false" stroked="false">
          <v:textbox inset="0,0,0,0">
            <w:txbxContent>
              <w:p>
                <w:pPr>
                  <w:pStyle w:val="BodyText"/>
                  <w:spacing w:line="214" w:lineRule="exact"/>
                  <w:ind w:left="20" w:right="0"/>
                  <w:jc w:val="left"/>
                </w:pPr>
                <w:r>
                  <w:rPr/>
                  <w:t>深圳华大基因股份有限公司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3974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985607pt;width:195.75pt;height:11.5pt;mso-position-horizontal-relative:page;mso-position-vertical-relative:page;z-index:-1397464" type="#_x0000_t202" filled="false" stroked="false">
          <v:textbox inset="0,0,0,0">
            <w:txbxContent>
              <w:p>
                <w:pPr>
                  <w:pStyle w:val="BodyText"/>
                  <w:spacing w:line="214" w:lineRule="exact"/>
                  <w:ind w:left="20" w:right="0"/>
                  <w:jc w:val="left"/>
                </w:pPr>
                <w:r>
                  <w:rPr/>
                  <w:t>深圳华大基因股份有限公司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3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firstLine="324"/>
      <w:outlineLvl w:val="4"/>
    </w:pPr>
    <w:rPr>
      <w:rFonts w:ascii="宋体" w:hAnsi="宋体" w:eastAsia="宋体"/>
      <w:sz w:val="20"/>
      <w:szCs w:val="20"/>
    </w:rPr>
  </w:style>
  <w:style w:styleId="Heading5" w:type="paragraph">
    <w:name w:val="Heading 5"/>
    <w:basedOn w:val="Normal"/>
    <w:uiPriority w:val="1"/>
    <w:qFormat/>
    <w:pPr>
      <w:spacing w:before="44"/>
      <w:ind w:left="51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bgi.com/" TargetMode="External"/><Relationship Id="rId11" Type="http://schemas.openxmlformats.org/officeDocument/2006/relationships/hyperlink" Target="mailto:ir@bgi.com"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eader" Target="header2.xml"/><Relationship Id="rId22" Type="http://schemas.openxmlformats.org/officeDocument/2006/relationships/footer" Target="footer3.xml"/><Relationship Id="rId23" Type="http://schemas.openxmlformats.org/officeDocument/2006/relationships/header" Target="header3.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image" Target="media/image1.jpeg"/><Relationship Id="rId27" Type="http://schemas.openxmlformats.org/officeDocument/2006/relationships/footer" Target="footer6.xml"/><Relationship Id="rId28" Type="http://schemas.openxmlformats.org/officeDocument/2006/relationships/header" Target="header4.xml"/><Relationship Id="rId29" Type="http://schemas.openxmlformats.org/officeDocument/2006/relationships/footer" Target="footer7.xml"/><Relationship Id="rId30" Type="http://schemas.openxmlformats.org/officeDocument/2006/relationships/header" Target="header5.xml"/><Relationship Id="rId31" Type="http://schemas.openxmlformats.org/officeDocument/2006/relationships/footer" Target="footer8.xml"/><Relationship Id="rId32" Type="http://schemas.openxmlformats.org/officeDocument/2006/relationships/header" Target="header6.xml"/><Relationship Id="rId33" Type="http://schemas.openxmlformats.org/officeDocument/2006/relationships/footer" Target="footer9.xml"/><Relationship Id="rId34" Type="http://schemas.openxmlformats.org/officeDocument/2006/relationships/header" Target="header7.xml"/><Relationship Id="rId35" Type="http://schemas.openxmlformats.org/officeDocument/2006/relationships/footer" Target="footer10.xml"/><Relationship Id="rId36" Type="http://schemas.openxmlformats.org/officeDocument/2006/relationships/image" Target="media/image12.png"/><Relationship Id="rId37" Type="http://schemas.openxmlformats.org/officeDocument/2006/relationships/header" Target="header8.xml"/><Relationship Id="rId38" Type="http://schemas.openxmlformats.org/officeDocument/2006/relationships/footer" Target="footer11.xml"/><Relationship Id="rId39" Type="http://schemas.openxmlformats.org/officeDocument/2006/relationships/header" Target="header9.xml"/><Relationship Id="rId40" Type="http://schemas.openxmlformats.org/officeDocument/2006/relationships/footer" Target="footer12.xml"/><Relationship Id="rId41" Type="http://schemas.openxmlformats.org/officeDocument/2006/relationships/header" Target="header10.xml"/><Relationship Id="rId42" Type="http://schemas.openxmlformats.org/officeDocument/2006/relationships/footer" Target="footer13.xml"/><Relationship Id="rId43" Type="http://schemas.openxmlformats.org/officeDocument/2006/relationships/footer" Target="footer14.xml"/><Relationship Id="rId44" Type="http://schemas.openxmlformats.org/officeDocument/2006/relationships/header" Target="header11.xml"/><Relationship Id="rId45" Type="http://schemas.openxmlformats.org/officeDocument/2006/relationships/footer" Target="footer15.xml"/><Relationship Id="rId46" Type="http://schemas.openxmlformats.org/officeDocument/2006/relationships/footer" Target="footer16.xml"/><Relationship Id="rId47" Type="http://schemas.openxmlformats.org/officeDocument/2006/relationships/header" Target="header12.xml"/><Relationship Id="rId48" Type="http://schemas.openxmlformats.org/officeDocument/2006/relationships/footer" Target="footer17.xml"/><Relationship Id="rId49" Type="http://schemas.openxmlformats.org/officeDocument/2006/relationships/footer" Target="footer18.xml"/><Relationship Id="rId50" Type="http://schemas.openxmlformats.org/officeDocument/2006/relationships/header" Target="header13.xml"/><Relationship Id="rId51" Type="http://schemas.openxmlformats.org/officeDocument/2006/relationships/footer" Target="footer19.xml"/><Relationship Id="rId52" Type="http://schemas.openxmlformats.org/officeDocument/2006/relationships/footer" Target="footer20.xml"/><Relationship Id="rId53" Type="http://schemas.openxmlformats.org/officeDocument/2006/relationships/header" Target="header14.xml"/><Relationship Id="rId54" Type="http://schemas.openxmlformats.org/officeDocument/2006/relationships/footer" Target="footer21.xml"/><Relationship Id="rId55" Type="http://schemas.openxmlformats.org/officeDocument/2006/relationships/footer" Target="footer22.xml"/><Relationship Id="rId56" Type="http://schemas.openxmlformats.org/officeDocument/2006/relationships/header" Target="header15.xml"/><Relationship Id="rId57" Type="http://schemas.openxmlformats.org/officeDocument/2006/relationships/footer" Target="footer23.xml"/><Relationship Id="rId58" Type="http://schemas.openxmlformats.org/officeDocument/2006/relationships/footer" Target="footer2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深圳华大基因股份有限公司</dc:creator>
  <dc:title>深圳华大基因股份有限公司2018年年度报告全文</dc:title>
  <dcterms:created xsi:type="dcterms:W3CDTF">2020-05-05T02:31:13Z</dcterms:created>
  <dcterms:modified xsi:type="dcterms:W3CDTF">2020-05-05T02:31:13Z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Microsoft® Word 适用于 Office 365</vt:lpwstr>
  </property>
  <property fmtid="{D5CDD505-2E9C-101B-9397-08002B2CF9AE}" pid="4" name="LastSaved">
    <vt:filetime>2020-05-04T00:00:00Z</vt:filetime>
  </property>
</Properties>
</file>