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5" w:bottom="984" w:left="3756" w:header="0" w:footer="3" w:gutter="0"/>
          <w:cols w:space="720"/>
          <w:noEndnote/>
          <w:rtlGutter w:val="0"/>
          <w:docGrid w:linePitch="360"/>
        </w:sectPr>
      </w:pPr>
    </w:p>
    <w:p>
      <w:pPr>
        <w:pStyle w:val="Style2"/>
        <w:keepNext/>
        <w:keepLines/>
        <w:framePr w:w="4378" w:h="437" w:wrap="none" w:vAnchor="text" w:hAnchor="page" w:x="3757" w:y="21"/>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深圳华大基因股份有限公司</w:t>
      </w:r>
      <w:bookmarkEnd w:id="0"/>
      <w:bookmarkEnd w:id="1"/>
      <w:bookmarkEnd w:id="2"/>
    </w:p>
    <w:p>
      <w:pPr>
        <w:pStyle w:val="Style4"/>
        <w:keepNext w:val="0"/>
        <w:keepLines w:val="0"/>
        <w:framePr w:w="2366" w:h="408" w:wrap="none" w:vAnchor="text" w:hAnchor="page" w:x="4761" w:y="84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72" w:h="408" w:wrap="none" w:vAnchor="text" w:hAnchor="page" w:x="5001" w:y="7254"/>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022" w:right="1145" w:bottom="984" w:left="3756" w:header="0" w:footer="3" w:gutter="0"/>
          <w:cols w:space="720"/>
          <w:noEndnote/>
          <w:rtlGutter w:val="0"/>
          <w:docGrid w:linePitch="360"/>
        </w:sectPr>
      </w:pPr>
    </w:p>
    <w:p>
      <w:pPr>
        <w:pStyle w:val="Style10"/>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2"/>
        <w:keepNext w:val="0"/>
        <w:keepLines w:val="0"/>
        <w:widowControl w:val="0"/>
        <w:shd w:val="clear" w:color="auto" w:fill="auto"/>
        <w:bidi w:val="0"/>
        <w:spacing w:before="0" w:line="624" w:lineRule="exact"/>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bookmarkEnd w:id="6"/>
    </w:p>
    <w:p>
      <w:pPr>
        <w:pStyle w:val="Style12"/>
        <w:keepNext w:val="0"/>
        <w:keepLines w:val="0"/>
        <w:widowControl w:val="0"/>
        <w:shd w:val="clear" w:color="auto" w:fill="auto"/>
        <w:bidi w:val="0"/>
        <w:spacing w:before="0" w:line="634" w:lineRule="exact"/>
        <w:ind w:left="0" w:right="0"/>
        <w:jc w:val="both"/>
      </w:pPr>
      <w:r>
        <w:rPr>
          <w:color w:val="000000"/>
          <w:spacing w:val="0"/>
          <w:w w:val="100"/>
          <w:position w:val="0"/>
        </w:rPr>
        <w:t>公司负责人赵立见、主管会计工作负责人王玉珏及会计机构负责人（会计主 管人员）柳慧声明：保证本年度报告中财务报告的真实、准确、完整。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本报告涉及的未来发展战略与规划、经营计划与目标等前瞻性陈述，不构 成公司对投资者的实质承诺。投资者及相关人士均应对此保持足够的风险认识， 并应理解计划、预测与承诺之间的差异。</w:t>
      </w:r>
    </w:p>
    <w:p>
      <w:pPr>
        <w:pStyle w:val="Style12"/>
        <w:keepNext w:val="0"/>
        <w:keepLines w:val="0"/>
        <w:widowControl w:val="0"/>
        <w:shd w:val="clear" w:color="auto" w:fill="auto"/>
        <w:bidi w:val="0"/>
        <w:spacing w:before="0" w:line="636" w:lineRule="exact"/>
        <w:ind w:left="0" w:right="0"/>
        <w:jc w:val="both"/>
      </w:pPr>
      <w:r>
        <w:rPr>
          <w:color w:val="000000"/>
          <w:spacing w:val="0"/>
          <w:w w:val="100"/>
          <w:position w:val="0"/>
        </w:rPr>
        <w:t>公司在本报告“第三节管理层讨论与分析”之“十一、公司未来发展的展望” 部分，详细阐述了公司经营中可能存在的风险及应对措施，敬请投资者关注相 关内容。</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4" w:right="970" w:bottom="1974" w:left="1104" w:header="0" w:footer="3" w:gutter="0"/>
          <w:cols w:space="720"/>
          <w:noEndnote/>
          <w:rtlGutter w:val="0"/>
          <w:docGrid w:linePitch="360"/>
        </w:sectPr>
      </w:pPr>
      <w:r>
        <w:rPr>
          <w:color w:val="000000"/>
          <w:spacing w:val="0"/>
          <w:w w:val="100"/>
          <w:position w:val="0"/>
        </w:rPr>
        <w:t>公司经本次董事会审议通过的利润分配预案为：以409,914,184股为基数， 向全体股东每10股派发现金红利</w:t>
      </w:r>
      <w:r>
        <w:rPr>
          <w:color w:val="000000"/>
          <w:spacing w:val="0"/>
          <w:w w:val="100"/>
          <w:position w:val="0"/>
        </w:rPr>
        <w:t>3.50</w:t>
      </w:r>
      <w:r>
        <w:rPr>
          <w:color w:val="000000"/>
          <w:spacing w:val="0"/>
          <w:w w:val="100"/>
          <w:position w:val="0"/>
        </w:rPr>
        <w:t>元（含税），送红股0股（含税），以资本 公积金向全体股东每10股转增0股。</w:t>
      </w:r>
    </w:p>
    <w:p>
      <w:pPr>
        <w:pStyle w:val="Style2"/>
        <w:keepNext/>
        <w:keepLines/>
        <w:widowControl w:val="0"/>
        <w:shd w:val="clear" w:color="auto" w:fill="auto"/>
        <w:bidi w:val="0"/>
        <w:spacing w:before="0" w:after="84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4"/>
        <w:keepNext w:val="0"/>
        <w:keepLines w:val="0"/>
        <w:widowControl w:val="0"/>
        <w:shd w:val="clear" w:color="auto" w:fill="auto"/>
        <w:tabs>
          <w:tab w:pos="1026" w:val="left"/>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2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65"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18</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312"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106</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486"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132</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502"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134</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671"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175</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739"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186</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pPr>
      <w:hyperlink w:anchor="bookmark74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187</w:t>
        </w:r>
      </w:hyperlink>
    </w:p>
    <w:p>
      <w:pPr>
        <w:pStyle w:val="Style14"/>
        <w:keepNext w:val="0"/>
        <w:keepLines w:val="0"/>
        <w:widowControl w:val="0"/>
        <w:shd w:val="clear" w:color="auto" w:fill="auto"/>
        <w:tabs>
          <w:tab w:leader="dot" w:pos="9609" w:val="right"/>
        </w:tabs>
        <w:bidi w:val="0"/>
        <w:spacing w:before="0" w:line="240" w:lineRule="auto"/>
        <w:ind w:left="0" w:right="0" w:firstLine="0"/>
        <w:jc w:val="left"/>
        <w:sectPr>
          <w:footnotePr>
            <w:pos w:val="pageBottom"/>
            <w:numFmt w:val="decimal"/>
            <w:numRestart w:val="continuous"/>
          </w:footnotePr>
          <w:pgSz w:w="11900" w:h="16840"/>
          <w:pgMar w:top="2055" w:right="1119" w:bottom="2055" w:left="1109" w:header="0" w:footer="3" w:gutter="0"/>
          <w:cols w:space="720"/>
          <w:noEndnote/>
          <w:rtlGutter w:val="0"/>
          <w:docGrid w:linePitch="360"/>
        </w:sectPr>
      </w:pPr>
      <w:hyperlink w:anchor="bookmark806"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192</w:t>
        </w:r>
      </w:hyperlink>
      <w:r>
        <w:fldChar w:fldCharType="end"/>
      </w:r>
    </w:p>
    <w:p>
      <w:pPr>
        <w:pStyle w:val="Style10"/>
        <w:keepNext/>
        <w:keepLines/>
        <w:widowControl w:val="0"/>
        <w:shd w:val="clear" w:color="auto" w:fill="auto"/>
        <w:bidi w:val="0"/>
        <w:spacing w:before="640" w:after="88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13" w:name="bookmark13"/>
      <w:r>
        <w:rPr>
          <w:color w:val="000000"/>
          <w:spacing w:val="0"/>
          <w:w w:val="100"/>
          <w:position w:val="0"/>
        </w:rPr>
        <w:t>一</w:t>
      </w:r>
      <w:bookmarkEnd w:id="13"/>
      <w:r>
        <w:rPr>
          <w:color w:val="000000"/>
          <w:spacing w:val="0"/>
          <w:w w:val="100"/>
          <w:position w:val="0"/>
        </w:rPr>
        <w:t>、</w:t>
        <w:tab/>
        <w:t>载有公司法定代表人、主管会计工作的负责人与会计机构负责人签名并盖章的财务报表。</w:t>
      </w:r>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14" w:name="bookmark14"/>
      <w:r>
        <w:rPr>
          <w:color w:val="000000"/>
          <w:spacing w:val="0"/>
          <w:w w:val="100"/>
          <w:position w:val="0"/>
        </w:rPr>
        <w:t>二</w:t>
      </w:r>
      <w:bookmarkEnd w:id="14"/>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15" w:name="bookmark15"/>
      <w:r>
        <w:rPr>
          <w:color w:val="000000"/>
          <w:spacing w:val="0"/>
          <w:w w:val="100"/>
          <w:position w:val="0"/>
        </w:rPr>
        <w:t>三</w:t>
      </w:r>
      <w:bookmarkEnd w:id="15"/>
      <w:r>
        <w:rPr>
          <w:color w:val="000000"/>
          <w:spacing w:val="0"/>
          <w:w w:val="100"/>
          <w:position w:val="0"/>
        </w:rPr>
        <w:t>、</w:t>
        <w:tab/>
        <w:t>报告期内公开披露过的所有公司文件的正本及公告的原稿。</w:t>
      </w:r>
    </w:p>
    <w:p>
      <w:pPr>
        <w:pStyle w:val="Style17"/>
        <w:keepNext w:val="0"/>
        <w:keepLines w:val="0"/>
        <w:widowControl w:val="0"/>
        <w:shd w:val="clear" w:color="auto" w:fill="auto"/>
        <w:tabs>
          <w:tab w:pos="430" w:val="left"/>
        </w:tabs>
        <w:bidi w:val="0"/>
        <w:spacing w:before="0" w:after="140" w:line="240" w:lineRule="auto"/>
        <w:ind w:left="0" w:right="0" w:firstLine="0"/>
        <w:jc w:val="left"/>
      </w:pPr>
      <w:bookmarkStart w:id="16" w:name="bookmark16"/>
      <w:r>
        <w:rPr>
          <w:color w:val="000000"/>
          <w:spacing w:val="0"/>
          <w:w w:val="100"/>
          <w:position w:val="0"/>
        </w:rPr>
        <w:t>四</w:t>
      </w:r>
      <w:bookmarkEnd w:id="16"/>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年年度报告文本原件。</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以上备查文件的备置地点：深圳华大基因股份有限公司证券部办公室</w:t>
      </w:r>
      <w:r>
        <w:br w:type="page"/>
      </w:r>
    </w:p>
    <w:p>
      <w:pPr>
        <w:pStyle w:val="Style10"/>
        <w:keepNext/>
        <w:keepLines/>
        <w:widowControl w:val="0"/>
        <w:shd w:val="clear" w:color="auto" w:fill="auto"/>
        <w:bidi w:val="0"/>
        <w:spacing w:before="0" w:after="80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公司、本公司、华大基因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华大控股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深圳华大基因科技有限公司，系华大基因控股股东</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深圳华大基因科技服务有限公司，系华大基因一级子公司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本溪华大医学检验所有限公司，系华大基因一级子公司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北京优康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北京华大优康科技有限公司，系华大基因一级子公司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北京华大医学检验所有限公司，系华大基因一级子公司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天津华大基因科技有限公司，系华大基因一级子公司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潍坊基因科技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潍坊华大基因健康科技有限公司，系华大基因一级子公司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南京基因科技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南京华大基因科技有限公司，系华大基因一级子公司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武汉华大医学检验所有限公司，系华大基因一级子公司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广州华大基因医学检验所有限公司，系华大基因一级子公司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深圳华大临床检验中心，后更名为深圳华大医学检验实验室，系华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云南医学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云南华大基因医学有限公司，系华大基因一级子公司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天津华大医学检验所有限公司，系华大基因一级子公司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长垣医检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长垣华大医学检验所有限公司，系华大基因二级子公司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昆华医检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云南华大昆华医学检验所有限公司，系华大基因二级子公司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武汉生物科技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华大生物科技（武汉）有限公司，系华大基因一级子公司</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北京六合</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北京六合华大基因科技股份有限公司，后变更为北京六合华大基因 科技有限公司，系华大基因二级子公司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华大吉比爱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吉比爱生物技术（北京）有限公司，后更名为北京华大吉比爱生物 技术有限公司，系华大基因二级子公司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无锡青兰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华大青兰生物科技（无锡）有限公司，系华大基因三级子公司</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美洲科技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Americas Corporation</w:t>
            </w:r>
            <w:r>
              <w:rPr>
                <w:color w:val="000000"/>
                <w:spacing w:val="0"/>
                <w:w w:val="100"/>
                <w:position w:val="0"/>
              </w:rPr>
              <w:t>，系华大基因三级子公司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香港华大基因科技服务有限公司，英文名称为</w:t>
            </w:r>
            <w:r>
              <w:rPr>
                <w:rFonts w:ascii="Times New Roman" w:eastAsia="Times New Roman" w:hAnsi="Times New Roman" w:cs="Times New Roman"/>
                <w:color w:val="000000"/>
                <w:spacing w:val="0"/>
                <w:w w:val="100"/>
                <w:position w:val="0"/>
              </w:rPr>
              <w:t>BGI TECH SOLUTIONS HONGKONG</w:t>
            </w:r>
            <w:r>
              <w:rPr>
                <w:color w:val="000000"/>
                <w:spacing w:val="0"/>
                <w:w w:val="100"/>
                <w:position w:val="0"/>
              </w:rPr>
              <w:t>）</w:t>
            </w:r>
            <w:r>
              <w:rPr>
                <w:rFonts w:ascii="Times New Roman" w:eastAsia="Times New Roman" w:hAnsi="Times New Roman" w:cs="Times New Roman"/>
                <w:color w:val="000000"/>
                <w:spacing w:val="0"/>
                <w:w w:val="100"/>
                <w:position w:val="0"/>
              </w:rPr>
              <w:t>CO., LIMITED</w:t>
            </w:r>
            <w:r>
              <w:rPr>
                <w:color w:val="000000"/>
                <w:spacing w:val="0"/>
                <w:w w:val="100"/>
                <w:position w:val="0"/>
              </w:rPr>
              <w:t>，系华大基因二级子公 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香港医学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华大基因健康科技（香港）有限公司，英文名称为</w:t>
            </w:r>
            <w:r>
              <w:rPr>
                <w:rFonts w:ascii="Times New Roman" w:eastAsia="Times New Roman" w:hAnsi="Times New Roman" w:cs="Times New Roman"/>
                <w:color w:val="000000"/>
                <w:spacing w:val="0"/>
                <w:w w:val="100"/>
                <w:position w:val="0"/>
              </w:rPr>
              <w:t>BGI HEALTH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HK</w:t>
            </w:r>
            <w:r>
              <w:rPr>
                <w:color w:val="000000"/>
                <w:spacing w:val="0"/>
                <w:w w:val="100"/>
                <w:position w:val="0"/>
              </w:rPr>
              <w:t>）</w:t>
            </w:r>
            <w:r>
              <w:rPr>
                <w:rFonts w:ascii="Times New Roman" w:eastAsia="Times New Roman" w:hAnsi="Times New Roman" w:cs="Times New Roman"/>
                <w:color w:val="000000"/>
                <w:spacing w:val="0"/>
                <w:w w:val="100"/>
                <w:position w:val="0"/>
              </w:rPr>
              <w:t>COMPANY LIMITED</w:t>
            </w:r>
            <w:r>
              <w:rPr>
                <w:color w:val="000000"/>
                <w:spacing w:val="0"/>
                <w:w w:val="100"/>
                <w:position w:val="0"/>
              </w:rPr>
              <w:t>，系华大基因一级子公司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欧洲医学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EUROPE A/S</w:t>
            </w:r>
            <w:r>
              <w:rPr>
                <w:color w:val="000000"/>
                <w:spacing w:val="0"/>
                <w:w w:val="100"/>
                <w:position w:val="0"/>
              </w:rPr>
              <w:t>，系华大基因一级子公司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优康门诊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深圳华大基因股份有限公司深圳华大优康门诊部，系华大基因分公 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华大数极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华大数极生物科技（深圳）有限公司，系华大基因一级子公司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华大因源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深圳华大因源医药科技有限公司，系华大基因一级子公司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青岛青西华大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青岛青西华大基因有限公司，系华大基因一级子公司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廊坊吉比爱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廊坊华大吉比爱生物技术有限公司，系华大基因三级子公司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英国华大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UK CO LTD</w:t>
            </w:r>
            <w:r>
              <w:rPr>
                <w:color w:val="000000"/>
                <w:spacing w:val="0"/>
                <w:w w:val="100"/>
                <w:position w:val="0"/>
              </w:rPr>
              <w:t>，系华大基因三级子公司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澳洲医学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（AU） COMPANY PTY LTD</w:t>
            </w:r>
            <w:r>
              <w:rPr>
                <w:color w:val="000000"/>
                <w:spacing w:val="0"/>
                <w:w w:val="100"/>
                <w:position w:val="0"/>
              </w:rPr>
              <w:t>，</w:t>
            </w:r>
            <w:r>
              <w:rPr>
                <w:color w:val="000000"/>
                <w:spacing w:val="0"/>
                <w:w w:val="100"/>
                <w:position w:val="0"/>
              </w:rPr>
              <w:t>系华大基因二级子公司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石家庄华大医学检验实验室有限公司，系华大基因一级子公司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黑龙江华大医学检验有限公司，系华大基因二级子公司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青岛华大医学检验所有限公司，系华大基因二级子公司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海南华大基因科技有限公司，系华大基因一级子公司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西藏医检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西藏华大医学检验有限公司，系华大基因三级子公司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长沙华大梅溪湖医学检验所有限公司，系华大基因合营企业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 Genomics Innovation Co., Ltd</w:t>
            </w:r>
            <w:r>
              <w:rPr>
                <w:color w:val="000000"/>
                <w:spacing w:val="0"/>
                <w:w w:val="100"/>
                <w:position w:val="0"/>
              </w:rPr>
              <w:t>，</w:t>
            </w:r>
            <w:r>
              <w:rPr>
                <w:color w:val="000000"/>
                <w:spacing w:val="0"/>
                <w:w w:val="100"/>
                <w:position w:val="0"/>
              </w:rPr>
              <w:t>系华大基因合营企业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泸州华大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泸州恒康华大生物科技有限公司，系华大基因合营企业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广州中健云康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广州中健云康网络科技有限公司，系华大基因联营企业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古奥基因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武汉古奥基因科技有限公司，系华大基因合营企业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Pryzm Health</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Pryzm Health IQ Pty Ltd</w:t>
            </w:r>
            <w:r>
              <w:rPr>
                <w:color w:val="000000"/>
                <w:spacing w:val="0"/>
                <w:w w:val="100"/>
                <w:position w:val="0"/>
              </w:rPr>
              <w:t>，</w:t>
            </w:r>
            <w:r>
              <w:rPr>
                <w:color w:val="000000"/>
                <w:spacing w:val="0"/>
                <w:w w:val="100"/>
                <w:position w:val="0"/>
              </w:rPr>
              <w:t>系华大基因联营企业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苏州泓迅</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苏州泓迅生物科技股份有限公司，系华大基因联营企业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北京华大通瀛科技有限公司，系华大基因联营企业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恩迪生物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北京恩迪生物科技股份有限公司，系华大基因参股公司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北京吉因加科技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北京吉因加科技有限公司，系华大基因参股企业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何氏眼科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辽宁何氏眼科医院股份有限公司，系华大基因参股企业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北京聚道科技有限公司，系华大基因参股企业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北京量化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北京量化健康科技有限公司，系华大基因参股企业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华昇诊断</w:t>
            </w:r>
            <w:r>
              <w:rPr>
                <w:rFonts w:ascii="Times New Roman" w:eastAsia="Times New Roman" w:hAnsi="Times New Roman" w:cs="Times New Roman"/>
                <w:color w:val="000000"/>
                <w:spacing w:val="0"/>
                <w:w w:val="100"/>
                <w:position w:val="0"/>
              </w:rPr>
              <w:t>/S unrise</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中文全名：华昇诊断中心有限公司，英文全名：</w:t>
            </w:r>
            <w:r>
              <w:rPr>
                <w:rFonts w:ascii="Times New Roman" w:eastAsia="Times New Roman" w:hAnsi="Times New Roman" w:cs="Times New Roman"/>
                <w:color w:val="000000"/>
                <w:spacing w:val="0"/>
                <w:w w:val="100"/>
                <w:position w:val="0"/>
              </w:rPr>
              <w:t>Sunrise Diagnostic Centre Limited</w:t>
            </w:r>
            <w:r>
              <w:rPr>
                <w:color w:val="000000"/>
                <w:spacing w:val="0"/>
                <w:w w:val="100"/>
                <w:position w:val="0"/>
              </w:rPr>
              <w:t>，系华大基因联营企业</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华大智造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深圳华大智造科技有限公司，后更名为深圳华大智造科技股份有限 公司，系华大基因关联方</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武汉华大智造科技有限公司，系华大基因关联方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深圳华大生命科学研究院，系华大基因关联方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华基金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深圳市广电公益基金会</w:t>
            </w:r>
            <w:r>
              <w:rPr>
                <w:rFonts w:ascii="Times New Roman" w:eastAsia="Times New Roman" w:hAnsi="Times New Roman" w:cs="Times New Roman"/>
                <w:color w:val="000000"/>
                <w:spacing w:val="0"/>
                <w:w w:val="100"/>
                <w:position w:val="0"/>
              </w:rPr>
              <w:t>■</w:t>
            </w:r>
            <w:r>
              <w:rPr>
                <w:color w:val="000000"/>
                <w:spacing w:val="0"/>
                <w:w w:val="100"/>
                <w:position w:val="0"/>
              </w:rPr>
              <w:t>华基金公益基金，系华大基因关联方</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华大三生园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深圳华大生物能源科技有限公司，后更名为深圳华大农业与循环经 济科技有限公司，现更名为深圳华大三生园科技有限公司，系华大 基因股东及关联方</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深圳前海华大基因投资企业（有限合伙），后更名为深圳生华投资企 业（有限合伙）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和玉高林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深圳和玉高林股权投资合伙企业（有限合伙）</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高林同创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天津高林同创股权投资合伙企业（有限合伙），后更名为上海高林同 创股权投资合伙企业（有限合伙）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深圳高新投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深圳市高新投融资担保有限公司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深圳担保集团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深圳担保集团有限公司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债券简称</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、债券代码</w:t>
            </w:r>
            <w:r>
              <w:rPr>
                <w:rFonts w:ascii="Times New Roman" w:eastAsia="Times New Roman" w:hAnsi="Times New Roman" w:cs="Times New Roman"/>
                <w:color w:val="000000"/>
                <w:spacing w:val="0"/>
                <w:w w:val="100"/>
                <w:position w:val="0"/>
              </w:rPr>
              <w:t>149105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 券（第一期）（品种一）</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债券简称</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、债券代码</w:t>
            </w:r>
            <w:r>
              <w:rPr>
                <w:rFonts w:ascii="Times New Roman" w:eastAsia="Times New Roman" w:hAnsi="Times New Roman" w:cs="Times New Roman"/>
                <w:color w:val="000000"/>
                <w:spacing w:val="0"/>
                <w:w w:val="100"/>
                <w:position w:val="0"/>
              </w:rPr>
              <w:t>149106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 券（第一期）（品种二）</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CAP</w:t>
            </w:r>
            <w:r>
              <w:rPr>
                <w:color w:val="000000"/>
                <w:spacing w:val="0"/>
                <w:w w:val="100"/>
                <w:position w:val="0"/>
              </w:rPr>
              <w:t>认证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美国病理学家协会认证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法语</w:t>
            </w:r>
            <w:r>
              <w:rPr>
                <w:rFonts w:ascii="Times New Roman" w:eastAsia="Times New Roman" w:hAnsi="Times New Roman" w:cs="Times New Roman"/>
                <w:color w:val="000000"/>
                <w:spacing w:val="0"/>
                <w:w w:val="100"/>
                <w:position w:val="0"/>
              </w:rPr>
              <w:t>Confbrmite Europeenne</w:t>
            </w:r>
            <w:r>
              <w:rPr>
                <w:color w:val="000000"/>
                <w:spacing w:val="0"/>
                <w:w w:val="100"/>
                <w:position w:val="0"/>
              </w:rPr>
              <w:t>的缩写，指欧洲合格评定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CLIA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是美国临床实验室改进修正案</w:t>
            </w:r>
            <w:r>
              <w:rPr>
                <w:color w:val="000000"/>
                <w:spacing w:val="0"/>
                <w:w w:val="100"/>
                <w:position w:val="0"/>
              </w:rPr>
              <w:t>（</w:t>
            </w:r>
            <w:r>
              <w:rPr>
                <w:rFonts w:ascii="Times New Roman" w:eastAsia="Times New Roman" w:hAnsi="Times New Roman" w:cs="Times New Roman"/>
                <w:color w:val="000000"/>
                <w:spacing w:val="0"/>
                <w:w w:val="100"/>
                <w:position w:val="0"/>
              </w:rPr>
              <w:t>Clinical Laboratory Improvement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Amendments）</w:t>
            </w:r>
            <w:r>
              <w:rPr>
                <w:color w:val="000000"/>
                <w:spacing w:val="0"/>
                <w:w w:val="100"/>
                <w:position w:val="0"/>
              </w:rPr>
              <w:t>的简写，旨在对临床实验室进行规范和监管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FDA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美国食品药品监督管理局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NMPA</w:t>
            </w:r>
            <w:r>
              <w:rPr>
                <w:color w:val="000000"/>
                <w:spacing w:val="0"/>
                <w:w w:val="100"/>
                <w:position w:val="0"/>
              </w:rPr>
              <w:t>、</w:t>
            </w:r>
            <w:r>
              <w:rPr>
                <w:color w:val="000000"/>
                <w:spacing w:val="0"/>
                <w:w w:val="100"/>
                <w:position w:val="0"/>
              </w:rPr>
              <w:t>国家药监局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国家药品监督管理局</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创业板</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深圳证券交易所创业板</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国家卫健委</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国家卫生健康委员会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AFP</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甲胎蛋白（</w:t>
            </w:r>
            <w:r>
              <w:rPr>
                <w:rFonts w:ascii="Times New Roman" w:eastAsia="Times New Roman" w:hAnsi="Times New Roman" w:cs="Times New Roman"/>
                <w:color w:val="000000"/>
                <w:spacing w:val="0"/>
                <w:w w:val="100"/>
                <w:position w:val="0"/>
              </w:rPr>
              <w:t>Alpha Fetoprotein</w:t>
            </w:r>
            <w:r>
              <w:rPr>
                <w:color w:val="000000"/>
                <w:spacing w:val="0"/>
                <w:w w:val="100"/>
                <w:position w:val="0"/>
              </w:rPr>
              <w:t>），</w:t>
            </w:r>
            <w:r>
              <w:rPr>
                <w:color w:val="000000"/>
                <w:spacing w:val="0"/>
                <w:w w:val="100"/>
                <w:position w:val="0"/>
              </w:rPr>
              <w:t>可作为肝癌等多种肿瘤的广谱肿瘤标 志物</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CSP</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BGI Certified Service Provider</w:t>
            </w:r>
            <w:r>
              <w:rPr>
                <w:color w:val="000000"/>
                <w:spacing w:val="0"/>
                <w:w w:val="100"/>
                <w:position w:val="0"/>
              </w:rPr>
              <w:t>的简写，指华大基因认证的服务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提供方（实验室）</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CA125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125</w:t>
            </w:r>
            <w:r>
              <w:rPr>
                <w:color w:val="000000"/>
                <w:spacing w:val="0"/>
                <w:w w:val="100"/>
                <w:position w:val="0"/>
              </w:rPr>
              <w:t>,可作为卵巢癌等多种肿瘤的广谱肿瘤标志物</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CA15-3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15-3</w:t>
            </w:r>
            <w:r>
              <w:rPr>
                <w:color w:val="000000"/>
                <w:spacing w:val="0"/>
                <w:w w:val="100"/>
                <w:position w:val="0"/>
              </w:rPr>
              <w:t>，可作为乳腺癌等多种肿瘤的广谱肿瘤标志物</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CA19-9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19-9</w:t>
            </w:r>
            <w:r>
              <w:rPr>
                <w:color w:val="000000"/>
                <w:spacing w:val="0"/>
                <w:w w:val="100"/>
                <w:position w:val="0"/>
              </w:rPr>
              <w:t>，可作为胰腺癌、结直肠癌等多种肿瘤的肿瘤标志物</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cDNA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具有与某</w:t>
            </w:r>
            <w:r>
              <w:rPr>
                <w:rFonts w:ascii="Times New Roman" w:eastAsia="Times New Roman" w:hAnsi="Times New Roman" w:cs="Times New Roman"/>
                <w:color w:val="000000"/>
                <w:spacing w:val="0"/>
                <w:w w:val="100"/>
                <w:position w:val="0"/>
              </w:rPr>
              <w:t>RNA</w:t>
            </w:r>
            <w:r>
              <w:rPr>
                <w:color w:val="000000"/>
                <w:spacing w:val="0"/>
                <w:w w:val="100"/>
                <w:position w:val="0"/>
              </w:rPr>
              <w:t>链呈互补碱基序列的</w:t>
            </w:r>
            <w:r>
              <w:rPr>
                <w:rFonts w:ascii="Times New Roman" w:eastAsia="Times New Roman" w:hAnsi="Times New Roman" w:cs="Times New Roman"/>
                <w:color w:val="000000"/>
                <w:spacing w:val="0"/>
                <w:w w:val="100"/>
                <w:position w:val="0"/>
              </w:rPr>
              <w:t>DNA</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CEA</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癌胚抗原</w:t>
            </w:r>
            <w:r>
              <w:rPr>
                <w:color w:val="000000"/>
                <w:spacing w:val="0"/>
                <w:w w:val="100"/>
                <w:position w:val="0"/>
              </w:rPr>
              <w:t>（</w:t>
            </w:r>
            <w:r>
              <w:rPr>
                <w:rFonts w:ascii="Times New Roman" w:eastAsia="Times New Roman" w:hAnsi="Times New Roman" w:cs="Times New Roman"/>
                <w:color w:val="000000"/>
                <w:spacing w:val="0"/>
                <w:w w:val="100"/>
                <w:position w:val="0"/>
              </w:rPr>
              <w:t>Carcinoembryonic Antigen</w:t>
            </w:r>
            <w:r>
              <w:rPr>
                <w:color w:val="000000"/>
                <w:spacing w:val="0"/>
                <w:w w:val="100"/>
                <w:position w:val="0"/>
              </w:rPr>
              <w:t>），</w:t>
            </w:r>
            <w:r>
              <w:rPr>
                <w:color w:val="000000"/>
                <w:spacing w:val="0"/>
                <w:w w:val="100"/>
                <w:position w:val="0"/>
              </w:rPr>
              <w:t>可作为结直肠癌等多种肿瘤</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的广谱肿瘤标志物</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Data Independent Acquisition</w:t>
            </w:r>
            <w:r>
              <w:rPr>
                <w:color w:val="000000"/>
                <w:spacing w:val="0"/>
                <w:w w:val="100"/>
                <w:position w:val="0"/>
              </w:rPr>
              <w:t>的缩写，指数据非依赖性采集技术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DNA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是脱氧核糖核酸</w:t>
            </w:r>
            <w:r>
              <w:rPr>
                <w:color w:val="000000"/>
                <w:spacing w:val="0"/>
                <w:w w:val="100"/>
                <w:position w:val="0"/>
              </w:rPr>
              <w:t>（</w:t>
            </w:r>
            <w:r>
              <w:rPr>
                <w:rFonts w:ascii="Times New Roman" w:eastAsia="Times New Roman" w:hAnsi="Times New Roman" w:cs="Times New Roman"/>
                <w:color w:val="000000"/>
                <w:spacing w:val="0"/>
                <w:w w:val="100"/>
                <w:position w:val="0"/>
              </w:rPr>
              <w:t>Deoxyribonucleic Acid</w:t>
            </w:r>
            <w:r>
              <w:rPr>
                <w:color w:val="000000"/>
                <w:spacing w:val="0"/>
                <w:w w:val="100"/>
                <w:position w:val="0"/>
              </w:rPr>
              <w:t>）的英文缩写，是一种生物 大分子，可组成遗传指令，引导生物发育与生命机能运作</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DNA </w:t>
            </w:r>
            <w:r>
              <w:rPr>
                <w:color w:val="000000"/>
                <w:spacing w:val="0"/>
                <w:w w:val="100"/>
                <w:position w:val="0"/>
              </w:rPr>
              <w:t>测序</w:t>
            </w:r>
            <w:r>
              <w:rPr>
                <w:color w:val="000000"/>
                <w:spacing w:val="0"/>
                <w:w w:val="100"/>
                <w:position w:val="0"/>
              </w:rPr>
              <w:t>(</w:t>
            </w:r>
            <w:r>
              <w:rPr>
                <w:rFonts w:ascii="Times New Roman" w:eastAsia="Times New Roman" w:hAnsi="Times New Roman" w:cs="Times New Roman"/>
                <w:color w:val="000000"/>
                <w:spacing w:val="0"/>
                <w:w w:val="100"/>
                <w:position w:val="0"/>
              </w:rPr>
              <w:t>DNA sequencing</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是指分析特定</w:t>
            </w:r>
            <w:r>
              <w:rPr>
                <w:rFonts w:ascii="Times New Roman" w:eastAsia="Times New Roman" w:hAnsi="Times New Roman" w:cs="Times New Roman"/>
                <w:color w:val="000000"/>
                <w:spacing w:val="0"/>
                <w:w w:val="100"/>
                <w:position w:val="0"/>
              </w:rPr>
              <w:t>DNA</w:t>
            </w:r>
            <w:r>
              <w:rPr>
                <w:color w:val="000000"/>
                <w:spacing w:val="0"/>
                <w:w w:val="100"/>
                <w:position w:val="0"/>
              </w:rPr>
              <w:t>片段的碱基序列，也就是腺嘌吟（</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胸腺嘧 啶</w:t>
            </w:r>
            <w:r>
              <w:rPr>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w:t>
            </w:r>
            <w:r>
              <w:rPr>
                <w:color w:val="000000"/>
                <w:spacing w:val="0"/>
                <w:w w:val="100"/>
                <w:position w:val="0"/>
              </w:rPr>
              <w:t>胞嘧啶</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）与鸟嘌吟的</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w:t>
            </w:r>
            <w:r>
              <w:rPr>
                <w:color w:val="000000"/>
                <w:spacing w:val="0"/>
                <w:w w:val="100"/>
                <w:position w:val="0"/>
              </w:rPr>
              <w:t>排列方式。目前应用最广泛 的是由</w:t>
            </w:r>
            <w:r>
              <w:rPr>
                <w:rFonts w:ascii="Times New Roman" w:eastAsia="Times New Roman" w:hAnsi="Times New Roman" w:cs="Times New Roman"/>
                <w:color w:val="000000"/>
                <w:spacing w:val="0"/>
                <w:w w:val="100"/>
                <w:position w:val="0"/>
              </w:rPr>
              <w:t>Frederick Sanger</w:t>
            </w:r>
            <w:r>
              <w:rPr>
                <w:color w:val="000000"/>
                <w:spacing w:val="0"/>
                <w:w w:val="100"/>
                <w:position w:val="0"/>
              </w:rPr>
              <w:t>发明的</w:t>
            </w:r>
            <w:r>
              <w:rPr>
                <w:rFonts w:ascii="Times New Roman" w:eastAsia="Times New Roman" w:hAnsi="Times New Roman" w:cs="Times New Roman"/>
                <w:color w:val="000000"/>
                <w:spacing w:val="0"/>
                <w:w w:val="100"/>
                <w:position w:val="0"/>
              </w:rPr>
              <w:t>Sanger</w:t>
            </w:r>
            <w:r>
              <w:rPr>
                <w:color w:val="000000"/>
                <w:spacing w:val="0"/>
                <w:w w:val="100"/>
                <w:position w:val="0"/>
              </w:rPr>
              <w:t>双脱氧链终止法，</w:t>
            </w:r>
            <w:r>
              <w:rPr>
                <w:rFonts w:ascii="Times New Roman" w:eastAsia="Times New Roman" w:hAnsi="Times New Roman" w:cs="Times New Roman"/>
                <w:color w:val="000000"/>
                <w:spacing w:val="0"/>
                <w:w w:val="100"/>
                <w:position w:val="0"/>
              </w:rPr>
              <w:t>DNA sequencing technology</w:t>
            </w:r>
            <w:r>
              <w:rPr>
                <w:color w:val="000000"/>
                <w:spacing w:val="0"/>
                <w:w w:val="100"/>
                <w:position w:val="0"/>
              </w:rPr>
              <w:t>，在分子生物学研究中，</w:t>
            </w:r>
            <w:r>
              <w:rPr>
                <w:rFonts w:ascii="Times New Roman" w:eastAsia="Times New Roman" w:hAnsi="Times New Roman" w:cs="Times New Roman"/>
                <w:color w:val="000000"/>
                <w:spacing w:val="0"/>
                <w:w w:val="100"/>
                <w:position w:val="0"/>
              </w:rPr>
              <w:t>DNA</w:t>
            </w:r>
            <w:r>
              <w:rPr>
                <w:color w:val="000000"/>
                <w:spacing w:val="0"/>
                <w:w w:val="100"/>
                <w:position w:val="0"/>
              </w:rPr>
              <w:t>的序列分析是进 一步研究和改造目的基因的基础</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w:t>
            </w:r>
            <w:r>
              <w:rPr>
                <w:color w:val="000000"/>
                <w:spacing w:val="0"/>
                <w:w w:val="100"/>
                <w:position w:val="0"/>
              </w:rPr>
              <w:t>病毒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英文名</w:t>
            </w:r>
            <w:r>
              <w:rPr>
                <w:rFonts w:ascii="Times New Roman" w:eastAsia="Times New Roman" w:hAnsi="Times New Roman" w:cs="Times New Roman"/>
                <w:color w:val="000000"/>
                <w:spacing w:val="0"/>
                <w:w w:val="100"/>
                <w:position w:val="0"/>
              </w:rPr>
              <w:t xml:space="preserve">Epstein-Barr virus </w:t>
            </w:r>
            <w:r>
              <w:rPr>
                <w:color w:val="000000"/>
                <w:spacing w:val="0"/>
                <w:w w:val="100"/>
                <w:position w:val="0"/>
              </w:rPr>
              <w:t>（</w:t>
            </w:r>
            <w:r>
              <w:rPr>
                <w:rFonts w:ascii="Times New Roman" w:eastAsia="Times New Roman" w:hAnsi="Times New Roman" w:cs="Times New Roman"/>
                <w:color w:val="000000"/>
                <w:spacing w:val="0"/>
                <w:w w:val="100"/>
                <w:position w:val="0"/>
              </w:rPr>
              <w:t>EBV</w:t>
            </w:r>
            <w:r>
              <w:rPr>
                <w:color w:val="000000"/>
                <w:spacing w:val="0"/>
                <w:w w:val="100"/>
                <w:position w:val="0"/>
              </w:rPr>
              <w:t>），</w:t>
            </w:r>
            <w:r>
              <w:rPr>
                <w:color w:val="000000"/>
                <w:spacing w:val="0"/>
                <w:w w:val="100"/>
                <w:position w:val="0"/>
              </w:rPr>
              <w:t>是疱疹病毒科嗜淋巴细胞病毒属 的成员</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FFPE</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Formalin-fixed Paraffin-embedding</w:t>
            </w:r>
            <w:r>
              <w:rPr>
                <w:color w:val="000000"/>
                <w:spacing w:val="0"/>
                <w:w w:val="100"/>
                <w:position w:val="0"/>
              </w:rPr>
              <w:t>的缩写，指福尔马林固定石蜡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包埋</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HALOS</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源自 </w:t>
            </w:r>
            <w:r>
              <w:rPr>
                <w:rFonts w:ascii="Times New Roman" w:eastAsia="Times New Roman" w:hAnsi="Times New Roman" w:cs="Times New Roman"/>
                <w:color w:val="000000"/>
                <w:spacing w:val="0"/>
                <w:w w:val="100"/>
                <w:position w:val="0"/>
              </w:rPr>
              <w:t>High-Throughput Analysis for Omics,High Analysis in one step</w:t>
            </w:r>
            <w:r>
              <w:rPr>
                <w:color w:val="000000"/>
                <w:spacing w:val="0"/>
                <w:w w:val="100"/>
                <w:position w:val="0"/>
              </w:rPr>
              <w:t>，</w:t>
            </w:r>
            <w:r>
              <w:rPr>
                <w:color w:val="000000"/>
                <w:spacing w:val="0"/>
                <w:w w:val="100"/>
                <w:position w:val="0"/>
              </w:rPr>
              <w:t>简 化为</w:t>
            </w:r>
            <w:r>
              <w:rPr>
                <w:rFonts w:ascii="Times New Roman" w:eastAsia="Times New Roman" w:hAnsi="Times New Roman" w:cs="Times New Roman"/>
                <w:color w:val="000000"/>
                <w:spacing w:val="0"/>
                <w:w w:val="100"/>
                <w:position w:val="0"/>
              </w:rPr>
              <w:t>HALOS</w:t>
            </w:r>
            <w:r>
              <w:rPr>
                <w:color w:val="000000"/>
                <w:spacing w:val="0"/>
                <w:w w:val="100"/>
                <w:position w:val="0"/>
              </w:rPr>
              <w:t>，</w:t>
            </w:r>
            <w:r>
              <w:rPr>
                <w:color w:val="000000"/>
                <w:spacing w:val="0"/>
                <w:w w:val="100"/>
                <w:position w:val="0"/>
              </w:rPr>
              <w:t>为公司自主研发设计的本地自动化基因分析一体机的 名称</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HLA </w:t>
            </w:r>
            <w:r>
              <w:rPr>
                <w:color w:val="000000"/>
                <w:spacing w:val="0"/>
                <w:w w:val="100"/>
                <w:position w:val="0"/>
              </w:rPr>
              <w:t>(</w:t>
            </w:r>
            <w:r>
              <w:rPr>
                <w:rFonts w:ascii="Times New Roman" w:eastAsia="Times New Roman" w:hAnsi="Times New Roman" w:cs="Times New Roman"/>
                <w:color w:val="000000"/>
                <w:spacing w:val="0"/>
                <w:w w:val="100"/>
                <w:position w:val="0"/>
              </w:rPr>
              <w:t>human leukocyte antigen</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是人类白细胞抗原的英文，是具有高度多态性的同种异体抗原，其 化学本质为一类糖蛋白，由一条</w:t>
            </w:r>
            <w:r>
              <w:rPr>
                <w:rFonts w:ascii="Times New Roman" w:eastAsia="Times New Roman" w:hAnsi="Times New Roman" w:cs="Times New Roman"/>
                <w:color w:val="000000"/>
                <w:spacing w:val="0"/>
                <w:w w:val="100"/>
                <w:position w:val="0"/>
              </w:rPr>
              <w:t>a</w:t>
            </w:r>
            <w:r>
              <w:rPr>
                <w:color w:val="000000"/>
                <w:spacing w:val="0"/>
                <w:w w:val="100"/>
                <w:position w:val="0"/>
              </w:rPr>
              <w:t>重链（被糖基化的）和一条</w:t>
            </w:r>
            <w:r>
              <w:rPr>
                <w:rFonts w:ascii="Times New Roman" w:eastAsia="Times New Roman" w:hAnsi="Times New Roman" w:cs="Times New Roman"/>
                <w:color w:val="000000"/>
                <w:spacing w:val="0"/>
                <w:w w:val="100"/>
                <w:position w:val="0"/>
              </w:rPr>
              <w:t>P</w:t>
            </w:r>
            <w:r>
              <w:rPr>
                <w:color w:val="000000"/>
                <w:spacing w:val="0"/>
                <w:w w:val="100"/>
                <w:position w:val="0"/>
              </w:rPr>
              <w:t>轻 链非共价结合而成。其肽链的氨基端向外（约占整个分子的</w:t>
            </w:r>
            <w:r>
              <w:rPr>
                <w:rFonts w:ascii="Times New Roman" w:eastAsia="Times New Roman" w:hAnsi="Times New Roman" w:cs="Times New Roman"/>
                <w:color w:val="000000"/>
                <w:spacing w:val="0"/>
                <w:w w:val="100"/>
                <w:position w:val="0"/>
              </w:rPr>
              <w:t>3/4</w:t>
            </w:r>
            <w:r>
              <w:rPr>
                <w:color w:val="000000"/>
                <w:spacing w:val="0"/>
                <w:w w:val="100"/>
                <w:position w:val="0"/>
              </w:rPr>
              <w:t>）， 羧基端穿入细胞质，中间疏水部分在胞膜中。</w:t>
            </w:r>
            <w:r>
              <w:rPr>
                <w:rFonts w:ascii="Times New Roman" w:eastAsia="Times New Roman" w:hAnsi="Times New Roman" w:cs="Times New Roman"/>
                <w:color w:val="000000"/>
                <w:spacing w:val="0"/>
                <w:w w:val="100"/>
                <w:position w:val="0"/>
              </w:rPr>
              <w:t>HLA</w:t>
            </w:r>
            <w:r>
              <w:rPr>
                <w:color w:val="000000"/>
                <w:spacing w:val="0"/>
                <w:w w:val="100"/>
                <w:position w:val="0"/>
              </w:rPr>
              <w:t>按其分布和功能 分为</w:t>
            </w:r>
            <w:r>
              <w:rPr>
                <w:rFonts w:ascii="Times New Roman" w:eastAsia="Times New Roman" w:hAnsi="Times New Roman" w:cs="Times New Roman"/>
                <w:color w:val="000000"/>
                <w:spacing w:val="0"/>
                <w:w w:val="100"/>
                <w:position w:val="0"/>
              </w:rPr>
              <w:t>I</w:t>
            </w:r>
            <w:r>
              <w:rPr>
                <w:color w:val="000000"/>
                <w:spacing w:val="0"/>
                <w:w w:val="100"/>
                <w:position w:val="0"/>
              </w:rPr>
              <w:t>类抗原和</w:t>
            </w:r>
            <w:r>
              <w:rPr>
                <w:rFonts w:ascii="Times New Roman" w:eastAsia="Times New Roman" w:hAnsi="Times New Roman" w:cs="Times New Roman"/>
                <w:color w:val="000000"/>
                <w:spacing w:val="0"/>
                <w:w w:val="100"/>
                <w:position w:val="0"/>
              </w:rPr>
              <w:t>II</w:t>
            </w:r>
            <w:r>
              <w:rPr>
                <w:color w:val="000000"/>
                <w:spacing w:val="0"/>
                <w:w w:val="100"/>
                <w:position w:val="0"/>
              </w:rPr>
              <w:t>类抗原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IgG</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免疫球蛋白</w:t>
            </w:r>
            <w:r>
              <w:rPr>
                <w:rFonts w:ascii="Times New Roman" w:eastAsia="Times New Roman" w:hAnsi="Times New Roman" w:cs="Times New Roman"/>
                <w:color w:val="000000"/>
                <w:spacing w:val="0"/>
                <w:w w:val="100"/>
                <w:position w:val="0"/>
              </w:rPr>
              <w:t>G</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InDel</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插入</w:t>
            </w:r>
            <w:r>
              <w:rPr>
                <w:rFonts w:ascii="Times New Roman" w:eastAsia="Times New Roman" w:hAnsi="Times New Roman" w:cs="Times New Roman"/>
                <w:color w:val="000000"/>
                <w:spacing w:val="0"/>
                <w:w w:val="100"/>
                <w:position w:val="0"/>
              </w:rPr>
              <w:t>/</w:t>
            </w:r>
            <w:r>
              <w:rPr>
                <w:color w:val="000000"/>
                <w:spacing w:val="0"/>
                <w:w w:val="100"/>
                <w:position w:val="0"/>
              </w:rPr>
              <w:t>缺失突变的英文简写</w:t>
            </w:r>
            <w:r>
              <w:rPr>
                <w:color w:val="000000"/>
                <w:spacing w:val="0"/>
                <w:w w:val="100"/>
                <w:position w:val="0"/>
              </w:rPr>
              <w:t>（</w:t>
            </w:r>
            <w:r>
              <w:rPr>
                <w:rFonts w:ascii="Times New Roman" w:eastAsia="Times New Roman" w:hAnsi="Times New Roman" w:cs="Times New Roman"/>
                <w:color w:val="000000"/>
                <w:spacing w:val="0"/>
                <w:w w:val="100"/>
                <w:position w:val="0"/>
              </w:rPr>
              <w:t>Insertion/Deletion</w:t>
            </w:r>
            <w:r>
              <w:rPr>
                <w:color w:val="000000"/>
                <w:spacing w:val="0"/>
                <w:w w:val="100"/>
                <w:position w:val="0"/>
              </w:rPr>
              <w:t>），</w:t>
            </w:r>
            <w:r>
              <w:rPr>
                <w:color w:val="000000"/>
                <w:spacing w:val="0"/>
                <w:w w:val="100"/>
                <w:position w:val="0"/>
              </w:rPr>
              <w:t>是指由于碱基插入 或者缺失造成</w:t>
            </w:r>
            <w:r>
              <w:rPr>
                <w:rFonts w:ascii="Times New Roman" w:eastAsia="Times New Roman" w:hAnsi="Times New Roman" w:cs="Times New Roman"/>
                <w:color w:val="000000"/>
                <w:spacing w:val="0"/>
                <w:w w:val="100"/>
                <w:position w:val="0"/>
              </w:rPr>
              <w:t>DNA</w:t>
            </w:r>
            <w:r>
              <w:rPr>
                <w:color w:val="000000"/>
                <w:spacing w:val="0"/>
                <w:w w:val="100"/>
                <w:position w:val="0"/>
              </w:rPr>
              <w:t>序列的变化。基因组的</w:t>
            </w:r>
            <w:r>
              <w:rPr>
                <w:rFonts w:ascii="Times New Roman" w:eastAsia="Times New Roman" w:hAnsi="Times New Roman" w:cs="Times New Roman"/>
                <w:color w:val="000000"/>
                <w:spacing w:val="0"/>
                <w:w w:val="100"/>
                <w:position w:val="0"/>
              </w:rPr>
              <w:t>InDel</w:t>
            </w:r>
            <w:r>
              <w:rPr>
                <w:color w:val="000000"/>
                <w:spacing w:val="0"/>
                <w:w w:val="100"/>
                <w:position w:val="0"/>
              </w:rPr>
              <w:t>突变可产生多态 性，也可能导致遗传性疾病</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IBT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IsoBaric Tags</w:t>
            </w:r>
            <w:r>
              <w:rPr>
                <w:color w:val="000000"/>
                <w:spacing w:val="0"/>
                <w:w w:val="100"/>
                <w:position w:val="0"/>
              </w:rPr>
              <w:t>的缩写，指等重同位素标签</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mRNA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是信使</w:t>
            </w:r>
            <w:r>
              <w:rPr>
                <w:rFonts w:ascii="Times New Roman" w:eastAsia="Times New Roman" w:hAnsi="Times New Roman" w:cs="Times New Roman"/>
                <w:color w:val="000000"/>
                <w:spacing w:val="0"/>
                <w:w w:val="100"/>
                <w:position w:val="0"/>
              </w:rPr>
              <w:t>RNA</w:t>
            </w:r>
            <w:r>
              <w:rPr>
                <w:color w:val="000000"/>
                <w:spacing w:val="0"/>
                <w:w w:val="100"/>
                <w:position w:val="0"/>
              </w:rPr>
              <w:t>的英文缩写，是由</w:t>
            </w:r>
            <w:r>
              <w:rPr>
                <w:rFonts w:ascii="Times New Roman" w:eastAsia="Times New Roman" w:hAnsi="Times New Roman" w:cs="Times New Roman"/>
                <w:color w:val="000000"/>
                <w:spacing w:val="0"/>
                <w:w w:val="100"/>
                <w:position w:val="0"/>
              </w:rPr>
              <w:t>DNA</w:t>
            </w:r>
            <w:r>
              <w:rPr>
                <w:color w:val="000000"/>
                <w:spacing w:val="0"/>
                <w:w w:val="100"/>
                <w:position w:val="0"/>
              </w:rPr>
              <w:t>的一条链作为模板转录而来 的、携带遗传信息的能指导蛋白质合成的一类单链核糖核酸</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MRD</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微小残留病灶（</w:t>
            </w:r>
            <w:r>
              <w:rPr>
                <w:rFonts w:ascii="Times New Roman" w:eastAsia="Times New Roman" w:hAnsi="Times New Roman" w:cs="Times New Roman"/>
                <w:color w:val="000000"/>
                <w:spacing w:val="0"/>
                <w:w w:val="100"/>
                <w:position w:val="0"/>
              </w:rPr>
              <w:t xml:space="preserve">Minimal Residual Disease </w:t>
            </w:r>
            <w:r>
              <w:rPr>
                <w:color w:val="000000"/>
                <w:spacing w:val="0"/>
                <w:w w:val="100"/>
                <w:position w:val="0"/>
              </w:rPr>
              <w:t>）的英文简写：治疗后仍存 在于患者体内、但影像学方法无法检出的残留肿瘤细胞或者微小病 灶，属于肿瘤进展的隐匿阶段</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Oligo Pools</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利用电化学技术，在一张芯片上同时合成上万条引物，合成后将引 物从芯片上洗脱下来，即可得到含有上万条引物的混合溶液，即引</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物池（</w:t>
            </w:r>
            <w:r>
              <w:rPr>
                <w:rFonts w:ascii="Times New Roman" w:eastAsia="Times New Roman" w:hAnsi="Times New Roman" w:cs="Times New Roman"/>
                <w:color w:val="000000"/>
                <w:spacing w:val="0"/>
                <w:w w:val="100"/>
                <w:position w:val="0"/>
              </w:rPr>
              <w:t>Oligo Pools</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PCR</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是聚合酶链式反应的英文缩写，是在体外快速扩增目的基因或特定</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DNA</w:t>
            </w:r>
            <w:r>
              <w:rPr>
                <w:color w:val="000000"/>
                <w:spacing w:val="0"/>
                <w:w w:val="100"/>
                <w:position w:val="0"/>
              </w:rPr>
              <w:t>片段的一种十分有效的技术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PCR</w:t>
            </w:r>
            <w:r>
              <w:rPr>
                <w:color w:val="000000"/>
                <w:spacing w:val="0"/>
                <w:w w:val="100"/>
                <w:position w:val="0"/>
              </w:rPr>
              <w:t>克隆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即将一个基因从一个载体转移到另一个载体的过程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荧光探针结合</w:t>
            </w:r>
            <w:r>
              <w:rPr>
                <w:rFonts w:ascii="Times New Roman" w:eastAsia="Times New Roman" w:hAnsi="Times New Roman" w:cs="Times New Roman"/>
                <w:color w:val="000000"/>
                <w:spacing w:val="0"/>
                <w:w w:val="100"/>
                <w:position w:val="0"/>
              </w:rPr>
              <w:t xml:space="preserve">PCR </w:t>
            </w:r>
            <w:r>
              <w:rPr>
                <w:color w:val="000000"/>
                <w:spacing w:val="0"/>
                <w:w w:val="100"/>
                <w:position w:val="0"/>
              </w:rPr>
              <w:t>（聚合酶链式反应）扩增技术的检测方法</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PSA</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前列腺特异抗原（</w:t>
            </w:r>
            <w:r>
              <w:rPr>
                <w:rFonts w:ascii="Times New Roman" w:eastAsia="Times New Roman" w:hAnsi="Times New Roman" w:cs="Times New Roman"/>
                <w:color w:val="000000"/>
                <w:spacing w:val="0"/>
                <w:w w:val="100"/>
                <w:position w:val="0"/>
              </w:rPr>
              <w:t>Prostate Specific Antigen</w:t>
            </w:r>
            <w:r>
              <w:rPr>
                <w:color w:val="000000"/>
                <w:spacing w:val="0"/>
                <w:w w:val="100"/>
                <w:position w:val="0"/>
              </w:rPr>
              <w:t>），</w:t>
            </w:r>
            <w:r>
              <w:rPr>
                <w:color w:val="000000"/>
                <w:spacing w:val="0"/>
                <w:w w:val="100"/>
                <w:position w:val="0"/>
              </w:rPr>
              <w:t>可作为前列腺癌的肿瘤</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标志物</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RNA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是核糖核酸(</w:t>
            </w:r>
            <w:r>
              <w:rPr>
                <w:rFonts w:ascii="Times New Roman" w:eastAsia="Times New Roman" w:hAnsi="Times New Roman" w:cs="Times New Roman"/>
                <w:color w:val="000000"/>
                <w:spacing w:val="0"/>
                <w:w w:val="100"/>
                <w:position w:val="0"/>
              </w:rPr>
              <w:t>Ribonucleic Acid</w:t>
            </w:r>
            <w:r>
              <w:rPr>
                <w:color w:val="000000"/>
                <w:spacing w:val="0"/>
                <w:w w:val="100"/>
                <w:position w:val="0"/>
              </w:rPr>
              <w:t>)的英文缩写，是存在于生物细胞以 及部分病毒、类病毒中的遗传信息载体。</w:t>
            </w:r>
            <w:r>
              <w:rPr>
                <w:rFonts w:ascii="Times New Roman" w:eastAsia="Times New Roman" w:hAnsi="Times New Roman" w:cs="Times New Roman"/>
                <w:color w:val="000000"/>
                <w:spacing w:val="0"/>
                <w:w w:val="100"/>
                <w:position w:val="0"/>
              </w:rPr>
              <w:t>RNA</w:t>
            </w:r>
            <w:r>
              <w:rPr>
                <w:color w:val="000000"/>
                <w:spacing w:val="0"/>
                <w:w w:val="100"/>
                <w:position w:val="0"/>
              </w:rPr>
              <w:t>由核糖核苷酸经磷酸 二酯键缩合而成长链状分子</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stLFR</w:t>
            </w:r>
            <w:r>
              <w:rPr>
                <w:color w:val="000000"/>
                <w:spacing w:val="0"/>
                <w:w w:val="100"/>
                <w:position w:val="0"/>
              </w:rPr>
              <w:t>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single tube Long Fragment Read</w:t>
            </w:r>
            <w:r>
              <w:rPr>
                <w:color w:val="000000"/>
                <w:spacing w:val="0"/>
                <w:w w:val="100"/>
                <w:position w:val="0"/>
              </w:rPr>
              <w:t>的缩写，指单管长片段读取技 术，是一种新型的建库技术，可用于</w:t>
            </w:r>
            <w:r>
              <w:rPr>
                <w:rFonts w:ascii="Times New Roman" w:eastAsia="Times New Roman" w:hAnsi="Times New Roman" w:cs="Times New Roman"/>
                <w:color w:val="000000"/>
                <w:spacing w:val="0"/>
                <w:w w:val="100"/>
                <w:position w:val="0"/>
              </w:rPr>
              <w:t>WGS</w:t>
            </w:r>
            <w:r>
              <w:rPr>
                <w:color w:val="000000"/>
                <w:spacing w:val="0"/>
                <w:w w:val="100"/>
                <w:position w:val="0"/>
              </w:rPr>
              <w:t>，单体型分析和重叠群拼 接。它基于将相同的条形码序列添加到原始</w:t>
            </w:r>
            <w:r>
              <w:rPr>
                <w:rFonts w:ascii="Times New Roman" w:eastAsia="Times New Roman" w:hAnsi="Times New Roman" w:cs="Times New Roman"/>
                <w:color w:val="000000"/>
                <w:spacing w:val="0"/>
                <w:w w:val="100"/>
                <w:position w:val="0"/>
              </w:rPr>
              <w:t>DNA</w:t>
            </w:r>
            <w:r>
              <w:rPr>
                <w:color w:val="000000"/>
                <w:spacing w:val="0"/>
                <w:w w:val="100"/>
                <w:position w:val="0"/>
              </w:rPr>
              <w:t>分子的亚片段</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DNA co-barcoding</w:t>
            </w:r>
            <w:r>
              <w:rPr>
                <w:color w:val="000000"/>
                <w:spacing w:val="0"/>
                <w:w w:val="100"/>
                <w:position w:val="0"/>
              </w:rPr>
              <w:t>)</w:t>
            </w:r>
            <w:r>
              <w:rPr>
                <w:color w:val="000000"/>
                <w:spacing w:val="0"/>
                <w:w w:val="100"/>
                <w:position w:val="0"/>
              </w:rPr>
              <w:t>上</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ToRCH</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一组病原微生物的英文名称缩写，其中</w:t>
            </w:r>
            <w:r>
              <w:rPr>
                <w:rFonts w:ascii="Times New Roman" w:eastAsia="Times New Roman" w:hAnsi="Times New Roman" w:cs="Times New Roman"/>
                <w:color w:val="000000"/>
                <w:spacing w:val="0"/>
                <w:w w:val="100"/>
                <w:position w:val="0"/>
              </w:rPr>
              <w:t>T</w:t>
            </w:r>
            <w:r>
              <w:rPr>
                <w:color w:val="000000"/>
                <w:spacing w:val="0"/>
                <w:w w:val="100"/>
                <w:position w:val="0"/>
              </w:rPr>
              <w:t>(</w:t>
            </w:r>
            <w:r>
              <w:rPr>
                <w:rFonts w:ascii="Times New Roman" w:eastAsia="Times New Roman" w:hAnsi="Times New Roman" w:cs="Times New Roman"/>
                <w:color w:val="000000"/>
                <w:spacing w:val="0"/>
                <w:w w:val="100"/>
                <w:position w:val="0"/>
              </w:rPr>
              <w:t>Toxoplasma</w:t>
            </w:r>
            <w:r>
              <w:rPr>
                <w:rFonts w:ascii="Times New Roman" w:eastAsia="Times New Roman" w:hAnsi="Times New Roman" w:cs="Times New Roman"/>
                <w:color w:val="000000"/>
                <w:spacing w:val="0"/>
                <w:w w:val="100"/>
                <w:position w:val="0"/>
              </w:rPr>
              <w:t>)</w:t>
            </w:r>
            <w:r>
              <w:rPr>
                <w:color w:val="000000"/>
                <w:spacing w:val="0"/>
                <w:w w:val="100"/>
                <w:position w:val="0"/>
              </w:rPr>
              <w:t>指弓形虫，</w:t>
            </w:r>
            <w:r>
              <w:rPr>
                <w:rFonts w:ascii="Times New Roman" w:eastAsia="Times New Roman" w:hAnsi="Times New Roman" w:cs="Times New Roman"/>
                <w:color w:val="000000"/>
                <w:spacing w:val="0"/>
                <w:w w:val="100"/>
                <w:position w:val="0"/>
              </w:rPr>
              <w:t xml:space="preserve">O </w:t>
            </w:r>
            <w:r>
              <w:rPr>
                <w:color w:val="000000"/>
                <w:spacing w:val="0"/>
                <w:w w:val="100"/>
                <w:position w:val="0"/>
              </w:rPr>
              <w:t>(</w:t>
            </w:r>
            <w:r>
              <w:rPr>
                <w:rFonts w:ascii="Times New Roman" w:eastAsia="Times New Roman" w:hAnsi="Times New Roman" w:cs="Times New Roman"/>
                <w:color w:val="000000"/>
                <w:spacing w:val="0"/>
                <w:w w:val="100"/>
                <w:position w:val="0"/>
              </w:rPr>
              <w:t>Others</w:t>
            </w:r>
            <w:r>
              <w:rPr>
                <w:color w:val="000000"/>
                <w:spacing w:val="0"/>
                <w:w w:val="100"/>
                <w:position w:val="0"/>
              </w:rPr>
              <w:t>)</w:t>
            </w:r>
            <w:r>
              <w:rPr>
                <w:color w:val="000000"/>
                <w:spacing w:val="0"/>
                <w:w w:val="100"/>
                <w:position w:val="0"/>
              </w:rPr>
              <w:t>指其他病原微生物，如梅毒螺旋体、带状疱疹病毒、细小</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病毒</w:t>
            </w:r>
            <w:r>
              <w:rPr>
                <w:rFonts w:ascii="Times New Roman" w:eastAsia="Times New Roman" w:hAnsi="Times New Roman" w:cs="Times New Roman"/>
                <w:color w:val="000000"/>
                <w:spacing w:val="0"/>
                <w:w w:val="100"/>
                <w:position w:val="0"/>
              </w:rPr>
              <w:t>B19</w:t>
            </w:r>
            <w:r>
              <w:rPr>
                <w:color w:val="000000"/>
                <w:spacing w:val="0"/>
                <w:w w:val="100"/>
                <w:position w:val="0"/>
              </w:rPr>
              <w:t>、柯萨奇病毒等，</w:t>
            </w:r>
            <w:r>
              <w:rPr>
                <w:rFonts w:ascii="Times New Roman" w:eastAsia="Times New Roman" w:hAnsi="Times New Roman" w:cs="Times New Roman"/>
                <w:color w:val="000000"/>
                <w:spacing w:val="0"/>
                <w:w w:val="100"/>
                <w:position w:val="0"/>
              </w:rPr>
              <w:t>R(Rubella.Virus)</w:t>
            </w:r>
            <w:r>
              <w:rPr>
                <w:color w:val="000000"/>
                <w:spacing w:val="0"/>
                <w:w w:val="100"/>
                <w:position w:val="0"/>
              </w:rPr>
              <w:t>是风疹病毒，</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C(Cytomegalo.Virus)</w:t>
            </w:r>
            <w:r>
              <w:rPr>
                <w:color w:val="000000"/>
                <w:spacing w:val="0"/>
                <w:w w:val="100"/>
                <w:position w:val="0"/>
              </w:rPr>
              <w:t>是巨细胞病毒，</w:t>
            </w:r>
            <w:r>
              <w:rPr>
                <w:rFonts w:ascii="Times New Roman" w:eastAsia="Times New Roman" w:hAnsi="Times New Roman" w:cs="Times New Roman"/>
                <w:color w:val="000000"/>
                <w:spacing w:val="0"/>
                <w:w w:val="100"/>
                <w:position w:val="0"/>
              </w:rPr>
              <w:t>H(Herpes.Virus</w:t>
            </w:r>
            <w:r>
              <w:rPr>
                <w:rFonts w:ascii="Times New Roman" w:eastAsia="Times New Roman" w:hAnsi="Times New Roman" w:cs="Times New Roman"/>
                <w:color w:val="000000"/>
                <w:spacing w:val="0"/>
                <w:w w:val="100"/>
                <w:position w:val="0"/>
              </w:rPr>
              <w:t>)</w:t>
            </w:r>
            <w:r>
              <w:rPr>
                <w:color w:val="000000"/>
                <w:spacing w:val="0"/>
                <w:w w:val="100"/>
                <w:position w:val="0"/>
              </w:rPr>
              <w:t xml:space="preserve">即是单纯疱疹 </w:t>
            </w:r>
            <w:r>
              <w:rPr>
                <w:rFonts w:ascii="Times New Roman" w:eastAsia="Times New Roman" w:hAnsi="Times New Roman" w:cs="Times New Roman"/>
                <w:color w:val="000000"/>
                <w:spacing w:val="0"/>
                <w:w w:val="100"/>
                <w:position w:val="0"/>
              </w:rPr>
              <w:t xml:space="preserve">I/II </w:t>
            </w:r>
            <w:r>
              <w:rPr>
                <w:color w:val="000000"/>
                <w:spacing w:val="0"/>
                <w:w w:val="100"/>
                <w:position w:val="0"/>
              </w:rPr>
              <w:t>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UPD</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英文</w:t>
            </w:r>
            <w:r>
              <w:rPr>
                <w:rFonts w:ascii="Times New Roman" w:eastAsia="Times New Roman" w:hAnsi="Times New Roman" w:cs="Times New Roman"/>
                <w:color w:val="000000"/>
                <w:spacing w:val="0"/>
                <w:w w:val="100"/>
                <w:position w:val="0"/>
              </w:rPr>
              <w:t>Uniparental Disomy</w:t>
            </w:r>
            <w:r>
              <w:rPr>
                <w:color w:val="000000"/>
                <w:spacing w:val="0"/>
                <w:w w:val="100"/>
                <w:position w:val="0"/>
              </w:rPr>
              <w:t>的缩写，单亲二倍体</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WHO</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世界卫生组织</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表观基因组学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DNA</w:t>
            </w:r>
            <w:r>
              <w:rPr>
                <w:color w:val="000000"/>
                <w:spacing w:val="0"/>
                <w:w w:val="100"/>
                <w:position w:val="0"/>
              </w:rPr>
              <w:t>一直被认为是决定生命遗传信息的核心物质，但是近些年新的 研究表明，生命遗传信息从来就不是基因所能完全决定的，比如科 学家们发现，可以在不影响</w:t>
            </w:r>
            <w:r>
              <w:rPr>
                <w:rFonts w:ascii="Times New Roman" w:eastAsia="Times New Roman" w:hAnsi="Times New Roman" w:cs="Times New Roman"/>
                <w:color w:val="000000"/>
                <w:spacing w:val="0"/>
                <w:w w:val="100"/>
                <w:position w:val="0"/>
              </w:rPr>
              <w:t>DNA</w:t>
            </w:r>
            <w:r>
              <w:rPr>
                <w:color w:val="000000"/>
                <w:spacing w:val="0"/>
                <w:w w:val="100"/>
                <w:position w:val="0"/>
              </w:rPr>
              <w:t>序列的情况下改变基因组的修饰， 这种改变不仅可以影响个体的发育，而且还可以遗传下去。这种在 基因组的水平上研究表观遗传修饰的领域被称为</w:t>
            </w:r>
            <w:r>
              <w:rPr>
                <w:rFonts w:ascii="Times New Roman" w:eastAsia="Times New Roman" w:hAnsi="Times New Roman" w:cs="Times New Roman"/>
                <w:color w:val="000000"/>
                <w:spacing w:val="0"/>
                <w:w w:val="100"/>
                <w:position w:val="0"/>
              </w:rPr>
              <w:t>"</w:t>
            </w:r>
            <w:r>
              <w:rPr>
                <w:color w:val="000000"/>
                <w:spacing w:val="0"/>
                <w:w w:val="100"/>
                <w:position w:val="0"/>
              </w:rPr>
              <w:t>表观基因组学</w:t>
            </w: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表观遗传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是指</w:t>
            </w:r>
            <w:r>
              <w:rPr>
                <w:rFonts w:ascii="Times New Roman" w:eastAsia="Times New Roman" w:hAnsi="Times New Roman" w:cs="Times New Roman"/>
                <w:color w:val="000000"/>
                <w:spacing w:val="0"/>
                <w:w w:val="100"/>
                <w:position w:val="0"/>
              </w:rPr>
              <w:t>DNA</w:t>
            </w:r>
            <w:r>
              <w:rPr>
                <w:color w:val="000000"/>
                <w:spacing w:val="0"/>
                <w:w w:val="100"/>
                <w:position w:val="0"/>
              </w:rPr>
              <w:t>序列不发生变化，但基因表达却发生了可遗传的改变。这 种改变是细胞内除了遗传信息以外的其它可遗传物质发生的改变， 且这种改变在发育和细胞增殖过程中能稳定传递</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指个体形态、功能等各方面的表现，如身高、肤色、血型、酶活 力、药物耐受力乃至性格等等。就是说个体外表行为表现和具有的 行为模式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病原微生物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可以侵犯人体，引起感染甚至传染病的微生物</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产前筛查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是一种通过抽取孕妇血清，检测母体血清中甲型胎儿蛋白、绒毛促 性腺激素和游离雌三醇的浓度，并结合孕妇的预产期、体重、年龄 和采血时的孕周等，计算生出先天缺陷胎儿的危险系数的检测方法</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代谢组学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效仿基因组学和蛋白质组学的研究思想，对生物体内所有代谢物进 行定量分析，并寻找代谢物与生理病理变化的相对关系的研究方 式，是系统生物学的组成部分。其研究对象大都是相对分子质量 </w:t>
            </w:r>
            <w:r>
              <w:rPr>
                <w:rFonts w:ascii="Times New Roman" w:eastAsia="Times New Roman" w:hAnsi="Times New Roman" w:cs="Times New Roman"/>
                <w:color w:val="000000"/>
                <w:spacing w:val="0"/>
                <w:w w:val="100"/>
                <w:position w:val="0"/>
              </w:rPr>
              <w:t>1000</w:t>
            </w:r>
            <w:r>
              <w:rPr>
                <w:color w:val="000000"/>
                <w:spacing w:val="0"/>
                <w:w w:val="100"/>
                <w:position w:val="0"/>
              </w:rPr>
              <w:t>以内的小分子物质</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单核苷酸多态性</w:t>
            </w:r>
            <w:r>
              <w:rPr>
                <w:color w:val="000000"/>
                <w:spacing w:val="0"/>
                <w:w w:val="100"/>
                <w:position w:val="0"/>
              </w:rPr>
              <w:t>(</w:t>
            </w:r>
            <w:r>
              <w:rPr>
                <w:rFonts w:ascii="Times New Roman" w:eastAsia="Times New Roman" w:hAnsi="Times New Roman" w:cs="Times New Roman"/>
                <w:color w:val="000000"/>
                <w:spacing w:val="0"/>
                <w:w w:val="100"/>
                <w:position w:val="0"/>
              </w:rPr>
              <w:t>SNP</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是指在基因组水平上由单个核苷酸的变异所引起的</w:t>
            </w:r>
            <w:r>
              <w:rPr>
                <w:rFonts w:ascii="Times New Roman" w:eastAsia="Times New Roman" w:hAnsi="Times New Roman" w:cs="Times New Roman"/>
                <w:color w:val="000000"/>
                <w:spacing w:val="0"/>
                <w:w w:val="100"/>
                <w:position w:val="0"/>
              </w:rPr>
              <w:t>DNA</w:t>
            </w:r>
            <w:r>
              <w:rPr>
                <w:color w:val="000000"/>
                <w:spacing w:val="0"/>
                <w:w w:val="100"/>
                <w:position w:val="0"/>
              </w:rPr>
              <w:t xml:space="preserve">序列多态 性。它是人类可遗传的变异中最常见的一种。占所有已知多态性的 </w:t>
            </w:r>
            <w:r>
              <w:rPr>
                <w:rFonts w:ascii="Times New Roman" w:eastAsia="Times New Roman" w:hAnsi="Times New Roman" w:cs="Times New Roman"/>
                <w:color w:val="000000"/>
                <w:spacing w:val="0"/>
                <w:w w:val="100"/>
                <w:position w:val="0"/>
              </w:rPr>
              <w:t>90%</w:t>
            </w:r>
            <w:r>
              <w:rPr>
                <w:color w:val="000000"/>
                <w:spacing w:val="0"/>
                <w:w w:val="100"/>
                <w:position w:val="0"/>
              </w:rPr>
              <w:t>以上。</w:t>
            </w:r>
            <w:r>
              <w:rPr>
                <w:rFonts w:ascii="Times New Roman" w:eastAsia="Times New Roman" w:hAnsi="Times New Roman" w:cs="Times New Roman"/>
                <w:color w:val="000000"/>
                <w:spacing w:val="0"/>
                <w:w w:val="100"/>
                <w:position w:val="0"/>
              </w:rPr>
              <w:t>SNP</w:t>
            </w:r>
            <w:r>
              <w:rPr>
                <w:color w:val="000000"/>
                <w:spacing w:val="0"/>
                <w:w w:val="100"/>
                <w:position w:val="0"/>
              </w:rPr>
              <w:t>在人类基因组中广泛存在，平均每</w:t>
            </w:r>
            <w:r>
              <w:rPr>
                <w:rFonts w:ascii="Times New Roman" w:eastAsia="Times New Roman" w:hAnsi="Times New Roman" w:cs="Times New Roman"/>
                <w:color w:val="000000"/>
                <w:spacing w:val="0"/>
                <w:w w:val="100"/>
                <w:position w:val="0"/>
              </w:rPr>
              <w:t>500</w:t>
            </w:r>
            <w:r>
              <w:rPr>
                <w:color w:val="000000"/>
                <w:spacing w:val="0"/>
                <w:w w:val="100"/>
                <w:position w:val="0"/>
              </w:rPr>
              <w:t>〜</w:t>
            </w:r>
            <w:r>
              <w:rPr>
                <w:rFonts w:ascii="Times New Roman" w:eastAsia="Times New Roman" w:hAnsi="Times New Roman" w:cs="Times New Roman"/>
                <w:color w:val="000000"/>
                <w:spacing w:val="0"/>
                <w:w w:val="100"/>
                <w:position w:val="0"/>
              </w:rPr>
              <w:t>1,000</w:t>
            </w:r>
            <w:r>
              <w:rPr>
                <w:color w:val="000000"/>
                <w:spacing w:val="0"/>
                <w:w w:val="100"/>
                <w:position w:val="0"/>
              </w:rPr>
              <w:t>个碱 基对中就有</w:t>
            </w:r>
            <w:r>
              <w:rPr>
                <w:rFonts w:ascii="Times New Roman" w:eastAsia="Times New Roman" w:hAnsi="Times New Roman" w:cs="Times New Roman"/>
                <w:color w:val="000000"/>
                <w:spacing w:val="0"/>
                <w:w w:val="100"/>
                <w:position w:val="0"/>
              </w:rPr>
              <w:t>1</w:t>
            </w:r>
            <w:r>
              <w:rPr>
                <w:color w:val="000000"/>
                <w:spacing w:val="0"/>
                <w:w w:val="100"/>
                <w:position w:val="0"/>
              </w:rPr>
              <w:t>个，估计其总数可达</w:t>
            </w:r>
            <w:r>
              <w:rPr>
                <w:rFonts w:ascii="Times New Roman" w:eastAsia="Times New Roman" w:hAnsi="Times New Roman" w:cs="Times New Roman"/>
                <w:color w:val="000000"/>
                <w:spacing w:val="0"/>
                <w:w w:val="100"/>
                <w:position w:val="0"/>
              </w:rPr>
              <w:t>300</w:t>
            </w:r>
            <w:r>
              <w:rPr>
                <w:color w:val="000000"/>
                <w:spacing w:val="0"/>
                <w:w w:val="100"/>
                <w:position w:val="0"/>
              </w:rPr>
              <w:t>万个甚至更多</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单基因遗传病</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是指受一对等位基因控制的遗传病，有</w:t>
            </w:r>
            <w:r>
              <w:rPr>
                <w:rFonts w:ascii="Times New Roman" w:eastAsia="Times New Roman" w:hAnsi="Times New Roman" w:cs="Times New Roman"/>
                <w:color w:val="000000"/>
                <w:spacing w:val="0"/>
                <w:w w:val="100"/>
                <w:position w:val="0"/>
              </w:rPr>
              <w:t>6,600</w:t>
            </w:r>
            <w:r>
              <w:rPr>
                <w:color w:val="000000"/>
                <w:spacing w:val="0"/>
                <w:w w:val="100"/>
                <w:position w:val="0"/>
              </w:rPr>
              <w:t xml:space="preserve">多种，并且每年在以 </w:t>
            </w:r>
            <w:r>
              <w:rPr>
                <w:rFonts w:ascii="Times New Roman" w:eastAsia="Times New Roman" w:hAnsi="Times New Roman" w:cs="Times New Roman"/>
                <w:color w:val="000000"/>
                <w:spacing w:val="0"/>
                <w:w w:val="100"/>
                <w:position w:val="0"/>
              </w:rPr>
              <w:t>10-50</w:t>
            </w:r>
            <w:r>
              <w:rPr>
                <w:color w:val="000000"/>
                <w:spacing w:val="0"/>
                <w:w w:val="100"/>
                <w:position w:val="0"/>
              </w:rPr>
              <w:t>种的速度递增，单基因遗传病已经对人类健康构成了较大的威</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胁。较常见的有红绿色盲、血友病、白化病等</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蛋白质组学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以蛋白质组为研究对象，研究细胞、组织或生物体蛋白质组成及其 变化规律的科学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多态性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是指以适当频率在一个群体的某个特定遗传位点（基因序列或非基 因序列）发生两种或两种以上变异的现象，可通过直接分析</w:t>
            </w:r>
            <w:r>
              <w:rPr>
                <w:rFonts w:ascii="Times New Roman" w:eastAsia="Times New Roman" w:hAnsi="Times New Roman" w:cs="Times New Roman"/>
                <w:color w:val="000000"/>
                <w:spacing w:val="0"/>
                <w:w w:val="100"/>
                <w:position w:val="0"/>
              </w:rPr>
              <w:t>DNA</w:t>
            </w:r>
            <w:r>
              <w:rPr>
                <w:color w:val="000000"/>
                <w:spacing w:val="0"/>
                <w:w w:val="100"/>
                <w:position w:val="0"/>
              </w:rPr>
              <w:t>或 基因产物来确定</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寡核苷酸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是一类只有</w:t>
            </w:r>
            <w:r>
              <w:rPr>
                <w:rFonts w:ascii="Times New Roman" w:eastAsia="Times New Roman" w:hAnsi="Times New Roman" w:cs="Times New Roman"/>
                <w:color w:val="000000"/>
                <w:spacing w:val="0"/>
                <w:w w:val="100"/>
                <w:position w:val="0"/>
              </w:rPr>
              <w:t>20</w:t>
            </w:r>
            <w:r>
              <w:rPr>
                <w:color w:val="000000"/>
                <w:spacing w:val="0"/>
                <w:w w:val="100"/>
                <w:position w:val="0"/>
              </w:rPr>
              <w:t xml:space="preserve">个以下碱基的短链核苷酸的总称（包括脱氧核糖核酸 </w:t>
            </w:r>
            <w:r>
              <w:rPr>
                <w:rFonts w:ascii="Times New Roman" w:eastAsia="Times New Roman" w:hAnsi="Times New Roman" w:cs="Times New Roman"/>
                <w:color w:val="000000"/>
                <w:spacing w:val="0"/>
                <w:w w:val="100"/>
                <w:position w:val="0"/>
              </w:rPr>
              <w:t>DNA</w:t>
            </w:r>
            <w:r>
              <w:rPr>
                <w:color w:val="000000"/>
                <w:spacing w:val="0"/>
                <w:w w:val="100"/>
                <w:position w:val="0"/>
              </w:rPr>
              <w:t>或核糖核酸</w:t>
            </w:r>
            <w:r>
              <w:rPr>
                <w:rFonts w:ascii="Times New Roman" w:eastAsia="Times New Roman" w:hAnsi="Times New Roman" w:cs="Times New Roman"/>
                <w:color w:val="000000"/>
                <w:spacing w:val="0"/>
                <w:w w:val="100"/>
                <w:position w:val="0"/>
              </w:rPr>
              <w:t>RNA</w:t>
            </w:r>
            <w:r>
              <w:rPr>
                <w:color w:val="000000"/>
                <w:spacing w:val="0"/>
                <w:w w:val="100"/>
                <w:position w:val="0"/>
              </w:rPr>
              <w:t>内的核苷酸），寡核苷酸可以很容易地和它们 的互补区域结合，所以常用来作为探针确定</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的结构， 经常用于基因芯片、电泳、荧光原位杂交等过程中</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核苷酸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是一类由嘌吟碱或嘧啶碱、核糖或脱氧核糖以及磷酸三种物质组成 的化合物，又称核甙酸。核苷酸主要参与构成核酸，许多单核苷酸 也具有多种重要的生物学功能，如与能量代谢有关的三磷酸腺苷</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ATP</w:t>
            </w:r>
            <w:r>
              <w:rPr>
                <w:color w:val="000000"/>
                <w:spacing w:val="0"/>
                <w:w w:val="100"/>
                <w:position w:val="0"/>
              </w:rPr>
              <w:t>）、</w:t>
            </w:r>
            <w:r>
              <w:rPr>
                <w:color w:val="000000"/>
                <w:spacing w:val="0"/>
                <w:w w:val="100"/>
                <w:position w:val="0"/>
              </w:rPr>
              <w:t>脱氢辅酶等</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宏基因组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是生境中全部微小生物遗传物质的总和。它包含了可培养的和未可 培养的微生物的基因，目前主要指环境样品中的细菌和真菌的基因 组总和</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宏基因组学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又称微生物环境基因组学、元基因组学。通过直接从环境样品中提 取全部微生物的</w:t>
            </w:r>
            <w:r>
              <w:rPr>
                <w:rFonts w:ascii="Times New Roman" w:eastAsia="Times New Roman" w:hAnsi="Times New Roman" w:cs="Times New Roman"/>
                <w:color w:val="000000"/>
                <w:spacing w:val="0"/>
                <w:w w:val="100"/>
                <w:position w:val="0"/>
              </w:rPr>
              <w:t>DNA</w:t>
            </w:r>
            <w:r>
              <w:rPr>
                <w:color w:val="000000"/>
                <w:spacing w:val="0"/>
                <w:w w:val="100"/>
                <w:position w:val="0"/>
              </w:rPr>
              <w:t>，</w:t>
            </w:r>
            <w:r>
              <w:rPr>
                <w:color w:val="000000"/>
                <w:spacing w:val="0"/>
                <w:w w:val="100"/>
                <w:position w:val="0"/>
              </w:rPr>
              <w:t>构建宏基因组文库，利用基因组学的研究策 略研究环境样品所包含的全部微生物的遗传组成及其群落功能</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能够编码蛋白质或</w:t>
            </w:r>
            <w:r>
              <w:rPr>
                <w:rFonts w:ascii="Times New Roman" w:eastAsia="Times New Roman" w:hAnsi="Times New Roman" w:cs="Times New Roman"/>
                <w:color w:val="000000"/>
                <w:spacing w:val="0"/>
                <w:w w:val="100"/>
                <w:position w:val="0"/>
              </w:rPr>
              <w:t>RNA</w:t>
            </w:r>
            <w:r>
              <w:rPr>
                <w:color w:val="000000"/>
                <w:spacing w:val="0"/>
                <w:w w:val="100"/>
                <w:position w:val="0"/>
              </w:rPr>
              <w:t>的核酸序列，包括基因的编码序列（外显 子）和编码区前后具有基因表达调控作用的序列和单个编码序列间 的间隔序列（内含子）</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基因表达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是指细胞在生命过程中，把储存在</w:t>
            </w:r>
            <w:r>
              <w:rPr>
                <w:rFonts w:ascii="Times New Roman" w:eastAsia="Times New Roman" w:hAnsi="Times New Roman" w:cs="Times New Roman"/>
                <w:color w:val="000000"/>
                <w:spacing w:val="0"/>
                <w:w w:val="100"/>
                <w:position w:val="0"/>
              </w:rPr>
              <w:t>DNA</w:t>
            </w:r>
            <w:r>
              <w:rPr>
                <w:color w:val="000000"/>
                <w:spacing w:val="0"/>
                <w:w w:val="100"/>
                <w:position w:val="0"/>
              </w:rPr>
              <w:t>顺序中遗传信息经过转录和 翻译，转变成具有生物活性的蛋白质分子</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基因分型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是利用生物学检测方法测定个体基因型的技术，又称为基因型分</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析。使用技术包括聚合酶链反应</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片段分析、寡核苷酸 探针、基因测序、核酸杂交、基因芯片技术等</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是一个细胞或者生物体所携带的一套完整的单倍体序列，包括全套 基因和间隔序列，它指单倍体细胞中包括编码序列和非编码序列在 内的全部</w:t>
            </w:r>
            <w:r>
              <w:rPr>
                <w:rFonts w:ascii="Times New Roman" w:eastAsia="Times New Roman" w:hAnsi="Times New Roman" w:cs="Times New Roman"/>
                <w:color w:val="000000"/>
                <w:spacing w:val="0"/>
                <w:w w:val="100"/>
                <w:position w:val="0"/>
              </w:rPr>
              <w:t>DNA</w:t>
            </w:r>
            <w:r>
              <w:rPr>
                <w:color w:val="000000"/>
                <w:spacing w:val="0"/>
                <w:w w:val="100"/>
                <w:position w:val="0"/>
              </w:rPr>
              <w:t>分子</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是研究生物基因组和如何利用基因的一门学问，用于概括涉及基因 作图、测序和整个基因组功能分析的遗传学分支。该学科提供基因 组信息以及相关数据系统利用，试图解决生物，医学，和工业领域 的重大问题</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甲基化</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是指从活性甲基化合物（如</w:t>
            </w:r>
            <w:r>
              <w:rPr>
                <w:rFonts w:ascii="Times New Roman" w:eastAsia="Times New Roman" w:hAnsi="Times New Roman" w:cs="Times New Roman"/>
                <w:color w:val="000000"/>
                <w:spacing w:val="0"/>
                <w:w w:val="100"/>
                <w:position w:val="0"/>
              </w:rPr>
              <w:t>S-</w:t>
            </w:r>
            <w:r>
              <w:rPr>
                <w:color w:val="000000"/>
                <w:spacing w:val="0"/>
                <w:w w:val="100"/>
                <w:position w:val="0"/>
              </w:rPr>
              <w:t>腺苷基甲硫氨酸）上将甲基催化转移 到其他化合物的过程。可形成各种甲基化合物，或是对某些蛋白质 或核酸等进行化学修饰形成甲基化产物。在生物系统内，甲基化是 经酶催化的，这种甲基化涉及重金属修饰、基因表达的调控、蛋白 质功能的调节以及核糖核酸</w:t>
            </w:r>
            <w:r>
              <w:rPr>
                <w:color w:val="000000"/>
                <w:spacing w:val="0"/>
                <w:w w:val="100"/>
                <w:position w:val="0"/>
              </w:rPr>
              <w:t>（</w:t>
            </w: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加工</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碱基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是嘌吟和嘧啶的衍生物，是核酸、核苷、核苷酸的成分。</w:t>
            </w:r>
            <w:r>
              <w:rPr>
                <w:rFonts w:ascii="Times New Roman" w:eastAsia="Times New Roman" w:hAnsi="Times New Roman" w:cs="Times New Roman"/>
                <w:color w:val="000000"/>
                <w:spacing w:val="0"/>
                <w:w w:val="100"/>
                <w:position w:val="0"/>
              </w:rPr>
              <w:t>DNA</w:t>
            </w:r>
            <w:r>
              <w:rPr>
                <w:color w:val="000000"/>
                <w:spacing w:val="0"/>
                <w:w w:val="100"/>
                <w:position w:val="0"/>
              </w:rPr>
              <w:t xml:space="preserve">和 </w:t>
            </w:r>
            <w:r>
              <w:rPr>
                <w:rFonts w:ascii="Times New Roman" w:eastAsia="Times New Roman" w:hAnsi="Times New Roman" w:cs="Times New Roman"/>
                <w:color w:val="000000"/>
                <w:spacing w:val="0"/>
                <w:w w:val="100"/>
                <w:position w:val="0"/>
              </w:rPr>
              <w:t>RNA</w:t>
            </w:r>
            <w:r>
              <w:rPr>
                <w:color w:val="000000"/>
                <w:spacing w:val="0"/>
                <w:w w:val="100"/>
                <w:position w:val="0"/>
              </w:rPr>
              <w:t>的主要碱基略有不同，其重要区别是：胸腺嘧啶是</w:t>
            </w:r>
            <w:r>
              <w:rPr>
                <w:rFonts w:ascii="Times New Roman" w:eastAsia="Times New Roman" w:hAnsi="Times New Roman" w:cs="Times New Roman"/>
                <w:color w:val="000000"/>
                <w:spacing w:val="0"/>
                <w:w w:val="100"/>
                <w:position w:val="0"/>
              </w:rPr>
              <w:t>DNA</w:t>
            </w:r>
            <w:r>
              <w:rPr>
                <w:color w:val="000000"/>
                <w:spacing w:val="0"/>
                <w:w w:val="100"/>
                <w:position w:val="0"/>
              </w:rPr>
              <w:t>的主 要嘧啶碱，在</w:t>
            </w:r>
            <w:r>
              <w:rPr>
                <w:rFonts w:ascii="Times New Roman" w:eastAsia="Times New Roman" w:hAnsi="Times New Roman" w:cs="Times New Roman"/>
                <w:color w:val="000000"/>
                <w:spacing w:val="0"/>
                <w:w w:val="100"/>
                <w:position w:val="0"/>
              </w:rPr>
              <w:t>RNA</w:t>
            </w:r>
            <w:r>
              <w:rPr>
                <w:color w:val="000000"/>
                <w:spacing w:val="0"/>
                <w:w w:val="100"/>
                <w:position w:val="0"/>
              </w:rPr>
              <w:t>中极少见；相反，尿嘧啶是</w:t>
            </w:r>
            <w:r>
              <w:rPr>
                <w:rFonts w:ascii="Times New Roman" w:eastAsia="Times New Roman" w:hAnsi="Times New Roman" w:cs="Times New Roman"/>
                <w:color w:val="000000"/>
                <w:spacing w:val="0"/>
                <w:w w:val="100"/>
                <w:position w:val="0"/>
              </w:rPr>
              <w:t>RNA</w:t>
            </w:r>
            <w:r>
              <w:rPr>
                <w:color w:val="000000"/>
                <w:spacing w:val="0"/>
                <w:w w:val="100"/>
                <w:position w:val="0"/>
              </w:rPr>
              <w:t>的主要嘧啶 碱，在</w:t>
            </w:r>
            <w:r>
              <w:rPr>
                <w:rFonts w:ascii="Times New Roman" w:eastAsia="Times New Roman" w:hAnsi="Times New Roman" w:cs="Times New Roman"/>
                <w:color w:val="000000"/>
                <w:spacing w:val="0"/>
                <w:w w:val="100"/>
                <w:position w:val="0"/>
              </w:rPr>
              <w:t>DNA</w:t>
            </w:r>
            <w:r>
              <w:rPr>
                <w:color w:val="000000"/>
                <w:spacing w:val="0"/>
                <w:w w:val="100"/>
                <w:position w:val="0"/>
              </w:rPr>
              <w:t>中则是稀有的</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焦磷酸测序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color w:val="000000"/>
                <w:spacing w:val="0"/>
                <w:w w:val="100"/>
                <w:position w:val="0"/>
              </w:rPr>
              <w:t>是一种新型的酶联级联测序技术，焦磷酸测序法适于对已知的短序 列的测序分析，其可重复性和精确性能与</w:t>
            </w:r>
            <w:r>
              <w:rPr>
                <w:rFonts w:ascii="Times New Roman" w:eastAsia="Times New Roman" w:hAnsi="Times New Roman" w:cs="Times New Roman"/>
                <w:color w:val="000000"/>
                <w:spacing w:val="0"/>
                <w:w w:val="100"/>
                <w:position w:val="0"/>
              </w:rPr>
              <w:t>Sanger DNA</w:t>
            </w:r>
            <w:r>
              <w:rPr>
                <w:color w:val="000000"/>
                <w:spacing w:val="0"/>
                <w:w w:val="100"/>
                <w:position w:val="0"/>
              </w:rPr>
              <w:t>测序法相媲 美，而速度却大大的提高。焦磷酸测序技术产品具备同时对大量样 品进行测序分析的能力，为大通量、低成本、适时、快速、直观地 进行单核苷酸多态性研究和临床检验提供了非常理想的技术操作平 台</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内含子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是断裂基因的非编码区，可被转录，但在</w:t>
            </w:r>
            <w:r>
              <w:rPr>
                <w:rFonts w:ascii="Times New Roman" w:eastAsia="Times New Roman" w:hAnsi="Times New Roman" w:cs="Times New Roman"/>
                <w:color w:val="000000"/>
                <w:spacing w:val="0"/>
                <w:w w:val="100"/>
                <w:position w:val="0"/>
              </w:rPr>
              <w:t>mRNA</w:t>
            </w:r>
            <w:r>
              <w:rPr>
                <w:color w:val="000000"/>
                <w:spacing w:val="0"/>
                <w:w w:val="100"/>
                <w:position w:val="0"/>
              </w:rPr>
              <w:t>加工过程中会被剪 切掉，故成熟</w:t>
            </w:r>
            <w:r>
              <w:rPr>
                <w:rFonts w:ascii="Times New Roman" w:eastAsia="Times New Roman" w:hAnsi="Times New Roman" w:cs="Times New Roman"/>
                <w:color w:val="000000"/>
                <w:spacing w:val="0"/>
                <w:w w:val="100"/>
                <w:position w:val="0"/>
              </w:rPr>
              <w:t>mRNA</w:t>
            </w:r>
            <w:r>
              <w:rPr>
                <w:color w:val="000000"/>
                <w:spacing w:val="0"/>
                <w:w w:val="100"/>
                <w:position w:val="0"/>
              </w:rPr>
              <w:t>上无内含子编码序列。内含子可能含有</w:t>
            </w:r>
            <w:r>
              <w:rPr>
                <w:rFonts w:ascii="Times New Roman" w:eastAsia="Times New Roman" w:hAnsi="Times New Roman" w:cs="Times New Roman"/>
                <w:color w:val="000000"/>
                <w:spacing w:val="0"/>
                <w:w w:val="100"/>
                <w:position w:val="0"/>
              </w:rPr>
              <w:t>”</w:t>
            </w:r>
            <w:r>
              <w:rPr>
                <w:color w:val="000000"/>
                <w:spacing w:val="0"/>
                <w:w w:val="100"/>
                <w:position w:val="0"/>
              </w:rPr>
              <w:t xml:space="preserve">旧码 </w:t>
            </w:r>
            <w:r>
              <w:rPr>
                <w:rFonts w:ascii="Times New Roman" w:eastAsia="Times New Roman" w:hAnsi="Times New Roman" w:cs="Times New Roman"/>
                <w:color w:val="000000"/>
                <w:spacing w:val="0"/>
                <w:w w:val="100"/>
                <w:position w:val="0"/>
              </w:rPr>
              <w:t>"</w:t>
            </w:r>
            <w:r>
              <w:rPr>
                <w:color w:val="000000"/>
                <w:spacing w:val="0"/>
                <w:w w:val="100"/>
                <w:position w:val="0"/>
              </w:rPr>
              <w:t>，就是在进化过程中丧失功能的基因部分。正因为内含子对翻译产 物的结构无意义，不受自然选择的压力，所以它比外显子累积有更 多的突变</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全基因组测序、</w:t>
            </w:r>
            <w:r>
              <w:rPr>
                <w:rFonts w:ascii="Times New Roman" w:eastAsia="Times New Roman" w:hAnsi="Times New Roman" w:cs="Times New Roman"/>
                <w:color w:val="000000"/>
                <w:spacing w:val="0"/>
                <w:w w:val="100"/>
                <w:position w:val="0"/>
              </w:rPr>
              <w:t>WGS</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是对未知基因组序列的物种进行个体的基因组测序</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全基因组重测序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是对已知基因组序列的物种进行不同个体的基因组测序，并在此基 础上对个体或群体进行差异性分析。它将不同梯度插入片段的测序 文库结合短序列、双末端进行测序，帮助客户在全基因组水平上扫 描并检测与重要性状相关的基因序列差异和结构变异，实现遗传进 化分析及重要性状候选基因预测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全外显子组测序、</w:t>
            </w:r>
            <w:r>
              <w:rPr>
                <w:rFonts w:ascii="Times New Roman" w:eastAsia="Times New Roman" w:hAnsi="Times New Roman" w:cs="Times New Roman"/>
                <w:color w:val="000000"/>
                <w:spacing w:val="0"/>
                <w:w w:val="100"/>
                <w:position w:val="0"/>
              </w:rPr>
              <w:t>WES</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利用序列捕获技术将全基因组外显子区域</w:t>
            </w:r>
            <w:r>
              <w:rPr>
                <w:rFonts w:ascii="Times New Roman" w:eastAsia="Times New Roman" w:hAnsi="Times New Roman" w:cs="Times New Roman"/>
                <w:color w:val="000000"/>
                <w:spacing w:val="0"/>
                <w:w w:val="100"/>
                <w:position w:val="0"/>
              </w:rPr>
              <w:t>DNA</w:t>
            </w:r>
            <w:r>
              <w:rPr>
                <w:color w:val="000000"/>
                <w:spacing w:val="0"/>
                <w:w w:val="100"/>
                <w:position w:val="0"/>
              </w:rPr>
              <w:t>捕捉并富集后进行高 通量测序的基因组分析方法</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染色体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是细胞内具有遗传性质的遗传物质深度压缩形成的聚合体，易被碱 性染料染成深色，所以叫染色体；其本质是脱氧核糖核酸</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 xml:space="preserve">） </w:t>
            </w:r>
            <w:r>
              <w:rPr>
                <w:color w:val="000000"/>
                <w:spacing w:val="0"/>
                <w:w w:val="100"/>
                <w:position w:val="0"/>
              </w:rPr>
              <w:t>和蛋白质的组合（即核蛋白组成的），不均匀地分布于细胞核中，是 遗传信息（基因）的主要载体，但不是唯一载体（如细胞质内的线 粒体）</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人乳头瘤病毒</w:t>
            </w: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是一种属于乳多空病毒科的乳头瘤空泡病毒</w:t>
            </w:r>
            <w:r>
              <w:rPr>
                <w:rFonts w:ascii="Times New Roman" w:eastAsia="Times New Roman" w:hAnsi="Times New Roman" w:cs="Times New Roman"/>
                <w:color w:val="000000"/>
                <w:spacing w:val="0"/>
                <w:w w:val="100"/>
                <w:position w:val="0"/>
              </w:rPr>
              <w:t>A</w:t>
            </w:r>
            <w:r>
              <w:rPr>
                <w:color w:val="000000"/>
                <w:spacing w:val="0"/>
                <w:w w:val="100"/>
                <w:position w:val="0"/>
              </w:rPr>
              <w:t>属，是球形</w:t>
            </w:r>
            <w:r>
              <w:rPr>
                <w:rFonts w:ascii="Times New Roman" w:eastAsia="Times New Roman" w:hAnsi="Times New Roman" w:cs="Times New Roman"/>
                <w:color w:val="000000"/>
                <w:spacing w:val="0"/>
                <w:w w:val="100"/>
                <w:position w:val="0"/>
              </w:rPr>
              <w:t>DNA</w:t>
            </w:r>
            <w:r>
              <w:rPr>
                <w:color w:val="000000"/>
                <w:spacing w:val="0"/>
                <w:w w:val="100"/>
                <w:position w:val="0"/>
              </w:rPr>
              <w:t>病 毒，能引起人体皮肤黏膜的鳞状上皮增殖</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生物芯片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w:t>
            </w:r>
            <w:r>
              <w:rPr>
                <w:rFonts w:ascii="Times New Roman" w:eastAsia="Times New Roman" w:hAnsi="Times New Roman" w:cs="Times New Roman"/>
                <w:color w:val="000000"/>
                <w:spacing w:val="0"/>
                <w:w w:val="100"/>
                <w:position w:val="0"/>
              </w:rPr>
              <w:t>DNA</w:t>
            </w:r>
            <w:r>
              <w:rPr>
                <w:color w:val="000000"/>
                <w:spacing w:val="0"/>
                <w:w w:val="100"/>
                <w:position w:val="0"/>
              </w:rPr>
              <w:t>杂交探针技术与半导体工业技术相结合的结晶。该技术系指 将大量探针分子固定于支持物上后，与带荧光标记的</w:t>
            </w:r>
            <w:r>
              <w:rPr>
                <w:rFonts w:ascii="Times New Roman" w:eastAsia="Times New Roman" w:hAnsi="Times New Roman" w:cs="Times New Roman"/>
                <w:color w:val="000000"/>
                <w:spacing w:val="0"/>
                <w:w w:val="100"/>
                <w:position w:val="0"/>
              </w:rPr>
              <w:t>DNA</w:t>
            </w:r>
            <w:r>
              <w:rPr>
                <w:color w:val="000000"/>
                <w:spacing w:val="0"/>
                <w:w w:val="100"/>
                <w:position w:val="0"/>
              </w:rPr>
              <w:t>或其它样 品分子（例如蛋白，因子或小分子）进行杂交，通过检测每个探针 分子的杂交信号强度进而获取样品分子的数量和序列信息</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突变（</w:t>
            </w:r>
            <w:r>
              <w:rPr>
                <w:rFonts w:ascii="Times New Roman" w:eastAsia="Times New Roman" w:hAnsi="Times New Roman" w:cs="Times New Roman"/>
                <w:color w:val="000000"/>
                <w:spacing w:val="0"/>
                <w:w w:val="100"/>
                <w:position w:val="0"/>
              </w:rPr>
              <w:t>Mutation</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在生物学上是指细胞中的遗传基因（通常指存在于细胞核中的脱氧 核糖核酸）发生的改变。它包括单个碱基改变所引起的点突变，或 多个碱基的缺失、重复和插入。原因可以是细胞分裂时遗传基因的 复制发生错误、或受化学物质、辐射或病毒的影响</w:t>
            </w: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外显子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是断裂基因中的编码序列，它是真核生物基因的一部分，在剪接后 仍会被保存下来，并可在蛋白质生物合成过程中被表达为蛋白质。 外显子是最后出现在成熟</w:t>
            </w:r>
            <w:r>
              <w:rPr>
                <w:rFonts w:ascii="Times New Roman" w:eastAsia="Times New Roman" w:hAnsi="Times New Roman" w:cs="Times New Roman"/>
                <w:color w:val="000000"/>
                <w:spacing w:val="0"/>
                <w:w w:val="100"/>
                <w:position w:val="0"/>
              </w:rPr>
              <w:t>RNA</w:t>
            </w:r>
            <w:r>
              <w:rPr>
                <w:color w:val="000000"/>
                <w:spacing w:val="0"/>
                <w:w w:val="100"/>
                <w:position w:val="0"/>
              </w:rPr>
              <w:t>中的基因序列，又称表达序列。既存</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在于最初的转录产物中，也存在于成熟的</w:t>
            </w:r>
            <w:r>
              <w:rPr>
                <w:rFonts w:ascii="Times New Roman" w:eastAsia="Times New Roman" w:hAnsi="Times New Roman" w:cs="Times New Roman"/>
                <w:color w:val="000000"/>
                <w:spacing w:val="0"/>
                <w:w w:val="100"/>
                <w:position w:val="0"/>
              </w:rPr>
              <w:t>RNA</w:t>
            </w:r>
            <w:r>
              <w:rPr>
                <w:color w:val="000000"/>
                <w:spacing w:val="0"/>
                <w:w w:val="100"/>
                <w:position w:val="0"/>
              </w:rPr>
              <w:t>分子中的核苷酸序 列。术语外显子也指编码相应</w:t>
            </w:r>
            <w:r>
              <w:rPr>
                <w:rFonts w:ascii="Times New Roman" w:eastAsia="Times New Roman" w:hAnsi="Times New Roman" w:cs="Times New Roman"/>
                <w:color w:val="000000"/>
                <w:spacing w:val="0"/>
                <w:w w:val="100"/>
                <w:position w:val="0"/>
              </w:rPr>
              <w:t>RNA</w:t>
            </w:r>
            <w:r>
              <w:rPr>
                <w:color w:val="000000"/>
                <w:spacing w:val="0"/>
                <w:w w:val="100"/>
                <w:position w:val="0"/>
              </w:rPr>
              <w:t>外显子的</w:t>
            </w:r>
            <w:r>
              <w:rPr>
                <w:rFonts w:ascii="Times New Roman" w:eastAsia="Times New Roman" w:hAnsi="Times New Roman" w:cs="Times New Roman"/>
                <w:color w:val="000000"/>
                <w:spacing w:val="0"/>
                <w:w w:val="100"/>
                <w:position w:val="0"/>
              </w:rPr>
              <w:t>DNA</w:t>
            </w:r>
            <w:r>
              <w:rPr>
                <w:color w:val="000000"/>
                <w:spacing w:val="0"/>
                <w:w w:val="100"/>
                <w:position w:val="0"/>
              </w:rPr>
              <w:t>中的区域。所有 的外显子一同组成了遗传信息，该信息会体现在蛋白质上</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无创产前基因检测</w:t>
            </w:r>
            <w:r>
              <w:rPr>
                <w:rFonts w:ascii="Times New Roman" w:eastAsia="Times New Roman" w:hAnsi="Times New Roman" w:cs="Times New Roman"/>
                <w:color w:val="000000"/>
                <w:spacing w:val="0"/>
                <w:w w:val="100"/>
                <w:position w:val="0"/>
              </w:rPr>
              <w:t>/</w:t>
            </w:r>
            <w:r>
              <w:rPr>
                <w:color w:val="000000"/>
                <w:spacing w:val="0"/>
                <w:w w:val="100"/>
                <w:position w:val="0"/>
              </w:rPr>
              <w:t>胎儿染色体非整倍体检 测（</w:t>
            </w:r>
            <w:r>
              <w:rPr>
                <w:rFonts w:ascii="Times New Roman" w:eastAsia="Times New Roman" w:hAnsi="Times New Roman" w:cs="Times New Roman"/>
                <w:color w:val="000000"/>
                <w:spacing w:val="0"/>
                <w:w w:val="100"/>
                <w:position w:val="0"/>
              </w:rPr>
              <w:t>NIFTY</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又称非侵入式检测，即通过采集孕妇外周血、提取游离</w:t>
            </w:r>
            <w:r>
              <w:rPr>
                <w:rFonts w:ascii="Times New Roman" w:eastAsia="Times New Roman" w:hAnsi="Times New Roman" w:cs="Times New Roman"/>
                <w:color w:val="000000"/>
                <w:spacing w:val="0"/>
                <w:w w:val="100"/>
                <w:position w:val="0"/>
              </w:rPr>
              <w:t>DNA</w:t>
            </w:r>
            <w:r>
              <w:rPr>
                <w:color w:val="000000"/>
                <w:spacing w:val="0"/>
                <w:w w:val="100"/>
                <w:position w:val="0"/>
              </w:rPr>
              <w:t>的方 法，获得胎儿患病风险的信息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是一种与光谱并列的谱学方法，通常意义上是指广泛应用于各个学 科领域中通过制备、分离、检测气相离子来鉴定化合物的一种专门 技术</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是遗传信息由</w:t>
            </w:r>
            <w:r>
              <w:rPr>
                <w:rFonts w:ascii="Times New Roman" w:eastAsia="Times New Roman" w:hAnsi="Times New Roman" w:cs="Times New Roman"/>
                <w:color w:val="000000"/>
                <w:spacing w:val="0"/>
                <w:w w:val="100"/>
                <w:position w:val="0"/>
              </w:rPr>
              <w:t>DNA</w:t>
            </w:r>
            <w:r>
              <w:rPr>
                <w:color w:val="000000"/>
                <w:spacing w:val="0"/>
                <w:w w:val="100"/>
                <w:position w:val="0"/>
              </w:rPr>
              <w:t>转换到</w:t>
            </w:r>
            <w:r>
              <w:rPr>
                <w:rFonts w:ascii="Times New Roman" w:eastAsia="Times New Roman" w:hAnsi="Times New Roman" w:cs="Times New Roman"/>
                <w:color w:val="000000"/>
                <w:spacing w:val="0"/>
                <w:w w:val="100"/>
                <w:position w:val="0"/>
              </w:rPr>
              <w:t>RNA</w:t>
            </w:r>
            <w:r>
              <w:rPr>
                <w:color w:val="000000"/>
                <w:spacing w:val="0"/>
                <w:w w:val="100"/>
                <w:position w:val="0"/>
              </w:rPr>
              <w:t>的</w:t>
            </w:r>
            <w:r>
              <w:rPr>
                <w:color w:val="000000"/>
                <w:spacing w:val="0"/>
                <w:w w:val="100"/>
                <w:position w:val="0"/>
              </w:rPr>
              <w:t>（</w:t>
            </w:r>
            <w:r>
              <w:rPr>
                <w:rFonts w:ascii="Times New Roman" w:eastAsia="Times New Roman" w:hAnsi="Times New Roman" w:cs="Times New Roman"/>
                <w:color w:val="000000"/>
                <w:spacing w:val="0"/>
                <w:w w:val="100"/>
                <w:position w:val="0"/>
              </w:rPr>
              <w:t>RNA</w:t>
            </w:r>
            <w:r>
              <w:rPr>
                <w:color w:val="000000"/>
                <w:spacing w:val="0"/>
                <w:w w:val="100"/>
                <w:position w:val="0"/>
              </w:rPr>
              <w:t>聚合）酶促反应过程。作</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为蛋白质生物合成的第一步，转录是</w:t>
            </w:r>
            <w:r>
              <w:rPr>
                <w:rFonts w:ascii="Times New Roman" w:eastAsia="Times New Roman" w:hAnsi="Times New Roman" w:cs="Times New Roman"/>
                <w:color w:val="000000"/>
                <w:spacing w:val="0"/>
                <w:w w:val="100"/>
                <w:position w:val="0"/>
              </w:rPr>
              <w:t>mRNA</w:t>
            </w:r>
            <w:r>
              <w:rPr>
                <w:color w:val="000000"/>
                <w:spacing w:val="0"/>
                <w:w w:val="100"/>
                <w:position w:val="0"/>
              </w:rPr>
              <w:t>以及非编码</w:t>
            </w:r>
            <w:r>
              <w:rPr>
                <w:rFonts w:ascii="Times New Roman" w:eastAsia="Times New Roman" w:hAnsi="Times New Roman" w:cs="Times New Roman"/>
                <w:color w:val="000000"/>
                <w:spacing w:val="0"/>
                <w:w w:val="100"/>
                <w:position w:val="0"/>
              </w:rPr>
              <w:t>RNA</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tRNA</w:t>
            </w:r>
            <w:r>
              <w:rPr>
                <w:color w:val="000000"/>
                <w:spacing w:val="0"/>
                <w:w w:val="100"/>
                <w:position w:val="0"/>
              </w:rPr>
              <w:t>、</w:t>
            </w:r>
            <w:r>
              <w:rPr>
                <w:rFonts w:ascii="Times New Roman" w:eastAsia="Times New Roman" w:hAnsi="Times New Roman" w:cs="Times New Roman"/>
                <w:color w:val="000000"/>
                <w:spacing w:val="0"/>
                <w:w w:val="100"/>
                <w:position w:val="0"/>
              </w:rPr>
              <w:t>rRNA</w:t>
            </w:r>
            <w:r>
              <w:rPr>
                <w:color w:val="000000"/>
                <w:spacing w:val="0"/>
                <w:w w:val="100"/>
                <w:position w:val="0"/>
              </w:rPr>
              <w:t>等）的合成步骤</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转录本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是由一条基因通过转录形成的一种或多种可供编码蛋白质的成熟的</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mRNA</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转录组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广义上指某一生理条件下，细胞内所有转录产物的集合，包括信使</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核糖体</w:t>
            </w: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转运</w:t>
            </w:r>
            <w:r>
              <w:rPr>
                <w:rFonts w:ascii="Times New Roman" w:eastAsia="Times New Roman" w:hAnsi="Times New Roman" w:cs="Times New Roman"/>
                <w:color w:val="000000"/>
                <w:spacing w:val="0"/>
                <w:w w:val="100"/>
                <w:position w:val="0"/>
              </w:rPr>
              <w:t>RNA</w:t>
            </w:r>
            <w:r>
              <w:rPr>
                <w:color w:val="000000"/>
                <w:spacing w:val="0"/>
                <w:w w:val="100"/>
                <w:position w:val="0"/>
              </w:rPr>
              <w:t>及非编码</w:t>
            </w: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 xml:space="preserve">狭义上指所有 </w:t>
            </w:r>
            <w:r>
              <w:rPr>
                <w:rFonts w:ascii="Times New Roman" w:eastAsia="Times New Roman" w:hAnsi="Times New Roman" w:cs="Times New Roman"/>
                <w:color w:val="000000"/>
                <w:spacing w:val="0"/>
                <w:w w:val="100"/>
                <w:position w:val="0"/>
              </w:rPr>
              <w:t>mRNA</w:t>
            </w:r>
            <w:r>
              <w:rPr>
                <w:color w:val="000000"/>
                <w:spacing w:val="0"/>
                <w:w w:val="100"/>
                <w:position w:val="0"/>
              </w:rPr>
              <w:t>的集合</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指生物学中对各类研究对象（一般为生物分子）的集合所进行的系 统性研究，主要包括基因组学，蛋白组学，代谢组学，转录组学， 脂类组学，免疫组学，糖组学和</w:t>
            </w:r>
            <w:r>
              <w:rPr>
                <w:rFonts w:ascii="Times New Roman" w:eastAsia="Times New Roman" w:hAnsi="Times New Roman" w:cs="Times New Roman"/>
                <w:color w:val="000000"/>
                <w:spacing w:val="0"/>
                <w:w w:val="100"/>
                <w:position w:val="0"/>
              </w:rPr>
              <w:t>RNA</w:t>
            </w:r>
            <w:r>
              <w:rPr>
                <w:color w:val="000000"/>
                <w:spacing w:val="0"/>
                <w:w w:val="100"/>
                <w:position w:val="0"/>
              </w:rPr>
              <w:t>组学等</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MLPA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多重连接探针扩增技术（</w:t>
            </w:r>
            <w:r>
              <w:rPr>
                <w:rFonts w:ascii="Times New Roman" w:eastAsia="Times New Roman" w:hAnsi="Times New Roman" w:cs="Times New Roman"/>
                <w:color w:val="000000"/>
                <w:spacing w:val="0"/>
                <w:w w:val="100"/>
                <w:position w:val="0"/>
              </w:rPr>
              <w:t>multiplex ligation-dependent probe amplification ,MLPA</w:t>
            </w:r>
            <w:r>
              <w:rPr>
                <w:color w:val="000000"/>
                <w:spacing w:val="0"/>
                <w:w w:val="100"/>
                <w:position w:val="0"/>
              </w:rPr>
              <w:t>），</w:t>
            </w:r>
            <w:r>
              <w:rPr>
                <w:color w:val="000000"/>
                <w:spacing w:val="0"/>
                <w:w w:val="100"/>
                <w:position w:val="0"/>
              </w:rPr>
              <w:t>能够在一个反应内检测多个核苷酸序列的拷 贝数变化，能够检测大量基因的缺失和重复变异</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CNV</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基因拷贝数变异</w:t>
            </w:r>
            <w:r>
              <w:rPr>
                <w:color w:val="000000"/>
                <w:spacing w:val="0"/>
                <w:w w:val="100"/>
                <w:position w:val="0"/>
              </w:rPr>
              <w:t>（</w:t>
            </w:r>
            <w:r>
              <w:rPr>
                <w:rFonts w:ascii="Times New Roman" w:eastAsia="Times New Roman" w:hAnsi="Times New Roman" w:cs="Times New Roman"/>
                <w:color w:val="000000"/>
                <w:spacing w:val="0"/>
                <w:w w:val="100"/>
                <w:position w:val="0"/>
              </w:rPr>
              <w:t>Copy number variation</w:t>
            </w:r>
            <w:r>
              <w:rPr>
                <w:color w:val="000000"/>
                <w:spacing w:val="0"/>
                <w:w w:val="100"/>
                <w:position w:val="0"/>
              </w:rPr>
              <w:t>，</w:t>
            </w:r>
            <w:r>
              <w:rPr>
                <w:rFonts w:ascii="Times New Roman" w:eastAsia="Times New Roman" w:hAnsi="Times New Roman" w:cs="Times New Roman"/>
                <w:color w:val="000000"/>
                <w:spacing w:val="0"/>
                <w:w w:val="100"/>
                <w:position w:val="0"/>
              </w:rPr>
              <w:t>CNV）</w:t>
            </w:r>
            <w:r>
              <w:rPr>
                <w:color w:val="000000"/>
                <w:spacing w:val="0"/>
                <w:w w:val="100"/>
                <w:position w:val="0"/>
              </w:rPr>
              <w:t>）</w:t>
            </w:r>
            <w:r>
              <w:rPr>
                <w:color w:val="000000"/>
                <w:spacing w:val="0"/>
                <w:w w:val="100"/>
                <w:position w:val="0"/>
              </w:rPr>
              <w:t>是指较之于参照基 因组，</w:t>
            </w:r>
            <w:r>
              <w:rPr>
                <w:rFonts w:ascii="Times New Roman" w:eastAsia="Times New Roman" w:hAnsi="Times New Roman" w:cs="Times New Roman"/>
                <w:color w:val="000000"/>
                <w:spacing w:val="0"/>
                <w:w w:val="100"/>
                <w:position w:val="0"/>
              </w:rPr>
              <w:t>DNA</w:t>
            </w:r>
            <w:r>
              <w:rPr>
                <w:color w:val="000000"/>
                <w:spacing w:val="0"/>
                <w:w w:val="100"/>
                <w:position w:val="0"/>
              </w:rPr>
              <w:t>片段缺失或重复大于</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kb</w:t>
            </w:r>
            <w:r>
              <w:rPr>
                <w:color w:val="000000"/>
                <w:spacing w:val="0"/>
                <w:w w:val="100"/>
                <w:position w:val="0"/>
              </w:rPr>
              <w:t>至</w:t>
            </w:r>
            <w:r>
              <w:rPr>
                <w:rFonts w:ascii="Times New Roman" w:eastAsia="Times New Roman" w:hAnsi="Times New Roman" w:cs="Times New Roman"/>
                <w:color w:val="000000"/>
                <w:spacing w:val="0"/>
                <w:w w:val="100"/>
                <w:position w:val="0"/>
              </w:rPr>
              <w:t>Mb</w:t>
            </w:r>
            <w:r>
              <w:rPr>
                <w:color w:val="000000"/>
                <w:spacing w:val="0"/>
                <w:w w:val="100"/>
                <w:position w:val="0"/>
              </w:rPr>
              <w:t>的结构变异</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HRR</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同源重组修复(</w:t>
            </w:r>
            <w:r>
              <w:rPr>
                <w:rFonts w:ascii="Times New Roman" w:eastAsia="Times New Roman" w:hAnsi="Times New Roman" w:cs="Times New Roman"/>
                <w:color w:val="000000"/>
                <w:spacing w:val="0"/>
                <w:w w:val="100"/>
                <w:position w:val="0"/>
              </w:rPr>
              <w:t>Homologous Recombination Repair</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VCA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病毒壳抗原(</w:t>
            </w:r>
            <w:r>
              <w:rPr>
                <w:rFonts w:ascii="Times New Roman" w:eastAsia="Times New Roman" w:hAnsi="Times New Roman" w:cs="Times New Roman"/>
                <w:color w:val="000000"/>
                <w:spacing w:val="0"/>
                <w:w w:val="100"/>
                <w:position w:val="0"/>
              </w:rPr>
              <w:t>viral capsid antigen</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CMV</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巨细胞病毒</w:t>
            </w:r>
            <w:r>
              <w:rPr>
                <w:color w:val="000000"/>
                <w:spacing w:val="0"/>
                <w:w w:val="100"/>
                <w:position w:val="0"/>
              </w:rPr>
              <w:t>（</w:t>
            </w:r>
            <w:r>
              <w:rPr>
                <w:rFonts w:ascii="Times New Roman" w:eastAsia="Times New Roman" w:hAnsi="Times New Roman" w:cs="Times New Roman"/>
                <w:color w:val="000000"/>
                <w:spacing w:val="0"/>
                <w:w w:val="100"/>
                <w:position w:val="0"/>
              </w:rPr>
              <w:t>Cytomegalovirus</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CAH</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先天性肾上腺皮质增生症</w:t>
            </w:r>
            <w:r>
              <w:rPr>
                <w:color w:val="000000"/>
                <w:spacing w:val="0"/>
                <w:w w:val="100"/>
                <w:position w:val="0"/>
              </w:rPr>
              <w:t>（</w:t>
            </w:r>
            <w:r>
              <w:rPr>
                <w:rFonts w:ascii="Times New Roman" w:eastAsia="Times New Roman" w:hAnsi="Times New Roman" w:cs="Times New Roman"/>
                <w:color w:val="000000"/>
                <w:spacing w:val="0"/>
                <w:w w:val="100"/>
                <w:position w:val="0"/>
              </w:rPr>
              <w:t>C ongenital adrenal hyperplasia, CAH</w:t>
            </w:r>
            <w:r>
              <w:rPr>
                <w:color w:val="000000"/>
                <w:spacing w:val="0"/>
                <w:w w:val="100"/>
                <w:position w:val="0"/>
              </w:rPr>
              <w:t>）</w:t>
            </w:r>
            <w:r>
              <w:rPr>
                <w:color w:val="000000"/>
                <w:spacing w:val="0"/>
                <w:w w:val="100"/>
                <w:position w:val="0"/>
              </w:rPr>
              <w:t>是 一组常染色体隐性遗传性疾病，由于类固醇激素合成过程中某种酶 先天性缺失（如</w:t>
            </w:r>
            <w:r>
              <w:rPr>
                <w:rFonts w:ascii="Times New Roman" w:eastAsia="Times New Roman" w:hAnsi="Times New Roman" w:cs="Times New Roman"/>
                <w:color w:val="000000"/>
                <w:spacing w:val="0"/>
                <w:w w:val="100"/>
                <w:position w:val="0"/>
              </w:rPr>
              <w:t>21-</w:t>
            </w:r>
            <w:r>
              <w:rPr>
                <w:color w:val="000000"/>
                <w:spacing w:val="0"/>
                <w:w w:val="100"/>
                <w:position w:val="0"/>
              </w:rPr>
              <w:t>羟化酶缺失），导致肾上腺皮质醇</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的合成 过程部分或完全受阻，经负反馈作用促使垂体分泌的促肾上腺皮质 激素（</w:t>
            </w:r>
            <w:r>
              <w:rPr>
                <w:rFonts w:ascii="Times New Roman" w:eastAsia="Times New Roman" w:hAnsi="Times New Roman" w:cs="Times New Roman"/>
                <w:color w:val="000000"/>
                <w:spacing w:val="0"/>
                <w:w w:val="100"/>
                <w:position w:val="0"/>
              </w:rPr>
              <w:t>ACTH</w:t>
            </w:r>
            <w:r>
              <w:rPr>
                <w:color w:val="000000"/>
                <w:spacing w:val="0"/>
                <w:w w:val="100"/>
                <w:position w:val="0"/>
              </w:rPr>
              <w:t>）增加，经旁路代谢而致雄激素产生增多</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MALDI-TOF MS</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基质辅助激光解吸电离飞行时间质谱（</w:t>
            </w:r>
            <w:r>
              <w:rPr>
                <w:rFonts w:ascii="Times New Roman" w:eastAsia="Times New Roman" w:hAnsi="Times New Roman" w:cs="Times New Roman"/>
                <w:color w:val="000000"/>
                <w:spacing w:val="0"/>
                <w:w w:val="100"/>
                <w:position w:val="0"/>
              </w:rPr>
              <w:t>matrix-assisted laser desorption ionization-time of flight mass spectrometry, MALDI-TOF MS</w:t>
            </w:r>
            <w:r>
              <w:rPr>
                <w:color w:val="000000"/>
                <w:spacing w:val="0"/>
                <w:w w:val="100"/>
                <w:position w:val="0"/>
              </w:rPr>
              <w:t>）</w:t>
            </w:r>
            <w:r>
              <w:rPr>
                <w:color w:val="000000"/>
                <w:spacing w:val="0"/>
                <w:w w:val="100"/>
                <w:position w:val="0"/>
              </w:rPr>
              <w:t>是通过 样品离子化，产生不同质荷比的离子，然后再经过质量分析器测定 该样品中不同种类离子的分子量，并按照从小到大的顺序依次排列 从而得到一幅质量图谱</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IVD</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In-Vitro Diagnostics</w:t>
            </w:r>
            <w:r>
              <w:rPr>
                <w:color w:val="000000"/>
                <w:spacing w:val="0"/>
                <w:w w:val="100"/>
                <w:position w:val="0"/>
              </w:rPr>
              <w:t>，</w:t>
            </w:r>
            <w:r>
              <w:rPr>
                <w:color w:val="000000"/>
                <w:spacing w:val="0"/>
                <w:w w:val="100"/>
                <w:position w:val="0"/>
              </w:rPr>
              <w:t>与体内诊断相对，在疾病的预防、诊断、治疗 监测、预后观察、健康状态评价以及遗传性疾病的预测过程中，对 人体样本（各种体液、细胞、组织样本等）进行体外检测</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NCNN</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National Comprehensive Cancer Network</w:t>
            </w:r>
            <w:r>
              <w:rPr>
                <w:color w:val="000000"/>
                <w:spacing w:val="0"/>
                <w:w w:val="100"/>
                <w:position w:val="0"/>
              </w:rPr>
              <w:t>，美国国家综合癌症网络</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DMD</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Duchenne muscular dystrophy,DMD</w:t>
            </w:r>
            <w:r>
              <w:rPr>
                <w:color w:val="000000"/>
                <w:spacing w:val="0"/>
                <w:w w:val="100"/>
                <w:position w:val="0"/>
              </w:rPr>
              <w:t>，杜氏进行性肌营养不良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BMD</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Becker muscular dystrophy</w:t>
            </w:r>
            <w:r>
              <w:rPr>
                <w:color w:val="000000"/>
                <w:spacing w:val="0"/>
                <w:w w:val="100"/>
                <w:position w:val="0"/>
              </w:rPr>
              <w:t>，贝氏进行性肌营养不良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PGT-A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Preimplantation Genetic Testing for Aneuploidies</w:t>
            </w:r>
            <w:r>
              <w:rPr>
                <w:color w:val="000000"/>
                <w:spacing w:val="0"/>
                <w:w w:val="100"/>
                <w:position w:val="0"/>
              </w:rPr>
              <w:t>，胚胎植入前染色体 非整倍体检测</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PGT-M</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Preimplantation Genetic Testing for Monogenic/single gene defects</w:t>
            </w:r>
            <w:r>
              <w:rPr>
                <w:color w:val="000000"/>
                <w:spacing w:val="0"/>
                <w:w w:val="100"/>
                <w:position w:val="0"/>
              </w:rPr>
              <w:t xml:space="preserve">， </w:t>
            </w:r>
            <w:r>
              <w:rPr>
                <w:color w:val="000000"/>
                <w:spacing w:val="0"/>
                <w:w w:val="100"/>
                <w:position w:val="0"/>
              </w:rPr>
              <w:t>胚 胎植入前单基因遗传病检测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PGT-SR</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Preimplantation Genetic Testing for Chromosomal Structural</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Rearrangements</w:t>
            </w:r>
            <w:r>
              <w:rPr>
                <w:color w:val="000000"/>
                <w:spacing w:val="0"/>
                <w:w w:val="100"/>
                <w:position w:val="0"/>
              </w:rPr>
              <w:t>，</w:t>
            </w:r>
            <w:r>
              <w:rPr>
                <w:color w:val="000000"/>
                <w:spacing w:val="0"/>
                <w:w w:val="100"/>
                <w:position w:val="0"/>
              </w:rPr>
              <w:t>胚胎植入前染色体结构重排检测</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HM350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公司靶向代谢定量检测产品名称，可检测</w:t>
            </w:r>
            <w:r>
              <w:rPr>
                <w:rFonts w:ascii="Times New Roman" w:eastAsia="Times New Roman" w:hAnsi="Times New Roman" w:cs="Times New Roman"/>
                <w:color w:val="000000"/>
                <w:spacing w:val="0"/>
                <w:w w:val="100"/>
                <w:position w:val="0"/>
              </w:rPr>
              <w:t>350+</w:t>
            </w:r>
            <w:r>
              <w:rPr>
                <w:color w:val="000000"/>
                <w:spacing w:val="0"/>
                <w:w w:val="100"/>
                <w:position w:val="0"/>
              </w:rPr>
              <w:t>种人体（</w:t>
            </w:r>
            <w:r>
              <w:rPr>
                <w:rFonts w:ascii="Times New Roman" w:eastAsia="Times New Roman" w:hAnsi="Times New Roman" w:cs="Times New Roman"/>
                <w:color w:val="000000"/>
                <w:spacing w:val="0"/>
                <w:w w:val="100"/>
                <w:position w:val="0"/>
              </w:rPr>
              <w:t>human</w:t>
            </w:r>
            <w:r>
              <w:rPr>
                <w:color w:val="000000"/>
                <w:spacing w:val="0"/>
                <w:w w:val="100"/>
                <w:position w:val="0"/>
              </w:rPr>
              <w:t>，缩 写为</w:t>
            </w:r>
            <w:r>
              <w:rPr>
                <w:rFonts w:ascii="Times New Roman" w:eastAsia="Times New Roman" w:hAnsi="Times New Roman" w:cs="Times New Roman"/>
                <w:color w:val="000000"/>
                <w:spacing w:val="0"/>
                <w:w w:val="100"/>
                <w:position w:val="0"/>
              </w:rPr>
              <w:t>HM</w:t>
            </w:r>
            <w:r>
              <w:rPr>
                <w:color w:val="000000"/>
                <w:spacing w:val="0"/>
                <w:w w:val="100"/>
                <w:position w:val="0"/>
              </w:rPr>
              <w:t>）</w:t>
            </w:r>
            <w:r>
              <w:rPr>
                <w:color w:val="000000"/>
                <w:spacing w:val="0"/>
                <w:w w:val="100"/>
                <w:position w:val="0"/>
              </w:rPr>
              <w:t>代谢产物</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碰对高风险夫妻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夫妻同时携带同一基因的致病变异，其子代患病风险升高，故为碰 对高风险夫妻</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广州禾信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广州禾信仪器股份有限公司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谱育科技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杭州谱育科技发展有限公司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迪安诊断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迪安诊断技术集团股份有限公司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本报告期末、期末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深圳华大基因股份有限公司董事会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公司章程或章程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深圳华大基因股份有限公司章程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深圳华大基因股份有限公司股东大会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深圳华大基因股份有限公司监事会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24"/>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bookmarkStart w:id="27" w:name="bookmark27"/>
      <w:r>
        <w:rPr>
          <w:color w:val="000000"/>
          <w:spacing w:val="0"/>
          <w:w w:val="100"/>
          <w:position w:val="0"/>
          <w:sz w:val="24"/>
          <w:szCs w:val="24"/>
        </w:rPr>
        <w:t>一</w:t>
      </w:r>
      <w:bookmarkEnd w:id="26"/>
      <w:r>
        <w:rPr>
          <w:color w:val="000000"/>
          <w:spacing w:val="0"/>
          <w:w w:val="100"/>
          <w:position w:val="0"/>
          <w:sz w:val="24"/>
          <w:szCs w:val="24"/>
        </w:rPr>
        <w:t>、公司信息</w:t>
      </w:r>
      <w:bookmarkEnd w:id="24"/>
      <w:bookmarkEnd w:id="25"/>
      <w:bookmarkEnd w:id="27"/>
      <w:bookmarkEnd w:id="23"/>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942" w:val="left"/>
                <w:tab w:pos="5102" w:val="left"/>
              </w:tabs>
              <w:bidi w:val="0"/>
              <w:spacing w:before="0" w:after="0" w:line="240" w:lineRule="auto"/>
              <w:ind w:left="0" w:right="0" w:firstLine="0"/>
              <w:jc w:val="left"/>
            </w:pPr>
            <w:r>
              <w:rPr>
                <w:color w:val="000000"/>
                <w:spacing w:val="0"/>
                <w:w w:val="100"/>
                <w:position w:val="0"/>
              </w:rPr>
              <w:t>华大基因</w:t>
              <w:tab/>
              <w:t>股票代码</w:t>
              <w:tab/>
            </w:r>
            <w:r>
              <w:rPr>
                <w:rFonts w:ascii="Times New Roman" w:eastAsia="Times New Roman" w:hAnsi="Times New Roman" w:cs="Times New Roman"/>
                <w:color w:val="000000"/>
                <w:spacing w:val="0"/>
                <w:w w:val="100"/>
                <w:position w:val="0"/>
              </w:rPr>
              <w:t>300676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华大基因</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Co., Ltd.</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518083</w:t>
            </w:r>
          </w:p>
        </w:tc>
      </w:tr>
      <w:tr>
        <w:trPr>
          <w:trHeight w:val="266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5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日，公司注册地址由</w:t>
            </w:r>
            <w:r>
              <w:rPr>
                <w:rFonts w:ascii="Times New Roman" w:eastAsia="Times New Roman" w:hAnsi="Times New Roman" w:cs="Times New Roman"/>
                <w:color w:val="000000"/>
                <w:spacing w:val="0"/>
                <w:w w:val="100"/>
                <w:position w:val="0"/>
              </w:rPr>
              <w:t>“</w:t>
            </w:r>
            <w:r>
              <w:rPr>
                <w:color w:val="000000"/>
                <w:spacing w:val="0"/>
                <w:w w:val="100"/>
                <w:position w:val="0"/>
              </w:rPr>
              <w:t>深圳市盐田区北山工业区综合楼科技创业园</w:t>
            </w:r>
            <w:r>
              <w:rPr>
                <w:rFonts w:ascii="Times New Roman" w:eastAsia="Times New Roman" w:hAnsi="Times New Roman" w:cs="Times New Roman"/>
                <w:color w:val="000000"/>
                <w:spacing w:val="0"/>
                <w:w w:val="100"/>
                <w:position w:val="0"/>
              </w:rPr>
              <w:t>9F-</w:t>
            </w:r>
          </w:p>
          <w:p>
            <w:pPr>
              <w:pStyle w:val="Style20"/>
              <w:keepNext w:val="0"/>
              <w:keepLines w:val="0"/>
              <w:widowControl w:val="0"/>
              <w:shd w:val="clear" w:color="auto" w:fill="auto"/>
              <w:tabs>
                <w:tab w:pos="26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8”</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深圳市盐田区北山工业区综合楼科技创业园</w:t>
            </w:r>
            <w:r>
              <w:rPr>
                <w:rFonts w:ascii="Times New Roman" w:eastAsia="Times New Roman" w:hAnsi="Times New Roman" w:cs="Times New Roman"/>
                <w:color w:val="000000"/>
                <w:spacing w:val="0"/>
                <w:w w:val="100"/>
                <w:position w:val="0"/>
              </w:rPr>
              <w:t>9F-7</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 xml:space="preserve">栋二楼西侧、三楼 </w:t>
            </w:r>
            <w:r>
              <w:rPr>
                <w:rFonts w:ascii="Times New Roman" w:eastAsia="Times New Roman" w:hAnsi="Times New Roman" w:cs="Times New Roman"/>
                <w:color w:val="000000"/>
                <w:spacing w:val="0"/>
                <w:w w:val="100"/>
                <w:position w:val="0"/>
              </w:rPr>
              <w:t>330A”</w:t>
            </w:r>
          </w:p>
          <w:p>
            <w:pPr>
              <w:pStyle w:val="Style20"/>
              <w:keepNext w:val="0"/>
              <w:keepLines w:val="0"/>
              <w:widowControl w:val="0"/>
              <w:shd w:val="clear" w:color="auto" w:fill="auto"/>
              <w:tabs>
                <w:tab w:pos="274"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日，公司注册地址由</w:t>
            </w:r>
            <w:r>
              <w:rPr>
                <w:rFonts w:ascii="Times New Roman" w:eastAsia="Times New Roman" w:hAnsi="Times New Roman" w:cs="Times New Roman"/>
                <w:color w:val="000000"/>
                <w:spacing w:val="0"/>
                <w:w w:val="100"/>
                <w:position w:val="0"/>
              </w:rPr>
              <w:t>“</w:t>
            </w:r>
            <w:r>
              <w:rPr>
                <w:color w:val="000000"/>
                <w:spacing w:val="0"/>
                <w:w w:val="100"/>
                <w:position w:val="0"/>
              </w:rPr>
              <w:t>深圳市盐田区北山工业区综合楼科技创业园</w:t>
            </w:r>
            <w:r>
              <w:rPr>
                <w:rFonts w:ascii="Times New Roman" w:eastAsia="Times New Roman" w:hAnsi="Times New Roman" w:cs="Times New Roman"/>
                <w:color w:val="000000"/>
                <w:spacing w:val="0"/>
                <w:w w:val="100"/>
                <w:position w:val="0"/>
              </w:rPr>
              <w:t>9F-7</w:t>
            </w:r>
            <w:r>
              <w:rPr>
                <w:color w:val="000000"/>
                <w:spacing w:val="0"/>
                <w:w w:val="100"/>
                <w:position w:val="0"/>
              </w:rPr>
              <w:t>、</w:t>
            </w:r>
          </w:p>
          <w:p>
            <w:pPr>
              <w:pStyle w:val="Style20"/>
              <w:keepNext w:val="0"/>
              <w:keepLines w:val="0"/>
              <w:widowControl w:val="0"/>
              <w:numPr>
                <w:ilvl w:val="0"/>
                <w:numId w:val="1"/>
              </w:numPr>
              <w:shd w:val="clear" w:color="auto" w:fill="auto"/>
              <w:tabs>
                <w:tab w:pos="278"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栋二楼西侧、三楼</w:t>
            </w:r>
            <w:r>
              <w:rPr>
                <w:rFonts w:ascii="Times New Roman" w:eastAsia="Times New Roman" w:hAnsi="Times New Roman" w:cs="Times New Roman"/>
                <w:color w:val="000000"/>
                <w:spacing w:val="0"/>
                <w:w w:val="100"/>
                <w:position w:val="0"/>
              </w:rPr>
              <w:t>330A”</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深圳市盐田区北山道</w:t>
            </w:r>
            <w:r>
              <w:rPr>
                <w:rFonts w:ascii="Times New Roman" w:eastAsia="Times New Roman" w:hAnsi="Times New Roman" w:cs="Times New Roman"/>
                <w:color w:val="000000"/>
                <w:spacing w:val="0"/>
                <w:w w:val="100"/>
                <w:position w:val="0"/>
              </w:rPr>
              <w:t>146</w:t>
            </w:r>
            <w:r>
              <w:rPr>
                <w:color w:val="000000"/>
                <w:spacing w:val="0"/>
                <w:w w:val="100"/>
                <w:position w:val="0"/>
              </w:rPr>
              <w:t>号北山工业区</w:t>
            </w:r>
            <w:r>
              <w:rPr>
                <w:rFonts w:ascii="Times New Roman" w:eastAsia="Times New Roman" w:hAnsi="Times New Roman" w:cs="Times New Roman"/>
                <w:color w:val="000000"/>
                <w:spacing w:val="0"/>
                <w:w w:val="100"/>
                <w:position w:val="0"/>
              </w:rPr>
              <w:t>11</w:t>
            </w:r>
            <w:r>
              <w:rPr>
                <w:color w:val="000000"/>
                <w:spacing w:val="0"/>
                <w:w w:val="100"/>
                <w:position w:val="0"/>
              </w:rPr>
              <w:t>栋二楼、 三楼</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tabs>
                <w:tab w:pos="264" w:val="left"/>
              </w:tabs>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日，公司注册地址由</w:t>
            </w:r>
            <w:r>
              <w:rPr>
                <w:rFonts w:ascii="Times New Roman" w:eastAsia="Times New Roman" w:hAnsi="Times New Roman" w:cs="Times New Roman"/>
                <w:color w:val="000000"/>
                <w:spacing w:val="0"/>
                <w:w w:val="100"/>
                <w:position w:val="0"/>
              </w:rPr>
              <w:t>“</w:t>
            </w:r>
            <w:r>
              <w:rPr>
                <w:color w:val="000000"/>
                <w:spacing w:val="0"/>
                <w:w w:val="100"/>
                <w:position w:val="0"/>
              </w:rPr>
              <w:t>深圳市盐田区北山道</w:t>
            </w:r>
            <w:r>
              <w:rPr>
                <w:rFonts w:ascii="Times New Roman" w:eastAsia="Times New Roman" w:hAnsi="Times New Roman" w:cs="Times New Roman"/>
                <w:color w:val="000000"/>
                <w:spacing w:val="0"/>
                <w:w w:val="100"/>
                <w:position w:val="0"/>
              </w:rPr>
              <w:t>146</w:t>
            </w:r>
            <w:r>
              <w:rPr>
                <w:color w:val="000000"/>
                <w:spacing w:val="0"/>
                <w:w w:val="100"/>
                <w:position w:val="0"/>
              </w:rPr>
              <w:t>号北山工业区</w:t>
            </w:r>
            <w:r>
              <w:rPr>
                <w:rFonts w:ascii="Times New Roman" w:eastAsia="Times New Roman" w:hAnsi="Times New Roman" w:cs="Times New Roman"/>
                <w:color w:val="000000"/>
                <w:spacing w:val="0"/>
                <w:w w:val="100"/>
                <w:position w:val="0"/>
              </w:rPr>
              <w:t>11</w:t>
            </w:r>
            <w:r>
              <w:rPr>
                <w:color w:val="000000"/>
                <w:spacing w:val="0"/>
                <w:w w:val="100"/>
                <w:position w:val="0"/>
              </w:rPr>
              <w:t>栋二楼、 三楼</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深圳市盐田区洪安三街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bgi.com</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"mailto:ir@bgi.com" </w:instrText>
            </w:r>
            <w:r>
              <w:fldChar w:fldCharType="separate"/>
            </w:r>
            <w:r>
              <w:rPr>
                <w:rFonts w:ascii="Times New Roman" w:eastAsia="Times New Roman" w:hAnsi="Times New Roman" w:cs="Times New Roman"/>
                <w:color w:val="000000"/>
                <w:spacing w:val="0"/>
                <w:w w:val="100"/>
                <w:position w:val="0"/>
              </w:rPr>
              <w:t>ir@bgi.com</w:t>
            </w:r>
            <w:r>
              <w:fldChar w:fldCharType="end"/>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二</w:t>
      </w:r>
      <w:bookmarkEnd w:id="30"/>
      <w:r>
        <w:rPr>
          <w:color w:val="000000"/>
          <w:spacing w:val="0"/>
          <w:w w:val="100"/>
          <w:position w:val="0"/>
          <w:sz w:val="24"/>
          <w:szCs w:val="24"/>
        </w:rPr>
        <w:t>、联系人和联系方式</w:t>
      </w:r>
      <w:bookmarkEnd w:id="28"/>
      <w:bookmarkEnd w:id="29"/>
      <w:bookmarkEnd w:id="3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敖莉萍</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 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 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0755-36307065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0755-36307065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0755-36307035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0755-36307035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"mailto:ir@bgi.com" </w:instrText>
            </w:r>
            <w:r>
              <w:fldChar w:fldCharType="separate"/>
            </w:r>
            <w:r>
              <w:rPr>
                <w:rFonts w:ascii="Times New Roman" w:eastAsia="Times New Roman" w:hAnsi="Times New Roman" w:cs="Times New Roman"/>
                <w:color w:val="000000"/>
                <w:spacing w:val="0"/>
                <w:w w:val="100"/>
                <w:position w:val="0"/>
              </w:rPr>
              <w:t>ir@bgi.com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fldChar w:fldCharType="begin"/>
            </w:r>
            <w:r>
              <w:rPr/>
              <w:instrText> HYPERLINK "mailto:ir@bgi.com" </w:instrText>
            </w:r>
            <w:r>
              <w:fldChar w:fldCharType="separate"/>
            </w:r>
            <w:r>
              <w:rPr>
                <w:rFonts w:ascii="Times New Roman" w:eastAsia="Times New Roman" w:hAnsi="Times New Roman" w:cs="Times New Roman"/>
                <w:color w:val="000000"/>
                <w:spacing w:val="0"/>
                <w:w w:val="100"/>
                <w:position w:val="0"/>
              </w:rPr>
              <w:t>ir@bgi.com</w:t>
            </w:r>
            <w:r>
              <w:fldChar w:fldCharType="end"/>
            </w:r>
          </w:p>
        </w:tc>
      </w:tr>
    </w:tbl>
    <w:p>
      <w:pPr>
        <w:spacing w:lineRule="exact" w:line="1"/>
        <w:rPr>
          <w:sz w:val="2"/>
          <w:szCs w:val="2"/>
        </w:rPr>
      </w:pPr>
      <w:r>
        <w:br w:type="page"/>
      </w:r>
    </w:p>
    <w:p>
      <w:pPr>
        <w:pStyle w:val="Style24"/>
        <w:keepNext/>
        <w:keepLines/>
        <w:widowControl w:val="0"/>
        <w:shd w:val="clear" w:color="auto" w:fill="auto"/>
        <w:bidi w:val="0"/>
        <w:spacing w:before="0" w:after="30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、信息披露及备置地点</w:t>
      </w:r>
      <w:bookmarkEnd w:id="32"/>
      <w:bookmarkEnd w:id="33"/>
      <w:bookmarkEnd w:id="35"/>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rPr>
              <w:t>http://www. szse. cn</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媒体名称：《证券时报》《证券日报》《中国证券报》《上海证券报》 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 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公司证券部办公室</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四</w:t>
      </w:r>
      <w:bookmarkEnd w:id="38"/>
      <w:r>
        <w:rPr>
          <w:color w:val="000000"/>
          <w:spacing w:val="0"/>
          <w:w w:val="100"/>
          <w:position w:val="0"/>
          <w:sz w:val="24"/>
          <w:szCs w:val="24"/>
        </w:rPr>
        <w:t>、其他有关资料</w:t>
      </w:r>
      <w:bookmarkEnd w:id="36"/>
      <w:bookmarkEnd w:id="37"/>
      <w:bookmarkEnd w:id="3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北京市东城区东长安街</w:t>
            </w:r>
            <w:r>
              <w:rPr>
                <w:rFonts w:ascii="Times New Roman" w:eastAsia="Times New Roman" w:hAnsi="Times New Roman" w:cs="Times New Roman"/>
                <w:color w:val="000000"/>
                <w:spacing w:val="0"/>
                <w:w w:val="100"/>
                <w:position w:val="0"/>
              </w:rPr>
              <w:t>1</w:t>
            </w:r>
            <w:r>
              <w:rPr>
                <w:color w:val="000000"/>
                <w:spacing w:val="0"/>
                <w:w w:val="100"/>
                <w:position w:val="0"/>
              </w:rPr>
              <w:t>号东方广场安永大楼</w:t>
            </w:r>
            <w:r>
              <w:rPr>
                <w:rFonts w:ascii="Times New Roman" w:eastAsia="Times New Roman" w:hAnsi="Times New Roman" w:cs="Times New Roman"/>
                <w:color w:val="000000"/>
                <w:spacing w:val="0"/>
                <w:w w:val="100"/>
                <w:position w:val="0"/>
              </w:rPr>
              <w:t>17</w:t>
            </w:r>
            <w:r>
              <w:rPr>
                <w:color w:val="000000"/>
                <w:spacing w:val="0"/>
                <w:w w:val="100"/>
                <w:position w:val="0"/>
              </w:rPr>
              <w:t>层</w:t>
            </w:r>
            <w:r>
              <w:rPr>
                <w:rFonts w:ascii="Times New Roman" w:eastAsia="Times New Roman" w:hAnsi="Times New Roman" w:cs="Times New Roman"/>
                <w:color w:val="000000"/>
                <w:spacing w:val="0"/>
                <w:w w:val="100"/>
                <w:position w:val="0"/>
              </w:rPr>
              <w:t>01-12</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王士杰、黄寅</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广东省深圳市福田区中心三 路</w:t>
            </w:r>
            <w:r>
              <w:rPr>
                <w:rFonts w:ascii="Times New Roman" w:eastAsia="Times New Roman" w:hAnsi="Times New Roman" w:cs="Times New Roman"/>
                <w:color w:val="000000"/>
                <w:spacing w:val="0"/>
                <w:w w:val="100"/>
                <w:position w:val="0"/>
              </w:rPr>
              <w:t>8</w:t>
            </w:r>
            <w:r>
              <w:rPr>
                <w:color w:val="000000"/>
                <w:spacing w:val="0"/>
                <w:w w:val="100"/>
                <w:position w:val="0"/>
              </w:rPr>
              <w:t>号中信证券大厦</w:t>
            </w:r>
            <w:r>
              <w:rPr>
                <w:rFonts w:ascii="Times New Roman" w:eastAsia="Times New Roman" w:hAnsi="Times New Roman" w:cs="Times New Roman"/>
                <w:color w:val="000000"/>
                <w:spacing w:val="0"/>
                <w:w w:val="100"/>
                <w:position w:val="0"/>
              </w:rPr>
              <w:t>19</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焦延延、黄彪</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9 </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五</w:t>
      </w:r>
      <w:bookmarkEnd w:id="42"/>
      <w:r>
        <w:rPr>
          <w:color w:val="000000"/>
          <w:spacing w:val="0"/>
          <w:w w:val="100"/>
          <w:position w:val="0"/>
          <w:sz w:val="24"/>
          <w:szCs w:val="24"/>
        </w:rPr>
        <w:t>、主要会计数据和财务指标</w:t>
      </w:r>
      <w:bookmarkEnd w:id="40"/>
      <w:bookmarkEnd w:id="41"/>
      <w:bookmarkEnd w:id="43"/>
    </w:p>
    <w:p>
      <w:pPr>
        <w:pStyle w:val="Style1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6,766,137,315.11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8,397,230,002.83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2,800,411,936.69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1,461,536,272.38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2,090,285,273.48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276,334,018.82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1,358,342,523.98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2,049,045,082.77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221,481,259.05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2,476,132,383.90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3,602,692,531.30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224,254,961.96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14,254,029,629.93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11,195,040,535.59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5,909,118,302.73</w:t>
            </w:r>
          </w:p>
        </w:tc>
      </w:tr>
    </w:tbl>
    <w:tbl>
      <w:tblPr>
        <w:tblOverlap w:val="never"/>
        <w:jc w:val="center"/>
        <w:tblLayout w:type="fixed"/>
      </w:tblPr>
      <w:tblGrid>
        <w:gridCol w:w="2630"/>
        <w:gridCol w:w="1738"/>
        <w:gridCol w:w="1738"/>
        <w:gridCol w:w="1738"/>
        <w:gridCol w:w="1742"/>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9,318,407,626.12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5,910,105,053.53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4,314,048,690.33</w:t>
            </w:r>
          </w:p>
        </w:tc>
      </w:tr>
    </w:tbl>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六</w:t>
      </w:r>
      <w:bookmarkEnd w:id="46"/>
      <w:r>
        <w:rPr>
          <w:color w:val="000000"/>
          <w:spacing w:val="0"/>
          <w:w w:val="100"/>
          <w:position w:val="0"/>
          <w:sz w:val="24"/>
          <w:szCs w:val="24"/>
        </w:rPr>
        <w:t>、分季度主要财务指标</w:t>
      </w:r>
      <w:bookmarkEnd w:id="44"/>
      <w:bookmarkEnd w:id="45"/>
      <w:bookmarkEnd w:id="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1,563,364,152.52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2,082,845,540.00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1,505,833,804.01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1,614,093,818.58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524,980,701.18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561,036,671.12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328,216,516.53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47,302,383.55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540,667,084.22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488,920,792.39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285,283,296.05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43,471,351.32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132,257,506.56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532,353,573.39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1,090,840,490.61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720,680,813.34</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22" w:val="left"/>
        </w:tabs>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七</w:t>
      </w:r>
      <w:bookmarkEnd w:id="50"/>
      <w:r>
        <w:rPr>
          <w:color w:val="000000"/>
          <w:spacing w:val="0"/>
          <w:w w:val="100"/>
          <w:position w:val="0"/>
          <w:sz w:val="24"/>
          <w:szCs w:val="24"/>
        </w:rPr>
        <w:t>、</w:t>
        <w:tab/>
        <w:t>境内外会计准则下会计数据差异</w:t>
      </w:r>
      <w:bookmarkEnd w:id="48"/>
      <w:bookmarkEnd w:id="49"/>
      <w:bookmarkEnd w:id="51"/>
    </w:p>
    <w:p>
      <w:pPr>
        <w:pStyle w:val="Style30"/>
        <w:keepNext/>
        <w:keepLines/>
        <w:widowControl w:val="0"/>
        <w:shd w:val="clear" w:color="auto" w:fill="auto"/>
        <w:tabs>
          <w:tab w:pos="403" w:val="left"/>
        </w:tabs>
        <w:bidi w:val="0"/>
        <w:spacing w:before="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w:t>
        <w:tab/>
        <w:t>同时按照国际会计准则与按照中国会计准则披露的财务报告中净利润和净资产差异情况</w:t>
      </w:r>
      <w:bookmarkEnd w:id="52"/>
      <w:bookmarkEnd w:id="53"/>
      <w:bookmarkEnd w:id="55"/>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3" w:val="left"/>
        </w:tabs>
        <w:bidi w:val="0"/>
        <w:spacing w:before="0" w:line="240" w:lineRule="auto"/>
        <w:ind w:left="0" w:right="0" w:firstLine="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同时按照境外会计准则与按照中国会计准则披露的财务报告中净利润和净资产差异情况</w:t>
      </w:r>
      <w:bookmarkEnd w:id="56"/>
      <w:bookmarkEnd w:id="57"/>
      <w:bookmarkEnd w:id="59"/>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6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sz w:val="24"/>
          <w:szCs w:val="24"/>
        </w:rPr>
        <w:t>八</w:t>
      </w:r>
      <w:bookmarkEnd w:id="62"/>
      <w:r>
        <w:rPr>
          <w:color w:val="000000"/>
          <w:spacing w:val="0"/>
          <w:w w:val="100"/>
          <w:position w:val="0"/>
          <w:sz w:val="24"/>
          <w:szCs w:val="24"/>
        </w:rPr>
        <w:t>、</w:t>
        <w:tab/>
        <w:t>非经常性损益项目及金额</w:t>
      </w:r>
      <w:bookmarkEnd w:id="60"/>
      <w:bookmarkEnd w:id="61"/>
      <w:bookmarkEnd w:id="63"/>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-43,574,897.49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-29,050,649.18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1,491,380.15</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计入当期损益的政府补助（与公司正常经 营业务密切相关，符合国家政策规定、按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53,119,540.90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54,432,225.32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46,348,535.43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2,666,580.98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8,977,145.92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18,798,813.48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3,764,125.93</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135,314,056.42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34,140,408.39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15,033,902.13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4,792,000.00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7,537,236.71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3,201,031.27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-37,250,458.87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-31,050,815.34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-748,125.14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4,254,535.17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处置或注销子公司产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生的投资收益</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20,499,877.95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9,136,347.44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15,182,610.25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1,938,295.70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4,430,681.23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1,722,060.73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103,193,748.40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41,240,190.71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54,852,759.77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19" w:lineRule="exact"/>
        <w:ind w:left="0" w:right="0" w:firstLine="360"/>
        <w:jc w:val="left"/>
      </w:pPr>
      <w:r>
        <w:rPr>
          <w:color w:val="000000"/>
          <w:spacing w:val="0"/>
          <w:w w:val="100"/>
          <w:position w:val="0"/>
        </w:rPr>
        <w:t>公司其他符合非经常性损益定义的损益项目为处置或注销子公司产生的投资收益。</w:t>
      </w:r>
    </w:p>
    <w:p>
      <w:pPr>
        <w:pStyle w:val="Style1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 目的情况说明</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line="322" w:lineRule="exact"/>
        <w:ind w:left="0" w:right="0" w:firstLine="360"/>
        <w:jc w:val="left"/>
        <w:sectPr>
          <w:footnotePr>
            <w:pos w:val="pageBottom"/>
            <w:numFmt w:val="decimal"/>
            <w:numRestart w:val="continuous"/>
          </w:footnotePr>
          <w:pgSz w:w="11900" w:h="16840"/>
          <w:pgMar w:top="1441" w:right="1114" w:bottom="1455" w:left="1099"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 目界定为经常性损益的项目的情形。</w:t>
      </w:r>
    </w:p>
    <w:p>
      <w:pPr>
        <w:pStyle w:val="Style10"/>
        <w:keepNext/>
        <w:keepLines/>
        <w:widowControl w:val="0"/>
        <w:shd w:val="clear" w:color="auto" w:fill="auto"/>
        <w:bidi w:val="0"/>
        <w:spacing w:before="540" w:after="540" w:line="240" w:lineRule="auto"/>
        <w:ind w:left="0" w:right="0" w:firstLine="0"/>
        <w:jc w:val="center"/>
      </w:pPr>
      <w:bookmarkStart w:id="64" w:name="bookmark64"/>
      <w:bookmarkStart w:id="65" w:name="bookmark65"/>
      <w:bookmarkStart w:id="66" w:name="bookmark66"/>
      <w:r>
        <w:rPr>
          <w:color w:val="000000"/>
          <w:spacing w:val="0"/>
          <w:w w:val="100"/>
          <w:position w:val="0"/>
        </w:rPr>
        <w:t>第三节管理层讨论与分析</w:t>
      </w:r>
      <w:bookmarkEnd w:id="64"/>
      <w:bookmarkEnd w:id="65"/>
      <w:bookmarkEnd w:id="66"/>
    </w:p>
    <w:p>
      <w:pPr>
        <w:pStyle w:val="Style24"/>
        <w:keepNext/>
        <w:keepLines/>
        <w:widowControl w:val="0"/>
        <w:shd w:val="clear" w:color="auto" w:fill="auto"/>
        <w:bidi w:val="0"/>
        <w:spacing w:before="0" w:after="260" w:line="240" w:lineRule="auto"/>
        <w:ind w:left="0" w:right="0" w:firstLine="0"/>
        <w:jc w:val="left"/>
      </w:pPr>
      <w:bookmarkStart w:id="67" w:name="bookmark67"/>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、报告期内公司所处行业情况</w:t>
      </w:r>
      <w:bookmarkEnd w:id="68"/>
      <w:bookmarkEnd w:id="69"/>
      <w:bookmarkEnd w:id="71"/>
      <w:bookmarkEnd w:id="67"/>
    </w:p>
    <w:p>
      <w:pPr>
        <w:pStyle w:val="Style17"/>
        <w:keepNext w:val="0"/>
        <w:keepLines w:val="0"/>
        <w:widowControl w:val="0"/>
        <w:shd w:val="clear" w:color="auto" w:fill="auto"/>
        <w:bidi w:val="0"/>
        <w:spacing w:before="0" w:after="0" w:line="310" w:lineRule="exact"/>
        <w:ind w:left="0" w:right="0" w:firstLine="200"/>
        <w:jc w:val="both"/>
      </w:pPr>
      <w:bookmarkStart w:id="72" w:name="bookmark72"/>
      <w:r>
        <w:rPr>
          <w:b/>
          <w:bCs/>
          <w:color w:val="000000"/>
          <w:spacing w:val="0"/>
          <w:w w:val="100"/>
          <w:position w:val="0"/>
        </w:rPr>
        <w:t>（</w:t>
      </w:r>
      <w:bookmarkEnd w:id="72"/>
      <w:r>
        <w:rPr>
          <w:b/>
          <w:bCs/>
          <w:color w:val="000000"/>
          <w:spacing w:val="0"/>
          <w:w w:val="100"/>
          <w:position w:val="0"/>
        </w:rPr>
        <w:t>一）行业发展格局与公司行业地位</w:t>
      </w:r>
    </w:p>
    <w:p>
      <w:pPr>
        <w:pStyle w:val="Style17"/>
        <w:keepNext w:val="0"/>
        <w:keepLines w:val="0"/>
        <w:widowControl w:val="0"/>
        <w:shd w:val="clear" w:color="auto" w:fill="auto"/>
        <w:bidi w:val="0"/>
        <w:spacing w:before="0" w:line="310" w:lineRule="exact"/>
        <w:ind w:left="0" w:right="0"/>
        <w:jc w:val="both"/>
      </w:pPr>
      <w:bookmarkStart w:id="73" w:name="bookmark73"/>
      <w:r>
        <w:rPr>
          <w:rFonts w:ascii="Times New Roman" w:eastAsia="Times New Roman" w:hAnsi="Times New Roman" w:cs="Times New Roman"/>
          <w:b/>
          <w:bCs/>
          <w:color w:val="000000"/>
          <w:spacing w:val="0"/>
          <w:w w:val="100"/>
          <w:position w:val="0"/>
        </w:rPr>
        <w:t>1</w:t>
      </w:r>
      <w:bookmarkEnd w:id="73"/>
      <w:r>
        <w:rPr>
          <w:b/>
          <w:bCs/>
          <w:color w:val="000000"/>
          <w:spacing w:val="0"/>
          <w:w w:val="100"/>
          <w:position w:val="0"/>
        </w:rPr>
        <w:t>、行业发展的基本情况与趋势</w:t>
      </w:r>
    </w:p>
    <w:p>
      <w:pPr>
        <w:pStyle w:val="Style17"/>
        <w:keepNext w:val="0"/>
        <w:keepLines w:val="0"/>
        <w:widowControl w:val="0"/>
        <w:shd w:val="clear" w:color="auto" w:fill="auto"/>
        <w:bidi w:val="0"/>
        <w:spacing w:before="0" w:line="310" w:lineRule="exact"/>
        <w:ind w:left="0" w:right="0"/>
        <w:jc w:val="both"/>
      </w:pPr>
      <w:r>
        <w:rPr>
          <w:color w:val="000000"/>
          <w:spacing w:val="0"/>
          <w:w w:val="100"/>
          <w:position w:val="0"/>
        </w:rPr>
        <w:t>华大基因作为中国基因行业的奠基者，是全球屈指可数的科学技术服务提供商和精准医疗服务运营商。公司主营业务为 通过基因检测、质谱检测、生物信息分析等多组学大数据技术手段，为科研机构、企事业单位、医疗机构、社会卫生组织等 提供研究服务和精准医学检测综合解决方案。华大基因以推动生命科学研究进展、生命大数据应用和提高全球医疗健康水平 为出发点，致力于基因领域研究成果及精准检测技术在民生健康方面的应用。</w:t>
      </w:r>
    </w:p>
    <w:p>
      <w:pPr>
        <w:pStyle w:val="Style17"/>
        <w:keepNext w:val="0"/>
        <w:keepLines w:val="0"/>
        <w:widowControl w:val="0"/>
        <w:shd w:val="clear" w:color="auto" w:fill="auto"/>
        <w:bidi w:val="0"/>
        <w:spacing w:before="0" w:line="310" w:lineRule="exact"/>
        <w:ind w:left="0" w:right="0"/>
        <w:jc w:val="both"/>
      </w:pPr>
      <w:r>
        <w:rPr>
          <w:rFonts w:ascii="Times New Roman" w:eastAsia="Times New Roman" w:hAnsi="Times New Roman" w:cs="Times New Roman"/>
          <w:b/>
          <w:bCs/>
          <w:color w:val="000000"/>
          <w:spacing w:val="0"/>
          <w:w w:val="100"/>
          <w:position w:val="0"/>
        </w:rPr>
        <w:t>1.1</w:t>
      </w:r>
      <w:r>
        <w:rPr>
          <w:b/>
          <w:bCs/>
          <w:color w:val="000000"/>
          <w:spacing w:val="0"/>
          <w:w w:val="100"/>
          <w:position w:val="0"/>
        </w:rPr>
        <w:t>基因测序技术的市场规模</w:t>
      </w:r>
    </w:p>
    <w:p>
      <w:pPr>
        <w:pStyle w:val="Style17"/>
        <w:keepNext w:val="0"/>
        <w:keepLines w:val="0"/>
        <w:widowControl w:val="0"/>
        <w:shd w:val="clear" w:color="auto" w:fill="auto"/>
        <w:bidi w:val="0"/>
        <w:spacing w:before="0" w:line="310" w:lineRule="exact"/>
        <w:ind w:left="0" w:right="0"/>
        <w:jc w:val="both"/>
      </w:pPr>
      <w:r>
        <w:rPr>
          <w:color w:val="000000"/>
          <w:spacing w:val="0"/>
          <w:w w:val="100"/>
          <w:position w:val="0"/>
        </w:rPr>
        <w:t>基因技术被誉为下一个改变世界的技术，广泛应用于农业、生物、医疗等多个行业领域和技术场景。目前，基因检测技 术是为基因科技中相对成熟且应用范围较广的基因技术，医疗健康领域则是基因技术应用领域中直接涉及人类寿命及生存 质量的应用场景，基因技术在医疗中取得的成果将极大地改变人类生命和生活的面貌。基因检测技术，是指</w:t>
      </w:r>
      <w:r>
        <w:rPr>
          <w:rFonts w:ascii="Times New Roman" w:eastAsia="Times New Roman" w:hAnsi="Times New Roman" w:cs="Times New Roman"/>
          <w:color w:val="000000"/>
          <w:spacing w:val="0"/>
          <w:w w:val="100"/>
          <w:position w:val="0"/>
        </w:rPr>
        <w:t>“</w:t>
      </w:r>
      <w:r>
        <w:rPr>
          <w:color w:val="000000"/>
          <w:spacing w:val="0"/>
          <w:w w:val="100"/>
          <w:position w:val="0"/>
        </w:rPr>
        <w:t>将受检者的基 因从血液、体液或组织标本细胞中提取出来，运用可以区分基因突变情况的引物和分子生物技术，通过检测到的信号判断这 部分基因是否存在突变或敏感基型。</w:t>
      </w:r>
      <w:r>
        <w:rPr>
          <w:rFonts w:ascii="Times New Roman" w:eastAsia="Times New Roman" w:hAnsi="Times New Roman" w:cs="Times New Roman"/>
          <w:color w:val="000000"/>
          <w:spacing w:val="0"/>
          <w:w w:val="100"/>
          <w:position w:val="0"/>
        </w:rPr>
        <w:t>”</w:t>
      </w:r>
      <w:r>
        <w:rPr>
          <w:color w:val="000000"/>
          <w:spacing w:val="0"/>
          <w:w w:val="100"/>
          <w:position w:val="0"/>
        </w:rPr>
        <w:t>在我国市场中用于进行基因检测的技术主要分为</w:t>
      </w:r>
      <w:r>
        <w:rPr>
          <w:rFonts w:ascii="Times New Roman" w:eastAsia="Times New Roman" w:hAnsi="Times New Roman" w:cs="Times New Roman"/>
          <w:color w:val="000000"/>
          <w:spacing w:val="0"/>
          <w:w w:val="100"/>
          <w:position w:val="0"/>
        </w:rPr>
        <w:t>PCR</w:t>
      </w:r>
      <w:r>
        <w:rPr>
          <w:color w:val="000000"/>
          <w:spacing w:val="0"/>
          <w:w w:val="100"/>
          <w:position w:val="0"/>
        </w:rPr>
        <w:t>技术、基因测序技术、</w:t>
      </w:r>
      <w:r>
        <w:rPr>
          <w:rFonts w:ascii="Times New Roman" w:eastAsia="Times New Roman" w:hAnsi="Times New Roman" w:cs="Times New Roman"/>
          <w:color w:val="000000"/>
          <w:spacing w:val="0"/>
          <w:w w:val="100"/>
          <w:position w:val="0"/>
        </w:rPr>
        <w:t>FISH</w:t>
      </w:r>
      <w:r>
        <w:rPr>
          <w:color w:val="000000"/>
          <w:spacing w:val="0"/>
          <w:w w:val="100"/>
          <w:position w:val="0"/>
        </w:rPr>
        <w:t>技术 和基因芯片技术四种。</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其中，基于</w:t>
      </w:r>
      <w:r>
        <w:rPr>
          <w:rFonts w:ascii="Times New Roman" w:eastAsia="Times New Roman" w:hAnsi="Times New Roman" w:cs="Times New Roman"/>
          <w:color w:val="000000"/>
          <w:spacing w:val="0"/>
          <w:w w:val="100"/>
          <w:position w:val="0"/>
        </w:rPr>
        <w:t>NGS</w:t>
      </w:r>
      <w:r>
        <w:rPr>
          <w:color w:val="000000"/>
          <w:spacing w:val="0"/>
          <w:w w:val="100"/>
          <w:position w:val="0"/>
        </w:rPr>
        <w:t>的高通量测序技术是目前应用最广泛的技术，随着测序成本的不断降低，如生育、肿瘤、病原微生物、 消费级基因检测等终端应用场景的不断成熟和渗透率的提升，高通量测序的市场将持续保持高速增长。根据《中国基因测序 行业市场前瞻与投资战略规划报告》预测，</w:t>
      </w:r>
      <w:r>
        <w:rPr>
          <w:rFonts w:ascii="Times New Roman" w:eastAsia="Times New Roman" w:hAnsi="Times New Roman" w:cs="Times New Roman"/>
          <w:color w:val="000000"/>
          <w:spacing w:val="0"/>
          <w:w w:val="100"/>
          <w:position w:val="0"/>
        </w:rPr>
        <w:t>2022</w:t>
      </w:r>
      <w:r>
        <w:rPr>
          <w:color w:val="000000"/>
          <w:spacing w:val="0"/>
          <w:w w:val="100"/>
          <w:position w:val="0"/>
        </w:rPr>
        <w:t>年全球基因测序市场规模在</w:t>
      </w:r>
      <w:r>
        <w:rPr>
          <w:rFonts w:ascii="Times New Roman" w:eastAsia="Times New Roman" w:hAnsi="Times New Roman" w:cs="Times New Roman"/>
          <w:color w:val="000000"/>
          <w:spacing w:val="0"/>
          <w:w w:val="100"/>
          <w:position w:val="0"/>
        </w:rPr>
        <w:t>207</w:t>
      </w:r>
      <w:r>
        <w:rPr>
          <w:color w:val="000000"/>
          <w:spacing w:val="0"/>
          <w:w w:val="100"/>
          <w:position w:val="0"/>
        </w:rPr>
        <w:t>亿美元，预计到</w:t>
      </w:r>
      <w:r>
        <w:rPr>
          <w:rFonts w:ascii="Times New Roman" w:eastAsia="Times New Roman" w:hAnsi="Times New Roman" w:cs="Times New Roman"/>
          <w:color w:val="000000"/>
          <w:spacing w:val="0"/>
          <w:w w:val="100"/>
          <w:position w:val="0"/>
        </w:rPr>
        <w:t>2025</w:t>
      </w:r>
      <w:r>
        <w:rPr>
          <w:color w:val="000000"/>
          <w:spacing w:val="0"/>
          <w:w w:val="100"/>
          <w:position w:val="0"/>
        </w:rPr>
        <w:t>年将达到</w:t>
      </w:r>
      <w:r>
        <w:rPr>
          <w:rFonts w:ascii="Times New Roman" w:eastAsia="Times New Roman" w:hAnsi="Times New Roman" w:cs="Times New Roman"/>
          <w:color w:val="000000"/>
          <w:spacing w:val="0"/>
          <w:w w:val="100"/>
          <w:position w:val="0"/>
        </w:rPr>
        <w:t>341</w:t>
      </w:r>
      <w:r>
        <w:rPr>
          <w:color w:val="000000"/>
          <w:spacing w:val="0"/>
          <w:w w:val="100"/>
          <w:position w:val="0"/>
        </w:rPr>
        <w:t xml:space="preserve">亿美元，到 </w:t>
      </w:r>
      <w:r>
        <w:rPr>
          <w:rFonts w:ascii="Times New Roman" w:eastAsia="Times New Roman" w:hAnsi="Times New Roman" w:cs="Times New Roman"/>
          <w:color w:val="000000"/>
          <w:spacing w:val="0"/>
          <w:w w:val="100"/>
          <w:position w:val="0"/>
        </w:rPr>
        <w:t>2026</w:t>
      </w:r>
      <w:r>
        <w:rPr>
          <w:color w:val="000000"/>
          <w:spacing w:val="0"/>
          <w:w w:val="100"/>
          <w:position w:val="0"/>
        </w:rPr>
        <w:t>年规模将突破</w:t>
      </w:r>
      <w:r>
        <w:rPr>
          <w:rFonts w:ascii="Times New Roman" w:eastAsia="Times New Roman" w:hAnsi="Times New Roman" w:cs="Times New Roman"/>
          <w:color w:val="000000"/>
          <w:spacing w:val="0"/>
          <w:w w:val="100"/>
          <w:position w:val="0"/>
        </w:rPr>
        <w:t>400</w:t>
      </w:r>
      <w:r>
        <w:rPr>
          <w:color w:val="000000"/>
          <w:spacing w:val="0"/>
          <w:w w:val="100"/>
          <w:position w:val="0"/>
        </w:rPr>
        <w:t>亿美元，</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年期间复合增速保持在</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17"/>
        <w:keepNext w:val="0"/>
        <w:keepLines w:val="0"/>
        <w:widowControl w:val="0"/>
        <w:shd w:val="clear" w:color="auto" w:fill="auto"/>
        <w:bidi w:val="0"/>
        <w:spacing w:before="0" w:after="180" w:line="310" w:lineRule="exact"/>
        <w:ind w:left="0" w:right="0" w:firstLine="0"/>
        <w:jc w:val="center"/>
      </w:pPr>
      <w:r>
        <w:rPr>
          <w:b/>
          <w:bCs/>
          <w:color w:val="000000"/>
          <w:spacing w:val="0"/>
          <w:w w:val="100"/>
          <w:position w:val="0"/>
        </w:rPr>
        <w:t>图</w:t>
      </w:r>
      <w:r>
        <w:rPr>
          <w:rFonts w:ascii="Times New Roman" w:eastAsia="Times New Roman" w:hAnsi="Times New Roman" w:cs="Times New Roman"/>
          <w:b/>
          <w:bCs/>
          <w:color w:val="000000"/>
          <w:spacing w:val="0"/>
          <w:w w:val="100"/>
          <w:position w:val="0"/>
        </w:rPr>
        <w:t>1. 2021-2026</w:t>
      </w:r>
      <w:r>
        <w:rPr>
          <w:b/>
          <w:bCs/>
          <w:color w:val="000000"/>
          <w:spacing w:val="0"/>
          <w:w w:val="100"/>
          <w:position w:val="0"/>
        </w:rPr>
        <w:t>年全球基因测序前景预测（单位：亿美元）</w:t>
      </w:r>
    </w:p>
    <w:p>
      <w:pPr>
        <w:widowControl w:val="0"/>
        <w:jc w:val="center"/>
        <w:rPr>
          <w:sz w:val="2"/>
          <w:szCs w:val="2"/>
        </w:rPr>
      </w:pPr>
      <w:r>
        <w:drawing>
          <wp:inline>
            <wp:extent cx="2944495" cy="17614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44495" cy="1761490"/>
                    </a:xfrm>
                    <a:prstGeom prst="rect"/>
                  </pic:spPr>
                </pic:pic>
              </a:graphicData>
            </a:graphic>
          </wp:inline>
        </w:drawing>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资料来源：前瞻产业研究院整理</w:t>
      </w:r>
    </w:p>
    <w:p>
      <w:pPr>
        <w:widowControl w:val="0"/>
        <w:spacing w:after="259" w:line="1" w:lineRule="exact"/>
      </w:pPr>
    </w:p>
    <w:p>
      <w:pPr>
        <w:pStyle w:val="Style17"/>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1.2</w:t>
      </w:r>
      <w:r>
        <w:rPr>
          <w:b/>
          <w:bCs/>
          <w:color w:val="000000"/>
          <w:spacing w:val="0"/>
          <w:w w:val="100"/>
          <w:position w:val="0"/>
        </w:rPr>
        <w:t>基因测序技术的发展总览</w:t>
      </w:r>
    </w:p>
    <w:p>
      <w:pPr>
        <w:pStyle w:val="Style17"/>
        <w:keepNext w:val="0"/>
        <w:keepLines w:val="0"/>
        <w:widowControl w:val="0"/>
        <w:shd w:val="clear" w:color="auto" w:fill="auto"/>
        <w:bidi w:val="0"/>
        <w:spacing w:before="0" w:line="315" w:lineRule="exact"/>
        <w:ind w:left="0" w:right="0"/>
        <w:jc w:val="both"/>
      </w:pPr>
      <w:r>
        <w:rPr>
          <w:color w:val="000000"/>
          <w:spacing w:val="0"/>
          <w:w w:val="100"/>
          <w:position w:val="0"/>
        </w:rPr>
        <w:t>从</w:t>
      </w:r>
      <w:r>
        <w:rPr>
          <w:rFonts w:ascii="Times New Roman" w:eastAsia="Times New Roman" w:hAnsi="Times New Roman" w:cs="Times New Roman"/>
          <w:color w:val="000000"/>
          <w:spacing w:val="0"/>
          <w:w w:val="100"/>
          <w:position w:val="0"/>
        </w:rPr>
        <w:t>1988</w:t>
      </w:r>
      <w:r>
        <w:rPr>
          <w:color w:val="000000"/>
          <w:spacing w:val="0"/>
          <w:w w:val="100"/>
          <w:position w:val="0"/>
        </w:rPr>
        <w:t>年人类基因组计划启动开始，基因组学应用的壮阔前景开始展现在人类面前。</w:t>
      </w:r>
      <w:r>
        <w:rPr>
          <w:rFonts w:ascii="Times New Roman" w:eastAsia="Times New Roman" w:hAnsi="Times New Roman" w:cs="Times New Roman"/>
          <w:color w:val="000000"/>
          <w:spacing w:val="0"/>
          <w:w w:val="100"/>
          <w:position w:val="0"/>
        </w:rPr>
        <w:t>1998</w:t>
      </w:r>
      <w:r>
        <w:rPr>
          <w:color w:val="000000"/>
          <w:spacing w:val="0"/>
          <w:w w:val="100"/>
          <w:position w:val="0"/>
        </w:rPr>
        <w:t>年毛细管测序技术问世，测序 提速</w:t>
      </w:r>
      <w:r>
        <w:rPr>
          <w:rFonts w:ascii="Times New Roman" w:eastAsia="Times New Roman" w:hAnsi="Times New Roman" w:cs="Times New Roman"/>
          <w:color w:val="000000"/>
          <w:spacing w:val="0"/>
          <w:w w:val="100"/>
          <w:position w:val="0"/>
        </w:rPr>
        <w:t>10</w:t>
      </w:r>
      <w:r>
        <w:rPr>
          <w:color w:val="000000"/>
          <w:spacing w:val="0"/>
          <w:w w:val="100"/>
          <w:position w:val="0"/>
        </w:rPr>
        <w:t>倍，原计划</w:t>
      </w:r>
      <w:r>
        <w:rPr>
          <w:rFonts w:ascii="Times New Roman" w:eastAsia="Times New Roman" w:hAnsi="Times New Roman" w:cs="Times New Roman"/>
          <w:color w:val="000000"/>
          <w:spacing w:val="0"/>
          <w:w w:val="100"/>
          <w:position w:val="0"/>
        </w:rPr>
        <w:t>15</w:t>
      </w:r>
      <w:r>
        <w:rPr>
          <w:color w:val="000000"/>
          <w:spacing w:val="0"/>
          <w:w w:val="100"/>
          <w:position w:val="0"/>
        </w:rPr>
        <w:t>年完成的人类基因组计划加快进度。</w:t>
      </w:r>
      <w:r>
        <w:rPr>
          <w:rFonts w:ascii="Times New Roman" w:eastAsia="Times New Roman" w:hAnsi="Times New Roman" w:cs="Times New Roman"/>
          <w:color w:val="000000"/>
          <w:spacing w:val="0"/>
          <w:w w:val="100"/>
          <w:position w:val="0"/>
        </w:rPr>
        <w:t>2006</w:t>
      </w:r>
      <w:r>
        <w:rPr>
          <w:color w:val="000000"/>
          <w:spacing w:val="0"/>
          <w:w w:val="100"/>
          <w:position w:val="0"/>
        </w:rPr>
        <w:t>年高通量测序仪诞生，成本下降百倍，形成</w:t>
      </w:r>
      <w:r>
        <w:rPr>
          <w:rFonts w:ascii="Times New Roman" w:eastAsia="Times New Roman" w:hAnsi="Times New Roman" w:cs="Times New Roman"/>
          <w:color w:val="000000"/>
          <w:spacing w:val="0"/>
          <w:w w:val="100"/>
          <w:position w:val="0"/>
        </w:rPr>
        <w:t>“</w:t>
      </w:r>
      <w:r>
        <w:rPr>
          <w:color w:val="000000"/>
          <w:spacing w:val="0"/>
          <w:w w:val="100"/>
          <w:position w:val="0"/>
        </w:rPr>
        <w:t>超摩尔定律</w:t>
      </w:r>
      <w:r>
        <w:rPr>
          <w:rFonts w:ascii="Times New Roman" w:eastAsia="Times New Roman" w:hAnsi="Times New Roman" w:cs="Times New Roman"/>
          <w:color w:val="000000"/>
          <w:spacing w:val="0"/>
          <w:w w:val="100"/>
          <w:position w:val="0"/>
        </w:rPr>
        <w:t>”</w:t>
      </w:r>
      <w:r>
        <w:rPr>
          <w:color w:val="000000"/>
          <w:spacing w:val="0"/>
          <w:w w:val="100"/>
          <w:position w:val="0"/>
        </w:rPr>
        <w:t>之势。 随着测序成本的显著降低和测序速度的显著上升，使高通量测序大范围使用成为可能。全球多个国家已在这一领域做出前瞻 式布局：鼓励高端测序仪的研发和商业化、建立配套的生物信息计算平台、推进基因组领域的科学研发和临床转化。</w:t>
      </w:r>
    </w:p>
    <w:p>
      <w:pPr>
        <w:pStyle w:val="Style17"/>
        <w:keepNext w:val="0"/>
        <w:keepLines w:val="0"/>
        <w:widowControl w:val="0"/>
        <w:shd w:val="clear" w:color="auto" w:fill="auto"/>
        <w:bidi w:val="0"/>
        <w:spacing w:before="0" w:after="120" w:line="315" w:lineRule="exact"/>
        <w:ind w:left="0" w:right="0"/>
        <w:jc w:val="both"/>
      </w:pPr>
      <w:r>
        <w:rPr>
          <w:color w:val="000000"/>
          <w:spacing w:val="0"/>
          <w:w w:val="100"/>
          <w:position w:val="0"/>
        </w:rPr>
        <w:t xml:space="preserve">中国基因组学应用行业的发展与全球发展同步，发展初期主要通过引进国外的高通量测序仪以用于开发下游的应用。 </w:t>
      </w:r>
      <w:r>
        <w:rPr>
          <w:rFonts w:ascii="Times New Roman" w:eastAsia="Times New Roman" w:hAnsi="Times New Roman" w:cs="Times New Roman"/>
          <w:color w:val="000000"/>
          <w:spacing w:val="0"/>
          <w:w w:val="100"/>
          <w:position w:val="0"/>
        </w:rPr>
        <w:t>2008</w:t>
      </w:r>
      <w:r>
        <w:rPr>
          <w:color w:val="000000"/>
          <w:spacing w:val="0"/>
          <w:w w:val="100"/>
          <w:position w:val="0"/>
        </w:rPr>
        <w:t>年，将高通量测序技术用于研究基因与性状之间的关联，</w:t>
      </w:r>
      <w:r>
        <w:rPr>
          <w:rFonts w:ascii="Times New Roman" w:eastAsia="Times New Roman" w:hAnsi="Times New Roman" w:cs="Times New Roman"/>
          <w:color w:val="000000"/>
          <w:spacing w:val="0"/>
          <w:w w:val="100"/>
          <w:position w:val="0"/>
        </w:rPr>
        <w:t>2010</w:t>
      </w:r>
      <w:r>
        <w:rPr>
          <w:color w:val="000000"/>
          <w:spacing w:val="0"/>
          <w:w w:val="100"/>
          <w:position w:val="0"/>
        </w:rPr>
        <w:t>年，开发出可用于临床的应用。同时，高通量测序技术也 被广泛的应用于科研机构、制药企业、种子公司及其它生物公司的研发工作。</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与发达国家相比，中国基因检测设备自主研发能力仍存在一定差距。经过中国基因组应用企业的不懈努力，该差距正逐 渐缩少。</w:t>
      </w:r>
      <w:r>
        <w:rPr>
          <w:rFonts w:ascii="Times New Roman" w:eastAsia="Times New Roman" w:hAnsi="Times New Roman" w:cs="Times New Roman"/>
          <w:color w:val="000000"/>
          <w:spacing w:val="0"/>
          <w:w w:val="100"/>
          <w:position w:val="0"/>
        </w:rPr>
        <w:t>2013</w:t>
      </w:r>
      <w:r>
        <w:rPr>
          <w:color w:val="000000"/>
          <w:spacing w:val="0"/>
          <w:w w:val="100"/>
          <w:position w:val="0"/>
        </w:rPr>
        <w:t>年，华大控股为提高在测序仪方面的自主研发能力并降低测序服务成本，完成并购美国基因测序公司</w:t>
      </w:r>
      <w:r>
        <w:rPr>
          <w:rFonts w:ascii="Times New Roman" w:eastAsia="Times New Roman" w:hAnsi="Times New Roman" w:cs="Times New Roman"/>
          <w:color w:val="000000"/>
          <w:spacing w:val="0"/>
          <w:w w:val="100"/>
          <w:position w:val="0"/>
        </w:rPr>
        <w:t>Complete Genomics</w:t>
      </w:r>
      <w:r>
        <w:rPr>
          <w:color w:val="000000"/>
          <w:spacing w:val="0"/>
          <w:w w:val="100"/>
          <w:position w:val="0"/>
        </w:rPr>
        <w:t>，</w:t>
      </w:r>
      <w:r>
        <w:rPr>
          <w:color w:val="000000"/>
          <w:spacing w:val="0"/>
          <w:w w:val="100"/>
          <w:position w:val="0"/>
        </w:rPr>
        <w:t>从而拥有了自主产权的测序仪，扩大了服务和解决方案组合。此后国内主要基因检测机构的测序仪器和检测试剂 盒相继获得了国家药监局医疗器械注册证，国家卫计委临床应用试点单位也陆续公布。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月，国家卫计委放开了无创 产前基因检测的试点单位，无创产前筛查在全国范围内规范开展。目前，华大基因已拥有多个可用于医学检测的测序平台 </w:t>
      </w:r>
      <w:r>
        <w:rPr>
          <w:rFonts w:ascii="Times New Roman" w:eastAsia="Times New Roman" w:hAnsi="Times New Roman" w:cs="Times New Roman"/>
          <w:color w:val="000000"/>
          <w:spacing w:val="0"/>
          <w:w w:val="100"/>
          <w:position w:val="0"/>
        </w:rPr>
        <w:t>BGISEQ-50</w:t>
      </w:r>
      <w:r>
        <w:rPr>
          <w:color w:val="000000"/>
          <w:spacing w:val="0"/>
          <w:w w:val="100"/>
          <w:position w:val="0"/>
        </w:rPr>
        <w:t>、</w:t>
      </w:r>
      <w:r>
        <w:rPr>
          <w:rFonts w:ascii="Times New Roman" w:eastAsia="Times New Roman" w:hAnsi="Times New Roman" w:cs="Times New Roman"/>
          <w:color w:val="000000"/>
          <w:spacing w:val="0"/>
          <w:w w:val="100"/>
          <w:position w:val="0"/>
        </w:rPr>
        <w:t>BGISEQ-500</w:t>
      </w:r>
      <w:r>
        <w:rPr>
          <w:color w:val="000000"/>
          <w:spacing w:val="0"/>
          <w:w w:val="100"/>
          <w:position w:val="0"/>
        </w:rPr>
        <w:t>、</w:t>
      </w:r>
      <w:r>
        <w:rPr>
          <w:rFonts w:ascii="Times New Roman" w:eastAsia="Times New Roman" w:hAnsi="Times New Roman" w:cs="Times New Roman"/>
          <w:color w:val="000000"/>
          <w:spacing w:val="0"/>
          <w:w w:val="100"/>
          <w:position w:val="0"/>
        </w:rPr>
        <w:t>MGISEQ-200</w:t>
      </w:r>
      <w:r>
        <w:rPr>
          <w:color w:val="000000"/>
          <w:spacing w:val="0"/>
          <w:w w:val="100"/>
          <w:position w:val="0"/>
        </w:rPr>
        <w:t>、</w:t>
      </w:r>
      <w:r>
        <w:rPr>
          <w:rFonts w:ascii="Times New Roman" w:eastAsia="Times New Roman" w:hAnsi="Times New Roman" w:cs="Times New Roman"/>
          <w:color w:val="000000"/>
          <w:spacing w:val="0"/>
          <w:w w:val="100"/>
          <w:position w:val="0"/>
        </w:rPr>
        <w:t>MGISEQ-2000</w:t>
      </w:r>
      <w:r>
        <w:rPr>
          <w:color w:val="000000"/>
          <w:spacing w:val="0"/>
          <w:w w:val="100"/>
          <w:position w:val="0"/>
        </w:rPr>
        <w:t>、</w:t>
      </w:r>
      <w:r>
        <w:rPr>
          <w:rFonts w:ascii="Times New Roman" w:eastAsia="Times New Roman" w:hAnsi="Times New Roman" w:cs="Times New Roman"/>
          <w:color w:val="000000"/>
          <w:spacing w:val="0"/>
          <w:w w:val="100"/>
          <w:position w:val="0"/>
        </w:rPr>
        <w:t>DNBSEQ-T</w:t>
      </w:r>
      <w:r>
        <w:rPr>
          <w:rFonts w:ascii="Times New Roman" w:eastAsia="Times New Roman" w:hAnsi="Times New Roman" w:cs="Times New Roman"/>
          <w:color w:val="000000"/>
          <w:spacing w:val="0"/>
          <w:w w:val="100"/>
          <w:position w:val="0"/>
        </w:rPr>
        <w:t>7</w:t>
      </w:r>
      <w:r>
        <w:rPr>
          <w:color w:val="000000"/>
          <w:spacing w:val="0"/>
          <w:w w:val="100"/>
          <w:position w:val="0"/>
        </w:rPr>
        <w:t>等，可根据不同测序仪的性能进行有针对性的产品 迭代，以不同的测序仪匹配不同的临床应用场景，形成多平台、多产品的梯次化布局，满足临床的多样化需求。</w:t>
      </w:r>
    </w:p>
    <w:p>
      <w:pPr>
        <w:pStyle w:val="Style17"/>
        <w:keepNext w:val="0"/>
        <w:keepLines w:val="0"/>
        <w:widowControl w:val="0"/>
        <w:shd w:val="clear" w:color="auto" w:fill="auto"/>
        <w:bidi w:val="0"/>
        <w:spacing w:before="0" w:after="120" w:line="313" w:lineRule="exact"/>
        <w:ind w:left="0" w:right="0"/>
        <w:jc w:val="both"/>
      </w:pPr>
      <w:r>
        <w:rPr>
          <w:color w:val="000000"/>
          <w:spacing w:val="0"/>
          <w:w w:val="100"/>
          <w:position w:val="0"/>
        </w:rPr>
        <w:t>总体上，中国已初步建立了适应基因产业发展的宏观产业布局和产业链条。</w:t>
      </w:r>
    </w:p>
    <w:p>
      <w:pPr>
        <w:pStyle w:val="Style17"/>
        <w:keepNext w:val="0"/>
        <w:keepLines w:val="0"/>
        <w:widowControl w:val="0"/>
        <w:shd w:val="clear" w:color="auto" w:fill="auto"/>
        <w:bidi w:val="0"/>
        <w:spacing w:before="0" w:after="120" w:line="313" w:lineRule="exact"/>
        <w:ind w:left="0" w:right="0"/>
        <w:jc w:val="both"/>
      </w:pPr>
      <w:r>
        <w:rPr>
          <w:rFonts w:ascii="Times New Roman" w:eastAsia="Times New Roman" w:hAnsi="Times New Roman" w:cs="Times New Roman"/>
          <w:b/>
          <w:bCs/>
          <w:color w:val="000000"/>
          <w:spacing w:val="0"/>
          <w:w w:val="100"/>
          <w:position w:val="0"/>
        </w:rPr>
        <w:t>1.3</w:t>
      </w:r>
      <w:r>
        <w:rPr>
          <w:b/>
          <w:bCs/>
          <w:color w:val="000000"/>
          <w:spacing w:val="0"/>
          <w:w w:val="100"/>
          <w:position w:val="0"/>
        </w:rPr>
        <w:t>基因测序技术的应用发展趋势</w:t>
      </w:r>
    </w:p>
    <w:p>
      <w:pPr>
        <w:pStyle w:val="Style17"/>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rPr>
        <w:t>21</w:t>
      </w:r>
      <w:r>
        <w:rPr>
          <w:color w:val="000000"/>
          <w:spacing w:val="0"/>
          <w:w w:val="100"/>
          <w:position w:val="0"/>
        </w:rPr>
        <w:t>世纪以来，全球生物医药领域创新活跃，科技与产业整体发展势头良好、增速较快。以基因组学、生物信息学、生物 大数据等为代表的新技术在医疗健康领域的广泛应用，为生育健康、遗传病检测、肿瘤早筛、伴随诊断、传染病诊断等下游 应用场景创造新的市场空间。</w:t>
      </w:r>
    </w:p>
    <w:p>
      <w:pPr>
        <w:pStyle w:val="Style17"/>
        <w:keepNext w:val="0"/>
        <w:keepLines w:val="0"/>
        <w:widowControl w:val="0"/>
        <w:shd w:val="clear" w:color="auto" w:fill="auto"/>
        <w:tabs>
          <w:tab w:pos="765" w:val="left"/>
        </w:tabs>
        <w:bidi w:val="0"/>
        <w:spacing w:before="0" w:after="120" w:line="313" w:lineRule="exact"/>
        <w:ind w:left="0" w:right="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1</w:t>
      </w:r>
      <w:r>
        <w:rPr>
          <w:color w:val="000000"/>
          <w:spacing w:val="0"/>
          <w:w w:val="100"/>
          <w:position w:val="0"/>
        </w:rPr>
        <w:t>）</w:t>
        <w:tab/>
        <w:t>生育健康类服务的行业发展基本情况与趋势</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生育健康方面，基于高通量测序</w:t>
      </w:r>
      <w:r>
        <w:rPr>
          <w:color w:val="000000"/>
          <w:spacing w:val="0"/>
          <w:w w:val="100"/>
          <w:position w:val="0"/>
        </w:rPr>
        <w:t>（</w:t>
      </w:r>
      <w:r>
        <w:rPr>
          <w:rFonts w:ascii="Times New Roman" w:eastAsia="Times New Roman" w:hAnsi="Times New Roman" w:cs="Times New Roman"/>
          <w:color w:val="000000"/>
          <w:spacing w:val="0"/>
          <w:w w:val="100"/>
          <w:position w:val="0"/>
        </w:rPr>
        <w:t>NGS</w:t>
      </w:r>
      <w:r>
        <w:rPr>
          <w:color w:val="000000"/>
          <w:spacing w:val="0"/>
          <w:w w:val="100"/>
          <w:position w:val="0"/>
        </w:rPr>
        <w:t>）</w:t>
      </w:r>
      <w:r>
        <w:rPr>
          <w:color w:val="000000"/>
          <w:spacing w:val="0"/>
          <w:w w:val="100"/>
          <w:position w:val="0"/>
        </w:rPr>
        <w:t>的无创产前基因检测</w:t>
      </w:r>
      <w:r>
        <w:rPr>
          <w:rFonts w:ascii="Times New Roman" w:eastAsia="Times New Roman" w:hAnsi="Times New Roman" w:cs="Times New Roman"/>
          <w:color w:val="000000"/>
          <w:spacing w:val="0"/>
          <w:w w:val="100"/>
          <w:position w:val="0"/>
        </w:rPr>
        <w:t>NIPT</w:t>
      </w:r>
      <w:r>
        <w:rPr>
          <w:color w:val="000000"/>
          <w:spacing w:val="0"/>
          <w:w w:val="100"/>
          <w:position w:val="0"/>
        </w:rPr>
        <w:t>是基因检测行业里首个成功的商业项目。作为唐氏综 合征的主流筛查方式，</w:t>
      </w:r>
      <w:r>
        <w:rPr>
          <w:rFonts w:ascii="Times New Roman" w:eastAsia="Times New Roman" w:hAnsi="Times New Roman" w:cs="Times New Roman"/>
          <w:color w:val="000000"/>
          <w:spacing w:val="0"/>
          <w:w w:val="100"/>
          <w:position w:val="0"/>
        </w:rPr>
        <w:t>NIPT</w:t>
      </w:r>
      <w:r>
        <w:rPr>
          <w:color w:val="000000"/>
          <w:spacing w:val="0"/>
          <w:w w:val="100"/>
          <w:position w:val="0"/>
        </w:rPr>
        <w:t>主要应用于检测</w:t>
      </w:r>
      <w:r>
        <w:rPr>
          <w:rFonts w:ascii="Times New Roman" w:eastAsia="Times New Roman" w:hAnsi="Times New Roman" w:cs="Times New Roman"/>
          <w:color w:val="000000"/>
          <w:spacing w:val="0"/>
          <w:w w:val="100"/>
          <w:position w:val="0"/>
        </w:rPr>
        <w:t>21-</w:t>
      </w:r>
      <w:r>
        <w:rPr>
          <w:color w:val="000000"/>
          <w:spacing w:val="0"/>
          <w:w w:val="100"/>
          <w:position w:val="0"/>
        </w:rPr>
        <w:t>三体综合征、</w:t>
      </w:r>
      <w:r>
        <w:rPr>
          <w:rFonts w:ascii="Times New Roman" w:eastAsia="Times New Roman" w:hAnsi="Times New Roman" w:cs="Times New Roman"/>
          <w:color w:val="000000"/>
          <w:spacing w:val="0"/>
          <w:w w:val="100"/>
          <w:position w:val="0"/>
        </w:rPr>
        <w:t>18-</w:t>
      </w:r>
      <w:r>
        <w:rPr>
          <w:color w:val="000000"/>
          <w:spacing w:val="0"/>
          <w:w w:val="100"/>
          <w:position w:val="0"/>
        </w:rPr>
        <w:t>三体综合征、</w:t>
      </w:r>
      <w:r>
        <w:rPr>
          <w:rFonts w:ascii="Times New Roman" w:eastAsia="Times New Roman" w:hAnsi="Times New Roman" w:cs="Times New Roman"/>
          <w:color w:val="000000"/>
          <w:spacing w:val="0"/>
          <w:w w:val="100"/>
          <w:position w:val="0"/>
        </w:rPr>
        <w:t>13-</w:t>
      </w:r>
      <w:r>
        <w:rPr>
          <w:color w:val="000000"/>
          <w:spacing w:val="0"/>
          <w:w w:val="100"/>
          <w:position w:val="0"/>
        </w:rPr>
        <w:t>三体综合征，近年来在三体染色体检测基础 上，还增加了其他染色体非整倍体检测、近百种微缺失重复综合征检测以及无创单基因遗传病检测等应用，有利于进一步推 动基因检测技术在遗传病领域的临床实践。随着检测成本逐步降低、越来越多的国家或地区将</w:t>
      </w:r>
      <w:r>
        <w:rPr>
          <w:rFonts w:ascii="Times New Roman" w:eastAsia="Times New Roman" w:hAnsi="Times New Roman" w:cs="Times New Roman"/>
          <w:color w:val="000000"/>
          <w:spacing w:val="0"/>
          <w:w w:val="100"/>
          <w:position w:val="0"/>
        </w:rPr>
        <w:t>NIPT</w:t>
      </w:r>
      <w:r>
        <w:rPr>
          <w:color w:val="000000"/>
          <w:spacing w:val="0"/>
          <w:w w:val="100"/>
          <w:position w:val="0"/>
        </w:rPr>
        <w:t>纳入产前检测的医疗保 险范围，国内三孩生育政策的实施、加大出生缺陷防控力度产生的需求以及人们对基因检测认知程度的提高，将会带动孕前、 产前及新生儿基因检测渗透率的提升。</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近年来我国的不孕不育率处在较高的水平，根据联合国人口司的相关数据显示，我国有生育意愿的不孕不育患者基数将 稳定增长，</w:t>
      </w:r>
      <w:r>
        <w:rPr>
          <w:rFonts w:ascii="Times New Roman" w:eastAsia="Times New Roman" w:hAnsi="Times New Roman" w:cs="Times New Roman"/>
          <w:color w:val="000000"/>
          <w:spacing w:val="0"/>
          <w:w w:val="100"/>
          <w:position w:val="0"/>
        </w:rPr>
        <w:t>2016</w:t>
      </w:r>
      <w:r>
        <w:rPr>
          <w:color w:val="000000"/>
          <w:spacing w:val="0"/>
          <w:w w:val="100"/>
          <w:position w:val="0"/>
        </w:rPr>
        <w:t>年该患者群体达</w:t>
      </w:r>
      <w:r>
        <w:rPr>
          <w:rFonts w:ascii="Times New Roman" w:eastAsia="Times New Roman" w:hAnsi="Times New Roman" w:cs="Times New Roman"/>
          <w:color w:val="000000"/>
          <w:spacing w:val="0"/>
          <w:w w:val="100"/>
          <w:position w:val="0"/>
        </w:rPr>
        <w:t>406.5</w:t>
      </w:r>
      <w:r>
        <w:rPr>
          <w:color w:val="000000"/>
          <w:spacing w:val="0"/>
          <w:w w:val="100"/>
          <w:position w:val="0"/>
        </w:rPr>
        <w:t>万人，预期</w:t>
      </w:r>
      <w:r>
        <w:rPr>
          <w:rFonts w:ascii="Times New Roman" w:eastAsia="Times New Roman" w:hAnsi="Times New Roman" w:cs="Times New Roman"/>
          <w:color w:val="000000"/>
          <w:spacing w:val="0"/>
          <w:w w:val="100"/>
          <w:position w:val="0"/>
        </w:rPr>
        <w:t>2030</w:t>
      </w:r>
      <w:r>
        <w:rPr>
          <w:color w:val="000000"/>
          <w:spacing w:val="0"/>
          <w:w w:val="100"/>
          <w:position w:val="0"/>
        </w:rPr>
        <w:t>年将为</w:t>
      </w:r>
      <w:r>
        <w:rPr>
          <w:rFonts w:ascii="Times New Roman" w:eastAsia="Times New Roman" w:hAnsi="Times New Roman" w:cs="Times New Roman"/>
          <w:color w:val="000000"/>
          <w:spacing w:val="0"/>
          <w:w w:val="100"/>
          <w:position w:val="0"/>
        </w:rPr>
        <w:t>506</w:t>
      </w:r>
      <w:r>
        <w:rPr>
          <w:color w:val="000000"/>
          <w:spacing w:val="0"/>
          <w:w w:val="100"/>
          <w:position w:val="0"/>
        </w:rPr>
        <w:t>万人。随着不孕不育夫妻基数的增加，越来越多的群体需要 借助辅助生殖技术来满足家庭生育需求，有望带动基于</w:t>
      </w:r>
      <w:r>
        <w:rPr>
          <w:rFonts w:ascii="Times New Roman" w:eastAsia="Times New Roman" w:hAnsi="Times New Roman" w:cs="Times New Roman"/>
          <w:color w:val="000000"/>
          <w:spacing w:val="0"/>
          <w:w w:val="100"/>
          <w:position w:val="0"/>
        </w:rPr>
        <w:t>NGS</w:t>
      </w:r>
      <w:r>
        <w:rPr>
          <w:color w:val="000000"/>
          <w:spacing w:val="0"/>
          <w:w w:val="100"/>
          <w:position w:val="0"/>
        </w:rPr>
        <w:t>技术的胚胎植入前检测</w:t>
      </w:r>
      <w:r>
        <w:rPr>
          <w:color w:val="000000"/>
          <w:spacing w:val="0"/>
          <w:w w:val="100"/>
          <w:position w:val="0"/>
        </w:rPr>
        <w:t>（</w:t>
      </w:r>
      <w:r>
        <w:rPr>
          <w:rFonts w:ascii="Times New Roman" w:eastAsia="Times New Roman" w:hAnsi="Times New Roman" w:cs="Times New Roman"/>
          <w:color w:val="000000"/>
          <w:spacing w:val="0"/>
          <w:w w:val="100"/>
          <w:position w:val="0"/>
        </w:rPr>
        <w:t>PGT</w:t>
      </w:r>
      <w:r>
        <w:rPr>
          <w:color w:val="000000"/>
          <w:spacing w:val="0"/>
          <w:w w:val="100"/>
          <w:position w:val="0"/>
        </w:rPr>
        <w:t>）</w:t>
      </w:r>
      <w:r>
        <w:rPr>
          <w:color w:val="000000"/>
          <w:spacing w:val="0"/>
          <w:w w:val="100"/>
          <w:position w:val="0"/>
        </w:rPr>
        <w:t>需求。华大基因作为具备胚胎植 入前检测技术的企业，</w:t>
      </w:r>
      <w:r>
        <w:rPr>
          <w:rFonts w:ascii="Times New Roman" w:eastAsia="Times New Roman" w:hAnsi="Times New Roman" w:cs="Times New Roman"/>
          <w:color w:val="000000"/>
          <w:spacing w:val="0"/>
          <w:w w:val="100"/>
          <w:position w:val="0"/>
        </w:rPr>
        <w:t>2012</w:t>
      </w:r>
      <w:r>
        <w:rPr>
          <w:color w:val="000000"/>
          <w:spacing w:val="0"/>
          <w:w w:val="100"/>
          <w:position w:val="0"/>
        </w:rPr>
        <w:t>年与中信湘雅生殖与遗传专科医院一起合作的全球首例基于</w:t>
      </w:r>
      <w:r>
        <w:rPr>
          <w:rFonts w:ascii="Times New Roman" w:eastAsia="Times New Roman" w:hAnsi="Times New Roman" w:cs="Times New Roman"/>
          <w:color w:val="000000"/>
          <w:spacing w:val="0"/>
          <w:w w:val="100"/>
          <w:position w:val="0"/>
        </w:rPr>
        <w:t>NGS</w:t>
      </w:r>
      <w:r>
        <w:rPr>
          <w:color w:val="000000"/>
          <w:spacing w:val="0"/>
          <w:w w:val="100"/>
          <w:position w:val="0"/>
        </w:rPr>
        <w:t>技术的植入前检测的试管婴儿 在中国湖南省诞生，具有开创性意义；截至</w:t>
      </w:r>
      <w:r>
        <w:rPr>
          <w:rFonts w:ascii="Times New Roman" w:eastAsia="Times New Roman" w:hAnsi="Times New Roman" w:cs="Times New Roman"/>
          <w:color w:val="000000"/>
          <w:spacing w:val="0"/>
          <w:w w:val="100"/>
          <w:position w:val="0"/>
        </w:rPr>
        <w:t>2021</w:t>
      </w:r>
      <w:r>
        <w:rPr>
          <w:color w:val="000000"/>
          <w:spacing w:val="0"/>
          <w:w w:val="100"/>
          <w:position w:val="0"/>
        </w:rPr>
        <w:t>年底，中国已有</w:t>
      </w:r>
      <w:r>
        <w:rPr>
          <w:rFonts w:ascii="Times New Roman" w:eastAsia="Times New Roman" w:hAnsi="Times New Roman" w:cs="Times New Roman"/>
          <w:color w:val="000000"/>
          <w:spacing w:val="0"/>
          <w:w w:val="100"/>
          <w:position w:val="0"/>
        </w:rPr>
        <w:t>500</w:t>
      </w:r>
      <w:r>
        <w:rPr>
          <w:color w:val="000000"/>
          <w:spacing w:val="0"/>
          <w:w w:val="100"/>
          <w:position w:val="0"/>
        </w:rPr>
        <w:t>多家生殖中心，但拥有胚胎植入前检测</w:t>
      </w:r>
      <w:r>
        <w:rPr>
          <w:color w:val="000000"/>
          <w:spacing w:val="0"/>
          <w:w w:val="100"/>
          <w:position w:val="0"/>
        </w:rPr>
        <w:t>（</w:t>
      </w:r>
      <w:r>
        <w:rPr>
          <w:rFonts w:ascii="Times New Roman" w:eastAsia="Times New Roman" w:hAnsi="Times New Roman" w:cs="Times New Roman"/>
          <w:color w:val="000000"/>
          <w:spacing w:val="0"/>
          <w:w w:val="100"/>
          <w:position w:val="0"/>
        </w:rPr>
        <w:t>PGT</w:t>
      </w:r>
      <w:r>
        <w:rPr>
          <w:color w:val="000000"/>
          <w:spacing w:val="0"/>
          <w:w w:val="100"/>
          <w:position w:val="0"/>
        </w:rPr>
        <w:t>）资质的 生殖中心不到百家，未来的缺口仍然较大。而在海外，除了常见的不孕因素以外，常常还有地理、宗教信仰等原因带来的遗 传风险因素，通过不孕不育治疗的夫妻通常还需要辅以携带者筛查、地贫单基因病筛查和胚胎植入前检测形成筛诊闭环。通 过持续多年的深耕，华大基因已经开发出从携带者筛查到胚胎植入前筛查的全闭环产品线，未来不孕不育检测相关产品系列 具备较好的发展前景。</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在新生儿疾病筛查方面，美国、英国、德国等国已将串联质谱法新生儿疾病筛查列为普筛项目，我国采用串联质谱法应 用于新生儿遗传代谢病筛查已初具规模。</w:t>
      </w:r>
      <w:r>
        <w:rPr>
          <w:rFonts w:ascii="Times New Roman" w:eastAsia="Times New Roman" w:hAnsi="Times New Roman" w:cs="Times New Roman"/>
          <w:color w:val="000000"/>
          <w:spacing w:val="0"/>
          <w:w w:val="100"/>
          <w:position w:val="0"/>
        </w:rPr>
        <w:t>2017</w:t>
      </w:r>
      <w:r>
        <w:rPr>
          <w:color w:val="000000"/>
          <w:spacing w:val="0"/>
          <w:w w:val="100"/>
          <w:position w:val="0"/>
        </w:rPr>
        <w:t>年，全球基因组学和健康联盟监管伦理工作组儿科团队建议，可将基因检测应 用于新生儿疾病筛查。高通量测序可提高筛查效率，使更多的可治性遗传病得到早诊断、早治疗，是新生儿筛查的发展趋势。 公司也启动了目标区域捕获高通量测序、全基因组测序和串联质谱技术进行新生儿疾病筛查的多个项目，推动我国新生儿筛 查率的大幅提升。</w:t>
      </w:r>
    </w:p>
    <w:p>
      <w:pPr>
        <w:pStyle w:val="Style17"/>
        <w:keepNext w:val="0"/>
        <w:keepLines w:val="0"/>
        <w:widowControl w:val="0"/>
        <w:shd w:val="clear" w:color="auto" w:fill="auto"/>
        <w:tabs>
          <w:tab w:pos="765" w:val="left"/>
        </w:tabs>
        <w:bidi w:val="0"/>
        <w:spacing w:before="0" w:after="120" w:line="313" w:lineRule="exact"/>
        <w:ind w:left="0" w:right="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2</w:t>
      </w:r>
      <w:r>
        <w:rPr>
          <w:color w:val="000000"/>
          <w:spacing w:val="0"/>
          <w:w w:val="100"/>
          <w:position w:val="0"/>
        </w:rPr>
        <w:t>）</w:t>
        <w:tab/>
        <w:t>肿瘤防控及转化医学类服务的行业基本情况与趋势</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肿瘤防控方面，近年我国肿瘤发病人数不断走高，五年生存率有所提升，肿瘤新发患者和存量患者的增加激发了肿瘤筛 查、伴随诊断及复发监测的需求。随着基因检测产品在肿瘤防控方面应用的日益广泛，以基因科技为代表的精准医学检测将 是肿瘤防控的重要手段。在癌症诊疗方面</w:t>
      </w:r>
      <w:r>
        <w:rPr>
          <w:b/>
          <w:bCs/>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FDA</w:t>
      </w:r>
      <w:r>
        <w:rPr>
          <w:color w:val="000000"/>
          <w:spacing w:val="0"/>
          <w:w w:val="100"/>
          <w:position w:val="0"/>
        </w:rPr>
        <w:t>审批通过首个基于高通量测序技术的伴随诊断产品，从</w:t>
      </w:r>
      <w:r>
        <w:rPr>
          <w:rFonts w:ascii="Times New Roman" w:eastAsia="Times New Roman" w:hAnsi="Times New Roman" w:cs="Times New Roman"/>
          <w:color w:val="000000"/>
          <w:spacing w:val="0"/>
          <w:w w:val="100"/>
          <w:position w:val="0"/>
        </w:rPr>
        <w:t>2017</w:t>
      </w:r>
      <w:r>
        <w:rPr>
          <w:color w:val="000000"/>
          <w:spacing w:val="0"/>
          <w:w w:val="100"/>
          <w:position w:val="0"/>
        </w:rPr>
        <w:t>年起 多基因泛癌种基因检测产品陆续获批。我国自</w:t>
      </w:r>
      <w:r>
        <w:rPr>
          <w:rFonts w:ascii="Times New Roman" w:eastAsia="Times New Roman" w:hAnsi="Times New Roman" w:cs="Times New Roman"/>
          <w:color w:val="000000"/>
          <w:spacing w:val="0"/>
          <w:w w:val="100"/>
          <w:position w:val="0"/>
        </w:rPr>
        <w:t>2017</w:t>
      </w:r>
      <w:r>
        <w:rPr>
          <w:color w:val="000000"/>
          <w:spacing w:val="0"/>
          <w:w w:val="100"/>
          <w:position w:val="0"/>
        </w:rPr>
        <w:t>年以来，进一步加大了对创新药品和医疗器械审评、审批的改革力度，近 年来肿瘤新药和肿瘤检测试剂盒加速审批，为肿瘤个体化诊疗及用药指导基因检测带来了广阔的发展空间。</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年，结合高 </w:t>
      </w:r>
      <w:r>
        <w:rPr>
          <w:color w:val="000000"/>
          <w:spacing w:val="0"/>
          <w:w w:val="100"/>
          <w:position w:val="0"/>
        </w:rPr>
        <w:t>通量测序技术和液体活检技术的泛肿瘤基因检测产品获得</w:t>
      </w:r>
      <w:r>
        <w:rPr>
          <w:rFonts w:ascii="Times New Roman" w:eastAsia="Times New Roman" w:hAnsi="Times New Roman" w:cs="Times New Roman"/>
          <w:color w:val="000000"/>
          <w:spacing w:val="0"/>
          <w:w w:val="100"/>
          <w:position w:val="0"/>
        </w:rPr>
        <w:t>FDA</w:t>
      </w:r>
      <w:r>
        <w:rPr>
          <w:color w:val="000000"/>
          <w:spacing w:val="0"/>
          <w:w w:val="100"/>
          <w:position w:val="0"/>
        </w:rPr>
        <w:t>批准上市，标志着液体活检技术的临床应用已获得监管机构 及行业认可。此外，美国</w:t>
      </w:r>
      <w:r>
        <w:rPr>
          <w:rFonts w:ascii="Times New Roman" w:eastAsia="Times New Roman" w:hAnsi="Times New Roman" w:cs="Times New Roman"/>
          <w:color w:val="000000"/>
          <w:spacing w:val="0"/>
          <w:w w:val="100"/>
          <w:position w:val="0"/>
        </w:rPr>
        <w:t>NCCN2021</w:t>
      </w:r>
      <w:r>
        <w:rPr>
          <w:color w:val="000000"/>
          <w:spacing w:val="0"/>
          <w:w w:val="100"/>
          <w:position w:val="0"/>
        </w:rPr>
        <w:t>年结直肠癌指南新增了基于循环肿瘤</w:t>
      </w:r>
      <w:r>
        <w:rPr>
          <w:rFonts w:ascii="Times New Roman" w:eastAsia="Times New Roman" w:hAnsi="Times New Roman" w:cs="Times New Roman"/>
          <w:color w:val="000000"/>
          <w:spacing w:val="0"/>
          <w:w w:val="100"/>
          <w:position w:val="0"/>
        </w:rPr>
        <w:t>DNA</w:t>
      </w:r>
      <w:r>
        <w:rPr>
          <w:color w:val="000000"/>
          <w:spacing w:val="0"/>
          <w:w w:val="100"/>
          <w:position w:val="0"/>
        </w:rPr>
        <w:t>（</w:t>
      </w:r>
      <w:r>
        <w:rPr>
          <w:rFonts w:ascii="Times New Roman" w:eastAsia="Times New Roman" w:hAnsi="Times New Roman" w:cs="Times New Roman"/>
          <w:color w:val="000000"/>
          <w:spacing w:val="0"/>
          <w:w w:val="100"/>
          <w:position w:val="0"/>
        </w:rPr>
        <w:t>ctDNA</w:t>
      </w:r>
      <w:r>
        <w:rPr>
          <w:color w:val="000000"/>
          <w:spacing w:val="0"/>
          <w:w w:val="100"/>
          <w:position w:val="0"/>
        </w:rPr>
        <w:t>）</w:t>
      </w:r>
      <w:r>
        <w:rPr>
          <w:color w:val="000000"/>
          <w:spacing w:val="0"/>
          <w:w w:val="100"/>
          <w:position w:val="0"/>
        </w:rPr>
        <w:t>的液体活检用于复发风险评估和提 供预后预测信息的内容，说明了基于</w:t>
      </w:r>
      <w:r>
        <w:rPr>
          <w:rFonts w:ascii="Times New Roman" w:eastAsia="Times New Roman" w:hAnsi="Times New Roman" w:cs="Times New Roman"/>
          <w:color w:val="000000"/>
          <w:spacing w:val="0"/>
          <w:w w:val="100"/>
          <w:position w:val="0"/>
        </w:rPr>
        <w:t>ctDNA</w:t>
      </w:r>
      <w:r>
        <w:rPr>
          <w:color w:val="000000"/>
          <w:spacing w:val="0"/>
          <w:w w:val="100"/>
          <w:position w:val="0"/>
        </w:rPr>
        <w:t>检测的液体活检技术运用于用药指导、微小残留病灶评估、复发监测已开始逐渐 获得临床认可。在癌症预防筛查方面，美国预防服务工作组</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USPSTF）202</w:t>
      </w:r>
      <w:r>
        <w:rPr>
          <w:rFonts w:ascii="Times New Roman" w:eastAsia="Times New Roman" w:hAnsi="Times New Roman" w:cs="Times New Roman"/>
          <w:color w:val="000000"/>
          <w:spacing w:val="0"/>
          <w:w w:val="100"/>
          <w:position w:val="0"/>
        </w:rPr>
        <w:t>1</w:t>
      </w:r>
      <w:r>
        <w:rPr>
          <w:color w:val="000000"/>
          <w:spacing w:val="0"/>
          <w:w w:val="100"/>
          <w:position w:val="0"/>
        </w:rPr>
        <w:t>年草案中推荐扩大对</w:t>
      </w:r>
      <w:r>
        <w:rPr>
          <w:rFonts w:ascii="Times New Roman" w:eastAsia="Times New Roman" w:hAnsi="Times New Roman" w:cs="Times New Roman"/>
          <w:color w:val="000000"/>
          <w:spacing w:val="0"/>
          <w:w w:val="100"/>
          <w:position w:val="0"/>
        </w:rPr>
        <w:t>45</w:t>
      </w:r>
      <w:r>
        <w:rPr>
          <w:color w:val="000000"/>
          <w:spacing w:val="0"/>
          <w:w w:val="100"/>
          <w:position w:val="0"/>
        </w:rPr>
        <w:t>至</w:t>
      </w:r>
      <w:r>
        <w:rPr>
          <w:rFonts w:ascii="Times New Roman" w:eastAsia="Times New Roman" w:hAnsi="Times New Roman" w:cs="Times New Roman"/>
          <w:color w:val="000000"/>
          <w:spacing w:val="0"/>
          <w:w w:val="100"/>
          <w:position w:val="0"/>
        </w:rPr>
        <w:t>49</w:t>
      </w:r>
      <w:r>
        <w:rPr>
          <w:color w:val="000000"/>
          <w:spacing w:val="0"/>
          <w:w w:val="100"/>
          <w:position w:val="0"/>
        </w:rPr>
        <w:t>岁的人进行结直肠癌 筛查，将目前筛查的推荐年龄提前了</w:t>
      </w:r>
      <w:r>
        <w:rPr>
          <w:rFonts w:ascii="Times New Roman" w:eastAsia="Times New Roman" w:hAnsi="Times New Roman" w:cs="Times New Roman"/>
          <w:color w:val="000000"/>
          <w:spacing w:val="0"/>
          <w:w w:val="100"/>
          <w:position w:val="0"/>
        </w:rPr>
        <w:t>5</w:t>
      </w:r>
      <w:r>
        <w:rPr>
          <w:color w:val="000000"/>
          <w:spacing w:val="0"/>
          <w:w w:val="100"/>
          <w:position w:val="0"/>
        </w:rPr>
        <w:t>年，预计纳入约</w:t>
      </w:r>
      <w:r>
        <w:rPr>
          <w:rFonts w:ascii="Times New Roman" w:eastAsia="Times New Roman" w:hAnsi="Times New Roman" w:cs="Times New Roman"/>
          <w:color w:val="000000"/>
          <w:spacing w:val="0"/>
          <w:w w:val="100"/>
          <w:position w:val="0"/>
        </w:rPr>
        <w:t>1,900</w:t>
      </w:r>
      <w:r>
        <w:rPr>
          <w:color w:val="000000"/>
          <w:spacing w:val="0"/>
          <w:w w:val="100"/>
          <w:position w:val="0"/>
        </w:rPr>
        <w:t>万适龄人群。同时，</w:t>
      </w:r>
      <w:r>
        <w:rPr>
          <w:rFonts w:ascii="Times New Roman" w:eastAsia="Times New Roman" w:hAnsi="Times New Roman" w:cs="Times New Roman"/>
          <w:color w:val="000000"/>
          <w:spacing w:val="0"/>
          <w:w w:val="100"/>
          <w:position w:val="0"/>
        </w:rPr>
        <w:t xml:space="preserve">WHO </w:t>
      </w:r>
      <w:r>
        <w:rPr>
          <w:rFonts w:ascii="Times New Roman" w:eastAsia="Times New Roman" w:hAnsi="Times New Roman" w:cs="Times New Roman"/>
          <w:color w:val="000000"/>
          <w:spacing w:val="0"/>
          <w:w w:val="100"/>
          <w:position w:val="0"/>
        </w:rPr>
        <w:t>2021</w:t>
      </w:r>
      <w:r>
        <w:rPr>
          <w:color w:val="000000"/>
          <w:spacing w:val="0"/>
          <w:w w:val="100"/>
          <w:position w:val="0"/>
        </w:rPr>
        <w:t>年发布的《子宫颈癌前病变筛查 和治疗指南》也推荐</w:t>
      </w:r>
      <w:r>
        <w:rPr>
          <w:rFonts w:ascii="Times New Roman" w:eastAsia="Times New Roman" w:hAnsi="Times New Roman" w:cs="Times New Roman"/>
          <w:color w:val="000000"/>
          <w:spacing w:val="0"/>
          <w:w w:val="100"/>
          <w:position w:val="0"/>
        </w:rPr>
        <w:t>HPVDNA</w:t>
      </w:r>
      <w:r>
        <w:rPr>
          <w:color w:val="000000"/>
          <w:spacing w:val="0"/>
          <w:w w:val="100"/>
          <w:position w:val="0"/>
        </w:rPr>
        <w:t>检测作为宫颈癌筛查的首选方法。根据</w:t>
      </w:r>
      <w:r>
        <w:rPr>
          <w:rFonts w:ascii="Times New Roman" w:eastAsia="Times New Roman" w:hAnsi="Times New Roman" w:cs="Times New Roman"/>
          <w:color w:val="000000"/>
          <w:spacing w:val="0"/>
          <w:w w:val="100"/>
          <w:position w:val="0"/>
        </w:rPr>
        <w:t>WHO</w:t>
      </w:r>
      <w:r>
        <w:rPr>
          <w:color w:val="000000"/>
          <w:spacing w:val="0"/>
          <w:w w:val="100"/>
          <w:position w:val="0"/>
        </w:rPr>
        <w:t>的相关数据，</w:t>
      </w:r>
      <w:r>
        <w:rPr>
          <w:rFonts w:ascii="Times New Roman" w:eastAsia="Times New Roman" w:hAnsi="Times New Roman" w:cs="Times New Roman"/>
          <w:color w:val="000000"/>
          <w:spacing w:val="0"/>
          <w:w w:val="100"/>
          <w:position w:val="0"/>
        </w:rPr>
        <w:t>30%-50%</w:t>
      </w:r>
      <w:r>
        <w:rPr>
          <w:color w:val="000000"/>
          <w:spacing w:val="0"/>
          <w:w w:val="100"/>
          <w:position w:val="0"/>
        </w:rPr>
        <w:t>的癌症可以得到预防，全 球癌症经济负担也可以通过癌症早期发现和癌症患者管理降低，且癌症作为全球第二大死因，与发达国家相比，中低收入国 家癌症的死亡率更高，肿瘤防控和癌症治疗的成本可及性问题愈发突出。基于大众对于肿瘤早筛日益增长的需求，相关政策 利好也相应出台并逐步落地，随着早筛技术的突破和产品研发的不断推进，肿瘤早筛将构成肿瘤防控的重要一环。</w:t>
      </w:r>
    </w:p>
    <w:p>
      <w:pPr>
        <w:pStyle w:val="Style17"/>
        <w:keepNext w:val="0"/>
        <w:keepLines w:val="0"/>
        <w:widowControl w:val="0"/>
        <w:shd w:val="clear" w:color="auto" w:fill="auto"/>
        <w:tabs>
          <w:tab w:pos="765" w:val="left"/>
        </w:tabs>
        <w:bidi w:val="0"/>
        <w:spacing w:before="0" w:after="120" w:line="312" w:lineRule="exact"/>
        <w:ind w:left="0" w:right="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3</w:t>
      </w:r>
      <w:r>
        <w:rPr>
          <w:color w:val="000000"/>
          <w:spacing w:val="0"/>
          <w:w w:val="100"/>
          <w:position w:val="0"/>
        </w:rPr>
        <w:t>）</w:t>
        <w:tab/>
        <w:t>感染防控类服务的行业基本情况与趋势</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感染防控方面，由病原微生物引起的传感染病是人类主要的死亡原因之一，传染性疾病是全世界社会公共健康和经济的 沉重负担。据疾病监测数据显示，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月，全球共监测到传染病</w:t>
      </w:r>
      <w:r>
        <w:rPr>
          <w:rFonts w:ascii="Times New Roman" w:eastAsia="Times New Roman" w:hAnsi="Times New Roman" w:cs="Times New Roman"/>
          <w:color w:val="000000"/>
          <w:spacing w:val="0"/>
          <w:w w:val="100"/>
          <w:position w:val="0"/>
        </w:rPr>
        <w:t>58</w:t>
      </w:r>
      <w:r>
        <w:rPr>
          <w:color w:val="000000"/>
          <w:spacing w:val="0"/>
          <w:w w:val="100"/>
          <w:position w:val="0"/>
        </w:rPr>
        <w:t>种，涉及</w:t>
      </w:r>
      <w:r>
        <w:rPr>
          <w:rFonts w:ascii="Times New Roman" w:eastAsia="Times New Roman" w:hAnsi="Times New Roman" w:cs="Times New Roman"/>
          <w:color w:val="000000"/>
          <w:spacing w:val="0"/>
          <w:w w:val="100"/>
          <w:position w:val="0"/>
        </w:rPr>
        <w:t>225</w:t>
      </w:r>
      <w:r>
        <w:rPr>
          <w:color w:val="000000"/>
          <w:spacing w:val="0"/>
          <w:w w:val="100"/>
          <w:position w:val="0"/>
        </w:rPr>
        <w:t>个国家和地区。全球范围内传感染病的日 益流行加大了传感染性疾病的诊断及治疗难度，同时也大大增加了相应的诊断治疗、研究及早发现和预防的需求。以基因检 测为代表的分子诊断技术在微生物检测领域具有重要作用，其中以病原高通量测序技术为代表的微生物检测技术是未来的 发展方向和趋势。相较于早期的分离培养、免疫学、</w:t>
      </w:r>
      <w:r>
        <w:rPr>
          <w:rFonts w:ascii="Times New Roman" w:eastAsia="Times New Roman" w:hAnsi="Times New Roman" w:cs="Times New Roman"/>
          <w:color w:val="000000"/>
          <w:spacing w:val="0"/>
          <w:w w:val="100"/>
          <w:position w:val="0"/>
        </w:rPr>
        <w:t>PCR</w:t>
      </w:r>
      <w:r>
        <w:rPr>
          <w:color w:val="000000"/>
          <w:spacing w:val="0"/>
          <w:w w:val="100"/>
          <w:position w:val="0"/>
        </w:rPr>
        <w:t>和基因芯片等检测技术，宏基因组高通量测序具有检测范围广、无 需预先培养样本、检测通量高、可检测未知微生物的综合优势，尤其在新发传染病病原体快速准确鉴定以及突变监测方面相 较于传统检测技术有着显著优势，为传染病及时诊断及疾病控制提供有力支撑。以新冠疫情为例，相关专家通过宏基因组高 通量测序</w:t>
      </w:r>
      <w:r>
        <w:rPr>
          <w:color w:val="000000"/>
          <w:spacing w:val="0"/>
          <w:w w:val="100"/>
          <w:position w:val="0"/>
        </w:rPr>
        <w:t>（</w:t>
      </w:r>
      <w:r>
        <w:rPr>
          <w:rFonts w:ascii="Times New Roman" w:eastAsia="Times New Roman" w:hAnsi="Times New Roman" w:cs="Times New Roman"/>
          <w:color w:val="000000"/>
          <w:spacing w:val="0"/>
          <w:w w:val="100"/>
          <w:position w:val="0"/>
        </w:rPr>
        <w:t>mNGS</w:t>
      </w:r>
      <w:r>
        <w:rPr>
          <w:color w:val="000000"/>
          <w:spacing w:val="0"/>
          <w:w w:val="100"/>
          <w:position w:val="0"/>
        </w:rPr>
        <w:t>）</w:t>
      </w:r>
      <w:r>
        <w:rPr>
          <w:color w:val="000000"/>
          <w:spacing w:val="0"/>
          <w:w w:val="100"/>
          <w:position w:val="0"/>
        </w:rPr>
        <w:t>技术直接从临床样本中鉴定出新冠病毒的核酸序列，破译了新冠病毒的基因组，将病原体的鉴定时间大 幅度缩减，为后续核酸检测试剂盒的研发赢得了宝贵的时间，进而为新冠疫情的诊断及预防控制打下了重要的基础。新冠疫 情防控后期，流感样病毒感染监测的需求将会增加，以包括宏基因组学高通量测序技术</w:t>
      </w:r>
      <w:r>
        <w:rPr>
          <w:color w:val="000000"/>
          <w:spacing w:val="0"/>
          <w:w w:val="100"/>
          <w:position w:val="0"/>
        </w:rPr>
        <w:t>（</w:t>
      </w:r>
      <w:r>
        <w:rPr>
          <w:rFonts w:ascii="Times New Roman" w:eastAsia="Times New Roman" w:hAnsi="Times New Roman" w:cs="Times New Roman"/>
          <w:color w:val="000000"/>
          <w:spacing w:val="0"/>
          <w:w w:val="100"/>
          <w:position w:val="0"/>
        </w:rPr>
        <w:t>mNGS</w:t>
      </w:r>
      <w:r>
        <w:rPr>
          <w:color w:val="000000"/>
          <w:spacing w:val="0"/>
          <w:w w:val="100"/>
          <w:position w:val="0"/>
        </w:rPr>
        <w:t>）</w:t>
      </w:r>
      <w:r>
        <w:rPr>
          <w:color w:val="000000"/>
          <w:spacing w:val="0"/>
          <w:w w:val="100"/>
          <w:position w:val="0"/>
        </w:rPr>
        <w:t>在内的核酸检测技术为主 的多重病原体检测技术，可以为感染性疾病诊断提供直接证据，做好流感人群、新冠人群以及其他感染人群的有效区分。</w:t>
      </w:r>
    </w:p>
    <w:p>
      <w:pPr>
        <w:pStyle w:val="Style17"/>
        <w:keepNext w:val="0"/>
        <w:keepLines w:val="0"/>
        <w:widowControl w:val="0"/>
        <w:shd w:val="clear" w:color="auto" w:fill="auto"/>
        <w:bidi w:val="0"/>
        <w:spacing w:before="0" w:after="120" w:line="317" w:lineRule="exact"/>
        <w:ind w:left="0" w:right="0"/>
        <w:jc w:val="both"/>
      </w:pPr>
      <w:r>
        <w:rPr>
          <w:color w:val="000000"/>
          <w:spacing w:val="0"/>
          <w:w w:val="100"/>
          <w:position w:val="0"/>
        </w:rPr>
        <w:t>在治疗药物监测方面，串联质谱技术</w:t>
      </w:r>
      <w:r>
        <w:rPr>
          <w:color w:val="000000"/>
          <w:spacing w:val="0"/>
          <w:w w:val="100"/>
          <w:position w:val="0"/>
        </w:rPr>
        <w:t>（</w:t>
      </w:r>
      <w:r>
        <w:rPr>
          <w:rFonts w:ascii="Times New Roman" w:eastAsia="Times New Roman" w:hAnsi="Times New Roman" w:cs="Times New Roman"/>
          <w:color w:val="000000"/>
          <w:spacing w:val="0"/>
          <w:w w:val="100"/>
          <w:position w:val="0"/>
        </w:rPr>
        <w:t>LC-MS/MS</w:t>
      </w:r>
      <w:r>
        <w:rPr>
          <w:color w:val="000000"/>
          <w:spacing w:val="0"/>
          <w:w w:val="100"/>
          <w:position w:val="0"/>
        </w:rPr>
        <w:t>）</w:t>
      </w:r>
      <w:r>
        <w:rPr>
          <w:color w:val="000000"/>
          <w:spacing w:val="0"/>
          <w:w w:val="100"/>
          <w:position w:val="0"/>
        </w:rPr>
        <w:t>已逐渐成为治疗药物监测领域的主要检测手段，该技术可同时检测 患者治疗过程中使用的多种药物的浓度，大大提高了检测效率。近年来多项临床专家共识的发布，规范了药物浓度检验数据 的解读流程，促进了药物浓度检测产业的健康发展，保障了患者用药的安全性、有效性和经济性。</w:t>
      </w:r>
    </w:p>
    <w:p>
      <w:pPr>
        <w:pStyle w:val="Style17"/>
        <w:keepNext w:val="0"/>
        <w:keepLines w:val="0"/>
        <w:widowControl w:val="0"/>
        <w:shd w:val="clear" w:color="auto" w:fill="auto"/>
        <w:tabs>
          <w:tab w:pos="765" w:val="left"/>
        </w:tabs>
        <w:bidi w:val="0"/>
        <w:spacing w:before="0" w:after="120" w:line="312" w:lineRule="exact"/>
        <w:ind w:left="0" w:right="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4</w:t>
      </w:r>
      <w:r>
        <w:rPr>
          <w:color w:val="000000"/>
          <w:spacing w:val="0"/>
          <w:w w:val="100"/>
          <w:position w:val="0"/>
        </w:rPr>
        <w:t>）</w:t>
        <w:tab/>
        <w:t>多组学大数据服务与合成业务的行业基本情况与趋势</w:t>
      </w:r>
    </w:p>
    <w:p>
      <w:pPr>
        <w:pStyle w:val="Style1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21</w:t>
      </w:r>
      <w:r>
        <w:rPr>
          <w:color w:val="000000"/>
          <w:spacing w:val="0"/>
          <w:w w:val="100"/>
          <w:position w:val="0"/>
        </w:rPr>
        <w:t>世纪被称为生命科学的时代，生物技术在医疗卫生、农业、环保、轻化工、食品保健等重要领域对改善人类健康状况 及生存环境、提高农牧业以及工业的产量与质量正在发挥着越来越重要的作用。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规划》提出，瞄准 生命健康、脑科学、生物育种等前沿领域，实施一批具有前瞻性、战略性的国家重大科技项目。</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利用自主测序平台和质谱平台，可以实现从组织到单细胞层面的基因组学、表观组学、转录组学、蛋白组学、代谢组学、 宏基因组学等方向的研究，实现多组学数据库的收集和整理、以及数据信息查阅等。未来在疾病治疗研究中，根据收集到的 临床表型、临床病例的数据，结合多组学研究数据，有助于辅助预测个体疾病诊断和针对性的治疗，更有利于预测个体患病 风险和预后，以及可以为靶向药物开发提供潜在生物靶点；结合海量组学数据以及已有药物的研究数据，能加速药物研发进 展。在动植物育种研究中，可以通过多组学数据库构建，结合已有种质资源等数据信息，加强对有效数据的关联分析，加快 动植物育种速度等。</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伴随着生物学、生物信息学、计算机科学、化学等学科快速发展，合成生物学实现了从简单基因线路设计到基因组合成 的跨越，近年来随着合成生物学蓬勃发展，多领域产品的推出和相关企业融资规模的扩大，合成生物学将迎来新的发展阶段。 根据</w:t>
      </w:r>
      <w:r>
        <w:rPr>
          <w:rFonts w:ascii="Times New Roman" w:eastAsia="Times New Roman" w:hAnsi="Times New Roman" w:cs="Times New Roman"/>
          <w:color w:val="000000"/>
          <w:spacing w:val="0"/>
          <w:w w:val="100"/>
          <w:position w:val="0"/>
        </w:rPr>
        <w:t>BCC Research</w:t>
      </w:r>
      <w:r>
        <w:rPr>
          <w:color w:val="000000"/>
          <w:spacing w:val="0"/>
          <w:w w:val="100"/>
          <w:position w:val="0"/>
        </w:rPr>
        <w:t>的报告，全球寡核苷酸合成市场将从</w:t>
      </w:r>
      <w:r>
        <w:rPr>
          <w:rFonts w:ascii="Times New Roman" w:eastAsia="Times New Roman" w:hAnsi="Times New Roman" w:cs="Times New Roman"/>
          <w:color w:val="000000"/>
          <w:spacing w:val="0"/>
          <w:w w:val="100"/>
          <w:position w:val="0"/>
        </w:rPr>
        <w:t>2021</w:t>
      </w:r>
      <w:r>
        <w:rPr>
          <w:color w:val="000000"/>
          <w:spacing w:val="0"/>
          <w:w w:val="100"/>
          <w:position w:val="0"/>
        </w:rPr>
        <w:t>年的</w:t>
      </w:r>
      <w:r>
        <w:rPr>
          <w:rFonts w:ascii="Times New Roman" w:eastAsia="Times New Roman" w:hAnsi="Times New Roman" w:cs="Times New Roman"/>
          <w:color w:val="000000"/>
          <w:spacing w:val="0"/>
          <w:w w:val="100"/>
          <w:position w:val="0"/>
        </w:rPr>
        <w:t>61</w:t>
      </w:r>
      <w:r>
        <w:rPr>
          <w:color w:val="000000"/>
          <w:spacing w:val="0"/>
          <w:w w:val="100"/>
          <w:position w:val="0"/>
        </w:rPr>
        <w:t>亿美元增长到</w:t>
      </w:r>
      <w:r>
        <w:rPr>
          <w:rFonts w:ascii="Times New Roman" w:eastAsia="Times New Roman" w:hAnsi="Times New Roman" w:cs="Times New Roman"/>
          <w:color w:val="000000"/>
          <w:spacing w:val="0"/>
          <w:w w:val="100"/>
          <w:position w:val="0"/>
        </w:rPr>
        <w:t>2026</w:t>
      </w:r>
      <w:r>
        <w:rPr>
          <w:color w:val="000000"/>
          <w:spacing w:val="0"/>
          <w:w w:val="100"/>
          <w:position w:val="0"/>
        </w:rPr>
        <w:t>年的</w:t>
      </w:r>
      <w:r>
        <w:rPr>
          <w:rFonts w:ascii="Times New Roman" w:eastAsia="Times New Roman" w:hAnsi="Times New Roman" w:cs="Times New Roman"/>
          <w:color w:val="000000"/>
          <w:spacing w:val="0"/>
          <w:w w:val="100"/>
          <w:position w:val="0"/>
        </w:rPr>
        <w:t>102</w:t>
      </w:r>
      <w:r>
        <w:rPr>
          <w:color w:val="000000"/>
          <w:spacing w:val="0"/>
          <w:w w:val="100"/>
          <w:position w:val="0"/>
        </w:rPr>
        <w:t>亿美元，</w:t>
      </w:r>
      <w:r>
        <w:rPr>
          <w:rFonts w:ascii="Times New Roman" w:eastAsia="Times New Roman" w:hAnsi="Times New Roman" w:cs="Times New Roman"/>
          <w:color w:val="000000"/>
          <w:spacing w:val="0"/>
          <w:w w:val="100"/>
          <w:position w:val="0"/>
        </w:rPr>
        <w:t>2021-2026</w:t>
      </w:r>
      <w:r>
        <w:rPr>
          <w:color w:val="000000"/>
          <w:spacing w:val="0"/>
          <w:w w:val="100"/>
          <w:position w:val="0"/>
        </w:rPr>
        <w:t>年的复合年 增长率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CAGR）</w:t>
      </w:r>
      <w:r>
        <w:rPr>
          <w:color w:val="000000"/>
          <w:spacing w:val="0"/>
          <w:w w:val="100"/>
          <w:position w:val="0"/>
        </w:rPr>
        <w:t>为</w:t>
      </w:r>
      <w:r>
        <w:rPr>
          <w:rFonts w:ascii="Times New Roman" w:eastAsia="Times New Roman" w:hAnsi="Times New Roman" w:cs="Times New Roman"/>
          <w:color w:val="000000"/>
          <w:spacing w:val="0"/>
          <w:w w:val="100"/>
          <w:position w:val="0"/>
        </w:rPr>
        <w:t>10.7%</w:t>
      </w:r>
      <w:r>
        <w:rPr>
          <w:color w:val="000000"/>
          <w:spacing w:val="0"/>
          <w:w w:val="100"/>
          <w:position w:val="0"/>
        </w:rPr>
        <w:t>。寡核苷酸合成的需求随着分子诊断领域中</w:t>
      </w:r>
      <w:r>
        <w:rPr>
          <w:rFonts w:ascii="Times New Roman" w:eastAsia="Times New Roman" w:hAnsi="Times New Roman" w:cs="Times New Roman"/>
          <w:color w:val="000000"/>
          <w:spacing w:val="0"/>
          <w:w w:val="100"/>
          <w:position w:val="0"/>
        </w:rPr>
        <w:t>PCR</w:t>
      </w:r>
      <w:r>
        <w:rPr>
          <w:color w:val="000000"/>
          <w:spacing w:val="0"/>
          <w:w w:val="100"/>
          <w:position w:val="0"/>
        </w:rPr>
        <w:t>及高通量测序应用的增加亦不断增长，未来核酸药物 领域的发展也将成为新的热点之一。由</w:t>
      </w:r>
      <w:r>
        <w:rPr>
          <w:rFonts w:ascii="Times New Roman" w:eastAsia="Times New Roman" w:hAnsi="Times New Roman" w:cs="Times New Roman"/>
          <w:color w:val="000000"/>
          <w:spacing w:val="0"/>
          <w:w w:val="100"/>
          <w:position w:val="0"/>
        </w:rPr>
        <w:t>Data Bridge Market Research</w:t>
      </w:r>
      <w:r>
        <w:rPr>
          <w:color w:val="000000"/>
          <w:spacing w:val="0"/>
          <w:w w:val="100"/>
          <w:position w:val="0"/>
        </w:rPr>
        <w:t>发布的报告可知，在</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2028</w:t>
      </w:r>
      <w:r>
        <w:rPr>
          <w:color w:val="000000"/>
          <w:spacing w:val="0"/>
          <w:w w:val="100"/>
          <w:position w:val="0"/>
        </w:rPr>
        <w:t>年的预测期内，全球基 因合成市场的复合年增长率有望达到</w:t>
      </w:r>
      <w:r>
        <w:rPr>
          <w:rFonts w:ascii="Times New Roman" w:eastAsia="Times New Roman" w:hAnsi="Times New Roman" w:cs="Times New Roman"/>
          <w:color w:val="000000"/>
          <w:spacing w:val="0"/>
          <w:w w:val="100"/>
          <w:position w:val="0"/>
        </w:rPr>
        <w:t>27%</w:t>
      </w:r>
      <w:r>
        <w:rPr>
          <w:color w:val="000000"/>
          <w:spacing w:val="0"/>
          <w:w w:val="100"/>
          <w:position w:val="0"/>
        </w:rPr>
        <w:t>，预计到</w:t>
      </w:r>
      <w:r>
        <w:rPr>
          <w:rFonts w:ascii="Times New Roman" w:eastAsia="Times New Roman" w:hAnsi="Times New Roman" w:cs="Times New Roman"/>
          <w:color w:val="000000"/>
          <w:spacing w:val="0"/>
          <w:w w:val="100"/>
          <w:position w:val="0"/>
        </w:rPr>
        <w:t>2028</w:t>
      </w:r>
      <w:r>
        <w:rPr>
          <w:color w:val="000000"/>
          <w:spacing w:val="0"/>
          <w:w w:val="100"/>
          <w:position w:val="0"/>
        </w:rPr>
        <w:t>年将达到</w:t>
      </w:r>
      <w:r>
        <w:rPr>
          <w:rFonts w:ascii="Times New Roman" w:eastAsia="Times New Roman" w:hAnsi="Times New Roman" w:cs="Times New Roman"/>
          <w:color w:val="000000"/>
          <w:spacing w:val="0"/>
          <w:w w:val="100"/>
          <w:position w:val="0"/>
        </w:rPr>
        <w:t>212</w:t>
      </w:r>
      <w:r>
        <w:rPr>
          <w:color w:val="000000"/>
          <w:spacing w:val="0"/>
          <w:w w:val="100"/>
          <w:position w:val="0"/>
        </w:rPr>
        <w:t>亿美元；该报告也指出随着全球传染病的流行病学负担 增加，传染病诊疗对基因治疗产品、个性化药物等提出了更高的要求从而推动了基因合成市场的发展。此外，合成生物学的 不断发展亦推动基因合成需求不断增加。</w:t>
      </w:r>
    </w:p>
    <w:p>
      <w:pPr>
        <w:pStyle w:val="Style17"/>
        <w:keepNext w:val="0"/>
        <w:keepLines w:val="0"/>
        <w:widowControl w:val="0"/>
        <w:shd w:val="clear" w:color="auto" w:fill="auto"/>
        <w:bidi w:val="0"/>
        <w:spacing w:before="0" w:line="311" w:lineRule="exact"/>
        <w:ind w:left="0" w:right="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5</w:t>
      </w:r>
      <w:r>
        <w:rPr>
          <w:color w:val="000000"/>
          <w:spacing w:val="0"/>
          <w:w w:val="100"/>
          <w:position w:val="0"/>
        </w:rPr>
        <w:t>）精准医学检测综合解决方案的行业基本情况与趋势</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近年来，在全球各国战略性投入精准医学的大背景引领下，国内外各类科研及临床机构竞相建立精准医学中心，以期实 现从大样本到大数据到大科学，最终到临床应用的快速转化。精准医学的核心，是建立以基因组学为基础，包含蛋白质组学、 代谢组学、脂质组学、糖组学、金属组学等为一体的多组学大数据平台，通过整合数据智能分析，以辅助、指导临床的预防、 诊断、治疗和监控。伴随着精准医学领域国家战略投入的不断上升，各国机构对于建立精准医学中心需求有望持续增加。一 方面，将推动以基因编辑、基因合成、免疫治疗等为代表的最新生物医疗技术的进一步发展完善，大规模的科研也将催生更 多应用，而新的应用则有望更快地通过临床实验后获得转化；另一方面，随着多组学技术的进一步完善，精准医学中心将更 依赖于由基因测序仪、质谱仪等组成的大场景、多维度的数据采集系统，并越来越倚重高效的数据整合及智能分析系统。华 大基因所布局的高性能大数据分析及储存平台一体机</w:t>
      </w:r>
      <w:r>
        <w:rPr>
          <w:rFonts w:ascii="Times New Roman" w:eastAsia="Times New Roman" w:hAnsi="Times New Roman" w:cs="Times New Roman"/>
          <w:color w:val="000000"/>
          <w:spacing w:val="0"/>
          <w:w w:val="100"/>
          <w:position w:val="0"/>
        </w:rPr>
        <w:t>HALOS</w:t>
      </w:r>
      <w:r>
        <w:rPr>
          <w:color w:val="000000"/>
          <w:spacing w:val="0"/>
          <w:w w:val="100"/>
          <w:position w:val="0"/>
        </w:rPr>
        <w:t>，</w:t>
      </w:r>
      <w:r>
        <w:rPr>
          <w:color w:val="000000"/>
          <w:spacing w:val="0"/>
          <w:w w:val="100"/>
          <w:position w:val="0"/>
        </w:rPr>
        <w:t>生物信息云计算平台及多组学数据挖掘系统</w:t>
      </w:r>
      <w:r>
        <w:rPr>
          <w:rFonts w:ascii="Times New Roman" w:eastAsia="Times New Roman" w:hAnsi="Times New Roman" w:cs="Times New Roman"/>
          <w:color w:val="000000"/>
          <w:spacing w:val="0"/>
          <w:w w:val="100"/>
          <w:position w:val="0"/>
        </w:rPr>
        <w:t>Dr.Tom</w:t>
      </w:r>
      <w:r>
        <w:rPr>
          <w:color w:val="000000"/>
          <w:spacing w:val="0"/>
          <w:w w:val="100"/>
          <w:position w:val="0"/>
        </w:rPr>
        <w:t>将会发挥 越来越显著的作用。伴随着学术界及大众对精准医学的认知深入，现有较为明确成熟的一些临床应用，如生育、肿瘤、感染 等方向的跨组学检测及诊断，将有望在临床方面获得更快速的推广和普及。</w:t>
      </w:r>
    </w:p>
    <w:p>
      <w:pPr>
        <w:pStyle w:val="Style17"/>
        <w:keepNext w:val="0"/>
        <w:keepLines w:val="0"/>
        <w:widowControl w:val="0"/>
        <w:shd w:val="clear" w:color="auto" w:fill="auto"/>
        <w:bidi w:val="0"/>
        <w:spacing w:before="0" w:after="0" w:line="311" w:lineRule="exact"/>
        <w:ind w:left="0" w:right="0"/>
        <w:jc w:val="both"/>
      </w:pPr>
      <w:bookmarkStart w:id="79" w:name="bookmark79"/>
      <w:r>
        <w:rPr>
          <w:rFonts w:ascii="Times New Roman" w:eastAsia="Times New Roman" w:hAnsi="Times New Roman" w:cs="Times New Roman"/>
          <w:b/>
          <w:bCs/>
          <w:color w:val="000000"/>
          <w:spacing w:val="0"/>
          <w:w w:val="100"/>
          <w:position w:val="0"/>
        </w:rPr>
        <w:t>2</w:t>
      </w:r>
      <w:bookmarkEnd w:id="79"/>
      <w:r>
        <w:rPr>
          <w:b/>
          <w:bCs/>
          <w:color w:val="000000"/>
          <w:spacing w:val="0"/>
          <w:w w:val="100"/>
          <w:position w:val="0"/>
        </w:rPr>
        <w:t>、行业的市场竞争格局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高通量基因测序技术在早期主要被应用于科研服务，中国的代表机构是华大基因、诺禾致源等；国外代表机构主要是 </w:t>
      </w:r>
      <w:r>
        <w:rPr>
          <w:rFonts w:ascii="Times New Roman" w:eastAsia="Times New Roman" w:hAnsi="Times New Roman" w:cs="Times New Roman"/>
          <w:color w:val="000000"/>
          <w:spacing w:val="0"/>
          <w:w w:val="100"/>
          <w:position w:val="0"/>
        </w:rPr>
        <w:t>Macrogen</w:t>
      </w:r>
      <w:r>
        <w:rPr>
          <w:color w:val="000000"/>
          <w:spacing w:val="0"/>
          <w:w w:val="100"/>
          <w:position w:val="0"/>
        </w:rPr>
        <w:t>、</w:t>
      </w:r>
      <w:r>
        <w:rPr>
          <w:rFonts w:ascii="Times New Roman" w:eastAsia="Times New Roman" w:hAnsi="Times New Roman" w:cs="Times New Roman"/>
          <w:color w:val="000000"/>
          <w:spacing w:val="0"/>
          <w:w w:val="100"/>
          <w:position w:val="0"/>
        </w:rPr>
        <w:t>Azenta</w:t>
      </w:r>
      <w:r>
        <w:rPr>
          <w:color w:val="000000"/>
          <w:spacing w:val="0"/>
          <w:w w:val="100"/>
          <w:position w:val="0"/>
        </w:rPr>
        <w:t>安升达</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年由</w:t>
      </w:r>
      <w:r>
        <w:rPr>
          <w:rFonts w:ascii="Times New Roman" w:eastAsia="Times New Roman" w:hAnsi="Times New Roman" w:cs="Times New Roman"/>
          <w:color w:val="000000"/>
          <w:spacing w:val="0"/>
          <w:w w:val="100"/>
          <w:position w:val="0"/>
        </w:rPr>
        <w:t>Brooks Automation</w:t>
      </w:r>
      <w:r>
        <w:rPr>
          <w:color w:val="000000"/>
          <w:spacing w:val="0"/>
          <w:w w:val="100"/>
          <w:position w:val="0"/>
        </w:rPr>
        <w:t>进行品牌重组），以及类似</w:t>
      </w:r>
      <w:r>
        <w:rPr>
          <w:rFonts w:ascii="Times New Roman" w:eastAsia="Times New Roman" w:hAnsi="Times New Roman" w:cs="Times New Roman"/>
          <w:color w:val="000000"/>
          <w:spacing w:val="0"/>
          <w:w w:val="100"/>
          <w:position w:val="0"/>
        </w:rPr>
        <w:t>Wellcome Trust Sanger Institute</w:t>
      </w:r>
      <w:r>
        <w:rPr>
          <w:color w:val="000000"/>
          <w:spacing w:val="0"/>
          <w:w w:val="100"/>
          <w:position w:val="0"/>
        </w:rPr>
        <w:t>等研究机构。 华大基因利用独有的</w:t>
      </w:r>
      <w:r>
        <w:rPr>
          <w:rFonts w:ascii="Times New Roman" w:eastAsia="Times New Roman" w:hAnsi="Times New Roman" w:cs="Times New Roman"/>
          <w:color w:val="000000"/>
          <w:spacing w:val="0"/>
          <w:w w:val="100"/>
          <w:position w:val="0"/>
        </w:rPr>
        <w:t>stLFR</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single tube Long Fragment Read</w:t>
      </w:r>
      <w:r>
        <w:rPr>
          <w:color w:val="000000"/>
          <w:spacing w:val="0"/>
          <w:w w:val="100"/>
          <w:position w:val="0"/>
        </w:rPr>
        <w:t>）建库技术、结合</w:t>
      </w:r>
      <w:r>
        <w:rPr>
          <w:rFonts w:ascii="Times New Roman" w:eastAsia="Times New Roman" w:hAnsi="Times New Roman" w:cs="Times New Roman"/>
          <w:color w:val="000000"/>
          <w:spacing w:val="0"/>
          <w:w w:val="100"/>
          <w:position w:val="0"/>
        </w:rPr>
        <w:t>DNBSEQ</w:t>
      </w:r>
      <w:r>
        <w:rPr>
          <w:color w:val="000000"/>
          <w:spacing w:val="0"/>
          <w:w w:val="100"/>
          <w:position w:val="0"/>
        </w:rPr>
        <w:t>测序技术的</w:t>
      </w:r>
      <w:r>
        <w:rPr>
          <w:rFonts w:ascii="Times New Roman" w:eastAsia="Times New Roman" w:hAnsi="Times New Roman" w:cs="Times New Roman"/>
          <w:color w:val="000000"/>
          <w:spacing w:val="0"/>
          <w:w w:val="100"/>
          <w:position w:val="0"/>
        </w:rPr>
        <w:t>True PCR-free</w:t>
      </w:r>
      <w:r>
        <w:rPr>
          <w:color w:val="000000"/>
          <w:spacing w:val="0"/>
          <w:w w:val="100"/>
          <w:position w:val="0"/>
        </w:rPr>
        <w:t>建库测 序技术、纯测序极致交付能力、</w:t>
      </w:r>
      <w:r>
        <w:rPr>
          <w:rFonts w:ascii="Times New Roman" w:eastAsia="Times New Roman" w:hAnsi="Times New Roman" w:cs="Times New Roman"/>
          <w:color w:val="000000"/>
          <w:spacing w:val="0"/>
          <w:w w:val="100"/>
          <w:position w:val="0"/>
        </w:rPr>
        <w:t>GeneAn</w:t>
      </w:r>
      <w:r>
        <w:rPr>
          <w:color w:val="000000"/>
          <w:spacing w:val="0"/>
          <w:w w:val="100"/>
          <w:position w:val="0"/>
        </w:rPr>
        <w:t>云计算平台等，基于自主平台提供的人全基因组测序服务达到全球领先水平。华大 基因拥有首家多组学数据挖掘系统</w:t>
      </w:r>
      <w:r>
        <w:rPr>
          <w:rFonts w:ascii="Times New Roman" w:eastAsia="Times New Roman" w:hAnsi="Times New Roman" w:cs="Times New Roman"/>
          <w:color w:val="000000"/>
          <w:spacing w:val="0"/>
          <w:w w:val="100"/>
          <w:position w:val="0"/>
        </w:rPr>
        <w:t>Dr.Tom</w:t>
      </w:r>
      <w:r>
        <w:rPr>
          <w:color w:val="000000"/>
          <w:spacing w:val="0"/>
          <w:w w:val="100"/>
          <w:position w:val="0"/>
        </w:rPr>
        <w:t>，</w:t>
      </w:r>
      <w:r>
        <w:rPr>
          <w:color w:val="000000"/>
          <w:spacing w:val="0"/>
          <w:w w:val="100"/>
          <w:position w:val="0"/>
        </w:rPr>
        <w:t>实现交付数据的在线互动，在国内处于领先地位，现此业务已拓展至国际领域， 受到国际客户的认可。华大基因还同时拥有</w:t>
      </w:r>
      <w:r>
        <w:rPr>
          <w:rFonts w:ascii="Times New Roman" w:eastAsia="Times New Roman" w:hAnsi="Times New Roman" w:cs="Times New Roman"/>
          <w:color w:val="000000"/>
          <w:spacing w:val="0"/>
          <w:w w:val="100"/>
          <w:position w:val="0"/>
        </w:rPr>
        <w:t>PacBio Sequein</w:t>
      </w:r>
      <w:r>
        <w:rPr>
          <w:color w:val="000000"/>
          <w:spacing w:val="0"/>
          <w:w w:val="100"/>
          <w:position w:val="0"/>
        </w:rPr>
        <w:t>和</w:t>
      </w:r>
      <w:r>
        <w:rPr>
          <w:rFonts w:ascii="Times New Roman" w:eastAsia="Times New Roman" w:hAnsi="Times New Roman" w:cs="Times New Roman"/>
          <w:color w:val="000000"/>
          <w:spacing w:val="0"/>
          <w:w w:val="100"/>
          <w:position w:val="0"/>
        </w:rPr>
        <w:t>Oxford Nanopore PromethION</w:t>
      </w:r>
      <w:r>
        <w:rPr>
          <w:color w:val="000000"/>
          <w:spacing w:val="0"/>
          <w:w w:val="100"/>
          <w:position w:val="0"/>
        </w:rPr>
        <w:t>等测序平台，在动植物基因组图谱 组装等优势明显。另外，华大基因已推出空间转录组产品，从空间角度定位组织类型中细胞表达，实现更加精细化颗粒度的 研究。</w:t>
      </w:r>
    </w:p>
    <w:p>
      <w:pPr>
        <w:pStyle w:val="Style17"/>
        <w:keepNext w:val="0"/>
        <w:keepLines w:val="0"/>
        <w:widowControl w:val="0"/>
        <w:shd w:val="clear" w:color="auto" w:fill="auto"/>
        <w:tabs>
          <w:tab w:pos="6985" w:val="left"/>
        </w:tabs>
        <w:bidi w:val="0"/>
        <w:spacing w:before="0" w:after="0" w:line="307" w:lineRule="exact"/>
        <w:ind w:left="0" w:right="0"/>
        <w:jc w:val="both"/>
      </w:pPr>
      <w:r>
        <w:rPr>
          <w:color w:val="000000"/>
          <w:spacing w:val="0"/>
          <w:w w:val="100"/>
          <w:position w:val="0"/>
        </w:rPr>
        <w:t>高通量基因测序技术目前在临床医学服务领域较为代表性的应用有无创产前基因检测，中国的代表企业是华大基因和 贝瑞基因；国外代表企业包括</w:t>
      </w:r>
      <w:r>
        <w:rPr>
          <w:rFonts w:ascii="Times New Roman" w:eastAsia="Times New Roman" w:hAnsi="Times New Roman" w:cs="Times New Roman"/>
          <w:color w:val="000000"/>
          <w:spacing w:val="0"/>
          <w:w w:val="100"/>
          <w:position w:val="0"/>
        </w:rPr>
        <w:t>Natera</w:t>
      </w:r>
      <w:r>
        <w:rPr>
          <w:color w:val="000000"/>
          <w:spacing w:val="0"/>
          <w:w w:val="100"/>
          <w:position w:val="0"/>
        </w:rPr>
        <w:t>、</w:t>
      </w:r>
      <w:r>
        <w:rPr>
          <w:rFonts w:ascii="Times New Roman" w:eastAsia="Times New Roman" w:hAnsi="Times New Roman" w:cs="Times New Roman"/>
          <w:color w:val="000000"/>
          <w:spacing w:val="0"/>
          <w:w w:val="100"/>
          <w:position w:val="0"/>
        </w:rPr>
        <w:t xml:space="preserve">LabCorp </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年收购</w:t>
      </w:r>
      <w:r>
        <w:rPr>
          <w:rFonts w:ascii="Times New Roman" w:eastAsia="Times New Roman" w:hAnsi="Times New Roman" w:cs="Times New Roman"/>
          <w:color w:val="000000"/>
          <w:spacing w:val="0"/>
          <w:w w:val="100"/>
          <w:position w:val="0"/>
        </w:rPr>
        <w:t>Sequenom</w:t>
      </w:r>
      <w:r>
        <w:rPr>
          <w:color w:val="000000"/>
          <w:spacing w:val="0"/>
          <w:w w:val="100"/>
          <w:position w:val="0"/>
        </w:rPr>
        <w:t>）、</w:t>
      </w:r>
      <w:r>
        <w:rPr>
          <w:rFonts w:ascii="Times New Roman" w:eastAsia="Times New Roman" w:hAnsi="Times New Roman" w:cs="Times New Roman"/>
          <w:color w:val="000000"/>
          <w:spacing w:val="0"/>
          <w:w w:val="100"/>
          <w:position w:val="0"/>
        </w:rPr>
        <w:t>Eurofins</w:t>
        <w:tab/>
      </w: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年收购</w:t>
      </w:r>
      <w:r>
        <w:rPr>
          <w:rFonts w:ascii="Times New Roman" w:eastAsia="Times New Roman" w:hAnsi="Times New Roman" w:cs="Times New Roman"/>
          <w:color w:val="000000"/>
          <w:spacing w:val="0"/>
          <w:w w:val="100"/>
          <w:position w:val="0"/>
        </w:rPr>
        <w:t>LifeCodexx）</w:t>
      </w:r>
      <w:r>
        <w:rPr>
          <w:color w:val="000000"/>
          <w:spacing w:val="0"/>
          <w:w w:val="100"/>
          <w:position w:val="0"/>
        </w:rPr>
        <w:t>、</w:t>
      </w:r>
    </w:p>
    <w:p>
      <w:pPr>
        <w:pStyle w:val="Style38"/>
        <w:keepNext w:val="0"/>
        <w:keepLines w:val="0"/>
        <w:widowControl w:val="0"/>
        <w:shd w:val="clear" w:color="auto" w:fill="auto"/>
        <w:bidi w:val="0"/>
        <w:spacing w:before="0" w:after="0"/>
        <w:ind w:left="0" w:right="0" w:firstLine="0"/>
        <w:jc w:val="both"/>
      </w:pPr>
      <w:r>
        <w:rPr>
          <w:color w:val="000000"/>
          <w:spacing w:val="0"/>
          <w:w w:val="100"/>
          <w:position w:val="0"/>
        </w:rPr>
        <w:t>Illumina, Inc.</w:t>
      </w:r>
      <w:r>
        <w:rPr>
          <w:rFonts w:ascii="SimSun" w:eastAsia="SimSun" w:hAnsi="SimSun" w:cs="SimSun"/>
          <w:color w:val="000000"/>
          <w:spacing w:val="0"/>
          <w:w w:val="100"/>
          <w:position w:val="0"/>
        </w:rPr>
        <w:t>（公司于</w:t>
      </w:r>
      <w:r>
        <w:rPr>
          <w:color w:val="000000"/>
          <w:spacing w:val="0"/>
          <w:w w:val="100"/>
          <w:position w:val="0"/>
        </w:rPr>
        <w:t>2013</w:t>
      </w:r>
      <w:r>
        <w:rPr>
          <w:rFonts w:ascii="SimSun" w:eastAsia="SimSun" w:hAnsi="SimSun" w:cs="SimSun"/>
          <w:color w:val="000000"/>
          <w:spacing w:val="0"/>
          <w:w w:val="100"/>
          <w:position w:val="0"/>
        </w:rPr>
        <w:t>年收购</w:t>
      </w:r>
      <w:r>
        <w:rPr>
          <w:color w:val="000000"/>
          <w:spacing w:val="0"/>
          <w:w w:val="100"/>
          <w:position w:val="0"/>
        </w:rPr>
        <w:t>V</w:t>
      </w:r>
      <w:r>
        <w:rPr>
          <w:color w:val="000000"/>
          <w:spacing w:val="0"/>
          <w:w w:val="100"/>
          <w:position w:val="0"/>
        </w:rPr>
        <w:t>erinata Health</w:t>
      </w:r>
      <w:r>
        <w:rPr>
          <w:rFonts w:ascii="SimSun" w:eastAsia="SimSun" w:hAnsi="SimSun" w:cs="SimSun"/>
          <w:color w:val="000000"/>
          <w:spacing w:val="0"/>
          <w:w w:val="100"/>
          <w:position w:val="0"/>
        </w:rPr>
        <w:t xml:space="preserve">）&gt; </w:t>
      </w:r>
      <w:r>
        <w:rPr>
          <w:color w:val="000000"/>
          <w:spacing w:val="0"/>
          <w:w w:val="100"/>
          <w:position w:val="0"/>
        </w:rPr>
        <w:t>PerkinElmer Inc</w:t>
      </w:r>
      <w:r>
        <w:rPr>
          <w:rFonts w:ascii="SimSun" w:eastAsia="SimSun" w:hAnsi="SimSun" w:cs="SimSun"/>
          <w:b/>
          <w:bCs/>
          <w:color w:val="000000"/>
          <w:spacing w:val="0"/>
          <w:w w:val="100"/>
          <w:position w:val="0"/>
        </w:rPr>
        <w:t>。</w:t>
      </w:r>
      <w:r>
        <w:rPr>
          <w:rFonts w:ascii="SimSun" w:eastAsia="SimSun" w:hAnsi="SimSun" w:cs="SimSun"/>
          <w:color w:val="000000"/>
          <w:spacing w:val="0"/>
          <w:w w:val="100"/>
          <w:position w:val="0"/>
        </w:rPr>
        <w:t>在遗传病基因检测领域，中国代表性的企业包括华大 基因，国外代表性的企业</w:t>
      </w:r>
      <w:r>
        <w:rPr>
          <w:color w:val="000000"/>
          <w:spacing w:val="0"/>
          <w:w w:val="100"/>
          <w:position w:val="0"/>
        </w:rPr>
        <w:t>Centogene, Blueprint Genomics, Igenomix</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基因测序技术在临床医学服务中重要应用还包括肿瘤防控基因检测。目前肿瘤辅助诊断手段包括分子检测（包含高通量 测序）、质谱、免疫检测、生化检测等，各技术在应用场景上有所互补。我国肿瘤基因检测处于行业生命周期中的成长阶段， 尚未建立统一的行业规范。肿瘤伴随诊断产业链的国内代表企业有华大基因、吉因加、燃石医学、泛生子、艾德生物等；国 外代表企业包括</w:t>
      </w:r>
      <w:r>
        <w:rPr>
          <w:rFonts w:ascii="Times New Roman" w:eastAsia="Times New Roman" w:hAnsi="Times New Roman" w:cs="Times New Roman"/>
          <w:color w:val="000000"/>
          <w:spacing w:val="0"/>
          <w:w w:val="100"/>
          <w:position w:val="0"/>
        </w:rPr>
        <w:t>Foundation Medicine</w:t>
      </w:r>
      <w:r>
        <w:rPr>
          <w:rFonts w:ascii="Times New Roman" w:eastAsia="Times New Roman" w:hAnsi="Times New Roman" w:cs="Times New Roman"/>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年被</w:t>
      </w:r>
      <w:r>
        <w:rPr>
          <w:rFonts w:ascii="Times New Roman" w:eastAsia="Times New Roman" w:hAnsi="Times New Roman" w:cs="Times New Roman"/>
          <w:color w:val="000000"/>
          <w:spacing w:val="0"/>
          <w:w w:val="100"/>
          <w:position w:val="0"/>
        </w:rPr>
        <w:t>Roche</w:t>
      </w:r>
      <w:r>
        <w:rPr>
          <w:color w:val="000000"/>
          <w:spacing w:val="0"/>
          <w:w w:val="100"/>
          <w:position w:val="0"/>
        </w:rPr>
        <w:t>收购</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Myriad Genetics</w:t>
      </w:r>
      <w:r>
        <w:rPr>
          <w:color w:val="000000"/>
          <w:spacing w:val="0"/>
          <w:w w:val="100"/>
          <w:position w:val="0"/>
        </w:rPr>
        <w:t xml:space="preserve">&gt; </w:t>
      </w:r>
      <w:r>
        <w:rPr>
          <w:rFonts w:ascii="Times New Roman" w:eastAsia="Times New Roman" w:hAnsi="Times New Roman" w:cs="Times New Roman"/>
          <w:color w:val="000000"/>
          <w:spacing w:val="0"/>
          <w:w w:val="100"/>
          <w:position w:val="0"/>
        </w:rPr>
        <w:t>Guardant Health</w:t>
      </w:r>
      <w:r>
        <w:rPr>
          <w:color w:val="000000"/>
          <w:spacing w:val="0"/>
          <w:w w:val="100"/>
          <w:position w:val="0"/>
        </w:rPr>
        <w:t>；</w:t>
      </w:r>
      <w:r>
        <w:rPr>
          <w:color w:val="000000"/>
          <w:spacing w:val="0"/>
          <w:w w:val="100"/>
          <w:position w:val="0"/>
        </w:rPr>
        <w:t>在肿瘤早筛产业链的 国内代表企业有华大数极、燃石医学、诺辉健康等，国外代表企业有</w:t>
      </w:r>
      <w:r>
        <w:rPr>
          <w:rFonts w:ascii="Times New Roman" w:eastAsia="Times New Roman" w:hAnsi="Times New Roman" w:cs="Times New Roman"/>
          <w:color w:val="000000"/>
          <w:spacing w:val="0"/>
          <w:w w:val="100"/>
          <w:position w:val="0"/>
        </w:rPr>
        <w:t>Grail</w:t>
      </w:r>
      <w:r>
        <w:rPr>
          <w:color w:val="000000"/>
          <w:spacing w:val="0"/>
          <w:w w:val="100"/>
          <w:position w:val="0"/>
        </w:rPr>
        <w:t>、</w:t>
      </w:r>
      <w:r>
        <w:rPr>
          <w:rFonts w:ascii="Times New Roman" w:eastAsia="Times New Roman" w:hAnsi="Times New Roman" w:cs="Times New Roman"/>
          <w:color w:val="000000"/>
          <w:spacing w:val="0"/>
          <w:w w:val="100"/>
          <w:position w:val="0"/>
        </w:rPr>
        <w:t>Exact Sciences</w:t>
      </w:r>
      <w:r>
        <w:rPr>
          <w:color w:val="000000"/>
          <w:spacing w:val="0"/>
          <w:w w:val="100"/>
          <w:position w:val="0"/>
        </w:rPr>
        <w:t>等。</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在感染防控领域，传统病原微生物检测方法如形态学检测、分离培养、生化检测、免疫学及常规</w:t>
      </w:r>
      <w:r>
        <w:rPr>
          <w:rFonts w:ascii="Times New Roman" w:eastAsia="Times New Roman" w:hAnsi="Times New Roman" w:cs="Times New Roman"/>
          <w:color w:val="000000"/>
          <w:spacing w:val="0"/>
          <w:w w:val="100"/>
          <w:position w:val="0"/>
        </w:rPr>
        <w:t>PCR</w:t>
      </w:r>
      <w:r>
        <w:rPr>
          <w:color w:val="000000"/>
          <w:spacing w:val="0"/>
          <w:w w:val="100"/>
          <w:position w:val="0"/>
        </w:rPr>
        <w:t>核酸检测仍有着广 泛的临床应用，涉及这些检测技术的代表性企业有华大基因、</w:t>
      </w:r>
      <w:r>
        <w:rPr>
          <w:rFonts w:ascii="Times New Roman" w:eastAsia="Times New Roman" w:hAnsi="Times New Roman" w:cs="Times New Roman"/>
          <w:color w:val="000000"/>
          <w:spacing w:val="0"/>
          <w:w w:val="100"/>
          <w:position w:val="0"/>
        </w:rPr>
        <w:t>Roche</w:t>
      </w:r>
      <w:r>
        <w:rPr>
          <w:color w:val="000000"/>
          <w:spacing w:val="0"/>
          <w:w w:val="100"/>
          <w:position w:val="0"/>
        </w:rPr>
        <w:t>、</w:t>
      </w:r>
      <w:r>
        <w:rPr>
          <w:rFonts w:ascii="Times New Roman" w:eastAsia="Times New Roman" w:hAnsi="Times New Roman" w:cs="Times New Roman"/>
          <w:color w:val="000000"/>
          <w:spacing w:val="0"/>
          <w:w w:val="100"/>
          <w:position w:val="0"/>
        </w:rPr>
        <w:t>Siemens Healthineers</w:t>
      </w:r>
      <w:r>
        <w:rPr>
          <w:color w:val="000000"/>
          <w:spacing w:val="0"/>
          <w:w w:val="100"/>
          <w:position w:val="0"/>
        </w:rPr>
        <w:t>、</w:t>
      </w:r>
      <w:r>
        <w:rPr>
          <w:rFonts w:ascii="Times New Roman" w:eastAsia="Times New Roman" w:hAnsi="Times New Roman" w:cs="Times New Roman"/>
          <w:color w:val="000000"/>
          <w:spacing w:val="0"/>
          <w:w w:val="100"/>
          <w:position w:val="0"/>
        </w:rPr>
        <w:t>Abbott</w:t>
      </w:r>
      <w:r>
        <w:rPr>
          <w:color w:val="000000"/>
          <w:spacing w:val="0"/>
          <w:w w:val="100"/>
          <w:position w:val="0"/>
        </w:rPr>
        <w:t>等。中通量基因检测产品 方面，以多重</w:t>
      </w:r>
      <w:r>
        <w:rPr>
          <w:rFonts w:ascii="Times New Roman" w:eastAsia="Times New Roman" w:hAnsi="Times New Roman" w:cs="Times New Roman"/>
          <w:color w:val="000000"/>
          <w:spacing w:val="0"/>
          <w:w w:val="100"/>
          <w:position w:val="0"/>
        </w:rPr>
        <w:t>PCR</w:t>
      </w:r>
      <w:r>
        <w:rPr>
          <w:color w:val="000000"/>
          <w:spacing w:val="0"/>
          <w:w w:val="100"/>
          <w:position w:val="0"/>
        </w:rPr>
        <w:t>、微流控等技术为依托的基因检测技术也开始逐渐占领市场份额，代表性企业有</w:t>
      </w:r>
      <w:r>
        <w:rPr>
          <w:rFonts w:ascii="Times New Roman" w:eastAsia="Times New Roman" w:hAnsi="Times New Roman" w:cs="Times New Roman"/>
          <w:color w:val="000000"/>
          <w:spacing w:val="0"/>
          <w:w w:val="100"/>
          <w:position w:val="0"/>
        </w:rPr>
        <w:t>BioMeneuxC</w:t>
      </w:r>
      <w:r>
        <w:rPr>
          <w:color w:val="000000"/>
          <w:spacing w:val="0"/>
          <w:w w:val="100"/>
          <w:position w:val="0"/>
        </w:rPr>
        <w:t xml:space="preserve">生物梅里埃）、 </w:t>
      </w:r>
      <w:r>
        <w:rPr>
          <w:rFonts w:ascii="Times New Roman" w:eastAsia="Times New Roman" w:hAnsi="Times New Roman" w:cs="Times New Roman"/>
          <w:color w:val="000000"/>
          <w:spacing w:val="0"/>
          <w:w w:val="100"/>
          <w:position w:val="0"/>
        </w:rPr>
        <w:t>Cephid</w:t>
      </w:r>
      <w:r>
        <w:rPr>
          <w:color w:val="000000"/>
          <w:spacing w:val="0"/>
          <w:w w:val="100"/>
          <w:position w:val="0"/>
        </w:rPr>
        <w:t>（赛沛）等。华大基因在中通量病原体检测产品布局方面，进行了血流感染、中枢神经系统感染和呼吸道感染等不同 症候群相关的主要病原体检测产品的研发注册工作，部分产品已获得了欧盟</w:t>
      </w:r>
      <w:r>
        <w:rPr>
          <w:rFonts w:ascii="Times New Roman" w:eastAsia="Times New Roman" w:hAnsi="Times New Roman" w:cs="Times New Roman"/>
          <w:color w:val="000000"/>
          <w:spacing w:val="0"/>
          <w:w w:val="100"/>
          <w:position w:val="0"/>
        </w:rPr>
        <w:t>CE</w:t>
      </w:r>
      <w:r>
        <w:rPr>
          <w:color w:val="000000"/>
          <w:spacing w:val="0"/>
          <w:w w:val="100"/>
          <w:position w:val="0"/>
        </w:rPr>
        <w:t>准入资质，丰富了多场景应用的产品梯次布 局，进一步完善了传感染病原体检测的整体解决方案，有利于拓展海外病原体检测市场的产品布局。近年来，以基因测序技 术为代表的宏基因组学高通量病原微生物检测技术凭借其检测效率高、检测通量高、检测准确度高的优势，在感染性疾病的 病原学诊断领域的应用迅速由临床研究转化进入到临床应用。华大基因作为该技术的首推者，凭借其主力产品</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 xml:space="preserve">病原 微生物高通量基因检测迅速占据市场主要份额，并积极加大该检测服务的入院布局。目前在海外病原检测市场，基于宏基因 组的病原检测产品临床应用仍处在早期培育和开发阶段，从事基于宏基因组病原检测产品开发的海外企业较少，主要有 </w:t>
      </w:r>
      <w:r>
        <w:rPr>
          <w:rFonts w:ascii="Times New Roman" w:eastAsia="Times New Roman" w:hAnsi="Times New Roman" w:cs="Times New Roman"/>
          <w:color w:val="000000"/>
          <w:spacing w:val="0"/>
          <w:w w:val="100"/>
          <w:position w:val="0"/>
        </w:rPr>
        <w:t>IDbyDNA</w:t>
      </w:r>
      <w:r>
        <w:rPr>
          <w:color w:val="000000"/>
          <w:spacing w:val="0"/>
          <w:w w:val="100"/>
          <w:position w:val="0"/>
        </w:rPr>
        <w:t>、</w:t>
      </w:r>
      <w:r>
        <w:rPr>
          <w:rFonts w:ascii="Times New Roman" w:eastAsia="Times New Roman" w:hAnsi="Times New Roman" w:cs="Times New Roman"/>
          <w:color w:val="000000"/>
          <w:spacing w:val="0"/>
          <w:w w:val="100"/>
          <w:position w:val="0"/>
        </w:rPr>
        <w:t>Karius</w:t>
      </w:r>
      <w:r>
        <w:rPr>
          <w:color w:val="000000"/>
          <w:spacing w:val="0"/>
          <w:w w:val="100"/>
          <w:position w:val="0"/>
        </w:rPr>
        <w:t>。</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合成生物学产业链上游是为合成生物学行业提供关键技术和产品支持的技术赋能类企业，下游为各类产品应用型公司。 目前华大基因合成业务主要覆盖产业链上游，即为合成生物学行业提供关键的技术及产品支持。公司合成平台致力于通过先 进的合成技术和长难度基因合成优势服务于众多基础科研机构、生物公司及新兴的合成生物学领域客户，通过</w:t>
      </w:r>
      <w:r>
        <w:rPr>
          <w:rFonts w:ascii="Times New Roman" w:eastAsia="Times New Roman" w:hAnsi="Times New Roman" w:cs="Times New Roman"/>
          <w:color w:val="000000"/>
          <w:spacing w:val="0"/>
          <w:w w:val="100"/>
          <w:position w:val="0"/>
        </w:rPr>
        <w:t>iBEST</w:t>
      </w:r>
      <w:r>
        <w:rPr>
          <w:color w:val="000000"/>
          <w:spacing w:val="0"/>
          <w:w w:val="100"/>
          <w:position w:val="0"/>
        </w:rPr>
        <w:t xml:space="preserve">难度基 </w:t>
      </w:r>
      <w:r>
        <w:rPr>
          <w:color w:val="000000"/>
          <w:spacing w:val="0"/>
          <w:w w:val="100"/>
          <w:position w:val="0"/>
        </w:rPr>
        <w:t>因合成技术和创新的基因组体外拼接技术在合成行业中占有领先地位。在该合成业务领域，中国代表性的企业为生工生物工 程</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股份有限公司；国外的代表企业包括</w:t>
      </w:r>
      <w:r>
        <w:rPr>
          <w:rFonts w:ascii="Times New Roman" w:eastAsia="Times New Roman" w:hAnsi="Times New Roman" w:cs="Times New Roman"/>
          <w:color w:val="000000"/>
          <w:spacing w:val="0"/>
          <w:w w:val="100"/>
          <w:position w:val="0"/>
        </w:rPr>
        <w:t>GenScript</w:t>
      </w:r>
      <w:r>
        <w:rPr>
          <w:color w:val="000000"/>
          <w:spacing w:val="0"/>
          <w:w w:val="100"/>
          <w:position w:val="0"/>
        </w:rPr>
        <w:t>、</w:t>
      </w:r>
      <w:r>
        <w:rPr>
          <w:rFonts w:ascii="Times New Roman" w:eastAsia="Times New Roman" w:hAnsi="Times New Roman" w:cs="Times New Roman"/>
          <w:color w:val="000000"/>
          <w:spacing w:val="0"/>
          <w:w w:val="100"/>
          <w:position w:val="0"/>
        </w:rPr>
        <w:t>Integrated DNA Technologies</w:t>
      </w:r>
      <w:r>
        <w:rPr>
          <w:color w:val="000000"/>
          <w:spacing w:val="0"/>
          <w:w w:val="100"/>
          <w:position w:val="0"/>
        </w:rPr>
        <w:t>、</w:t>
      </w:r>
      <w:r>
        <w:rPr>
          <w:rFonts w:ascii="Times New Roman" w:eastAsia="Times New Roman" w:hAnsi="Times New Roman" w:cs="Times New Roman"/>
          <w:color w:val="000000"/>
          <w:spacing w:val="0"/>
          <w:w w:val="100"/>
          <w:position w:val="0"/>
        </w:rPr>
        <w:t>Twis</w:t>
      </w:r>
      <w:r>
        <w:fldChar w:fldCharType="begin"/>
      </w:r>
      <w:r>
        <w:rPr/>
        <w:instrText> HYPERLINK "http://www.baidu.com/baidu.php?url=0s0000aPch_Smgbn9Tt8htbAgi_8Egnahh6K8Mtm_QTGVYoomPMLUnwlqtK5PgV-llxeJ6HX9VrzKU0co17QcgrWwpYBC2rpm8wyJRpGVk00Mi02EKDU88_T-4R0XKv_aepe0OWSR2XiBW3ARg9fC8IKFt--yUL8ptdAt7wX1jlmSXUJJta5k0ds97suyFoDZfYZyreOUyaR9vGiVB0eo-PQ61zs.DR_j6W1LETBaSuh2lrGLKKgbo4JN9h9mLIMWbLJ0.U1Yk0ZDqIZIGTLf0TA-W5HD0IjdYIv-1I0KGUHYkPjmk0ATqUvwlnfKdpHdBmy-bIfKspyfqP0KWpyfqrHn0UgfqrjR1n-tknjDLg1csPH7xnH0krNt1PW0k0AVG5H00TMfqPWR30AFG5HDdr7tznjwxPH010AdW5Hn1nj6LPj61rj9xnHbkPWDLrj6kn-tznjRkg1DsnH-xn0KkTA-b5H00TyPGujYs0ZFMIA7M5H00mycqn7ts0ANzu1Ys0ZKs5H00UMus5H08nj0snj0snj00Ugws5H00uAwETjYs0ZFJ5H00uANv5gKW0AuY5H00TA6qn0KET1Ys0AFL5HDs0A4Y5H00TLCq0A71gv-bm1dsTzdMXh93XfKGuAnqiD4a0ZKCIZbq0Zw9ThI-IjYvndtsg1Ddn0KYIgnqP16sn164nHbkrjmknHmvPWT3PsKzug7Y5HDvPj6znHTkPHfvPHD0Tv-b5yc4uWI-PAFBnj0krj6dPWb0mLPV5RRsPW0YrH9AnjDzfYDsfHc0mynqnfKsUWYs0Z7VIjYs0Z7VT1Ys0ZGY5H00UyPxuMFEUHYsg1Kxn7tsg100uA78IyF-gLK_my4GuZnqn7tsg1Kxn7ts0ZK9I7qhUA7M5H00uAPGujYs0ANYpyfqQHD0mgPsmvnqn0KdTA-8mvnqn0KkUymqn0KhmLNY5H00pgPWUjYs0A7buhk9u1Yk0Akhm1Ys0AwWmvfq0Zwzmyw-5H6znjfsnfKBuA-b5HR4PHFKPjb4wHIDPDNarjRsnWb4wbwAfWPAwjn4fR770AqW5HD0mMfqn0KEmgwL5H00ULfqn6KETMKY5HDWnankrin1c1b1njf3rjmvPBnsc108nj0snj0sc10Wnznsc1DLc108nj0snj0sc1D8nj0snH0s0Z91IZRqnWmsPWR1P160TNqv5H08rjKxna3sn7tsQW0sg108njPxna3sP-tsQWbkg108PjPxn0KBTdqsThqbpyfqn0KzUv-hUA7M5H00mLmq0A-1gvPsmHYs0APs5H00ugPY5H00mLFW5HDknHDk&amp;us=newvui&amp;xst=mWYdrHRzfHf4rRRLwjw7fW6dnjc4rRuDwbc1wbf1rR7Kwf715HD1Pj0sPjnsP103njTdrjcYPj64g1DYPW7xn07L5gwLpgPY0gDqIZIGTLfKIHYzPW0vPHnLr07Y5HDvPj6znHTkPHfKUgDqn0cs0BYKmv6quhPxTAnKUZRqn07WUWdBmy-bIfD1nHTznHDsPjmk&amp;cegduid=nWmsPWR1P16&amp;solutionId=4664518&amp;word=&amp;ck=2016.11.0.0.0.383.148.0&amp;shh=www.baidu.com&amp;sht=baidu" </w:instrText>
      </w:r>
      <w:r>
        <w:fldChar w:fldCharType="separate"/>
      </w:r>
      <w:r>
        <w:rPr>
          <w:rFonts w:ascii="Times New Roman" w:eastAsia="Times New Roman" w:hAnsi="Times New Roman" w:cs="Times New Roman"/>
          <w:color w:val="000000"/>
          <w:spacing w:val="0"/>
          <w:w w:val="100"/>
          <w:position w:val="0"/>
        </w:rPr>
        <w:t xml:space="preserve">t </w:t>
      </w:r>
      <w:r>
        <w:rPr>
          <w:rFonts w:ascii="Times New Roman" w:eastAsia="Times New Roman" w:hAnsi="Times New Roman" w:cs="Times New Roman"/>
          <w:color w:val="6D6D6D"/>
          <w:spacing w:val="0"/>
          <w:w w:val="100"/>
          <w:position w:val="0"/>
          <w:u w:val="single"/>
        </w:rPr>
        <w:t>Bioscience</w:t>
      </w:r>
      <w:r>
        <w:fldChar w:fldCharType="end"/>
      </w:r>
      <w:r>
        <w:rPr>
          <w:color w:val="000000"/>
          <w:spacing w:val="0"/>
          <w:w w:val="100"/>
          <w:position w:val="0"/>
        </w:rPr>
        <w:t>等。</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质谱检测作为临床检测中逐步兴起的高端检测领域，在临床上可实现对部分传统检测方法的技术替代。临床质谱仪器服 务于临床检测市场和入院合规，目前是国内外质谱仪器厂家正在大力发展的前沿领域，国外代表性企业有</w:t>
      </w:r>
      <w:r>
        <w:rPr>
          <w:rFonts w:ascii="Times New Roman" w:eastAsia="Times New Roman" w:hAnsi="Times New Roman" w:cs="Times New Roman"/>
          <w:color w:val="000000"/>
          <w:spacing w:val="0"/>
          <w:w w:val="100"/>
          <w:position w:val="0"/>
        </w:rPr>
        <w:t>AB Sciex</w:t>
      </w:r>
      <w:r>
        <w:rPr>
          <w:color w:val="000000"/>
          <w:spacing w:val="0"/>
          <w:w w:val="100"/>
          <w:position w:val="0"/>
        </w:rPr>
        <w:t>、</w:t>
      </w:r>
      <w:r>
        <w:rPr>
          <w:rFonts w:ascii="Times New Roman" w:eastAsia="Times New Roman" w:hAnsi="Times New Roman" w:cs="Times New Roman"/>
          <w:color w:val="000000"/>
          <w:spacing w:val="0"/>
          <w:w w:val="100"/>
          <w:position w:val="0"/>
        </w:rPr>
        <w:t xml:space="preserve">Waters </w:t>
      </w:r>
      <w:r>
        <w:rPr>
          <w:color w:val="000000"/>
          <w:spacing w:val="0"/>
          <w:w w:val="100"/>
          <w:position w:val="0"/>
        </w:rPr>
        <w:t>和</w:t>
      </w:r>
      <w:r>
        <w:rPr>
          <w:rFonts w:ascii="Times New Roman" w:eastAsia="Times New Roman" w:hAnsi="Times New Roman" w:cs="Times New Roman"/>
          <w:color w:val="000000"/>
          <w:spacing w:val="0"/>
          <w:w w:val="100"/>
          <w:position w:val="0"/>
        </w:rPr>
        <w:t>SHIMADZU</w:t>
      </w:r>
      <w:r>
        <w:rPr>
          <w:color w:val="000000"/>
          <w:spacing w:val="0"/>
          <w:w w:val="100"/>
          <w:position w:val="0"/>
        </w:rPr>
        <w:t>，</w:t>
      </w:r>
      <w:r>
        <w:rPr>
          <w:color w:val="000000"/>
          <w:spacing w:val="0"/>
          <w:w w:val="100"/>
          <w:position w:val="0"/>
        </w:rPr>
        <w:t>国内代表性企业有禾信仪器、谱育科技等。在临床质谱检测方面，目前质谱检测在临床上较为普及的应用 主要包括新生儿遗传代谢筛查、维生素检测、药物浓度监测等领域。针对近年来医院对质谱检测需求的逐步增加，公司提供 的检测服务产品已涵盖上述相关领域。在质谱检测相关的体外诊断试剂盒开发与资质申报方面，代表企业有迪安诊断、康美 生物等，同样主要集中在新生儿遗传代谢筛查、维生素检测以及药物浓度监测等领域。</w:t>
      </w:r>
    </w:p>
    <w:p>
      <w:pPr>
        <w:pStyle w:val="Style17"/>
        <w:keepNext w:val="0"/>
        <w:keepLines w:val="0"/>
        <w:widowControl w:val="0"/>
        <w:shd w:val="clear" w:color="auto" w:fill="auto"/>
        <w:bidi w:val="0"/>
        <w:spacing w:before="0" w:after="140" w:line="313" w:lineRule="exact"/>
        <w:ind w:left="0" w:right="0"/>
        <w:jc w:val="both"/>
      </w:pPr>
      <w:r>
        <w:rPr>
          <w:color w:val="000000"/>
          <w:spacing w:val="0"/>
          <w:w w:val="100"/>
          <w:position w:val="0"/>
        </w:rPr>
        <w:t>随着医院基因检验中心的成立和第三方检验所的快速发展，精准医学检测综合服务在基因测序行业扮演着越来越重要 的角色。精准医学检测综合解决方案，为医疗机构提供覆盖</w:t>
      </w:r>
      <w:r>
        <w:rPr>
          <w:rFonts w:ascii="Times New Roman" w:eastAsia="Times New Roman" w:hAnsi="Times New Roman" w:cs="Times New Roman"/>
          <w:color w:val="000000"/>
          <w:spacing w:val="0"/>
          <w:w w:val="100"/>
          <w:position w:val="0"/>
        </w:rPr>
        <w:t>“</w:t>
      </w:r>
      <w:r>
        <w:rPr>
          <w:color w:val="000000"/>
          <w:spacing w:val="0"/>
          <w:w w:val="100"/>
          <w:position w:val="0"/>
        </w:rPr>
        <w:t>高通量测序平台、高分辨质谱平台、高性能大数据分析及储存 平台、传统检验平台</w:t>
      </w:r>
      <w:r>
        <w:rPr>
          <w:rFonts w:ascii="Times New Roman" w:eastAsia="Times New Roman" w:hAnsi="Times New Roman" w:cs="Times New Roman"/>
          <w:color w:val="000000"/>
          <w:spacing w:val="0"/>
          <w:w w:val="100"/>
          <w:position w:val="0"/>
        </w:rPr>
        <w:t>”</w:t>
      </w:r>
      <w:r>
        <w:rPr>
          <w:color w:val="000000"/>
          <w:spacing w:val="0"/>
          <w:w w:val="100"/>
          <w:position w:val="0"/>
        </w:rPr>
        <w:t>精准医学检测综合解决方案。精准医学检测综合解决方案通过搭建完善的、规模化的多组学技术平台， 基于对不同设备、技术和服务临床及科研客户需求的深刻理解，开发并打造分子诊断操作技术及标准化的质量管理体系，在 优化样品处理技术、建库技术和信息解读等方面提高检测服务质量，以更具规模经济效益的专业一体化解决方案，服务于快 速发展变化的下游临床及科研应用。</w:t>
      </w:r>
    </w:p>
    <w:p>
      <w:pPr>
        <w:pStyle w:val="Style17"/>
        <w:keepNext w:val="0"/>
        <w:keepLines w:val="0"/>
        <w:widowControl w:val="0"/>
        <w:shd w:val="clear" w:color="auto" w:fill="auto"/>
        <w:bidi w:val="0"/>
        <w:spacing w:before="0" w:after="0"/>
        <w:ind w:left="0" w:right="0"/>
        <w:jc w:val="both"/>
      </w:pPr>
      <w:bookmarkStart w:id="80" w:name="bookmark80"/>
      <w:r>
        <w:rPr>
          <w:rFonts w:ascii="Times New Roman" w:eastAsia="Times New Roman" w:hAnsi="Times New Roman" w:cs="Times New Roman"/>
          <w:b/>
          <w:bCs/>
          <w:color w:val="000000"/>
          <w:spacing w:val="0"/>
          <w:w w:val="100"/>
          <w:position w:val="0"/>
        </w:rPr>
        <w:t>3</w:t>
      </w:r>
      <w:bookmarkEnd w:id="80"/>
      <w:r>
        <w:rPr>
          <w:b/>
          <w:bCs/>
          <w:color w:val="000000"/>
          <w:spacing w:val="0"/>
          <w:w w:val="100"/>
          <w:position w:val="0"/>
        </w:rPr>
        <w:t>、公司所处的行业地位</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华大基因是一家以技术创新为驱动，立足技术先进、配置齐全和规模领先的多组学产出平台，覆盖本行业全产业链、全 应用领域的科技公司。作为中国基因行业的奠基者和引领者，公司秉承</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的愿景，在创新科技和民生造福 的纲要指导下，坚持</w:t>
      </w:r>
      <w:r>
        <w:rPr>
          <w:rFonts w:ascii="Times New Roman" w:eastAsia="Times New Roman" w:hAnsi="Times New Roman" w:cs="Times New Roman"/>
          <w:color w:val="000000"/>
          <w:spacing w:val="0"/>
          <w:w w:val="100"/>
          <w:position w:val="0"/>
        </w:rPr>
        <w:t>“</w:t>
      </w:r>
      <w:r>
        <w:rPr>
          <w:color w:val="000000"/>
          <w:spacing w:val="0"/>
          <w:w w:val="100"/>
          <w:position w:val="0"/>
        </w:rPr>
        <w:t>减少出生缺陷，加强肿瘤防控，精确治愈感染，助力精准医学</w:t>
      </w:r>
      <w:r>
        <w:rPr>
          <w:rFonts w:ascii="Times New Roman" w:eastAsia="Times New Roman" w:hAnsi="Times New Roman" w:cs="Times New Roman"/>
          <w:color w:val="000000"/>
          <w:spacing w:val="0"/>
          <w:w w:val="100"/>
          <w:position w:val="0"/>
        </w:rPr>
        <w:t>”</w:t>
      </w:r>
      <w:r>
        <w:rPr>
          <w:color w:val="000000"/>
          <w:spacing w:val="0"/>
          <w:w w:val="100"/>
          <w:position w:val="0"/>
        </w:rPr>
        <w:t>的工作方针不动摇，致力于守护人类卫 生健康共同体，抑制重大疾病对人类的危害。通过</w:t>
      </w:r>
      <w:r>
        <w:rPr>
          <w:rFonts w:ascii="Times New Roman" w:eastAsia="Times New Roman" w:hAnsi="Times New Roman" w:cs="Times New Roman"/>
          <w:color w:val="000000"/>
          <w:spacing w:val="0"/>
          <w:w w:val="100"/>
          <w:position w:val="0"/>
        </w:rPr>
        <w:t>20</w:t>
      </w:r>
      <w:r>
        <w:rPr>
          <w:color w:val="000000"/>
          <w:spacing w:val="0"/>
          <w:w w:val="100"/>
          <w:position w:val="0"/>
        </w:rPr>
        <w:t>多年的人才积聚、科研累积和产业沉淀，公司业务遍及国内所有省市自 治区和海外百余个国家，已成为全球屈指可数的科学技术服务提供商和精准医疗服务运营商。</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产业沉淀上，公司核心业务覆盖全产业链，上游测序仪和配套试剂自主可控，中游在全球范围内运行超过</w:t>
      </w:r>
      <w:r>
        <w:rPr>
          <w:rFonts w:ascii="Times New Roman" w:eastAsia="Times New Roman" w:hAnsi="Times New Roman" w:cs="Times New Roman"/>
          <w:color w:val="000000"/>
          <w:spacing w:val="0"/>
          <w:w w:val="100"/>
          <w:position w:val="0"/>
        </w:rPr>
        <w:t>200</w:t>
      </w:r>
      <w:r>
        <w:rPr>
          <w:color w:val="000000"/>
          <w:spacing w:val="0"/>
          <w:w w:val="100"/>
          <w:position w:val="0"/>
        </w:rPr>
        <w:t>个基因组 学实验室，公司具有领先的资质优势，下游至行业各细分领域进行布局。</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核心业务上，公司核心业务基本涵盖了当前精准医学的主要应用，包括生育健康领域、肿瘤防控领域、病原感染检测领 域，并与之配套建设了系列数据库。</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科研积累上，截至报告期末，公司累计参与发表</w:t>
      </w:r>
      <w:r>
        <w:rPr>
          <w:rFonts w:ascii="Times New Roman" w:eastAsia="Times New Roman" w:hAnsi="Times New Roman" w:cs="Times New Roman"/>
          <w:color w:val="000000"/>
          <w:spacing w:val="0"/>
          <w:w w:val="100"/>
          <w:position w:val="0"/>
        </w:rPr>
        <w:t>1,667</w:t>
      </w:r>
      <w:r>
        <w:rPr>
          <w:color w:val="000000"/>
          <w:spacing w:val="0"/>
          <w:w w:val="100"/>
          <w:position w:val="0"/>
        </w:rPr>
        <w:t>篇文章（其中</w:t>
      </w:r>
      <w:r>
        <w:rPr>
          <w:rFonts w:ascii="Times New Roman" w:eastAsia="Times New Roman" w:hAnsi="Times New Roman" w:cs="Times New Roman"/>
          <w:color w:val="000000"/>
          <w:spacing w:val="0"/>
          <w:w w:val="100"/>
          <w:position w:val="0"/>
        </w:rPr>
        <w:t xml:space="preserve">SCI </w:t>
      </w:r>
      <w:r>
        <w:rPr>
          <w:rFonts w:ascii="Times New Roman" w:eastAsia="Times New Roman" w:hAnsi="Times New Roman" w:cs="Times New Roman"/>
          <w:color w:val="000000"/>
          <w:spacing w:val="0"/>
          <w:w w:val="100"/>
          <w:position w:val="0"/>
        </w:rPr>
        <w:t>1,528</w:t>
      </w:r>
      <w:r>
        <w:rPr>
          <w:color w:val="000000"/>
          <w:spacing w:val="0"/>
          <w:w w:val="100"/>
          <w:position w:val="0"/>
        </w:rPr>
        <w:t>篇，</w:t>
      </w:r>
      <w:r>
        <w:rPr>
          <w:rFonts w:ascii="Times New Roman" w:eastAsia="Times New Roman" w:hAnsi="Times New Roman" w:cs="Times New Roman"/>
          <w:color w:val="000000"/>
          <w:spacing w:val="0"/>
          <w:w w:val="100"/>
          <w:position w:val="0"/>
        </w:rPr>
        <w:t xml:space="preserve">CNNS </w:t>
      </w:r>
      <w:r>
        <w:rPr>
          <w:rFonts w:ascii="Times New Roman" w:eastAsia="Times New Roman" w:hAnsi="Times New Roman" w:cs="Times New Roman"/>
          <w:color w:val="000000"/>
          <w:spacing w:val="0"/>
          <w:w w:val="100"/>
          <w:position w:val="0"/>
        </w:rPr>
        <w:t>137</w:t>
      </w:r>
      <w:r>
        <w:rPr>
          <w:color w:val="000000"/>
          <w:spacing w:val="0"/>
          <w:w w:val="100"/>
          <w:position w:val="0"/>
        </w:rPr>
        <w:t>篇），累计影响因子为</w:t>
      </w:r>
      <w:r>
        <w:rPr>
          <w:rFonts w:ascii="Times New Roman" w:eastAsia="Times New Roman" w:hAnsi="Times New Roman" w:cs="Times New Roman"/>
          <w:color w:val="000000"/>
          <w:spacing w:val="0"/>
          <w:w w:val="100"/>
          <w:position w:val="0"/>
        </w:rPr>
        <w:t>13,287.45</w:t>
      </w:r>
      <w:r>
        <w:rPr>
          <w:color w:val="000000"/>
          <w:spacing w:val="0"/>
          <w:w w:val="100"/>
          <w:position w:val="0"/>
        </w:rPr>
        <w:t>。</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渠道优势上，公司业务已经覆盖了全球</w:t>
      </w:r>
      <w:r>
        <w:rPr>
          <w:rFonts w:ascii="Times New Roman" w:eastAsia="Times New Roman" w:hAnsi="Times New Roman" w:cs="Times New Roman"/>
          <w:color w:val="000000"/>
          <w:spacing w:val="0"/>
          <w:w w:val="100"/>
          <w:position w:val="0"/>
        </w:rPr>
        <w:t>100</w:t>
      </w:r>
      <w:r>
        <w:rPr>
          <w:color w:val="000000"/>
          <w:spacing w:val="0"/>
          <w:w w:val="100"/>
          <w:position w:val="0"/>
        </w:rPr>
        <w:t>多个国家和地区，包括中国境内</w:t>
      </w:r>
      <w:r>
        <w:rPr>
          <w:rFonts w:ascii="Times New Roman" w:eastAsia="Times New Roman" w:hAnsi="Times New Roman" w:cs="Times New Roman"/>
          <w:color w:val="000000"/>
          <w:spacing w:val="0"/>
          <w:w w:val="100"/>
          <w:position w:val="0"/>
        </w:rPr>
        <w:t>2,000</w:t>
      </w:r>
      <w:r>
        <w:rPr>
          <w:color w:val="000000"/>
          <w:spacing w:val="0"/>
          <w:w w:val="100"/>
          <w:position w:val="0"/>
        </w:rPr>
        <w:t>多家科研机构和</w:t>
      </w:r>
      <w:r>
        <w:rPr>
          <w:rFonts w:ascii="Times New Roman" w:eastAsia="Times New Roman" w:hAnsi="Times New Roman" w:cs="Times New Roman"/>
          <w:color w:val="000000"/>
          <w:spacing w:val="0"/>
          <w:w w:val="100"/>
          <w:position w:val="0"/>
        </w:rPr>
        <w:t>2,300</w:t>
      </w:r>
      <w:r>
        <w:rPr>
          <w:color w:val="000000"/>
          <w:spacing w:val="0"/>
          <w:w w:val="100"/>
          <w:position w:val="0"/>
        </w:rPr>
        <w:t>多家医疗机构，其 中三甲医院</w:t>
      </w:r>
      <w:r>
        <w:rPr>
          <w:rFonts w:ascii="Times New Roman" w:eastAsia="Times New Roman" w:hAnsi="Times New Roman" w:cs="Times New Roman"/>
          <w:color w:val="000000"/>
          <w:spacing w:val="0"/>
          <w:w w:val="100"/>
          <w:position w:val="0"/>
        </w:rPr>
        <w:t>500</w:t>
      </w:r>
      <w:r>
        <w:rPr>
          <w:color w:val="000000"/>
          <w:spacing w:val="0"/>
          <w:w w:val="100"/>
          <w:position w:val="0"/>
        </w:rPr>
        <w:t>多家；欧洲、美洲、亚太等地区合作的海外医疗和科研机构超过</w:t>
      </w:r>
      <w:r>
        <w:rPr>
          <w:rFonts w:ascii="Times New Roman" w:eastAsia="Times New Roman" w:hAnsi="Times New Roman" w:cs="Times New Roman"/>
          <w:color w:val="000000"/>
          <w:spacing w:val="0"/>
          <w:w w:val="100"/>
          <w:position w:val="0"/>
        </w:rPr>
        <w:t>3,000</w:t>
      </w:r>
      <w:r>
        <w:rPr>
          <w:color w:val="000000"/>
          <w:spacing w:val="0"/>
          <w:w w:val="100"/>
          <w:position w:val="0"/>
        </w:rPr>
        <w:t>家，与</w:t>
      </w:r>
      <w:r>
        <w:rPr>
          <w:rFonts w:ascii="Times New Roman" w:eastAsia="Times New Roman" w:hAnsi="Times New Roman" w:cs="Times New Roman"/>
          <w:color w:val="000000"/>
          <w:spacing w:val="0"/>
          <w:w w:val="100"/>
          <w:position w:val="0"/>
        </w:rPr>
        <w:t>30</w:t>
      </w:r>
      <w:r>
        <w:rPr>
          <w:color w:val="000000"/>
          <w:spacing w:val="0"/>
          <w:w w:val="100"/>
          <w:position w:val="0"/>
        </w:rPr>
        <w:t>多个国家和地区的卫生主管机 构建立了合作关系，构建点</w:t>
      </w:r>
      <w:r>
        <w:rPr>
          <w:rFonts w:ascii="Times New Roman" w:eastAsia="Times New Roman" w:hAnsi="Times New Roman" w:cs="Times New Roman"/>
          <w:color w:val="000000"/>
          <w:spacing w:val="0"/>
          <w:w w:val="100"/>
          <w:position w:val="0"/>
        </w:rPr>
        <w:t>-</w:t>
      </w:r>
      <w:r>
        <w:rPr>
          <w:color w:val="000000"/>
          <w:spacing w:val="0"/>
          <w:w w:val="100"/>
          <w:position w:val="0"/>
        </w:rPr>
        <w:t>线</w:t>
      </w:r>
      <w:r>
        <w:rPr>
          <w:rFonts w:ascii="Times New Roman" w:eastAsia="Times New Roman" w:hAnsi="Times New Roman" w:cs="Times New Roman"/>
          <w:color w:val="000000"/>
          <w:spacing w:val="0"/>
          <w:w w:val="100"/>
          <w:position w:val="0"/>
        </w:rPr>
        <w:t>-</w:t>
      </w:r>
      <w:r>
        <w:rPr>
          <w:color w:val="000000"/>
          <w:spacing w:val="0"/>
          <w:w w:val="100"/>
          <w:position w:val="0"/>
        </w:rPr>
        <w:t>面的政府营商关系网络布局。截至报告期末，公司新冠检测产品已经覆盖全球超过</w:t>
      </w:r>
      <w:r>
        <w:rPr>
          <w:rFonts w:ascii="Times New Roman" w:eastAsia="Times New Roman" w:hAnsi="Times New Roman" w:cs="Times New Roman"/>
          <w:color w:val="000000"/>
          <w:spacing w:val="0"/>
          <w:w w:val="100"/>
          <w:position w:val="0"/>
        </w:rPr>
        <w:t>180</w:t>
      </w:r>
      <w:r>
        <w:rPr>
          <w:color w:val="000000"/>
          <w:spacing w:val="0"/>
          <w:w w:val="100"/>
          <w:position w:val="0"/>
        </w:rPr>
        <w:t>个国家 和地区，累计在海外启动</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实验室近</w:t>
      </w:r>
      <w:r>
        <w:rPr>
          <w:rFonts w:ascii="Times New Roman" w:eastAsia="Times New Roman" w:hAnsi="Times New Roman" w:cs="Times New Roman"/>
          <w:color w:val="000000"/>
          <w:spacing w:val="0"/>
          <w:w w:val="100"/>
          <w:position w:val="0"/>
        </w:rPr>
        <w:t>100</w:t>
      </w:r>
      <w:r>
        <w:rPr>
          <w:color w:val="000000"/>
          <w:spacing w:val="0"/>
          <w:w w:val="100"/>
          <w:position w:val="0"/>
        </w:rPr>
        <w:t>个，分布在全球</w:t>
      </w:r>
      <w:r>
        <w:rPr>
          <w:rFonts w:ascii="Times New Roman" w:eastAsia="Times New Roman" w:hAnsi="Times New Roman" w:cs="Times New Roman"/>
          <w:color w:val="000000"/>
          <w:spacing w:val="0"/>
          <w:w w:val="100"/>
          <w:position w:val="0"/>
        </w:rPr>
        <w:t>30</w:t>
      </w:r>
      <w:r>
        <w:rPr>
          <w:color w:val="000000"/>
          <w:spacing w:val="0"/>
          <w:w w:val="100"/>
          <w:position w:val="0"/>
        </w:rPr>
        <w:t>余个国家和地区，致力于为各个国家和地区的公众健康做出 积极贡献。</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人才积聚上，公司核心管理团队在基因组学相关行业平均从业年限超过</w:t>
      </w:r>
      <w:r>
        <w:rPr>
          <w:rFonts w:ascii="Times New Roman" w:eastAsia="Times New Roman" w:hAnsi="Times New Roman" w:cs="Times New Roman"/>
          <w:color w:val="000000"/>
          <w:spacing w:val="0"/>
          <w:w w:val="100"/>
          <w:position w:val="0"/>
        </w:rPr>
        <w:t>15</w:t>
      </w:r>
      <w:r>
        <w:rPr>
          <w:color w:val="000000"/>
          <w:spacing w:val="0"/>
          <w:w w:val="100"/>
          <w:position w:val="0"/>
        </w:rPr>
        <w:t>年，整体积聚了一批高学历、高专业水平的年 轻化优秀员工，已成为公司发展的中坚力量，引领了行业人才标准。</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在生育健康业务方面，公司自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月率先完成国内首例无创产前基因检测（</w:t>
      </w:r>
      <w:r>
        <w:rPr>
          <w:rFonts w:ascii="Times New Roman" w:eastAsia="Times New Roman" w:hAnsi="Times New Roman" w:cs="Times New Roman"/>
          <w:color w:val="000000"/>
          <w:spacing w:val="0"/>
          <w:w w:val="100"/>
          <w:position w:val="0"/>
        </w:rPr>
        <w:t>NIPT</w:t>
      </w:r>
      <w:r>
        <w:rPr>
          <w:color w:val="000000"/>
          <w:spacing w:val="0"/>
          <w:w w:val="100"/>
          <w:position w:val="0"/>
        </w:rPr>
        <w:t>）</w:t>
      </w:r>
      <w:r>
        <w:rPr>
          <w:color w:val="000000"/>
          <w:spacing w:val="0"/>
          <w:w w:val="100"/>
          <w:position w:val="0"/>
        </w:rPr>
        <w:t>临床样本检测，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月推出 由国家药监局审批的首个</w:t>
      </w:r>
      <w:r>
        <w:rPr>
          <w:rFonts w:ascii="Times New Roman" w:eastAsia="Times New Roman" w:hAnsi="Times New Roman" w:cs="Times New Roman"/>
          <w:color w:val="000000"/>
          <w:spacing w:val="0"/>
          <w:w w:val="100"/>
          <w:position w:val="0"/>
        </w:rPr>
        <w:t>NIPT</w:t>
      </w:r>
      <w:r>
        <w:rPr>
          <w:color w:val="000000"/>
          <w:spacing w:val="0"/>
          <w:w w:val="100"/>
          <w:position w:val="0"/>
        </w:rPr>
        <w:t>检测产品</w:t>
      </w:r>
      <w:r>
        <w:rPr>
          <w:rFonts w:ascii="Times New Roman" w:eastAsia="Times New Roman" w:hAnsi="Times New Roman" w:cs="Times New Roman"/>
          <w:color w:val="000000"/>
          <w:spacing w:val="0"/>
          <w:w w:val="100"/>
          <w:position w:val="0"/>
        </w:rPr>
        <w:t>NIFTY</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月公司的</w:t>
      </w:r>
      <w:r>
        <w:rPr>
          <w:rFonts w:ascii="Times New Roman" w:eastAsia="Times New Roman" w:hAnsi="Times New Roman" w:cs="Times New Roman"/>
          <w:color w:val="000000"/>
          <w:spacing w:val="0"/>
          <w:w w:val="100"/>
          <w:position w:val="0"/>
        </w:rPr>
        <w:t>NIFTY</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成为了全球首个无创检测样本突破</w:t>
      </w:r>
      <w:r>
        <w:rPr>
          <w:rFonts w:ascii="Times New Roman" w:eastAsia="Times New Roman" w:hAnsi="Times New Roman" w:cs="Times New Roman"/>
          <w:color w:val="000000"/>
          <w:spacing w:val="0"/>
          <w:w w:val="100"/>
          <w:position w:val="0"/>
        </w:rPr>
        <w:t>100</w:t>
      </w:r>
      <w:r>
        <w:rPr>
          <w:color w:val="000000"/>
          <w:spacing w:val="0"/>
          <w:w w:val="100"/>
          <w:position w:val="0"/>
        </w:rPr>
        <w:t>万例的检 测产品。截至报告期末，公司已为超过</w:t>
      </w:r>
      <w:r>
        <w:rPr>
          <w:rFonts w:ascii="Times New Roman" w:eastAsia="Times New Roman" w:hAnsi="Times New Roman" w:cs="Times New Roman"/>
          <w:color w:val="000000"/>
          <w:spacing w:val="0"/>
          <w:w w:val="100"/>
          <w:position w:val="0"/>
        </w:rPr>
        <w:t>1,042</w:t>
      </w:r>
      <w:r>
        <w:rPr>
          <w:color w:val="000000"/>
          <w:spacing w:val="0"/>
          <w:w w:val="100"/>
          <w:position w:val="0"/>
        </w:rPr>
        <w:t>万人提供无创产前基因检测。在全球范围内，华大基因生育健康业务已经布局</w:t>
      </w:r>
      <w:r>
        <w:rPr>
          <w:rFonts w:ascii="Times New Roman" w:eastAsia="Times New Roman" w:hAnsi="Times New Roman" w:cs="Times New Roman"/>
          <w:color w:val="000000"/>
          <w:spacing w:val="0"/>
          <w:w w:val="100"/>
          <w:position w:val="0"/>
        </w:rPr>
        <w:t xml:space="preserve">60 </w:t>
      </w:r>
      <w:r>
        <w:rPr>
          <w:color w:val="000000"/>
          <w:spacing w:val="0"/>
          <w:w w:val="100"/>
          <w:position w:val="0"/>
        </w:rPr>
        <w:t>多个国家。同时，公司以覆盖生育健康全周期为战略布局的主要方向，以婚前</w:t>
      </w:r>
      <w:r>
        <w:rPr>
          <w:rFonts w:ascii="Times New Roman" w:eastAsia="Times New Roman" w:hAnsi="Times New Roman" w:cs="Times New Roman"/>
          <w:color w:val="000000"/>
          <w:spacing w:val="0"/>
          <w:w w:val="100"/>
          <w:position w:val="0"/>
        </w:rPr>
        <w:t>/</w:t>
      </w:r>
      <w:r>
        <w:rPr>
          <w:color w:val="000000"/>
          <w:spacing w:val="0"/>
          <w:w w:val="100"/>
          <w:position w:val="0"/>
        </w:rPr>
        <w:t>孕前</w:t>
      </w:r>
      <w:r>
        <w:rPr>
          <w:rFonts w:ascii="Times New Roman" w:eastAsia="Times New Roman" w:hAnsi="Times New Roman" w:cs="Times New Roman"/>
          <w:color w:val="000000"/>
          <w:spacing w:val="0"/>
          <w:w w:val="100"/>
          <w:position w:val="0"/>
        </w:rPr>
        <w:t>/</w:t>
      </w:r>
      <w:r>
        <w:rPr>
          <w:color w:val="000000"/>
          <w:spacing w:val="0"/>
          <w:w w:val="100"/>
          <w:position w:val="0"/>
        </w:rPr>
        <w:t>出生前</w:t>
      </w:r>
      <w:r>
        <w:rPr>
          <w:rFonts w:ascii="Times New Roman" w:eastAsia="Times New Roman" w:hAnsi="Times New Roman" w:cs="Times New Roman"/>
          <w:color w:val="000000"/>
          <w:spacing w:val="0"/>
          <w:w w:val="100"/>
          <w:position w:val="0"/>
        </w:rPr>
        <w:t>/</w:t>
      </w:r>
      <w:r>
        <w:rPr>
          <w:color w:val="000000"/>
          <w:spacing w:val="0"/>
          <w:w w:val="100"/>
          <w:position w:val="0"/>
        </w:rPr>
        <w:t>新生儿</w:t>
      </w:r>
      <w:r>
        <w:rPr>
          <w:rFonts w:ascii="Times New Roman" w:eastAsia="Times New Roman" w:hAnsi="Times New Roman" w:cs="Times New Roman"/>
          <w:color w:val="000000"/>
          <w:spacing w:val="0"/>
          <w:w w:val="100"/>
          <w:position w:val="0"/>
        </w:rPr>
        <w:t>/</w:t>
      </w:r>
      <w:r>
        <w:rPr>
          <w:color w:val="000000"/>
          <w:spacing w:val="0"/>
          <w:w w:val="100"/>
          <w:position w:val="0"/>
        </w:rPr>
        <w:t>儿童等人群为主要服务对 象，提供贯穿妇幼健康全周期、全方位、全覆盖，全球领先的多组学临床应用检测服务，核心产品不断技术升级，全面保障 妇幼健康，助力健全我国的出生缺陷防控综合网络。公司始终保持着业界标杆的领先地位，在检测业务增量、新技术突破及 产品更新迭代等多个方面，持续引领中国基因行业技术和应用的科技创新与产业突破。</w:t>
      </w:r>
    </w:p>
    <w:p>
      <w:pPr>
        <w:pStyle w:val="Style17"/>
        <w:keepNext w:val="0"/>
        <w:keepLines w:val="0"/>
        <w:widowControl w:val="0"/>
        <w:shd w:val="clear" w:color="auto" w:fill="auto"/>
        <w:bidi w:val="0"/>
        <w:spacing w:before="0" w:after="40" w:line="314" w:lineRule="exact"/>
        <w:ind w:left="0" w:right="0"/>
        <w:jc w:val="both"/>
      </w:pPr>
      <w:r>
        <w:rPr>
          <w:color w:val="000000"/>
          <w:spacing w:val="0"/>
          <w:w w:val="100"/>
          <w:position w:val="0"/>
        </w:rPr>
        <w:t>在肿瘤防控业务领域，公司在肿瘤基因检测的临床应用上处于行业领先水平。在肿瘤防控方面，公司子公司华大数极已 推出肠癌检测产品华常康</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无创肠癌基因检测，可提供肠癌阳性确诊及阴性保险服务，打造肠癌</w:t>
      </w:r>
      <w:r>
        <w:rPr>
          <w:rFonts w:ascii="Times New Roman" w:eastAsia="Times New Roman" w:hAnsi="Times New Roman" w:cs="Times New Roman"/>
          <w:color w:val="000000"/>
          <w:spacing w:val="0"/>
          <w:w w:val="100"/>
          <w:position w:val="0"/>
        </w:rPr>
        <w:t>“</w:t>
      </w:r>
      <w:r>
        <w:rPr>
          <w:color w:val="000000"/>
          <w:spacing w:val="0"/>
          <w:w w:val="100"/>
          <w:position w:val="0"/>
        </w:rPr>
        <w:t>筛诊保</w:t>
      </w:r>
      <w:r>
        <w:rPr>
          <w:rFonts w:ascii="Times New Roman" w:eastAsia="Times New Roman" w:hAnsi="Times New Roman" w:cs="Times New Roman"/>
          <w:color w:val="000000"/>
          <w:spacing w:val="0"/>
          <w:w w:val="100"/>
          <w:position w:val="0"/>
        </w:rPr>
        <w:t>”</w:t>
      </w:r>
      <w:r>
        <w:rPr>
          <w:color w:val="000000"/>
          <w:spacing w:val="0"/>
          <w:w w:val="100"/>
          <w:position w:val="0"/>
        </w:rPr>
        <w:t>一站式闭环解决方 案，积极探索推进大人群筛查模式；同时公司基于</w:t>
      </w:r>
      <w:r>
        <w:rPr>
          <w:rFonts w:ascii="Times New Roman" w:eastAsia="Times New Roman" w:hAnsi="Times New Roman" w:cs="Times New Roman"/>
          <w:color w:val="000000"/>
          <w:spacing w:val="0"/>
          <w:w w:val="100"/>
          <w:position w:val="0"/>
        </w:rPr>
        <w:t>DNA</w:t>
      </w:r>
      <w:r>
        <w:rPr>
          <w:color w:val="000000"/>
          <w:spacing w:val="0"/>
          <w:w w:val="100"/>
          <w:position w:val="0"/>
        </w:rPr>
        <w:t xml:space="preserve">甲基化、肿瘤标志物、片段组学、多组学等多种技术路线和检测平台， 针对中国高发癌种开发多个单癌及多癌检测技术，为不同的应用场景和群体提供全方位系统性的肿瘤早筛解决方案。在肿瘤 </w:t>
      </w:r>
      <w:r>
        <w:rPr>
          <w:color w:val="000000"/>
          <w:spacing w:val="0"/>
          <w:w w:val="100"/>
          <w:position w:val="0"/>
        </w:rPr>
        <w:t>伴随诊断方面，公司一直深耕</w:t>
      </w:r>
      <w:r>
        <w:rPr>
          <w:rFonts w:ascii="Times New Roman" w:eastAsia="Times New Roman" w:hAnsi="Times New Roman" w:cs="Times New Roman"/>
          <w:color w:val="000000"/>
          <w:spacing w:val="0"/>
          <w:w w:val="100"/>
          <w:position w:val="0"/>
        </w:rPr>
        <w:t>PARP</w:t>
      </w:r>
      <w:r>
        <w:rPr>
          <w:color w:val="000000"/>
          <w:spacing w:val="0"/>
          <w:w w:val="100"/>
          <w:position w:val="0"/>
        </w:rPr>
        <w:t>抑制剂伴随诊断的相关检测业务，历经</w:t>
      </w:r>
      <w:r>
        <w:rPr>
          <w:rFonts w:ascii="Times New Roman" w:eastAsia="Times New Roman" w:hAnsi="Times New Roman" w:cs="Times New Roman"/>
          <w:color w:val="000000"/>
          <w:spacing w:val="0"/>
          <w:w w:val="100"/>
          <w:position w:val="0"/>
        </w:rPr>
        <w:t>9</w:t>
      </w:r>
      <w:r>
        <w:rPr>
          <w:color w:val="000000"/>
          <w:spacing w:val="0"/>
          <w:w w:val="100"/>
          <w:position w:val="0"/>
        </w:rPr>
        <w:t>年完成了其相关分子标记物</w:t>
      </w:r>
      <w:r>
        <w:rPr>
          <w:rFonts w:ascii="Times New Roman" w:eastAsia="Times New Roman" w:hAnsi="Times New Roman" w:cs="Times New Roman"/>
          <w:color w:val="000000"/>
          <w:spacing w:val="0"/>
          <w:w w:val="100"/>
          <w:position w:val="0"/>
        </w:rPr>
        <w:t xml:space="preserve">BRCA-HRR </w:t>
      </w:r>
      <w:r>
        <w:rPr>
          <w:rFonts w:ascii="Times New Roman" w:eastAsia="Times New Roman" w:hAnsi="Times New Roman" w:cs="Times New Roman"/>
          <w:color w:val="000000"/>
          <w:spacing w:val="0"/>
          <w:w w:val="100"/>
          <w:position w:val="0"/>
        </w:rPr>
        <w:t>（</w:t>
      </w:r>
      <w:r>
        <w:rPr>
          <w:color w:val="000000"/>
          <w:spacing w:val="0"/>
          <w:w w:val="100"/>
          <w:position w:val="0"/>
        </w:rPr>
        <w:t>同源重 组修复）</w:t>
      </w:r>
      <w:r>
        <w:rPr>
          <w:rFonts w:ascii="Times New Roman" w:eastAsia="Times New Roman" w:hAnsi="Times New Roman" w:cs="Times New Roman"/>
          <w:color w:val="000000"/>
          <w:spacing w:val="0"/>
          <w:w w:val="100"/>
          <w:position w:val="0"/>
        </w:rPr>
        <w:t xml:space="preserve">-HRD </w:t>
      </w:r>
      <w:r>
        <w:rPr>
          <w:color w:val="000000"/>
          <w:spacing w:val="0"/>
          <w:w w:val="100"/>
          <w:position w:val="0"/>
        </w:rPr>
        <w:t>（同源重组缺陷）的全产品布局，并致力于行业规范和标准化流程的建设与完善。公司于</w:t>
      </w:r>
      <w:r>
        <w:rPr>
          <w:rFonts w:ascii="Times New Roman" w:eastAsia="Times New Roman" w:hAnsi="Times New Roman" w:cs="Times New Roman"/>
          <w:color w:val="000000"/>
          <w:spacing w:val="0"/>
          <w:w w:val="100"/>
          <w:position w:val="0"/>
        </w:rPr>
        <w:t>2013</w:t>
      </w:r>
      <w:r>
        <w:rPr>
          <w:color w:val="000000"/>
          <w:spacing w:val="0"/>
          <w:w w:val="100"/>
          <w:position w:val="0"/>
        </w:rPr>
        <w:t>年率先推出遗 传性肿瘤检测产品，其自主研发的</w:t>
      </w:r>
      <w:r>
        <w:rPr>
          <w:rFonts w:ascii="Times New Roman" w:eastAsia="Times New Roman" w:hAnsi="Times New Roman" w:cs="Times New Roman"/>
          <w:color w:val="000000"/>
          <w:spacing w:val="0"/>
          <w:w w:val="100"/>
          <w:position w:val="0"/>
        </w:rPr>
        <w:t>BRCA1/2</w:t>
      </w:r>
      <w:r>
        <w:rPr>
          <w:color w:val="000000"/>
          <w:spacing w:val="0"/>
          <w:w w:val="100"/>
          <w:position w:val="0"/>
        </w:rPr>
        <w:t>基因突变检测试剂盒（联合探针锚定聚合测序法）及配套提取试剂和软件均已获 得欧盟</w:t>
      </w:r>
      <w:r>
        <w:rPr>
          <w:rFonts w:ascii="Times New Roman" w:eastAsia="Times New Roman" w:hAnsi="Times New Roman" w:cs="Times New Roman"/>
          <w:color w:val="000000"/>
          <w:spacing w:val="0"/>
          <w:w w:val="100"/>
          <w:position w:val="0"/>
        </w:rPr>
        <w:t>CE</w:t>
      </w:r>
      <w:r>
        <w:rPr>
          <w:color w:val="000000"/>
          <w:spacing w:val="0"/>
          <w:w w:val="100"/>
          <w:position w:val="0"/>
        </w:rPr>
        <w:t xml:space="preserve">证书及准入资质，实现了 </w:t>
      </w:r>
      <w:r>
        <w:rPr>
          <w:rFonts w:ascii="Times New Roman" w:eastAsia="Times New Roman" w:hAnsi="Times New Roman" w:cs="Times New Roman"/>
          <w:color w:val="000000"/>
          <w:spacing w:val="0"/>
          <w:w w:val="100"/>
          <w:position w:val="0"/>
        </w:rPr>
        <w:t>BRCA</w:t>
      </w:r>
      <w:r>
        <w:rPr>
          <w:color w:val="000000"/>
          <w:spacing w:val="0"/>
          <w:w w:val="100"/>
          <w:position w:val="0"/>
        </w:rPr>
        <w:t>检测全流程欧盟</w:t>
      </w:r>
      <w:r>
        <w:rPr>
          <w:rFonts w:ascii="Times New Roman" w:eastAsia="Times New Roman" w:hAnsi="Times New Roman" w:cs="Times New Roman"/>
          <w:color w:val="000000"/>
          <w:spacing w:val="0"/>
          <w:w w:val="100"/>
          <w:position w:val="0"/>
        </w:rPr>
        <w:t>CE</w:t>
      </w:r>
      <w:r>
        <w:rPr>
          <w:color w:val="000000"/>
          <w:spacing w:val="0"/>
          <w:w w:val="100"/>
          <w:position w:val="0"/>
        </w:rPr>
        <w:t>资质保障，并在海外其他地区陆续开展资质申报，国内资质注 册申请已获得受理。同时，公司还开发了遗传性肿瘤自动化分析与变异解读工具，提供个性化分析，完善该产品在全球本地 化解读的解决方案。公司早在</w:t>
      </w:r>
      <w:r>
        <w:rPr>
          <w:rFonts w:ascii="Times New Roman" w:eastAsia="Times New Roman" w:hAnsi="Times New Roman" w:cs="Times New Roman"/>
          <w:color w:val="000000"/>
          <w:spacing w:val="0"/>
          <w:w w:val="100"/>
          <w:position w:val="0"/>
        </w:rPr>
        <w:t>2016</w:t>
      </w:r>
      <w:r>
        <w:rPr>
          <w:color w:val="000000"/>
          <w:spacing w:val="0"/>
          <w:w w:val="100"/>
          <w:position w:val="0"/>
        </w:rPr>
        <w:t>年就已启动同源重组缺陷</w:t>
      </w:r>
      <w:r>
        <w:rPr>
          <w:color w:val="000000"/>
          <w:spacing w:val="0"/>
          <w:w w:val="100"/>
          <w:position w:val="0"/>
        </w:rPr>
        <w:t>（</w:t>
      </w:r>
      <w:r>
        <w:rPr>
          <w:rFonts w:ascii="Times New Roman" w:eastAsia="Times New Roman" w:hAnsi="Times New Roman" w:cs="Times New Roman"/>
          <w:color w:val="000000"/>
          <w:spacing w:val="0"/>
          <w:w w:val="100"/>
          <w:position w:val="0"/>
        </w:rPr>
        <w:t>HRD</w:t>
      </w:r>
      <w:r>
        <w:rPr>
          <w:color w:val="000000"/>
          <w:spacing w:val="0"/>
          <w:w w:val="100"/>
          <w:position w:val="0"/>
        </w:rPr>
        <w:t>）</w:t>
      </w:r>
      <w:r>
        <w:rPr>
          <w:color w:val="000000"/>
          <w:spacing w:val="0"/>
          <w:w w:val="100"/>
          <w:position w:val="0"/>
        </w:rPr>
        <w:t>评分产品的自主研发工作，并参与国内首个以</w:t>
      </w:r>
      <w:r>
        <w:rPr>
          <w:rFonts w:ascii="Times New Roman" w:eastAsia="Times New Roman" w:hAnsi="Times New Roman" w:cs="Times New Roman"/>
          <w:color w:val="000000"/>
          <w:spacing w:val="0"/>
          <w:w w:val="100"/>
          <w:position w:val="0"/>
        </w:rPr>
        <w:t>HRD</w:t>
      </w:r>
      <w:r>
        <w:rPr>
          <w:color w:val="000000"/>
          <w:spacing w:val="0"/>
          <w:w w:val="100"/>
          <w:position w:val="0"/>
        </w:rPr>
        <w:t>状态 为患者分层因素的</w:t>
      </w:r>
      <w:r>
        <w:rPr>
          <w:rFonts w:ascii="Times New Roman" w:eastAsia="Times New Roman" w:hAnsi="Times New Roman" w:cs="Times New Roman"/>
          <w:color w:val="000000"/>
          <w:spacing w:val="0"/>
          <w:w w:val="100"/>
          <w:position w:val="0"/>
        </w:rPr>
        <w:t>PARP</w:t>
      </w:r>
      <w:r>
        <w:rPr>
          <w:color w:val="000000"/>
          <w:spacing w:val="0"/>
          <w:w w:val="100"/>
          <w:position w:val="0"/>
        </w:rPr>
        <w:t>抑制剂药物在中国的三期临床试验，是首批与药厂合作开发</w:t>
      </w:r>
      <w:r>
        <w:rPr>
          <w:rFonts w:ascii="Times New Roman" w:eastAsia="Times New Roman" w:hAnsi="Times New Roman" w:cs="Times New Roman"/>
          <w:color w:val="000000"/>
          <w:spacing w:val="0"/>
          <w:w w:val="100"/>
          <w:position w:val="0"/>
        </w:rPr>
        <w:t>HRD</w:t>
      </w:r>
      <w:r>
        <w:rPr>
          <w:color w:val="000000"/>
          <w:spacing w:val="0"/>
          <w:w w:val="100"/>
          <w:position w:val="0"/>
        </w:rPr>
        <w:t>作为</w:t>
      </w:r>
      <w:r>
        <w:rPr>
          <w:rFonts w:ascii="Times New Roman" w:eastAsia="Times New Roman" w:hAnsi="Times New Roman" w:cs="Times New Roman"/>
          <w:color w:val="000000"/>
          <w:spacing w:val="0"/>
          <w:w w:val="100"/>
          <w:position w:val="0"/>
        </w:rPr>
        <w:t>PARP</w:t>
      </w:r>
      <w:r>
        <w:rPr>
          <w:color w:val="000000"/>
          <w:spacing w:val="0"/>
          <w:w w:val="100"/>
          <w:position w:val="0"/>
        </w:rPr>
        <w:t>抑制剂伴随诊断的高通 量测序检测机构。基于药物临床试验的性能验证及与铂类治疗的相关研究，公司</w:t>
      </w:r>
      <w:r>
        <w:rPr>
          <w:rFonts w:ascii="Times New Roman" w:eastAsia="Times New Roman" w:hAnsi="Times New Roman" w:cs="Times New Roman"/>
          <w:color w:val="000000"/>
          <w:spacing w:val="0"/>
          <w:w w:val="100"/>
          <w:position w:val="0"/>
        </w:rPr>
        <w:t>2020</w:t>
      </w:r>
      <w:r>
        <w:rPr>
          <w:color w:val="000000"/>
          <w:spacing w:val="0"/>
          <w:w w:val="100"/>
          <w:position w:val="0"/>
        </w:rPr>
        <w:t>年推出了华然迪</w:t>
      </w:r>
      <w:r>
        <w:rPr>
          <w:rFonts w:ascii="Times New Roman" w:eastAsia="Times New Roman" w:hAnsi="Times New Roman" w:cs="Times New Roman"/>
          <w:color w:val="000000"/>
          <w:spacing w:val="0"/>
          <w:w w:val="100"/>
          <w:position w:val="0"/>
        </w:rPr>
        <w:t>™</w:t>
      </w:r>
      <w:r>
        <w:rPr>
          <w:color w:val="000000"/>
          <w:spacing w:val="0"/>
          <w:w w:val="100"/>
          <w:position w:val="0"/>
        </w:rPr>
        <w:t>同源重组缺陷评分检 测，是国内首批上市的</w:t>
      </w:r>
      <w:r>
        <w:rPr>
          <w:rFonts w:ascii="Times New Roman" w:eastAsia="Times New Roman" w:hAnsi="Times New Roman" w:cs="Times New Roman"/>
          <w:color w:val="000000"/>
          <w:spacing w:val="0"/>
          <w:w w:val="100"/>
          <w:position w:val="0"/>
        </w:rPr>
        <w:t>HRD</w:t>
      </w:r>
      <w:r>
        <w:rPr>
          <w:color w:val="000000"/>
          <w:spacing w:val="0"/>
          <w:w w:val="100"/>
          <w:position w:val="0"/>
        </w:rPr>
        <w:t>评分产品，在检测技术、数据积累等方面具有行业领先优势，并与行业合作伙伴推进</w:t>
      </w:r>
      <w:r>
        <w:rPr>
          <w:rFonts w:ascii="Times New Roman" w:eastAsia="Times New Roman" w:hAnsi="Times New Roman" w:cs="Times New Roman"/>
          <w:color w:val="000000"/>
          <w:spacing w:val="0"/>
          <w:w w:val="100"/>
          <w:position w:val="0"/>
        </w:rPr>
        <w:t>HRD</w:t>
      </w:r>
      <w:r>
        <w:rPr>
          <w:color w:val="000000"/>
          <w:spacing w:val="0"/>
          <w:w w:val="100"/>
          <w:position w:val="0"/>
        </w:rPr>
        <w:t>检测在 国内的普及度。此外，公司在</w:t>
      </w:r>
      <w:r>
        <w:rPr>
          <w:rFonts w:ascii="Times New Roman" w:eastAsia="Times New Roman" w:hAnsi="Times New Roman" w:cs="Times New Roman"/>
          <w:color w:val="000000"/>
          <w:spacing w:val="0"/>
          <w:w w:val="100"/>
          <w:position w:val="0"/>
        </w:rPr>
        <w:t>2014</w:t>
      </w:r>
      <w:r>
        <w:rPr>
          <w:color w:val="000000"/>
          <w:spacing w:val="0"/>
          <w:w w:val="100"/>
          <w:position w:val="0"/>
        </w:rPr>
        <w:t>年推出的泛癌种多基因检测产品——华梵安</w:t>
      </w:r>
      <w:r>
        <w:rPr>
          <w:rFonts w:ascii="Times New Roman" w:eastAsia="Times New Roman" w:hAnsi="Times New Roman" w:cs="Times New Roman"/>
          <w:color w:val="000000"/>
          <w:spacing w:val="0"/>
          <w:w w:val="100"/>
          <w:position w:val="0"/>
        </w:rPr>
        <w:t>™</w:t>
      </w:r>
      <w:r>
        <w:rPr>
          <w:color w:val="000000"/>
          <w:spacing w:val="0"/>
          <w:w w:val="100"/>
          <w:position w:val="0"/>
        </w:rPr>
        <w:t>肿瘤个体化诊疗基因检测，截至报告期末， 已完成了第</w:t>
      </w:r>
      <w:r>
        <w:rPr>
          <w:rFonts w:ascii="Times New Roman" w:eastAsia="Times New Roman" w:hAnsi="Times New Roman" w:cs="Times New Roman"/>
          <w:color w:val="000000"/>
          <w:spacing w:val="0"/>
          <w:w w:val="100"/>
          <w:position w:val="0"/>
        </w:rPr>
        <w:t>4</w:t>
      </w:r>
      <w:r>
        <w:rPr>
          <w:color w:val="000000"/>
          <w:spacing w:val="0"/>
          <w:w w:val="100"/>
          <w:position w:val="0"/>
        </w:rPr>
        <w:t>次产品迭代升级，并累计为数万名肿瘤患者提供精准的检测服务。在肿瘤复发监测方面，公司推出的华见微</w:t>
      </w:r>
      <w:r>
        <w:rPr>
          <w:rFonts w:ascii="Times New Roman" w:eastAsia="Times New Roman" w:hAnsi="Times New Roman" w:cs="Times New Roman"/>
          <w:color w:val="000000"/>
          <w:spacing w:val="0"/>
          <w:w w:val="100"/>
          <w:position w:val="0"/>
          <w:sz w:val="12"/>
          <w:szCs w:val="12"/>
        </w:rPr>
        <w:t>⑭</w:t>
      </w:r>
      <w:r>
        <w:rPr>
          <w:color w:val="000000"/>
          <w:spacing w:val="0"/>
          <w:w w:val="100"/>
          <w:position w:val="0"/>
        </w:rPr>
        <w:t>肿 瘤</w:t>
      </w:r>
      <w:r>
        <w:rPr>
          <w:rFonts w:ascii="Times New Roman" w:eastAsia="Times New Roman" w:hAnsi="Times New Roman" w:cs="Times New Roman"/>
          <w:color w:val="000000"/>
          <w:spacing w:val="0"/>
          <w:w w:val="100"/>
          <w:position w:val="0"/>
        </w:rPr>
        <w:t>MRD</w:t>
      </w:r>
      <w:r>
        <w:rPr>
          <w:color w:val="000000"/>
          <w:spacing w:val="0"/>
          <w:w w:val="100"/>
          <w:position w:val="0"/>
        </w:rPr>
        <w:t>定制化检测是国内少数基于全外显子组测序（</w:t>
      </w:r>
      <w:r>
        <w:rPr>
          <w:rFonts w:ascii="Times New Roman" w:eastAsia="Times New Roman" w:hAnsi="Times New Roman" w:cs="Times New Roman"/>
          <w:color w:val="000000"/>
          <w:spacing w:val="0"/>
          <w:w w:val="100"/>
          <w:position w:val="0"/>
        </w:rPr>
        <w:t>WES</w:t>
      </w:r>
      <w:r>
        <w:rPr>
          <w:color w:val="000000"/>
          <w:spacing w:val="0"/>
          <w:w w:val="100"/>
          <w:position w:val="0"/>
        </w:rPr>
        <w:t>）</w:t>
      </w:r>
      <w:r>
        <w:rPr>
          <w:color w:val="000000"/>
          <w:spacing w:val="0"/>
          <w:w w:val="100"/>
          <w:position w:val="0"/>
        </w:rPr>
        <w:t xml:space="preserve">分析结果筛选特定主克隆变异位点、针对患者特性进行个性化 </w:t>
      </w:r>
      <w:r>
        <w:rPr>
          <w:rFonts w:ascii="Times New Roman" w:eastAsia="Times New Roman" w:hAnsi="Times New Roman" w:cs="Times New Roman"/>
          <w:color w:val="000000"/>
          <w:spacing w:val="0"/>
          <w:w w:val="100"/>
          <w:position w:val="0"/>
        </w:rPr>
        <w:t>MRD</w:t>
      </w:r>
      <w:r>
        <w:rPr>
          <w:color w:val="000000"/>
          <w:spacing w:val="0"/>
          <w:w w:val="100"/>
          <w:position w:val="0"/>
        </w:rPr>
        <w:t>监测的高灵敏度产品。目前，该产品已完成了核心技术结合国产测序平台的技术转移，并正式在中国上市。公司从预 防、早筛、诊疗、监测四个维度建立了肿瘤基因检测的闭环产品线，在肿瘤防控业务领域的影响力日趋显著，以具有自主知 识产权的核心检测技术及分析算法助力肿瘤精准医疗，实现对患者的普惠。</w:t>
      </w:r>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在病原微生物传统检测方面，公司检验项目产品线较为丰富，市场服务水平不断提升，已逐渐成为国内体外诊断行业平 台最齐全的企业之一。目前拥有酶联免疫检测技术平台、化学发光检测技术平台、联合检测技术平台、核酸检测技术平台以 及胶体金检测技术平台等，在传统检测领域占据了一定的市场份额。在以基因测序技术为代表的病原微生物检测技术方面公 司作为病原微生物高通量测序领域的领先企业，充分发挥全产业链的优势，在感染防控行业各细分领域进行制高点布局，确 保先发优势和渠道核心竞争力。对于基于宏基因组的病原检测产品而言，由于方法学及样本自身特点，检测数据量是一个关 键因素，随着检测数据量的增加其阳性检出率也会有一定的提高。基于数据模拟和实际样本测试的相关研究发现，随着数据 量的增加，检测灵敏度及阳性检出率也会进一步提升，当检测数据量达到</w:t>
      </w:r>
      <w:r>
        <w:rPr>
          <w:rFonts w:ascii="Times New Roman" w:eastAsia="Times New Roman" w:hAnsi="Times New Roman" w:cs="Times New Roman"/>
          <w:color w:val="000000"/>
          <w:spacing w:val="0"/>
          <w:w w:val="100"/>
          <w:position w:val="0"/>
        </w:rPr>
        <w:t>100M reads</w:t>
      </w:r>
      <w:r>
        <w:rPr>
          <w:color w:val="000000"/>
          <w:spacing w:val="0"/>
          <w:w w:val="100"/>
          <w:position w:val="0"/>
        </w:rPr>
        <w:t>时，阳性检出率可达</w:t>
      </w:r>
      <w:r>
        <w:rPr>
          <w:rFonts w:ascii="Times New Roman" w:eastAsia="Times New Roman" w:hAnsi="Times New Roman" w:cs="Times New Roman"/>
          <w:color w:val="000000"/>
          <w:spacing w:val="0"/>
          <w:w w:val="100"/>
          <w:position w:val="0"/>
        </w:rPr>
        <w:t>85%</w:t>
      </w:r>
      <w:r>
        <w:rPr>
          <w:color w:val="000000"/>
          <w:spacing w:val="0"/>
          <w:w w:val="100"/>
          <w:position w:val="0"/>
        </w:rPr>
        <w:t>。目前，同类 企业的宏基因组学高通量病原检测产品的检测数据量大多在</w:t>
      </w:r>
      <w:r>
        <w:rPr>
          <w:rFonts w:ascii="Times New Roman" w:eastAsia="Times New Roman" w:hAnsi="Times New Roman" w:cs="Times New Roman"/>
          <w:color w:val="000000"/>
          <w:spacing w:val="0"/>
          <w:w w:val="100"/>
          <w:position w:val="0"/>
        </w:rPr>
        <w:t>10M-20M reads</w:t>
      </w:r>
      <w:r>
        <w:rPr>
          <w:color w:val="000000"/>
          <w:spacing w:val="0"/>
          <w:w w:val="100"/>
          <w:position w:val="0"/>
        </w:rPr>
        <w:t>范围内波动，个别企业的检测数据量为</w:t>
      </w:r>
      <w:r>
        <w:rPr>
          <w:rFonts w:ascii="Times New Roman" w:eastAsia="Times New Roman" w:hAnsi="Times New Roman" w:cs="Times New Roman"/>
          <w:color w:val="000000"/>
          <w:spacing w:val="0"/>
          <w:w w:val="100"/>
          <w:position w:val="0"/>
        </w:rPr>
        <w:t>5M-10M reads</w:t>
      </w:r>
      <w:r>
        <w:rPr>
          <w:color w:val="000000"/>
          <w:spacing w:val="0"/>
          <w:w w:val="100"/>
          <w:position w:val="0"/>
        </w:rPr>
        <w:t>；</w:t>
      </w:r>
      <w:r>
        <w:rPr>
          <w:color w:val="000000"/>
          <w:spacing w:val="0"/>
          <w:w w:val="100"/>
          <w:position w:val="0"/>
        </w:rPr>
        <w:t>而公司产品</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病原微生物高通量基因检测的数据量平均</w:t>
      </w:r>
      <w:r>
        <w:rPr>
          <w:rFonts w:ascii="Times New Roman" w:eastAsia="Times New Roman" w:hAnsi="Times New Roman" w:cs="Times New Roman"/>
          <w:color w:val="000000"/>
          <w:spacing w:val="0"/>
          <w:w w:val="100"/>
          <w:position w:val="0"/>
        </w:rPr>
        <w:t>40M-100M</w:t>
      </w:r>
      <w:r>
        <w:rPr>
          <w:color w:val="000000"/>
          <w:spacing w:val="0"/>
          <w:w w:val="100"/>
          <w:position w:val="0"/>
        </w:rPr>
        <w:t>，远高于其他同类企业的检测数据量，在阳 性检出率上具有一定的优势。此外，由于病原微生物高通量基因检测的主要应用对象是医院的疑难危重感染，入院检测能够 更加发挥其技术优势和对临床的辅助作用，公司已率先推出具有独立知识产权的</w:t>
      </w:r>
      <w:r>
        <w:rPr>
          <w:rFonts w:ascii="Times New Roman" w:eastAsia="Times New Roman" w:hAnsi="Times New Roman" w:cs="Times New Roman"/>
          <w:color w:val="000000"/>
          <w:spacing w:val="0"/>
          <w:w w:val="100"/>
          <w:position w:val="0"/>
        </w:rPr>
        <w:t>PMseq Datician</w:t>
      </w:r>
      <w:r>
        <w:rPr>
          <w:color w:val="000000"/>
          <w:spacing w:val="0"/>
          <w:w w:val="100"/>
          <w:position w:val="0"/>
        </w:rPr>
        <w:t>病原专家分析系统，有效 提高了分析的时效性与准确性，可帮助医院实现本地化智能生信分析，真正让宏基因组检测产品落地医院。高通量测序在新 冠病毒鉴定及诊断中可与</w:t>
      </w:r>
      <w:r>
        <w:rPr>
          <w:rFonts w:ascii="Times New Roman" w:eastAsia="Times New Roman" w:hAnsi="Times New Roman" w:cs="Times New Roman"/>
          <w:color w:val="000000"/>
          <w:spacing w:val="0"/>
          <w:w w:val="100"/>
          <w:position w:val="0"/>
        </w:rPr>
        <w:t>RT-PCR</w:t>
      </w:r>
      <w:r>
        <w:rPr>
          <w:color w:val="000000"/>
          <w:spacing w:val="0"/>
          <w:w w:val="100"/>
          <w:position w:val="0"/>
        </w:rPr>
        <w:t>法形成互补，不仅能提高阳性检出率，还能提供感染病原的更多可能信息。</w:t>
      </w:r>
      <w:r>
        <w:rPr>
          <w:rFonts w:ascii="Times New Roman" w:eastAsia="Times New Roman" w:hAnsi="Times New Roman" w:cs="Times New Roman"/>
          <w:color w:val="000000"/>
          <w:spacing w:val="0"/>
          <w:w w:val="100"/>
          <w:position w:val="0"/>
        </w:rPr>
        <w:t>2021</w:t>
      </w:r>
      <w:r>
        <w:rPr>
          <w:color w:val="000000"/>
          <w:spacing w:val="0"/>
          <w:w w:val="100"/>
          <w:position w:val="0"/>
        </w:rPr>
        <w:t>年公司发 布了基于多重</w:t>
      </w:r>
      <w:r>
        <w:rPr>
          <w:rFonts w:ascii="Times New Roman" w:eastAsia="Times New Roman" w:hAnsi="Times New Roman" w:cs="Times New Roman"/>
          <w:color w:val="000000"/>
          <w:spacing w:val="0"/>
          <w:w w:val="100"/>
          <w:position w:val="0"/>
        </w:rPr>
        <w:t>PCR</w:t>
      </w:r>
      <w:r>
        <w:rPr>
          <w:color w:val="000000"/>
          <w:spacing w:val="0"/>
          <w:w w:val="100"/>
          <w:position w:val="0"/>
        </w:rPr>
        <w:t>扩增子测序方法的新冠病毒基因检测产品，可应用于新冠病毒的全基因组组装、病毒变异检测、进化研究 等，同时完成了相应的国际版一体机研发，从而形成一体化的产品解决方案助力海外新冠疫情的防控及医学研究工作。</w:t>
      </w:r>
    </w:p>
    <w:p>
      <w:pPr>
        <w:pStyle w:val="Style17"/>
        <w:keepNext w:val="0"/>
        <w:keepLines w:val="0"/>
        <w:widowControl w:val="0"/>
        <w:shd w:val="clear" w:color="auto" w:fill="auto"/>
        <w:bidi w:val="0"/>
        <w:spacing w:before="0" w:after="40" w:line="316" w:lineRule="exact"/>
        <w:ind w:left="0" w:right="0"/>
        <w:jc w:val="both"/>
      </w:pPr>
      <w:r>
        <w:rPr>
          <w:color w:val="000000"/>
          <w:spacing w:val="0"/>
          <w:w w:val="100"/>
          <w:position w:val="0"/>
        </w:rPr>
        <w:t>在多组学大数据服务方面，经过多年的实践积累，华大基因自主研发的多组学数据挖掘系统</w:t>
      </w:r>
      <w:r>
        <w:rPr>
          <w:rFonts w:ascii="Times New Roman" w:eastAsia="Times New Roman" w:hAnsi="Times New Roman" w:cs="Times New Roman"/>
          <w:color w:val="000000"/>
          <w:spacing w:val="0"/>
          <w:w w:val="100"/>
          <w:position w:val="0"/>
        </w:rPr>
        <w:t>Dr.Tom 3.0</w:t>
      </w:r>
      <w:r>
        <w:rPr>
          <w:color w:val="000000"/>
          <w:spacing w:val="0"/>
          <w:w w:val="100"/>
          <w:position w:val="0"/>
        </w:rPr>
        <w:t>版本已上线，在 原有转录组模块基础上，增加蛋白质组和转录组联合分析模块，同时可提供表观遗传学研究模块以及单细胞组学研究分析模 块，并将适用物种范围扩展至</w:t>
      </w:r>
      <w:r>
        <w:rPr>
          <w:rFonts w:ascii="Times New Roman" w:eastAsia="Times New Roman" w:hAnsi="Times New Roman" w:cs="Times New Roman"/>
          <w:color w:val="000000"/>
          <w:spacing w:val="0"/>
          <w:w w:val="100"/>
          <w:position w:val="0"/>
        </w:rPr>
        <w:t>53</w:t>
      </w:r>
      <w:r>
        <w:rPr>
          <w:color w:val="000000"/>
          <w:spacing w:val="0"/>
          <w:w w:val="100"/>
          <w:position w:val="0"/>
        </w:rPr>
        <w:t>种。该系统可对具有表达特征的多组学数据进行深度挖掘，找到目标基因，提供互动式个性 化图表交付，同时支持用户上传自有数据进行分析，具有较强的市场竞争力。公司推还出了微生物扩增子分析系统，该系统 是集成了完整业务流程的一站式微生物研究方案解决系统。</w:t>
      </w:r>
    </w:p>
    <w:p>
      <w:pPr>
        <w:pStyle w:val="Style17"/>
        <w:keepNext w:val="0"/>
        <w:keepLines w:val="0"/>
        <w:widowControl w:val="0"/>
        <w:shd w:val="clear" w:color="auto" w:fill="auto"/>
        <w:bidi w:val="0"/>
        <w:spacing w:before="0" w:after="40" w:line="302" w:lineRule="exact"/>
        <w:ind w:left="0" w:right="0"/>
        <w:jc w:val="both"/>
      </w:pPr>
      <w:r>
        <w:rPr>
          <w:color w:val="000000"/>
          <w:spacing w:val="0"/>
          <w:w w:val="100"/>
          <w:position w:val="0"/>
        </w:rPr>
        <w:t>在精准医学综合解决方案方面，公司为医疗机构、第三方检验公司提供业内领先的一体化解决方案，囊括</w:t>
      </w:r>
      <w:r>
        <w:rPr>
          <w:rFonts w:ascii="Times New Roman" w:eastAsia="Times New Roman" w:hAnsi="Times New Roman" w:cs="Times New Roman"/>
          <w:color w:val="000000"/>
          <w:spacing w:val="0"/>
          <w:w w:val="100"/>
          <w:position w:val="0"/>
        </w:rPr>
        <w:t>“</w:t>
      </w:r>
      <w:r>
        <w:rPr>
          <w:color w:val="000000"/>
          <w:spacing w:val="0"/>
          <w:w w:val="100"/>
          <w:position w:val="0"/>
        </w:rPr>
        <w:t>人、机、料、 法、环、测</w:t>
      </w:r>
      <w:r>
        <w:rPr>
          <w:rFonts w:ascii="Times New Roman" w:eastAsia="Times New Roman" w:hAnsi="Times New Roman" w:cs="Times New Roman"/>
          <w:color w:val="000000"/>
          <w:spacing w:val="0"/>
          <w:w w:val="100"/>
          <w:position w:val="0"/>
        </w:rPr>
        <w:t>”</w:t>
      </w:r>
      <w:r>
        <w:rPr>
          <w:color w:val="000000"/>
          <w:spacing w:val="0"/>
          <w:w w:val="100"/>
          <w:position w:val="0"/>
        </w:rPr>
        <w:t>的所有环节，覆盖产前筛查和产前诊断、遗传病诊断、肿瘤诊断与治疗、植入前胚胎遗传学诊断等多个检测项 目，具备丰富性、全面性、拓展性的优势，目前已为客户提供的实验室设计规模高达</w:t>
      </w:r>
      <w:r>
        <w:rPr>
          <w:rFonts w:ascii="Times New Roman" w:eastAsia="Times New Roman" w:hAnsi="Times New Roman" w:cs="Times New Roman"/>
          <w:color w:val="000000"/>
          <w:spacing w:val="0"/>
          <w:w w:val="100"/>
          <w:position w:val="0"/>
        </w:rPr>
        <w:t>4</w:t>
      </w:r>
      <w:r>
        <w:rPr>
          <w:color w:val="000000"/>
          <w:spacing w:val="0"/>
          <w:w w:val="100"/>
          <w:position w:val="0"/>
        </w:rPr>
        <w:t>万就。</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在合成业务方面，公司在国内拥有七大合成基地，可就近提供引物合成及基因合成服务，通过</w:t>
      </w:r>
      <w:r>
        <w:rPr>
          <w:rFonts w:ascii="Times New Roman" w:eastAsia="Times New Roman" w:hAnsi="Times New Roman" w:cs="Times New Roman"/>
          <w:color w:val="000000"/>
          <w:spacing w:val="0"/>
          <w:w w:val="100"/>
          <w:position w:val="0"/>
        </w:rPr>
        <w:t>iBEST</w:t>
      </w:r>
      <w:r>
        <w:rPr>
          <w:color w:val="000000"/>
          <w:spacing w:val="0"/>
          <w:w w:val="100"/>
          <w:position w:val="0"/>
        </w:rPr>
        <w:t xml:space="preserve">难度基因合成技术、 </w:t>
      </w:r>
      <w:r>
        <w:rPr>
          <w:rFonts w:ascii="Times New Roman" w:eastAsia="Times New Roman" w:hAnsi="Times New Roman" w:cs="Times New Roman"/>
          <w:color w:val="000000"/>
          <w:spacing w:val="0"/>
          <w:w w:val="100"/>
          <w:position w:val="0"/>
        </w:rPr>
        <w:t>L4</w:t>
      </w:r>
      <w:r>
        <w:rPr>
          <w:color w:val="000000"/>
          <w:spacing w:val="0"/>
          <w:w w:val="100"/>
          <w:position w:val="0"/>
        </w:rPr>
        <w:t>拼接技术等具有自主知识产权的技术，在长难度基因合成方面具有领先优势，并通过平台升级改造提升交付水平，为生物 基础科研、合成生物学研究及众多药物、蛋白、抗体相关公司提供优质服务。报告期内，公司在基因组体外拼接技术领域取 得突破，拼接长度〉</w:t>
      </w:r>
      <w:r>
        <w:rPr>
          <w:rFonts w:ascii="Times New Roman" w:eastAsia="Times New Roman" w:hAnsi="Times New Roman" w:cs="Times New Roman"/>
          <w:color w:val="000000"/>
          <w:spacing w:val="0"/>
          <w:w w:val="100"/>
          <w:position w:val="0"/>
        </w:rPr>
        <w:t>200kb</w:t>
      </w:r>
      <w:r>
        <w:rPr>
          <w:color w:val="000000"/>
          <w:spacing w:val="0"/>
          <w:w w:val="100"/>
          <w:position w:val="0"/>
        </w:rPr>
        <w:t>，</w:t>
      </w:r>
      <w:r>
        <w:rPr>
          <w:color w:val="000000"/>
          <w:spacing w:val="0"/>
          <w:w w:val="100"/>
          <w:position w:val="0"/>
        </w:rPr>
        <w:t>为合成生物学发展赋能助力。</w:t>
      </w:r>
    </w:p>
    <w:p>
      <w:pPr>
        <w:pStyle w:val="Style17"/>
        <w:keepNext w:val="0"/>
        <w:keepLines w:val="0"/>
        <w:widowControl w:val="0"/>
        <w:shd w:val="clear" w:color="auto" w:fill="auto"/>
        <w:bidi w:val="0"/>
        <w:spacing w:before="0" w:after="40" w:line="312" w:lineRule="exact"/>
        <w:ind w:left="0" w:right="0" w:firstLine="200"/>
        <w:jc w:val="both"/>
      </w:pPr>
      <w:bookmarkStart w:id="81" w:name="bookmark81"/>
      <w:r>
        <w:rPr>
          <w:b/>
          <w:bCs/>
          <w:color w:val="000000"/>
          <w:spacing w:val="0"/>
          <w:w w:val="100"/>
          <w:position w:val="0"/>
        </w:rPr>
        <w:t>（</w:t>
      </w:r>
      <w:bookmarkEnd w:id="81"/>
      <w:r>
        <w:rPr>
          <w:b/>
          <w:bCs/>
          <w:color w:val="000000"/>
          <w:spacing w:val="0"/>
          <w:w w:val="100"/>
          <w:position w:val="0"/>
        </w:rPr>
        <w:t>二）行业政策影响</w:t>
      </w:r>
    </w:p>
    <w:p>
      <w:pPr>
        <w:pStyle w:val="Style17"/>
        <w:keepNext w:val="0"/>
        <w:keepLines w:val="0"/>
        <w:widowControl w:val="0"/>
        <w:shd w:val="clear" w:color="auto" w:fill="auto"/>
        <w:bidi w:val="0"/>
        <w:spacing w:before="0" w:after="120" w:line="314" w:lineRule="exact"/>
        <w:ind w:left="0" w:right="0"/>
        <w:jc w:val="both"/>
      </w:pPr>
      <w:r>
        <w:rPr>
          <w:color w:val="000000"/>
          <w:spacing w:val="0"/>
          <w:w w:val="100"/>
          <w:position w:val="0"/>
        </w:rPr>
        <w:t>生命健康产业作为国家战略性新兴产业，在一系列政策支持下得到快速发展，继</w:t>
      </w:r>
      <w:r>
        <w:rPr>
          <w:rFonts w:ascii="Times New Roman" w:eastAsia="Times New Roman" w:hAnsi="Times New Roman" w:cs="Times New Roman"/>
          <w:color w:val="000000"/>
          <w:spacing w:val="0"/>
          <w:w w:val="100"/>
          <w:position w:val="0"/>
        </w:rPr>
        <w:t>2016</w:t>
      </w:r>
      <w:r>
        <w:rPr>
          <w:color w:val="000000"/>
          <w:spacing w:val="0"/>
          <w:w w:val="100"/>
          <w:position w:val="0"/>
        </w:rPr>
        <w:t>年出台的《</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 要》明确</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'建设的目标和任务后，习近平总书记又进一步提出，人民健康是民族昌盛和国家富强的重要标志，多次 强调把保障人民健康放在优先发展的战略位置，并将</w:t>
      </w:r>
      <w:r>
        <w:rPr>
          <w:rFonts w:ascii="Times New Roman" w:eastAsia="Times New Roman" w:hAnsi="Times New Roman" w:cs="Times New Roman"/>
          <w:color w:val="000000"/>
          <w:spacing w:val="0"/>
          <w:w w:val="100"/>
          <w:position w:val="0"/>
        </w:rPr>
        <w:t>“</w:t>
      </w:r>
      <w:r>
        <w:rPr>
          <w:color w:val="000000"/>
          <w:spacing w:val="0"/>
          <w:w w:val="100"/>
          <w:position w:val="0"/>
        </w:rPr>
        <w:t>人民生命健康</w:t>
      </w:r>
      <w:r>
        <w:rPr>
          <w:rFonts w:ascii="Times New Roman" w:eastAsia="Times New Roman" w:hAnsi="Times New Roman" w:cs="Times New Roman"/>
          <w:color w:val="000000"/>
          <w:spacing w:val="0"/>
          <w:w w:val="100"/>
          <w:position w:val="0"/>
        </w:rPr>
        <w:t>”</w:t>
      </w:r>
      <w:r>
        <w:rPr>
          <w:color w:val="000000"/>
          <w:spacing w:val="0"/>
          <w:w w:val="100"/>
          <w:position w:val="0"/>
        </w:rPr>
        <w:t>纳入</w:t>
      </w:r>
      <w:r>
        <w:rPr>
          <w:rFonts w:ascii="Times New Roman" w:eastAsia="Times New Roman" w:hAnsi="Times New Roman" w:cs="Times New Roman"/>
          <w:color w:val="000000"/>
          <w:spacing w:val="0"/>
          <w:w w:val="100"/>
          <w:position w:val="0"/>
        </w:rPr>
        <w:t>“</w:t>
      </w:r>
      <w:r>
        <w:rPr>
          <w:color w:val="000000"/>
          <w:spacing w:val="0"/>
          <w:w w:val="100"/>
          <w:position w:val="0"/>
        </w:rPr>
        <w:t>四个面向</w:t>
      </w:r>
      <w:r>
        <w:rPr>
          <w:rFonts w:ascii="Times New Roman" w:eastAsia="Times New Roman" w:hAnsi="Times New Roman" w:cs="Times New Roman"/>
          <w:color w:val="000000"/>
          <w:spacing w:val="0"/>
          <w:w w:val="100"/>
          <w:position w:val="0"/>
        </w:rPr>
        <w:t>”</w:t>
      </w:r>
      <w:r>
        <w:rPr>
          <w:color w:val="000000"/>
          <w:spacing w:val="0"/>
          <w:w w:val="100"/>
          <w:position w:val="0"/>
        </w:rPr>
        <w:t>予以有力推进。《中华人民共和国国民 经济和社会发展第十四个五年规划和二</w:t>
      </w:r>
      <w:r>
        <w:rPr>
          <w:color w:val="000000"/>
          <w:spacing w:val="0"/>
          <w:w w:val="100"/>
          <w:position w:val="0"/>
          <w:sz w:val="18"/>
          <w:szCs w:val="18"/>
        </w:rPr>
        <w:t>O</w:t>
      </w:r>
      <w:r>
        <w:rPr>
          <w:color w:val="000000"/>
          <w:spacing w:val="0"/>
          <w:w w:val="100"/>
          <w:position w:val="0"/>
        </w:rPr>
        <w:t>三五年远景目标纲要》（以下简称《</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规划》）明确将</w:t>
      </w:r>
      <w:r>
        <w:rPr>
          <w:rFonts w:ascii="Times New Roman" w:eastAsia="Times New Roman" w:hAnsi="Times New Roman" w:cs="Times New Roman"/>
          <w:color w:val="000000"/>
          <w:spacing w:val="0"/>
          <w:w w:val="100"/>
          <w:position w:val="0"/>
        </w:rPr>
        <w:t>“</w:t>
      </w:r>
      <w:r>
        <w:rPr>
          <w:color w:val="000000"/>
          <w:spacing w:val="0"/>
          <w:w w:val="100"/>
          <w:position w:val="0"/>
        </w:rPr>
        <w:t>基因与生物技术</w:t>
      </w:r>
      <w:r>
        <w:rPr>
          <w:rFonts w:ascii="Times New Roman" w:eastAsia="Times New Roman" w:hAnsi="Times New Roman" w:cs="Times New Roman"/>
          <w:color w:val="000000"/>
          <w:spacing w:val="0"/>
          <w:w w:val="100"/>
          <w:position w:val="0"/>
        </w:rPr>
        <w:t>”</w:t>
      </w:r>
      <w:r>
        <w:rPr>
          <w:color w:val="000000"/>
          <w:spacing w:val="0"/>
          <w:w w:val="100"/>
          <w:position w:val="0"/>
        </w:rPr>
        <w:t>作 为七大科技前沿领域攻关领域之一，</w:t>
      </w:r>
      <w:r>
        <w:rPr>
          <w:rFonts w:ascii="Times New Roman" w:eastAsia="Times New Roman" w:hAnsi="Times New Roman" w:cs="Times New Roman"/>
          <w:color w:val="000000"/>
          <w:spacing w:val="0"/>
          <w:w w:val="100"/>
          <w:position w:val="0"/>
        </w:rPr>
        <w:t>“</w:t>
      </w:r>
      <w:r>
        <w:rPr>
          <w:color w:val="000000"/>
          <w:spacing w:val="0"/>
          <w:w w:val="100"/>
          <w:position w:val="0"/>
        </w:rPr>
        <w:t>生物技术</w:t>
      </w:r>
      <w:r>
        <w:rPr>
          <w:rFonts w:ascii="Times New Roman" w:eastAsia="Times New Roman" w:hAnsi="Times New Roman" w:cs="Times New Roman"/>
          <w:color w:val="000000"/>
          <w:spacing w:val="0"/>
          <w:w w:val="100"/>
          <w:position w:val="0"/>
        </w:rPr>
        <w:t>”</w:t>
      </w:r>
      <w:r>
        <w:rPr>
          <w:color w:val="000000"/>
          <w:spacing w:val="0"/>
          <w:w w:val="100"/>
          <w:position w:val="0"/>
        </w:rPr>
        <w:t>纳入战略性新兴产业，</w:t>
      </w:r>
      <w:r>
        <w:rPr>
          <w:rFonts w:ascii="Times New Roman" w:eastAsia="Times New Roman" w:hAnsi="Times New Roman" w:cs="Times New Roman"/>
          <w:color w:val="000000"/>
          <w:spacing w:val="0"/>
          <w:w w:val="100"/>
          <w:position w:val="0"/>
        </w:rPr>
        <w:t>“</w:t>
      </w:r>
      <w:r>
        <w:rPr>
          <w:color w:val="000000"/>
          <w:spacing w:val="0"/>
          <w:w w:val="100"/>
          <w:position w:val="0"/>
        </w:rPr>
        <w:t>基因技术</w:t>
      </w:r>
      <w:r>
        <w:rPr>
          <w:rFonts w:ascii="Times New Roman" w:eastAsia="Times New Roman" w:hAnsi="Times New Roman" w:cs="Times New Roman"/>
          <w:color w:val="000000"/>
          <w:spacing w:val="0"/>
          <w:w w:val="100"/>
          <w:position w:val="0"/>
        </w:rPr>
        <w:t>”</w:t>
      </w:r>
      <w:r>
        <w:rPr>
          <w:color w:val="000000"/>
          <w:spacing w:val="0"/>
          <w:w w:val="100"/>
          <w:position w:val="0"/>
        </w:rPr>
        <w:t>列为前沿科技和产业变革领域；明确要打 好生命健康等关键核心技术攻坚战，坚持创新驱动发展，并提倡增加经费、</w:t>
      </w:r>
      <w:r>
        <w:rPr>
          <w:rFonts w:ascii="Times New Roman" w:eastAsia="Times New Roman" w:hAnsi="Times New Roman" w:cs="Times New Roman"/>
          <w:color w:val="000000"/>
          <w:spacing w:val="0"/>
          <w:w w:val="100"/>
          <w:position w:val="0"/>
        </w:rPr>
        <w:t>“</w:t>
      </w:r>
      <w:r>
        <w:rPr>
          <w:color w:val="000000"/>
          <w:spacing w:val="0"/>
          <w:w w:val="100"/>
          <w:position w:val="0"/>
        </w:rPr>
        <w:t>揭榜挂帅</w:t>
      </w:r>
      <w:r>
        <w:rPr>
          <w:rFonts w:ascii="Times New Roman" w:eastAsia="Times New Roman" w:hAnsi="Times New Roman" w:cs="Times New Roman"/>
          <w:color w:val="000000"/>
          <w:spacing w:val="0"/>
          <w:w w:val="100"/>
          <w:position w:val="0"/>
        </w:rPr>
        <w:t>”“</w:t>
      </w:r>
      <w:r>
        <w:rPr>
          <w:color w:val="000000"/>
          <w:spacing w:val="0"/>
          <w:w w:val="100"/>
          <w:position w:val="0"/>
        </w:rPr>
        <w:t>赛马</w:t>
      </w:r>
      <w:r>
        <w:rPr>
          <w:rFonts w:ascii="Times New Roman" w:eastAsia="Times New Roman" w:hAnsi="Times New Roman" w:cs="Times New Roman"/>
          <w:color w:val="000000"/>
          <w:spacing w:val="0"/>
          <w:w w:val="100"/>
          <w:position w:val="0"/>
        </w:rPr>
        <w:t>”</w:t>
      </w:r>
      <w:r>
        <w:rPr>
          <w:color w:val="000000"/>
          <w:spacing w:val="0"/>
          <w:w w:val="100"/>
          <w:position w:val="0"/>
        </w:rPr>
        <w:t>、组建国家实验室等一系列组 合拳来鼓励和推动科技创新，进而持续增进民生福祉。</w:t>
      </w:r>
    </w:p>
    <w:p>
      <w:pPr>
        <w:pStyle w:val="Style17"/>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规划》提出要构建强大公共卫生体系，强化慢性病预防、早期筛查和综合干预，为我国</w:t>
      </w:r>
      <w:r>
        <w:rPr>
          <w:rFonts w:ascii="Times New Roman" w:eastAsia="Times New Roman" w:hAnsi="Times New Roman" w:cs="Times New Roman"/>
          <w:color w:val="000000"/>
          <w:spacing w:val="0"/>
          <w:w w:val="100"/>
          <w:position w:val="0"/>
        </w:rPr>
        <w:t>IVD</w:t>
      </w:r>
      <w:r>
        <w:rPr>
          <w:color w:val="000000"/>
          <w:spacing w:val="0"/>
          <w:w w:val="100"/>
          <w:position w:val="0"/>
        </w:rPr>
        <w:t>行业带来历史性 机遇，也对企业提出了更高的要求。</w:t>
      </w:r>
      <w:r>
        <w:rPr>
          <w:rFonts w:ascii="Times New Roman" w:eastAsia="Times New Roman" w:hAnsi="Times New Roman" w:cs="Times New Roman"/>
          <w:color w:val="000000"/>
          <w:spacing w:val="0"/>
          <w:w w:val="100"/>
          <w:position w:val="0"/>
        </w:rPr>
        <w:t>“</w:t>
      </w:r>
      <w:r>
        <w:rPr>
          <w:color w:val="000000"/>
          <w:spacing w:val="0"/>
          <w:w w:val="100"/>
          <w:position w:val="0"/>
        </w:rPr>
        <w:t>加快推动从以治病为中心转变为以人民健康为中心</w:t>
      </w:r>
      <w:r>
        <w:rPr>
          <w:rFonts w:ascii="Times New Roman" w:eastAsia="Times New Roman" w:hAnsi="Times New Roman" w:cs="Times New Roman"/>
          <w:color w:val="000000"/>
          <w:spacing w:val="0"/>
          <w:w w:val="100"/>
          <w:position w:val="0"/>
        </w:rPr>
        <w:t>”“</w:t>
      </w:r>
      <w:r>
        <w:rPr>
          <w:color w:val="000000"/>
          <w:spacing w:val="0"/>
          <w:w w:val="100"/>
          <w:position w:val="0"/>
        </w:rPr>
        <w:t>坚持预防为主，防治结合</w:t>
      </w:r>
      <w:r>
        <w:rPr>
          <w:rFonts w:ascii="Times New Roman" w:eastAsia="Times New Roman" w:hAnsi="Times New Roman" w:cs="Times New Roman"/>
          <w:color w:val="000000"/>
          <w:spacing w:val="0"/>
          <w:w w:val="100"/>
          <w:position w:val="0"/>
        </w:rPr>
        <w:t>”</w:t>
      </w:r>
      <w:r>
        <w:rPr>
          <w:color w:val="000000"/>
          <w:spacing w:val="0"/>
          <w:w w:val="100"/>
          <w:position w:val="0"/>
        </w:rPr>
        <w:t>等一系 列政策的提出为生命健康行业的早筛早诊早治、预防关口前移指明了方向。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日，工业和信息化部和</w:t>
      </w:r>
      <w:r>
        <w:rPr>
          <w:color w:val="333333"/>
          <w:spacing w:val="0"/>
          <w:w w:val="100"/>
          <w:position w:val="0"/>
        </w:rPr>
        <w:t>国家发展和 改革委员会等</w:t>
      </w:r>
      <w:r>
        <w:rPr>
          <w:color w:val="000000"/>
          <w:spacing w:val="0"/>
          <w:w w:val="100"/>
          <w:position w:val="0"/>
        </w:rPr>
        <w:t>九部门联合发布《</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医药工业发展规划》，其中提及对于医疗器械行业，将重点发展新型医学影像、体 外诊断、疾病康复、肿瘤放疗、应急救治、生命支持、可穿戴监测、中医诊疗等领域的医疗器械，疾病筛查、精准用药所需 的各类分子诊断产品等。此外，在国际市场方面，《</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医药工业发展规划》提出要推动国内医药企业更高水平进入国 际市场，以创造国际竞争新优势。</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新冠肺炎疫情是全球百年不遇的重大疫情，也是新中国成立以来传播速度最快、感染范围最广、防控难度最大的突发公 共卫生事件。疫情发生后，习近平总书记高度重视，亲自指挥、亲自部署，主持召开中央政治局常委会会议专题研究疫情防 控工作，多次做出重要指示批示，科学回答了打赢疫情防控阻击战的根本性、全局性、关键性重大问题，为打赢疫情防控阻 击战指明了前进方向、提供了根本遵循。此次新冠疫情防控阻击战中，党和国家将人民生命安全和身体健康放在第一位，采 取最全面最严格最彻底的防控措施，有效阻断病毒传播链条，为维护世界公共卫生安全作出了重要贡献。</w:t>
      </w:r>
    </w:p>
    <w:p>
      <w:pPr>
        <w:pStyle w:val="Style17"/>
        <w:keepNext w:val="0"/>
        <w:keepLines w:val="0"/>
        <w:widowControl w:val="0"/>
        <w:shd w:val="clear" w:color="auto" w:fill="auto"/>
        <w:bidi w:val="0"/>
        <w:spacing w:before="0" w:after="240" w:line="313" w:lineRule="exact"/>
        <w:ind w:left="0" w:right="0"/>
        <w:jc w:val="both"/>
      </w:pPr>
      <w:r>
        <w:rPr>
          <w:color w:val="000000"/>
          <w:spacing w:val="0"/>
          <w:w w:val="100"/>
          <w:position w:val="0"/>
        </w:rPr>
        <w:t>以基因科技为代表的精准医学服务，尚属于前沿科技行业，相关法律法规的出台，有利于引导行业迈向健康、成熟的快 速发展之路。</w:t>
      </w:r>
      <w:r>
        <w:rPr>
          <w:rFonts w:ascii="Times New Roman" w:eastAsia="Times New Roman" w:hAnsi="Times New Roman" w:cs="Times New Roman"/>
          <w:color w:val="000000"/>
          <w:spacing w:val="0"/>
          <w:w w:val="100"/>
          <w:position w:val="0"/>
        </w:rPr>
        <w:t>2021</w:t>
      </w:r>
      <w:r>
        <w:rPr>
          <w:color w:val="000000"/>
          <w:spacing w:val="0"/>
          <w:w w:val="100"/>
          <w:position w:val="0"/>
        </w:rPr>
        <w:t>年上半年，《医疗器械监督管理条例》的修订和《中华人民共和国数据安全法》的出台，分别为临床实验 室自建项目商业化和生物数据收集、传输、存储提供了法律依据和规范指引，将推动检验新方法、新技术的应用，更好地助 力精准医学的发展。公司可同时提供基于合作共建模式、检测项目模式、实验室规模等要素的一站式、个性化临床实验室整 体解决方案；通过标准实验室建设、全面的质量管理体系建立、高通量测序技术转移、人才培养及能力提升、报告解读及遗 传咨询等，打造贯穿</w:t>
      </w:r>
      <w:r>
        <w:rPr>
          <w:rFonts w:ascii="Times New Roman" w:eastAsia="Times New Roman" w:hAnsi="Times New Roman" w:cs="Times New Roman"/>
          <w:color w:val="000000"/>
          <w:spacing w:val="0"/>
          <w:w w:val="100"/>
          <w:position w:val="0"/>
        </w:rPr>
        <w:t>“</w:t>
      </w:r>
      <w:r>
        <w:rPr>
          <w:color w:val="000000"/>
          <w:spacing w:val="0"/>
          <w:w w:val="100"/>
          <w:position w:val="0"/>
        </w:rPr>
        <w:t>产学研</w:t>
      </w:r>
      <w:r>
        <w:rPr>
          <w:rFonts w:ascii="Times New Roman" w:eastAsia="Times New Roman" w:hAnsi="Times New Roman" w:cs="Times New Roman"/>
          <w:color w:val="000000"/>
          <w:spacing w:val="0"/>
          <w:w w:val="100"/>
          <w:position w:val="0"/>
        </w:rPr>
        <w:t>”</w:t>
      </w:r>
      <w:r>
        <w:rPr>
          <w:color w:val="000000"/>
          <w:spacing w:val="0"/>
          <w:w w:val="100"/>
          <w:position w:val="0"/>
        </w:rPr>
        <w:t>的高通量测序平台及医学实验室，覆盖了妇幼健康、肿瘤防控、传感染防控等多组学、跨领域 的临床应用。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日，国家药监局批准医疗器械标准管理中心正式筹建医用高通量测序标准化技术归口单位，此举 标志着医用高通量测序行业有望迎来标准化时代，有利于进一步完善检测的标准化体系。</w:t>
      </w:r>
    </w:p>
    <w:p>
      <w:pPr>
        <w:pStyle w:val="Style17"/>
        <w:keepNext w:val="0"/>
        <w:keepLines w:val="0"/>
        <w:widowControl w:val="0"/>
        <w:shd w:val="clear" w:color="auto" w:fill="auto"/>
        <w:bidi w:val="0"/>
        <w:spacing w:before="0" w:after="0"/>
        <w:ind w:left="0" w:right="0"/>
        <w:jc w:val="both"/>
      </w:pPr>
      <w:bookmarkStart w:id="82" w:name="bookmark82"/>
      <w:r>
        <w:rPr>
          <w:rFonts w:ascii="Times New Roman" w:eastAsia="Times New Roman" w:hAnsi="Times New Roman" w:cs="Times New Roman"/>
          <w:b/>
          <w:bCs/>
          <w:color w:val="000000"/>
          <w:spacing w:val="0"/>
          <w:w w:val="100"/>
          <w:position w:val="0"/>
        </w:rPr>
        <w:t>1</w:t>
      </w:r>
      <w:bookmarkEnd w:id="82"/>
      <w:r>
        <w:rPr>
          <w:b/>
          <w:bCs/>
          <w:color w:val="000000"/>
          <w:spacing w:val="0"/>
          <w:w w:val="100"/>
          <w:position w:val="0"/>
        </w:rPr>
        <w:t>、生育健康类服务方面的主要政策</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生育健康类服务方面，政府多次出台相关政策，推动出生缺陷防治关口前移。妇女儿童健康是全民健康的基石，是衡量 社会文明进步的标尺，是人类社会可持续发展的前提和基础。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日，国务院正式发布《国务院关于实施健康中国 行动的意见》（国发（</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号），在妇幼健康方面明确提出，</w:t>
      </w:r>
      <w:r>
        <w:rPr>
          <w:rFonts w:ascii="Times New Roman" w:eastAsia="Times New Roman" w:hAnsi="Times New Roman" w:cs="Times New Roman"/>
          <w:color w:val="000000"/>
          <w:spacing w:val="0"/>
          <w:w w:val="100"/>
          <w:position w:val="0"/>
        </w:rPr>
        <w:t>“</w:t>
      </w:r>
      <w:r>
        <w:rPr>
          <w:color w:val="000000"/>
          <w:spacing w:val="0"/>
          <w:w w:val="100"/>
          <w:position w:val="0"/>
        </w:rPr>
        <w:t>维护全生命周期健康，实施妇幼健康促进行动</w:t>
      </w:r>
      <w:r>
        <w:rPr>
          <w:color w:val="333333"/>
          <w:spacing w:val="0"/>
          <w:w w:val="100"/>
          <w:position w:val="0"/>
        </w:rPr>
        <w:t>。针对婚 前、孕前、孕期、儿童等阶段特点，积极引导家庭科学孕育和养育健康新生命，健全出生缺陷防治体系。到</w:t>
      </w:r>
      <w:r>
        <w:rPr>
          <w:rFonts w:ascii="Times New Roman" w:eastAsia="Times New Roman" w:hAnsi="Times New Roman" w:cs="Times New Roman"/>
          <w:color w:val="333333"/>
          <w:spacing w:val="0"/>
          <w:w w:val="100"/>
          <w:position w:val="0"/>
        </w:rPr>
        <w:t>2022</w:t>
      </w:r>
      <w:r>
        <w:rPr>
          <w:color w:val="333333"/>
          <w:spacing w:val="0"/>
          <w:w w:val="100"/>
          <w:position w:val="0"/>
        </w:rPr>
        <w:t>年和</w:t>
      </w:r>
      <w:r>
        <w:rPr>
          <w:rFonts w:ascii="Times New Roman" w:eastAsia="Times New Roman" w:hAnsi="Times New Roman" w:cs="Times New Roman"/>
          <w:color w:val="333333"/>
          <w:spacing w:val="0"/>
          <w:w w:val="100"/>
          <w:position w:val="0"/>
        </w:rPr>
        <w:t>2030</w:t>
      </w:r>
      <w:r>
        <w:rPr>
          <w:color w:val="333333"/>
          <w:spacing w:val="0"/>
          <w:w w:val="100"/>
          <w:position w:val="0"/>
        </w:rPr>
        <w:t>年， 婴儿死亡率分别控制在</w:t>
      </w:r>
      <w:r>
        <w:rPr>
          <w:rFonts w:ascii="Times New Roman" w:eastAsia="Times New Roman" w:hAnsi="Times New Roman" w:cs="Times New Roman"/>
          <w:color w:val="333333"/>
          <w:spacing w:val="0"/>
          <w:w w:val="100"/>
          <w:position w:val="0"/>
        </w:rPr>
        <w:t>7.5%</w:t>
      </w:r>
      <w:r>
        <w:rPr>
          <w:color w:val="333333"/>
          <w:spacing w:val="0"/>
          <w:w w:val="100"/>
          <w:position w:val="0"/>
        </w:rPr>
        <w:t>。及以下和</w:t>
      </w:r>
      <w:r>
        <w:rPr>
          <w:rFonts w:ascii="Times New Roman" w:eastAsia="Times New Roman" w:hAnsi="Times New Roman" w:cs="Times New Roman"/>
          <w:color w:val="333333"/>
          <w:spacing w:val="0"/>
          <w:w w:val="100"/>
          <w:position w:val="0"/>
        </w:rPr>
        <w:t>5%</w:t>
      </w:r>
      <w:r>
        <w:rPr>
          <w:color w:val="333333"/>
          <w:spacing w:val="0"/>
          <w:w w:val="100"/>
          <w:position w:val="0"/>
        </w:rPr>
        <w:t>。及以下，孕产妇死亡率分别下降到</w:t>
      </w:r>
      <w:r>
        <w:rPr>
          <w:rFonts w:ascii="Times New Roman" w:eastAsia="Times New Roman" w:hAnsi="Times New Roman" w:cs="Times New Roman"/>
          <w:color w:val="333333"/>
          <w:spacing w:val="0"/>
          <w:w w:val="100"/>
          <w:position w:val="0"/>
        </w:rPr>
        <w:t>18/10</w:t>
      </w:r>
      <w:r>
        <w:rPr>
          <w:color w:val="333333"/>
          <w:spacing w:val="0"/>
          <w:w w:val="100"/>
          <w:position w:val="0"/>
        </w:rPr>
        <w:t>万及以下和</w:t>
      </w:r>
      <w:r>
        <w:rPr>
          <w:rFonts w:ascii="Times New Roman" w:eastAsia="Times New Roman" w:hAnsi="Times New Roman" w:cs="Times New Roman"/>
          <w:color w:val="333333"/>
          <w:spacing w:val="0"/>
          <w:w w:val="100"/>
          <w:position w:val="0"/>
        </w:rPr>
        <w:t>12/10</w:t>
      </w:r>
      <w:r>
        <w:rPr>
          <w:color w:val="333333"/>
          <w:spacing w:val="0"/>
          <w:w w:val="100"/>
          <w:position w:val="0"/>
        </w:rPr>
        <w:t>万及以下</w:t>
      </w:r>
      <w:r>
        <w:rPr>
          <w:color w:val="000000"/>
          <w:spacing w:val="0"/>
          <w:w w:val="100"/>
          <w:position w:val="0"/>
        </w:rPr>
        <w:t>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 xml:space="preserve">日，国家卫健委发布的《关于统筹推进婚前孕前保健工作的通知》明确提出，统筹推进婚前医学检查、孕前优生健康检查等 婚前孕前保健服务，不断提高服务可及性，促进服务均等化，有力有效推进出生缺陷综合防治。在地方政策层面，广东省于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日发布《广东省国民经济和社会发展第十四个五年规划和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 xml:space="preserve">年远景目标纲要》，首次将妇幼健康保护工程纳 入重点工程，积极努力为妇女儿童提供公平可及和系统连续的妇幼健康服务，使妇女儿童全生命周期的健康得到有效保障。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日，中共中央政治局召开会议审议《关于优化生育政策促进人口长期均衡发展的决定》。会议指出，进一步优 化生育政策，实施一对夫妻可以生育三个子女政策及配套支持措施，有利于改善我国人口结构、落实积极应对人口老龄化国 家战略、保持我国人力资源禀赋优势。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日，中共中央国务院发布的《关于优化生育政策促进人口长期均衡发展 的决定》指出，提高优生优育服务水平，保障孕产妇和儿童健康，全面落实妊娠风险筛查与评估，促进生殖健康服务融入妇 女健康管理全过程；综合防治出生缺陷，健全出生缺陷防治网络，落实三级预防措施；强化婚前保健，推进孕前优生健康检 </w:t>
      </w:r>
      <w:r>
        <w:rPr>
          <w:color w:val="000000"/>
          <w:spacing w:val="0"/>
          <w:w w:val="100"/>
          <w:position w:val="0"/>
        </w:rPr>
        <w:t>查，加强产前筛查和诊断，推动围孕期、产前产后一体化管理服务和多学科协作；扩大新生儿疾病筛查病种范围，促进早筛 早诊早治。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日，福建省医疗保障局发布《关于规范血细胞分析等医疗服务价格项目有关问题的通知》，将用药 指导基因检测、遗传性耳聋基因检测纳入全省医保。</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日，北京市医疗保障局等发布了《关于规范调整物理治疗 类等医疗服务价格项目的通知》，</w:t>
      </w:r>
      <w:r>
        <w:rPr>
          <w:rFonts w:ascii="Times New Roman" w:eastAsia="Times New Roman" w:hAnsi="Times New Roman" w:cs="Times New Roman"/>
          <w:color w:val="000000"/>
          <w:spacing w:val="0"/>
          <w:w w:val="100"/>
          <w:position w:val="0"/>
        </w:rPr>
        <w:t>“</w:t>
      </w:r>
      <w:r>
        <w:rPr>
          <w:color w:val="000000"/>
          <w:spacing w:val="0"/>
          <w:w w:val="100"/>
          <w:position w:val="0"/>
        </w:rPr>
        <w:t>孕妇外周血胎儿游离</w:t>
      </w:r>
      <w:r>
        <w:rPr>
          <w:rFonts w:ascii="Times New Roman" w:eastAsia="Times New Roman" w:hAnsi="Times New Roman" w:cs="Times New Roman"/>
          <w:color w:val="000000"/>
          <w:spacing w:val="0"/>
          <w:w w:val="100"/>
          <w:position w:val="0"/>
        </w:rPr>
        <w:t>DNA</w:t>
      </w:r>
      <w:r>
        <w:rPr>
          <w:color w:val="000000"/>
          <w:spacing w:val="0"/>
          <w:w w:val="100"/>
          <w:position w:val="0"/>
        </w:rPr>
        <w:t>产前筛查</w:t>
      </w:r>
      <w:r>
        <w:rPr>
          <w:rFonts w:ascii="Times New Roman" w:eastAsia="Times New Roman" w:hAnsi="Times New Roman" w:cs="Times New Roman"/>
          <w:color w:val="000000"/>
          <w:spacing w:val="0"/>
          <w:w w:val="100"/>
          <w:position w:val="0"/>
        </w:rPr>
        <w:t>”</w:t>
      </w:r>
      <w:r>
        <w:rPr>
          <w:color w:val="000000"/>
          <w:spacing w:val="0"/>
          <w:w w:val="100"/>
          <w:position w:val="0"/>
        </w:rPr>
        <w:t xml:space="preserve">医疗服务项目将纳入北京市甲类医保支付目录，自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日起执行。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日，国家医疗保障局发布《国家医疗保障局对十三届全国人大四次会议第</w:t>
      </w:r>
      <w:r>
        <w:rPr>
          <w:rFonts w:ascii="Times New Roman" w:eastAsia="Times New Roman" w:hAnsi="Times New Roman" w:cs="Times New Roman"/>
          <w:color w:val="000000"/>
          <w:spacing w:val="0"/>
          <w:w w:val="100"/>
          <w:position w:val="0"/>
        </w:rPr>
        <w:t>5581</w:t>
      </w:r>
      <w:r>
        <w:rPr>
          <w:color w:val="000000"/>
          <w:spacing w:val="0"/>
          <w:w w:val="100"/>
          <w:position w:val="0"/>
        </w:rPr>
        <w:t>号建议 的答复》，对人大代表提出的</w:t>
      </w:r>
      <w:r>
        <w:rPr>
          <w:rFonts w:ascii="Times New Roman" w:eastAsia="Times New Roman" w:hAnsi="Times New Roman" w:cs="Times New Roman"/>
          <w:color w:val="000000"/>
          <w:spacing w:val="0"/>
          <w:w w:val="100"/>
          <w:position w:val="0"/>
        </w:rPr>
        <w:t>“</w:t>
      </w: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不孕不育症</w:t>
      </w:r>
      <w:r>
        <w:rPr>
          <w:rFonts w:ascii="Times New Roman" w:eastAsia="Times New Roman" w:hAnsi="Times New Roman" w:cs="Times New Roman"/>
          <w:color w:val="000000"/>
          <w:spacing w:val="0"/>
          <w:w w:val="100"/>
          <w:position w:val="0"/>
        </w:rPr>
        <w:t>’</w:t>
      </w:r>
      <w:r>
        <w:rPr>
          <w:color w:val="000000"/>
          <w:spacing w:val="0"/>
          <w:w w:val="100"/>
          <w:position w:val="0"/>
        </w:rPr>
        <w:t>辅助治疗纳入国家医保提高人口增长的建议</w:t>
      </w:r>
      <w:r>
        <w:rPr>
          <w:rFonts w:ascii="Times New Roman" w:eastAsia="Times New Roman" w:hAnsi="Times New Roman" w:cs="Times New Roman"/>
          <w:color w:val="000000"/>
          <w:spacing w:val="0"/>
          <w:w w:val="100"/>
          <w:position w:val="0"/>
        </w:rPr>
        <w:t>”</w:t>
      </w:r>
      <w:r>
        <w:rPr>
          <w:color w:val="000000"/>
          <w:spacing w:val="0"/>
          <w:w w:val="100"/>
          <w:position w:val="0"/>
        </w:rPr>
        <w:t>做出答复，在诊疗项目方面， 将指导各地逐步把医保能承担的技术成熟、安全可靠、费用可控的治疗性辅助生殖技术按程序纳入医保支付范围。</w:t>
      </w:r>
    </w:p>
    <w:p>
      <w:pPr>
        <w:pStyle w:val="Style17"/>
        <w:keepNext w:val="0"/>
        <w:keepLines w:val="0"/>
        <w:widowControl w:val="0"/>
        <w:shd w:val="clear" w:color="auto" w:fill="auto"/>
        <w:bidi w:val="0"/>
        <w:spacing w:before="0" w:after="220" w:line="308" w:lineRule="exact"/>
        <w:ind w:left="0" w:right="0"/>
        <w:jc w:val="both"/>
      </w:pPr>
      <w:r>
        <w:rPr>
          <w:color w:val="000000"/>
          <w:spacing w:val="0"/>
          <w:w w:val="100"/>
          <w:position w:val="0"/>
        </w:rPr>
        <w:t>另一方面，我国新生儿遗传代谢病筛查领域正处于快速发展时期，尤其近两年，《新生儿疾病串联质谱筛查技术专家共 识》等行业共识不断推出，对该领域的应用规范和快速发展具有重要推动作用。上述文件的发布，有利于进一步强化民众对 婚前保健和出生缺陷防治的认知，促进公司将现有民生检测项目的执行经验落实到出生缺陷防控工作中去，让基因科技成果 惠及更多民众。在国际市场，很多发达国家，如英国、德国、比利时、荷兰、法国，已将无创产前基因检测纳入公立医保范 围，美国妇产科医师学会</w:t>
      </w:r>
      <w:r>
        <w:rPr>
          <w:rFonts w:ascii="Times New Roman" w:eastAsia="Times New Roman" w:hAnsi="Times New Roman" w:cs="Times New Roman"/>
          <w:color w:val="000000"/>
          <w:spacing w:val="0"/>
          <w:w w:val="100"/>
          <w:position w:val="0"/>
        </w:rPr>
        <w:t>2020</w:t>
      </w:r>
      <w:r>
        <w:rPr>
          <w:color w:val="000000"/>
          <w:spacing w:val="0"/>
          <w:w w:val="100"/>
          <w:position w:val="0"/>
        </w:rPr>
        <w:t>年发布了新指南，建议对所有孕妇开展产前非整倍体筛查。</w:t>
      </w:r>
    </w:p>
    <w:p>
      <w:pPr>
        <w:pStyle w:val="Style17"/>
        <w:keepNext w:val="0"/>
        <w:keepLines w:val="0"/>
        <w:widowControl w:val="0"/>
        <w:shd w:val="clear" w:color="auto" w:fill="auto"/>
        <w:tabs>
          <w:tab w:pos="674" w:val="left"/>
        </w:tabs>
        <w:bidi w:val="0"/>
        <w:spacing w:before="0" w:after="0"/>
        <w:ind w:left="0" w:right="0"/>
        <w:jc w:val="both"/>
      </w:pPr>
      <w:bookmarkStart w:id="83" w:name="bookmark83"/>
      <w:r>
        <w:rPr>
          <w:rFonts w:ascii="Times New Roman" w:eastAsia="Times New Roman" w:hAnsi="Times New Roman" w:cs="Times New Roman"/>
          <w:b/>
          <w:bCs/>
          <w:color w:val="000000"/>
          <w:spacing w:val="0"/>
          <w:w w:val="100"/>
          <w:position w:val="0"/>
        </w:rPr>
        <w:t>2</w:t>
      </w:r>
      <w:bookmarkEnd w:id="83"/>
      <w:r>
        <w:rPr>
          <w:b/>
          <w:bCs/>
          <w:color w:val="000000"/>
          <w:spacing w:val="0"/>
          <w:w w:val="100"/>
          <w:position w:val="0"/>
        </w:rPr>
        <w:t>、</w:t>
        <w:tab/>
        <w:t>肿瘤防控及转化医学类服务方面的主要政策</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肿瘤预防和筛查方面，中国历来高度重视肿瘤防治工作，多次将肿瘤防治纳入国民经济和社会发展规划纲要及政府工作 报告。健康中国行动推进委员会于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月印发的《健康中国行动</w:t>
      </w:r>
      <w:r>
        <w:rPr>
          <w:color w:val="000000"/>
          <w:spacing w:val="0"/>
          <w:w w:val="100"/>
          <w:position w:val="0"/>
        </w:rPr>
        <w:t>（</w:t>
      </w:r>
      <w:r>
        <w:rPr>
          <w:rFonts w:ascii="Times New Roman" w:eastAsia="Times New Roman" w:hAnsi="Times New Roman" w:cs="Times New Roman"/>
          <w:color w:val="000000"/>
          <w:spacing w:val="0"/>
          <w:w w:val="100"/>
          <w:position w:val="0"/>
        </w:rPr>
        <w:t>2019-203</w:t>
      </w:r>
      <w:r>
        <w:rPr>
          <w:rFonts w:ascii="Times New Roman" w:eastAsia="Times New Roman" w:hAnsi="Times New Roman" w:cs="Times New Roman"/>
          <w:color w:val="000000"/>
          <w:spacing w:val="0"/>
          <w:w w:val="100"/>
          <w:position w:val="0"/>
        </w:rPr>
        <w:t>0</w:t>
      </w:r>
      <w:r>
        <w:rPr>
          <w:color w:val="000000"/>
          <w:spacing w:val="0"/>
          <w:w w:val="100"/>
          <w:position w:val="0"/>
        </w:rPr>
        <w:t>年）》明确了癌症防治行动的具体行动指标： 到</w:t>
      </w:r>
      <w:r>
        <w:rPr>
          <w:rFonts w:ascii="Times New Roman" w:eastAsia="Times New Roman" w:hAnsi="Times New Roman" w:cs="Times New Roman"/>
          <w:color w:val="000000"/>
          <w:spacing w:val="0"/>
          <w:w w:val="100"/>
          <w:position w:val="0"/>
        </w:rPr>
        <w:t>2022</w:t>
      </w:r>
      <w:r>
        <w:rPr>
          <w:color w:val="000000"/>
          <w:spacing w:val="0"/>
          <w:w w:val="100"/>
          <w:position w:val="0"/>
        </w:rPr>
        <w:t>年和</w:t>
      </w:r>
      <w:r>
        <w:rPr>
          <w:rFonts w:ascii="Times New Roman" w:eastAsia="Times New Roman" w:hAnsi="Times New Roman" w:cs="Times New Roman"/>
          <w:color w:val="000000"/>
          <w:spacing w:val="0"/>
          <w:w w:val="100"/>
          <w:position w:val="0"/>
        </w:rPr>
        <w:t>2030</w:t>
      </w:r>
      <w:r>
        <w:rPr>
          <w:color w:val="000000"/>
          <w:spacing w:val="0"/>
          <w:w w:val="100"/>
          <w:position w:val="0"/>
        </w:rPr>
        <w:t>年，总体癌症</w:t>
      </w:r>
      <w:r>
        <w:rPr>
          <w:rFonts w:ascii="Times New Roman" w:eastAsia="Times New Roman" w:hAnsi="Times New Roman" w:cs="Times New Roman"/>
          <w:color w:val="000000"/>
          <w:spacing w:val="0"/>
          <w:w w:val="100"/>
          <w:position w:val="0"/>
        </w:rPr>
        <w:t>5</w:t>
      </w:r>
      <w:r>
        <w:rPr>
          <w:color w:val="000000"/>
          <w:spacing w:val="0"/>
          <w:w w:val="100"/>
          <w:position w:val="0"/>
        </w:rPr>
        <w:t>年生存率分别不低于</w:t>
      </w:r>
      <w:r>
        <w:rPr>
          <w:rFonts w:ascii="Times New Roman" w:eastAsia="Times New Roman" w:hAnsi="Times New Roman" w:cs="Times New Roman"/>
          <w:color w:val="000000"/>
          <w:spacing w:val="0"/>
          <w:w w:val="100"/>
          <w:position w:val="0"/>
        </w:rPr>
        <w:t>43.3%</w:t>
      </w:r>
      <w:r>
        <w:rPr>
          <w:color w:val="000000"/>
          <w:spacing w:val="0"/>
          <w:w w:val="100"/>
          <w:position w:val="0"/>
        </w:rPr>
        <w:t>和</w:t>
      </w:r>
      <w:r>
        <w:rPr>
          <w:rFonts w:ascii="Times New Roman" w:eastAsia="Times New Roman" w:hAnsi="Times New Roman" w:cs="Times New Roman"/>
          <w:color w:val="000000"/>
          <w:spacing w:val="0"/>
          <w:w w:val="100"/>
          <w:position w:val="0"/>
        </w:rPr>
        <w:t xml:space="preserve">46.6% </w:t>
      </w:r>
      <w:r>
        <w:rPr>
          <w:color w:val="000000"/>
          <w:spacing w:val="0"/>
          <w:w w:val="100"/>
          <w:position w:val="0"/>
        </w:rPr>
        <w:t>；高发地区重点癌种早诊率达到</w:t>
      </w:r>
      <w:r>
        <w:rPr>
          <w:rFonts w:ascii="Times New Roman" w:eastAsia="Times New Roman" w:hAnsi="Times New Roman" w:cs="Times New Roman"/>
          <w:color w:val="000000"/>
          <w:spacing w:val="0"/>
          <w:w w:val="100"/>
          <w:position w:val="0"/>
        </w:rPr>
        <w:t>55%</w:t>
      </w:r>
      <w:r>
        <w:rPr>
          <w:color w:val="000000"/>
          <w:spacing w:val="0"/>
          <w:w w:val="100"/>
          <w:position w:val="0"/>
        </w:rPr>
        <w:t>及以上并持续提高； 农村适龄妇女宫颈癌和乳腺癌筛查覆盖率分别达到</w:t>
      </w:r>
      <w:r>
        <w:rPr>
          <w:rFonts w:ascii="Times New Roman" w:eastAsia="Times New Roman" w:hAnsi="Times New Roman" w:cs="Times New Roman"/>
          <w:color w:val="000000"/>
          <w:spacing w:val="0"/>
          <w:w w:val="100"/>
          <w:position w:val="0"/>
        </w:rPr>
        <w:t>80%</w:t>
      </w:r>
      <w:r>
        <w:rPr>
          <w:color w:val="000000"/>
          <w:spacing w:val="0"/>
          <w:w w:val="100"/>
          <w:position w:val="0"/>
        </w:rPr>
        <w:t>及以上和</w:t>
      </w:r>
      <w:r>
        <w:rPr>
          <w:rFonts w:ascii="Times New Roman" w:eastAsia="Times New Roman" w:hAnsi="Times New Roman" w:cs="Times New Roman"/>
          <w:color w:val="000000"/>
          <w:spacing w:val="0"/>
          <w:w w:val="100"/>
          <w:position w:val="0"/>
        </w:rPr>
        <w:t>90%</w:t>
      </w:r>
      <w:r>
        <w:rPr>
          <w:color w:val="000000"/>
          <w:spacing w:val="0"/>
          <w:w w:val="100"/>
          <w:position w:val="0"/>
        </w:rPr>
        <w:t xml:space="preserve">及以上；基本实现癌症高危人群定期参加防癌体检。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月发布的《深化医药卫生体制改革</w:t>
      </w:r>
      <w:r>
        <w:rPr>
          <w:rFonts w:ascii="Times New Roman" w:eastAsia="Times New Roman" w:hAnsi="Times New Roman" w:cs="Times New Roman"/>
          <w:color w:val="000000"/>
          <w:spacing w:val="0"/>
          <w:w w:val="100"/>
          <w:position w:val="0"/>
        </w:rPr>
        <w:t>2021</w:t>
      </w:r>
      <w:r>
        <w:rPr>
          <w:color w:val="000000"/>
          <w:spacing w:val="0"/>
          <w:w w:val="100"/>
          <w:position w:val="0"/>
        </w:rPr>
        <w:t>年重点工作任务》和《</w:t>
      </w:r>
      <w:r>
        <w:rPr>
          <w:rFonts w:ascii="Times New Roman" w:eastAsia="Times New Roman" w:hAnsi="Times New Roman" w:cs="Times New Roman"/>
          <w:color w:val="000000"/>
          <w:spacing w:val="0"/>
          <w:w w:val="100"/>
          <w:position w:val="0"/>
        </w:rPr>
        <w:t>“</w:t>
      </w:r>
      <w:r>
        <w:rPr>
          <w:color w:val="000000"/>
          <w:spacing w:val="0"/>
          <w:w w:val="100"/>
          <w:position w:val="0"/>
        </w:rPr>
        <w:t>千县工程</w:t>
      </w:r>
      <w:r>
        <w:rPr>
          <w:rFonts w:ascii="Times New Roman" w:eastAsia="Times New Roman" w:hAnsi="Times New Roman" w:cs="Times New Roman"/>
          <w:color w:val="000000"/>
          <w:spacing w:val="0"/>
          <w:w w:val="100"/>
          <w:position w:val="0"/>
        </w:rPr>
        <w:t>”</w:t>
      </w:r>
      <w:r>
        <w:rPr>
          <w:color w:val="000000"/>
          <w:spacing w:val="0"/>
          <w:w w:val="100"/>
          <w:position w:val="0"/>
        </w:rPr>
        <w:t>县医院综合能力提升工作方案</w:t>
      </w:r>
      <w:r>
        <w:rPr>
          <w:color w:val="000000"/>
          <w:spacing w:val="0"/>
          <w:w w:val="100"/>
          <w:position w:val="0"/>
        </w:rPr>
        <w:t>（</w:t>
      </w:r>
      <w:r>
        <w:rPr>
          <w:rFonts w:ascii="Times New Roman" w:eastAsia="Times New Roman" w:hAnsi="Times New Roman" w:cs="Times New Roman"/>
          <w:color w:val="000000"/>
          <w:spacing w:val="0"/>
          <w:w w:val="100"/>
          <w:position w:val="0"/>
        </w:rPr>
        <w:t xml:space="preserve">2021-2025 </w:t>
      </w:r>
      <w:r>
        <w:rPr>
          <w:color w:val="000000"/>
          <w:spacing w:val="0"/>
          <w:w w:val="100"/>
          <w:position w:val="0"/>
        </w:rPr>
        <w:t>年）》均强调要扩大高发癌症筛查覆盖范围，启动县级癌症筛查和早诊早治中心建设试点，并要求进一步提升县域医院在肿 瘤预防、治疗、康复上的能力，为优势医疗资源下沉至基层公共卫生机构提供政策支持。这将为适宜有效的癌症筛查技术的 推广带来新机遇。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月，世界卫生组织发布《加速消除宫颈癌全球战略》，全球</w:t>
      </w:r>
      <w:r>
        <w:rPr>
          <w:rFonts w:ascii="Times New Roman" w:eastAsia="Times New Roman" w:hAnsi="Times New Roman" w:cs="Times New Roman"/>
          <w:color w:val="000000"/>
          <w:spacing w:val="0"/>
          <w:w w:val="100"/>
          <w:position w:val="0"/>
        </w:rPr>
        <w:t>194</w:t>
      </w:r>
      <w:r>
        <w:rPr>
          <w:color w:val="000000"/>
          <w:spacing w:val="0"/>
          <w:w w:val="100"/>
          <w:position w:val="0"/>
        </w:rPr>
        <w:t>个国家将携手在</w:t>
      </w:r>
      <w:r>
        <w:rPr>
          <w:rFonts w:ascii="Times New Roman" w:eastAsia="Times New Roman" w:hAnsi="Times New Roman" w:cs="Times New Roman"/>
          <w:color w:val="000000"/>
          <w:spacing w:val="0"/>
          <w:w w:val="100"/>
          <w:position w:val="0"/>
        </w:rPr>
        <w:t>2030</w:t>
      </w:r>
      <w:r>
        <w:rPr>
          <w:color w:val="000000"/>
          <w:spacing w:val="0"/>
          <w:w w:val="100"/>
          <w:position w:val="0"/>
        </w:rPr>
        <w:t>年实现：</w:t>
      </w:r>
      <w:r>
        <w:rPr>
          <w:rFonts w:ascii="Times New Roman" w:eastAsia="Times New Roman" w:hAnsi="Times New Roman" w:cs="Times New Roman"/>
          <w:color w:val="000000"/>
          <w:spacing w:val="0"/>
          <w:w w:val="100"/>
          <w:position w:val="0"/>
        </w:rPr>
        <w:t xml:space="preserve">70% </w:t>
      </w:r>
      <w:r>
        <w:rPr>
          <w:color w:val="000000"/>
          <w:spacing w:val="0"/>
          <w:w w:val="100"/>
          <w:position w:val="0"/>
        </w:rPr>
        <w:t>的妇女在</w:t>
      </w:r>
      <w:r>
        <w:rPr>
          <w:rFonts w:ascii="Times New Roman" w:eastAsia="Times New Roman" w:hAnsi="Times New Roman" w:cs="Times New Roman"/>
          <w:color w:val="000000"/>
          <w:spacing w:val="0"/>
          <w:w w:val="100"/>
          <w:position w:val="0"/>
        </w:rPr>
        <w:t>35</w:t>
      </w:r>
      <w:r>
        <w:rPr>
          <w:color w:val="000000"/>
          <w:spacing w:val="0"/>
          <w:w w:val="100"/>
          <w:position w:val="0"/>
        </w:rPr>
        <w:t>岁和</w:t>
      </w:r>
      <w:r>
        <w:rPr>
          <w:rFonts w:ascii="Times New Roman" w:eastAsia="Times New Roman" w:hAnsi="Times New Roman" w:cs="Times New Roman"/>
          <w:color w:val="000000"/>
          <w:spacing w:val="0"/>
          <w:w w:val="100"/>
          <w:position w:val="0"/>
        </w:rPr>
        <w:t>45</w:t>
      </w:r>
      <w:r>
        <w:rPr>
          <w:color w:val="000000"/>
          <w:spacing w:val="0"/>
          <w:w w:val="100"/>
          <w:position w:val="0"/>
        </w:rPr>
        <w:t>岁之间接受高效检测方法筛查。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WHO</w:t>
      </w:r>
      <w:r>
        <w:rPr>
          <w:color w:val="000000"/>
          <w:spacing w:val="0"/>
          <w:w w:val="100"/>
          <w:position w:val="0"/>
        </w:rPr>
        <w:t>和联合国人类生殖特别规划处共同发布了最新的《子宫 颈癌前病变筛查和治疗指南》，推荐</w:t>
      </w:r>
      <w:r>
        <w:rPr>
          <w:rFonts w:ascii="Times New Roman" w:eastAsia="Times New Roman" w:hAnsi="Times New Roman" w:cs="Times New Roman"/>
          <w:color w:val="000000"/>
          <w:spacing w:val="0"/>
          <w:w w:val="100"/>
          <w:position w:val="0"/>
        </w:rPr>
        <w:t>HPV DNA</w:t>
      </w:r>
      <w:r>
        <w:rPr>
          <w:color w:val="000000"/>
          <w:spacing w:val="0"/>
          <w:w w:val="100"/>
          <w:position w:val="0"/>
        </w:rPr>
        <w:t>检测作为宫颈癌筛查首选方法。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日，国务院发布的《关于印发中 国妇女发展纲要和中国儿童发展纲要的通知》提及</w:t>
      </w:r>
      <w:r>
        <w:rPr>
          <w:rFonts w:ascii="Times New Roman" w:eastAsia="Times New Roman" w:hAnsi="Times New Roman" w:cs="Times New Roman"/>
          <w:color w:val="000000"/>
          <w:spacing w:val="0"/>
          <w:w w:val="100"/>
          <w:position w:val="0"/>
        </w:rPr>
        <w:t>“</w:t>
      </w:r>
      <w:r>
        <w:rPr>
          <w:color w:val="000000"/>
          <w:spacing w:val="0"/>
          <w:w w:val="100"/>
          <w:position w:val="0"/>
        </w:rPr>
        <w:t>妇女与健康</w:t>
      </w:r>
      <w:r>
        <w:rPr>
          <w:rFonts w:ascii="Times New Roman" w:eastAsia="Times New Roman" w:hAnsi="Times New Roman" w:cs="Times New Roman"/>
          <w:color w:val="000000"/>
          <w:spacing w:val="0"/>
          <w:w w:val="100"/>
          <w:position w:val="0"/>
        </w:rPr>
        <w:t>”</w:t>
      </w:r>
      <w:r>
        <w:rPr>
          <w:color w:val="000000"/>
          <w:spacing w:val="0"/>
          <w:w w:val="100"/>
          <w:position w:val="0"/>
        </w:rPr>
        <w:t>主要目标包括：</w:t>
      </w:r>
      <w:r>
        <w:rPr>
          <w:color w:val="333333"/>
          <w:spacing w:val="0"/>
          <w:w w:val="100"/>
          <w:position w:val="0"/>
        </w:rPr>
        <w:t>妇女的宫颈癌和乳腺癌防治意识明显提高， 宫颈癌和乳腺癌综合防治能力不断增强，适龄妇女宫颈癌人群筛查率达到</w:t>
      </w:r>
      <w:r>
        <w:rPr>
          <w:rFonts w:ascii="Times New Roman" w:eastAsia="Times New Roman" w:hAnsi="Times New Roman" w:cs="Times New Roman"/>
          <w:color w:val="333333"/>
          <w:spacing w:val="0"/>
          <w:w w:val="100"/>
          <w:position w:val="0"/>
        </w:rPr>
        <w:t>70%</w:t>
      </w:r>
      <w:r>
        <w:rPr>
          <w:color w:val="333333"/>
          <w:spacing w:val="0"/>
          <w:w w:val="100"/>
          <w:position w:val="0"/>
        </w:rPr>
        <w:t>以上，乳腺癌人群筛查率逐步提高。</w:t>
      </w:r>
      <w:r>
        <w:rPr>
          <w:rFonts w:ascii="Times New Roman" w:eastAsia="Times New Roman" w:hAnsi="Times New Roman" w:cs="Times New Roman"/>
          <w:color w:val="333333"/>
          <w:spacing w:val="0"/>
          <w:w w:val="100"/>
          <w:position w:val="0"/>
        </w:rPr>
        <w:t>2021</w:t>
      </w:r>
      <w:r>
        <w:rPr>
          <w:color w:val="333333"/>
          <w:spacing w:val="0"/>
          <w:w w:val="100"/>
          <w:position w:val="0"/>
        </w:rPr>
        <w:t>年</w:t>
      </w:r>
      <w:r>
        <w:rPr>
          <w:rFonts w:ascii="Times New Roman" w:eastAsia="Times New Roman" w:hAnsi="Times New Roman" w:cs="Times New Roman"/>
          <w:color w:val="333333"/>
          <w:spacing w:val="0"/>
          <w:w w:val="100"/>
          <w:position w:val="0"/>
        </w:rPr>
        <w:t xml:space="preserve">12 </w:t>
      </w:r>
      <w:r>
        <w:rPr>
          <w:color w:val="333333"/>
          <w:spacing w:val="0"/>
          <w:w w:val="100"/>
          <w:position w:val="0"/>
        </w:rPr>
        <w:t>月</w:t>
      </w:r>
      <w:r>
        <w:rPr>
          <w:rFonts w:ascii="Times New Roman" w:eastAsia="Times New Roman" w:hAnsi="Times New Roman" w:cs="Times New Roman"/>
          <w:color w:val="333333"/>
          <w:spacing w:val="0"/>
          <w:w w:val="100"/>
          <w:position w:val="0"/>
        </w:rPr>
        <w:t>31</w:t>
      </w:r>
      <w:r>
        <w:rPr>
          <w:color w:val="333333"/>
          <w:spacing w:val="0"/>
          <w:w w:val="100"/>
          <w:position w:val="0"/>
        </w:rPr>
        <w:t>日，国家卫生健康委办公厅发布《关于印发宫颈癌筛查工作方案和乳腺癌筛查工作方案的通知》指出，至</w:t>
      </w:r>
      <w:r>
        <w:rPr>
          <w:color w:val="333333"/>
          <w:spacing w:val="0"/>
          <w:w w:val="100"/>
          <w:position w:val="0"/>
          <w:sz w:val="18"/>
          <w:szCs w:val="18"/>
        </w:rPr>
        <w:t>0</w:t>
      </w:r>
      <w:r>
        <w:rPr>
          <w:rFonts w:ascii="Times New Roman" w:eastAsia="Times New Roman" w:hAnsi="Times New Roman" w:cs="Times New Roman"/>
          <w:color w:val="333333"/>
          <w:spacing w:val="0"/>
          <w:w w:val="100"/>
          <w:position w:val="0"/>
        </w:rPr>
        <w:t>2025</w:t>
      </w:r>
      <w:r>
        <w:rPr>
          <w:color w:val="333333"/>
          <w:spacing w:val="0"/>
          <w:w w:val="100"/>
          <w:position w:val="0"/>
        </w:rPr>
        <w:t>年底，逐 步提高宫颈癌筛查覆盖率，适龄妇女宫颈癌筛查率达到</w:t>
      </w:r>
      <w:r>
        <w:rPr>
          <w:rFonts w:ascii="Times New Roman" w:eastAsia="Times New Roman" w:hAnsi="Times New Roman" w:cs="Times New Roman"/>
          <w:color w:val="333333"/>
          <w:spacing w:val="0"/>
          <w:w w:val="100"/>
          <w:position w:val="0"/>
        </w:rPr>
        <w:t>50%</w:t>
      </w:r>
      <w:r>
        <w:rPr>
          <w:color w:val="333333"/>
          <w:spacing w:val="0"/>
          <w:w w:val="100"/>
          <w:position w:val="0"/>
        </w:rPr>
        <w:t>以上。</w:t>
      </w:r>
      <w:r>
        <w:rPr>
          <w:rFonts w:ascii="Times New Roman" w:eastAsia="Times New Roman" w:hAnsi="Times New Roman" w:cs="Times New Roman"/>
          <w:color w:val="000000"/>
          <w:spacing w:val="0"/>
          <w:w w:val="100"/>
          <w:position w:val="0"/>
        </w:rPr>
        <w:t>2020</w:t>
      </w:r>
      <w:r>
        <w:rPr>
          <w:color w:val="000000"/>
          <w:spacing w:val="0"/>
          <w:w w:val="100"/>
          <w:position w:val="0"/>
        </w:rPr>
        <w:t>年国家癌症中心制定的《中国结直肠癌筛查与早诊早 治指南》论证了多靶点粪便</w:t>
      </w:r>
      <w:r>
        <w:rPr>
          <w:rFonts w:ascii="Times New Roman" w:eastAsia="Times New Roman" w:hAnsi="Times New Roman" w:cs="Times New Roman"/>
          <w:color w:val="000000"/>
          <w:spacing w:val="0"/>
          <w:w w:val="100"/>
          <w:position w:val="0"/>
        </w:rPr>
        <w:t>FIT-DNA</w:t>
      </w:r>
      <w:r>
        <w:rPr>
          <w:color w:val="000000"/>
          <w:spacing w:val="0"/>
          <w:w w:val="100"/>
          <w:position w:val="0"/>
        </w:rPr>
        <w:t>检测与筛查人群寿命之间的关系。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日，北京市医疗保障局签发的《关于规 范、调整物理治疗类等医疗服务价格项目的通知》，将基因甲基化检测作为癌症早诊医疗服务项目纳入甲类医保报销范围。 随着早筛技术研发投入和应用加大，创新器械和技术合规化使用的不断推动，基于甲基化检测、高通量测序技术的肿瘤筛查 也逐步进入专家共识及医保项目。以上政策举措均有助于积极推动肿瘤防控的推广普及。</w:t>
      </w:r>
    </w:p>
    <w:p>
      <w:pPr>
        <w:pStyle w:val="Style17"/>
        <w:keepNext w:val="0"/>
        <w:keepLines w:val="0"/>
        <w:widowControl w:val="0"/>
        <w:shd w:val="clear" w:color="auto" w:fill="auto"/>
        <w:bidi w:val="0"/>
        <w:spacing w:before="0" w:after="220" w:line="313" w:lineRule="exact"/>
        <w:ind w:left="0" w:right="0"/>
        <w:jc w:val="both"/>
      </w:pPr>
      <w:r>
        <w:rPr>
          <w:color w:val="000000"/>
          <w:spacing w:val="0"/>
          <w:w w:val="100"/>
          <w:position w:val="0"/>
        </w:rPr>
        <w:t>在肿瘤诊疗方面，国家卫健委于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月连续印发《抗肿瘤药物临床应用管理办法（试行）》及《新型抗肿瘤药物临 床应用指导原则（</w:t>
      </w:r>
      <w:r>
        <w:rPr>
          <w:rFonts w:ascii="Times New Roman" w:eastAsia="Times New Roman" w:hAnsi="Times New Roman" w:cs="Times New Roman"/>
          <w:color w:val="000000"/>
          <w:spacing w:val="0"/>
          <w:w w:val="100"/>
          <w:position w:val="0"/>
        </w:rPr>
        <w:t>2020</w:t>
      </w:r>
      <w:r>
        <w:rPr>
          <w:color w:val="000000"/>
          <w:spacing w:val="0"/>
          <w:w w:val="100"/>
          <w:position w:val="0"/>
        </w:rPr>
        <w:t>年版）》，用以加强抗肿瘤药物临床应用的监督管理。文件中明确规定，国家卫健委发布的诊疗规范、 临床诊疗指南、临床路径或药品说明书规定需进行基因靶点检测的靶向药物，使用前需经靶点基因检测，确认患者适用后方 可开具。在医疗机构的能力建设上，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月出台的《肿瘤诊疗质量提升行动计划》要求进一步提升肿瘤诊疗能力，指出 要根据肿瘤分子生物学特征等实施规范诊疗，并加强检验科、病理科等能力建设，提高肿瘤诊断能力；在医保报销政策上， 医保目录持续纳入肿瘤靶向治疗及免疫治疗药物和扩展其适应症，基因测序纳入地方性医保报销范围。抗肿瘤药物使用和诊 疗行为的规范化以及医保报销范围的扩展均促进肿瘤基因检测的市场渗透率。</w:t>
      </w:r>
    </w:p>
    <w:p>
      <w:pPr>
        <w:pStyle w:val="Style17"/>
        <w:keepNext w:val="0"/>
        <w:keepLines w:val="0"/>
        <w:widowControl w:val="0"/>
        <w:shd w:val="clear" w:color="auto" w:fill="auto"/>
        <w:tabs>
          <w:tab w:pos="674" w:val="left"/>
        </w:tabs>
        <w:bidi w:val="0"/>
        <w:spacing w:before="0" w:after="0"/>
        <w:ind w:left="0" w:right="0"/>
        <w:jc w:val="both"/>
      </w:pPr>
      <w:bookmarkStart w:id="84" w:name="bookmark84"/>
      <w:r>
        <w:rPr>
          <w:rFonts w:ascii="Times New Roman" w:eastAsia="Times New Roman" w:hAnsi="Times New Roman" w:cs="Times New Roman"/>
          <w:b/>
          <w:bCs/>
          <w:color w:val="000000"/>
          <w:spacing w:val="0"/>
          <w:w w:val="100"/>
          <w:position w:val="0"/>
        </w:rPr>
        <w:t>3</w:t>
      </w:r>
      <w:bookmarkEnd w:id="84"/>
      <w:r>
        <w:rPr>
          <w:b/>
          <w:bCs/>
          <w:color w:val="000000"/>
          <w:spacing w:val="0"/>
          <w:w w:val="100"/>
          <w:position w:val="0"/>
        </w:rPr>
        <w:t>、</w:t>
        <w:tab/>
        <w:t>感染防控类服务方面的主要政策</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感染防控类服务方面，国家卫健委近几年出台一系列关于抗菌药物合理应用的通知，要求各级各类医疗机构提高对抗菌 药物合理应用的重视程度，组织各类学习提升医师和药师对抗菌药物合理应用的认识，提出对患者体内抗菌药物浓度的检 测，也是落实抗菌药物合理应用的重要举措。国家卫健委在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年继续发布了多项通知，要求各医疗机构应当不断提高对抗 </w:t>
      </w:r>
      <w:r>
        <w:rPr>
          <w:color w:val="000000"/>
          <w:spacing w:val="0"/>
          <w:w w:val="100"/>
          <w:position w:val="0"/>
        </w:rPr>
        <w:t>菌药物临床应用管理重要性的认识，加强检验支撑，促进抗菌药物精准使用，加强临床检验实验室建设，做好标本检测相关 工作，提高微生物检验水平。上述政策有助于推进抗菌药物浓度检测的开展，深化抗感染个体化用药的理念，降低抗感染药 物的用药风险。</w:t>
      </w:r>
      <w:r>
        <w:rPr>
          <w:rFonts w:ascii="Times New Roman" w:eastAsia="Times New Roman" w:hAnsi="Times New Roman" w:cs="Times New Roman"/>
          <w:color w:val="000000"/>
          <w:spacing w:val="0"/>
          <w:w w:val="100"/>
          <w:position w:val="0"/>
        </w:rPr>
        <w:t>2020</w:t>
      </w:r>
      <w:r>
        <w:rPr>
          <w:color w:val="000000"/>
          <w:spacing w:val="0"/>
          <w:w w:val="100"/>
          <w:position w:val="0"/>
        </w:rPr>
        <w:t>年以来，国家卫健委发布了多项通知，要求各地医疗机构将提高核酸检测能力作为基础性工作，避免局 部疫情出现甚至爆发时，医疗资源挤兑导致检测能力严重滞后；国家卫健委发布《关于印发国家传染病医学中心及国家传染 病区域医疗中心设置标准的通知》，指出传染病医学中心应当具备常见传染病、新发突发传染病和重大传染病的综合诊疗能 力，掌握疑难危重传染病救治所涉及的各项关键技术，具备突发新发传染病病原体识别与检测能力。</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月，国家卫健 委发布了《关于进一步加强抗微生物药物管理遏制耐药工作的通知》，再次强调要积极应对微生物耐药，提高临床合理用药 水平，并提出立足多学科协作，提高感染性疾病诊疗能力。</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日，国务院办公厅发布的《关于推动公立医院高质量 发展的意见》指出，加强临床专科建设，以满足重大疾病临床需求为导向建设临床专科，重点发展重症、肿瘤、心脑血管、 呼吸、消化、感染、儿科、麻醉、影像、病理、检验等临床专科，以专科发展带动诊疗能力和水平提升；发挥县级医院在县 域医共体中的龙头作用，加强县级医院（含中医医院）能力建设，提升核心专科、夯实支撑专科、打造优势专科，提高肿瘤、 心脑血管、呼吸、消化和感染性疾病等防治能力。</w:t>
      </w:r>
    </w:p>
    <w:p>
      <w:pPr>
        <w:pStyle w:val="Style17"/>
        <w:keepNext w:val="0"/>
        <w:keepLines w:val="0"/>
        <w:widowControl w:val="0"/>
        <w:shd w:val="clear" w:color="auto" w:fill="auto"/>
        <w:tabs>
          <w:tab w:pos="664" w:val="left"/>
        </w:tabs>
        <w:bidi w:val="0"/>
        <w:spacing w:before="0" w:after="0"/>
        <w:ind w:left="0" w:right="0"/>
        <w:jc w:val="both"/>
      </w:pPr>
      <w:bookmarkStart w:id="85" w:name="bookmark85"/>
      <w:r>
        <w:rPr>
          <w:rFonts w:ascii="Times New Roman" w:eastAsia="Times New Roman" w:hAnsi="Times New Roman" w:cs="Times New Roman"/>
          <w:b/>
          <w:bCs/>
          <w:color w:val="000000"/>
          <w:spacing w:val="0"/>
          <w:w w:val="100"/>
          <w:position w:val="0"/>
        </w:rPr>
        <w:t>4</w:t>
      </w:r>
      <w:bookmarkEnd w:id="85"/>
      <w:r>
        <w:rPr>
          <w:b/>
          <w:bCs/>
          <w:color w:val="000000"/>
          <w:spacing w:val="0"/>
          <w:w w:val="100"/>
          <w:position w:val="0"/>
        </w:rPr>
        <w:t>、</w:t>
        <w:tab/>
        <w:t>多组学大数据服务与合成业务方面的主要政策</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多组学大数据服务方面，科技部等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月印发的《新形势下加强基础研究若干重点举措》中提及，支持企业和新型 研发机构加强基础研究，拓宽基础研究经费投入渠道，逐步提高基础研究占全社会研发投入比例。《</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规划》中指出， 在基因技术等前沿科技和产业变革领域，组织实施未来产业孵化与加速计划，谋划布局一批未来产业。</w:t>
      </w:r>
      <w:r>
        <w:rPr>
          <w:rFonts w:ascii="Times New Roman" w:eastAsia="Times New Roman" w:hAnsi="Times New Roman" w:cs="Times New Roman"/>
          <w:color w:val="000000"/>
          <w:spacing w:val="0"/>
          <w:w w:val="100"/>
          <w:position w:val="0"/>
        </w:rPr>
        <w:t>2021</w:t>
      </w:r>
      <w:r>
        <w:rPr>
          <w:color w:val="000000"/>
          <w:spacing w:val="0"/>
          <w:w w:val="100"/>
          <w:position w:val="0"/>
        </w:rPr>
        <w:t>年中央一号文件 《中共中央国务院关于全面推进乡村振兴加快农业农村现代化的意见》提出，要把全面推进乡村振兴作为实现中华民族伟大 复兴的一项重大任务，加快推进农业农村现代化，其中包括</w:t>
      </w:r>
      <w:r>
        <w:rPr>
          <w:rFonts w:ascii="Times New Roman" w:eastAsia="Times New Roman" w:hAnsi="Times New Roman" w:cs="Times New Roman"/>
          <w:color w:val="000000"/>
          <w:spacing w:val="0"/>
          <w:w w:val="100"/>
          <w:position w:val="0"/>
        </w:rPr>
        <w:t>“</w:t>
      </w:r>
      <w:r>
        <w:rPr>
          <w:color w:val="000000"/>
          <w:spacing w:val="0"/>
          <w:w w:val="100"/>
          <w:position w:val="0"/>
        </w:rPr>
        <w:t>加强农业种质资源保护开发利用，加快第三次农作物种质资源、 畜禽种质资源调查收集，加强国家作物、畜禽和海洋渔业生物种质资源库建设；对育种基础性研究以及重点育种项目给予长 期稳定支持；加快实施农业生物育种重大科技项目。</w:t>
      </w:r>
      <w:r>
        <w:rPr>
          <w:rFonts w:ascii="Times New Roman" w:eastAsia="Times New Roman" w:hAnsi="Times New Roman" w:cs="Times New Roman"/>
          <w:color w:val="000000"/>
          <w:spacing w:val="0"/>
          <w:w w:val="100"/>
          <w:position w:val="0"/>
        </w:rPr>
        <w:t>”</w:t>
      </w:r>
      <w:r>
        <w:rPr>
          <w:color w:val="000000"/>
          <w:spacing w:val="0"/>
          <w:w w:val="100"/>
          <w:position w:val="0"/>
        </w:rPr>
        <w:t>国务院于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月印发的《国家标准化发展纲要》中就推动标准化 与科技创新互动发展明确要求加强关键技术领域标准研究，在生物技术等领域，开展标准化研究，适时制定和完善生物医学 研究、分子育种等领域技术安全相关标准，提升技术领域安全风险管理水平。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月中共中央办公厅、国务院办公厅印 发的《关于进一步加强生物多样性保护的意见》提出，加强生物资源开发和可持续利用技术研究。合成业务方面，《</w:t>
      </w:r>
      <w:r>
        <w:rPr>
          <w:rFonts w:ascii="Times New Roman" w:eastAsia="Times New Roman" w:hAnsi="Times New Roman" w:cs="Times New Roman"/>
          <w:color w:val="000000"/>
          <w:spacing w:val="0"/>
          <w:w w:val="100"/>
          <w:position w:val="0"/>
        </w:rPr>
        <w:t>“</w:t>
      </w:r>
      <w:r>
        <w:rPr>
          <w:color w:val="000000"/>
          <w:spacing w:val="0"/>
          <w:w w:val="100"/>
          <w:position w:val="0"/>
        </w:rPr>
        <w:t>十四 五</w:t>
      </w:r>
      <w:r>
        <w:rPr>
          <w:rFonts w:ascii="Times New Roman" w:eastAsia="Times New Roman" w:hAnsi="Times New Roman" w:cs="Times New Roman"/>
          <w:color w:val="000000"/>
          <w:spacing w:val="0"/>
          <w:w w:val="100"/>
          <w:position w:val="0"/>
        </w:rPr>
        <w:t>”</w:t>
      </w:r>
      <w:r>
        <w:rPr>
          <w:color w:val="000000"/>
          <w:spacing w:val="0"/>
          <w:w w:val="100"/>
          <w:position w:val="0"/>
        </w:rPr>
        <w:t>规划》明确将合成生物学列为科技前沿领域方向之一，各地均出台了相应的扶持政策</w:t>
      </w:r>
      <w:r>
        <w:rPr>
          <w:b/>
          <w:bCs/>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color w:val="333333"/>
          <w:spacing w:val="0"/>
          <w:w w:val="100"/>
          <w:position w:val="0"/>
        </w:rPr>
        <w:t>深圳市发展和改 革委员会发布的《深圳市国民经济和社会发展第十四个五年规划和二</w:t>
      </w:r>
      <w:r>
        <w:rPr>
          <w:color w:val="333333"/>
          <w:spacing w:val="0"/>
          <w:w w:val="100"/>
          <w:position w:val="0"/>
          <w:sz w:val="18"/>
          <w:szCs w:val="18"/>
        </w:rPr>
        <w:t>O</w:t>
      </w:r>
      <w:r>
        <w:rPr>
          <w:color w:val="333333"/>
          <w:spacing w:val="0"/>
          <w:w w:val="100"/>
          <w:position w:val="0"/>
        </w:rPr>
        <w:t>三五年远景目标纲要》</w:t>
      </w:r>
      <w:r>
        <w:rPr>
          <w:color w:val="000000"/>
          <w:spacing w:val="0"/>
          <w:w w:val="100"/>
          <w:position w:val="0"/>
        </w:rPr>
        <w:t>中指出，</w:t>
      </w:r>
      <w:r>
        <w:rPr>
          <w:rFonts w:ascii="Times New Roman" w:eastAsia="Times New Roman" w:hAnsi="Times New Roman" w:cs="Times New Roman"/>
          <w:color w:val="000000"/>
          <w:spacing w:val="0"/>
          <w:w w:val="100"/>
          <w:position w:val="0"/>
        </w:rPr>
        <w:t>“</w:t>
      </w:r>
      <w:r>
        <w:rPr>
          <w:color w:val="000000"/>
          <w:spacing w:val="0"/>
          <w:w w:val="100"/>
          <w:position w:val="0"/>
        </w:rPr>
        <w:t>建设具有全球影响 力的科技和产业创新高地</w:t>
      </w:r>
      <w:r>
        <w:rPr>
          <w:rFonts w:ascii="Times New Roman" w:eastAsia="Times New Roman" w:hAnsi="Times New Roman" w:cs="Times New Roman"/>
          <w:color w:val="000000"/>
          <w:spacing w:val="0"/>
          <w:w w:val="100"/>
          <w:position w:val="0"/>
        </w:rPr>
        <w:t>”</w:t>
      </w:r>
      <w:r>
        <w:rPr>
          <w:color w:val="000000"/>
          <w:spacing w:val="0"/>
          <w:w w:val="100"/>
          <w:position w:val="0"/>
        </w:rPr>
        <w:t>，加快建设合成生物研究设施在内的科技创新重大工程；</w:t>
      </w:r>
      <w:r>
        <w:rPr>
          <w:rFonts w:ascii="Times New Roman" w:eastAsia="Times New Roman" w:hAnsi="Times New Roman" w:cs="Times New Roman"/>
          <w:color w:val="000000"/>
          <w:spacing w:val="0"/>
          <w:w w:val="100"/>
          <w:position w:val="0"/>
        </w:rPr>
        <w:t>“</w:t>
      </w:r>
      <w:r>
        <w:rPr>
          <w:color w:val="000000"/>
          <w:spacing w:val="0"/>
          <w:w w:val="100"/>
          <w:position w:val="0"/>
        </w:rPr>
        <w:t>加强关键核心技术攻关</w:t>
      </w:r>
      <w:r>
        <w:rPr>
          <w:rFonts w:ascii="Times New Roman" w:eastAsia="Times New Roman" w:hAnsi="Times New Roman" w:cs="Times New Roman"/>
          <w:color w:val="000000"/>
          <w:spacing w:val="0"/>
          <w:w w:val="100"/>
          <w:position w:val="0"/>
        </w:rPr>
        <w:t>”</w:t>
      </w:r>
      <w:r>
        <w:rPr>
          <w:color w:val="000000"/>
          <w:spacing w:val="0"/>
          <w:w w:val="100"/>
          <w:position w:val="0"/>
        </w:rPr>
        <w:t>，在生物育种 关键核心技术攻关重点领域方面，重点围绕组学技术、合成生物学等领域开展关键技术攻关。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月，天津市</w:t>
      </w:r>
      <w:r>
        <w:rPr>
          <w:color w:val="333333"/>
          <w:spacing w:val="0"/>
          <w:w w:val="100"/>
          <w:position w:val="0"/>
        </w:rPr>
        <w:t>科技局也 拟定了支持合成生物中心创新发展和成果转化多项举措，支持国家合成生物技术创新中心，加快创新链产业链融合。</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月，国内首个合成生物产业领域专项扶持政策《光明区关于支持合成生物创新链产业链融合发展的若干措施》发布，在国 内具有标杆意义。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月，国家发改委及工信部联合下发的《关于推动原料药产业高质量发展实施方案》中明确说明， 应顺应原料药技术革新趋势，加快合成生物技术等先进技术的开发与应用，拓宽合成生物学在药物领域的应用范围。</w:t>
      </w:r>
    </w:p>
    <w:p>
      <w:pPr>
        <w:pStyle w:val="Style17"/>
        <w:keepNext w:val="0"/>
        <w:keepLines w:val="0"/>
        <w:widowControl w:val="0"/>
        <w:shd w:val="clear" w:color="auto" w:fill="auto"/>
        <w:tabs>
          <w:tab w:pos="669" w:val="left"/>
        </w:tabs>
        <w:bidi w:val="0"/>
        <w:spacing w:before="0" w:after="0"/>
        <w:ind w:left="0" w:right="0"/>
        <w:jc w:val="both"/>
      </w:pPr>
      <w:bookmarkStart w:id="86" w:name="bookmark86"/>
      <w:r>
        <w:rPr>
          <w:rFonts w:ascii="Times New Roman" w:eastAsia="Times New Roman" w:hAnsi="Times New Roman" w:cs="Times New Roman"/>
          <w:b/>
          <w:bCs/>
          <w:color w:val="000000"/>
          <w:spacing w:val="0"/>
          <w:w w:val="100"/>
          <w:position w:val="0"/>
        </w:rPr>
        <w:t>5</w:t>
      </w:r>
      <w:bookmarkEnd w:id="86"/>
      <w:r>
        <w:rPr>
          <w:b/>
          <w:bCs/>
          <w:color w:val="000000"/>
          <w:spacing w:val="0"/>
          <w:w w:val="100"/>
          <w:position w:val="0"/>
        </w:rPr>
        <w:t>、</w:t>
        <w:tab/>
        <w:t>精准医学检测综合解决方案方面的主要政策</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精准医学检测综合解决方案方面，《</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规划》明确指出要完善突发公共卫生事件监测预警处置机制，加强实验室 检测网络建设，健全医疗救治、科技支撑、物资保障体系，提高应对突发公共卫生事件能力；建立分级分层分流的传染病救 治网络，建立健全统一的国家公共卫生应急物资储备体系，大型公共建筑预设平疫结合改造接口。同时，近年来随着</w:t>
      </w:r>
      <w:r>
        <w:rPr>
          <w:rFonts w:ascii="Times New Roman" w:eastAsia="Times New Roman" w:hAnsi="Times New Roman" w:cs="Times New Roman"/>
          <w:color w:val="000000"/>
          <w:spacing w:val="0"/>
          <w:w w:val="100"/>
          <w:position w:val="0"/>
        </w:rPr>
        <w:t>“</w:t>
      </w:r>
      <w:r>
        <w:rPr>
          <w:color w:val="000000"/>
          <w:spacing w:val="0"/>
          <w:w w:val="100"/>
          <w:position w:val="0"/>
        </w:rPr>
        <w:t>取消 公立医疗机构医用耗材加成</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改革完善医用耗材（含体外诊断试剂）采购政策</w:t>
      </w:r>
      <w:r>
        <w:rPr>
          <w:rFonts w:ascii="Times New Roman" w:eastAsia="Times New Roman" w:hAnsi="Times New Roman" w:cs="Times New Roman"/>
          <w:color w:val="000000"/>
          <w:spacing w:val="0"/>
          <w:w w:val="100"/>
          <w:position w:val="0"/>
        </w:rPr>
        <w:t>”</w:t>
      </w:r>
      <w:r>
        <w:rPr>
          <w:color w:val="000000"/>
          <w:spacing w:val="0"/>
          <w:w w:val="100"/>
          <w:position w:val="0"/>
        </w:rPr>
        <w:t>等相关行业政策的颁布和实施，技术自主 可控、质量优秀、成本可控的医疗设备及试剂市场迎来了更广阔的发展空间。</w:t>
      </w:r>
    </w:p>
    <w:p>
      <w:pPr>
        <w:pStyle w:val="Style17"/>
        <w:keepNext w:val="0"/>
        <w:keepLines w:val="0"/>
        <w:widowControl w:val="0"/>
        <w:shd w:val="clear" w:color="auto" w:fill="auto"/>
        <w:bidi w:val="0"/>
        <w:spacing w:before="0" w:after="160" w:line="314" w:lineRule="exact"/>
        <w:ind w:left="0" w:right="0"/>
        <w:jc w:val="both"/>
      </w:pPr>
      <w:r>
        <w:rPr>
          <w:color w:val="000000"/>
          <w:spacing w:val="0"/>
          <w:w w:val="100"/>
          <w:position w:val="0"/>
        </w:rPr>
        <w:t>国务院办公厅于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月印发的《关于推动公立医院高质量发展的意见》中指出，公立医院是我国医疗服务体系的主 体，在发挥县级医院在县域医共体中的龙头作用方面，要提高肿瘤、感染性疾病等防治能力，提高县域就诊率；在建立健全 分级分层分流的重大疫情救治体系方面，每个地市选择</w:t>
      </w:r>
      <w:r>
        <w:rPr>
          <w:rFonts w:ascii="Times New Roman" w:eastAsia="Times New Roman" w:hAnsi="Times New Roman" w:cs="Times New Roman"/>
          <w:color w:val="000000"/>
          <w:spacing w:val="0"/>
          <w:w w:val="100"/>
          <w:position w:val="0"/>
        </w:rPr>
        <w:t>1</w:t>
      </w:r>
      <w:r>
        <w:rPr>
          <w:color w:val="000000"/>
          <w:spacing w:val="0"/>
          <w:w w:val="100"/>
          <w:position w:val="0"/>
        </w:rPr>
        <w:t>家综合医院针对性提升传染病救治能力，对现有独立传染病医院进 行基础设施改善和设备升级。</w:t>
      </w:r>
    </w:p>
    <w:p>
      <w:pPr>
        <w:pStyle w:val="Style24"/>
        <w:keepNext/>
        <w:keepLines/>
        <w:widowControl w:val="0"/>
        <w:shd w:val="clear" w:color="auto" w:fill="auto"/>
        <w:bidi w:val="0"/>
        <w:spacing w:before="0" w:after="260" w:line="240" w:lineRule="auto"/>
        <w:ind w:left="0" w:right="0" w:firstLine="0"/>
        <w:jc w:val="both"/>
      </w:pPr>
      <w:bookmarkStart w:id="87" w:name="bookmark87"/>
      <w:bookmarkStart w:id="88" w:name="bookmark88"/>
      <w:bookmarkStart w:id="89" w:name="bookmark89"/>
      <w:bookmarkStart w:id="90" w:name="bookmark90"/>
      <w:r>
        <w:rPr>
          <w:color w:val="000000"/>
          <w:spacing w:val="0"/>
          <w:w w:val="100"/>
          <w:position w:val="0"/>
          <w:sz w:val="24"/>
          <w:szCs w:val="24"/>
        </w:rPr>
        <w:t>二</w:t>
      </w:r>
      <w:bookmarkEnd w:id="89"/>
      <w:r>
        <w:rPr>
          <w:color w:val="000000"/>
          <w:spacing w:val="0"/>
          <w:w w:val="100"/>
          <w:position w:val="0"/>
          <w:sz w:val="24"/>
          <w:szCs w:val="24"/>
        </w:rPr>
        <w:t>、报告期内公司从事的主要业务</w:t>
      </w:r>
      <w:bookmarkEnd w:id="87"/>
      <w:bookmarkEnd w:id="88"/>
      <w:bookmarkEnd w:id="90"/>
    </w:p>
    <w:p>
      <w:pPr>
        <w:pStyle w:val="Style17"/>
        <w:keepNext w:val="0"/>
        <w:keepLines w:val="0"/>
        <w:widowControl w:val="0"/>
        <w:shd w:val="clear" w:color="auto" w:fill="auto"/>
        <w:bidi w:val="0"/>
        <w:spacing w:before="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医疗器械业务</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7"/>
        <w:keepNext w:val="0"/>
        <w:keepLines w:val="0"/>
        <w:widowControl w:val="0"/>
        <w:shd w:val="clear" w:color="auto" w:fill="auto"/>
        <w:bidi w:val="0"/>
        <w:spacing w:before="0" w:after="0" w:line="314" w:lineRule="exact"/>
        <w:ind w:left="0" w:right="0" w:firstLine="200"/>
        <w:jc w:val="both"/>
      </w:pPr>
      <w:bookmarkStart w:id="91" w:name="bookmark91"/>
      <w:r>
        <w:rPr>
          <w:b/>
          <w:bCs/>
          <w:color w:val="000000"/>
          <w:spacing w:val="0"/>
          <w:w w:val="100"/>
          <w:position w:val="0"/>
        </w:rPr>
        <w:t>（</w:t>
      </w:r>
      <w:bookmarkEnd w:id="91"/>
      <w:r>
        <w:rPr>
          <w:b/>
          <w:bCs/>
          <w:color w:val="000000"/>
          <w:spacing w:val="0"/>
          <w:w w:val="100"/>
          <w:position w:val="0"/>
        </w:rPr>
        <w:t>一）主要业务、产品及用途</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华大基因作为中国基因行业的奠基者，秉承</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的愿景，通过</w:t>
      </w:r>
      <w:r>
        <w:rPr>
          <w:rFonts w:ascii="Times New Roman" w:eastAsia="Times New Roman" w:hAnsi="Times New Roman" w:cs="Times New Roman"/>
          <w:color w:val="000000"/>
          <w:spacing w:val="0"/>
          <w:w w:val="100"/>
          <w:position w:val="0"/>
        </w:rPr>
        <w:t>20</w:t>
      </w:r>
      <w:r>
        <w:rPr>
          <w:color w:val="000000"/>
          <w:spacing w:val="0"/>
          <w:w w:val="100"/>
          <w:position w:val="0"/>
        </w:rPr>
        <w:t>多年的人才积聚、科研积累和产业积淀， 已建成覆盖全球百余个国家和全国所有省市自治区的营销服务网络，成为屈指可数的覆盖本行业全产业链、全应用领域的科 技公司，立足技术先进、配置齐全和规模领先的多组学产出平台，已成为全球屈指可数的科学技术服务提供商和精准医疗服 务运营商。</w:t>
      </w:r>
    </w:p>
    <w:p>
      <w:pPr>
        <w:pStyle w:val="Style17"/>
        <w:keepNext w:val="0"/>
        <w:keepLines w:val="0"/>
        <w:widowControl w:val="0"/>
        <w:shd w:val="clear" w:color="auto" w:fill="auto"/>
        <w:bidi w:val="0"/>
        <w:spacing w:before="0" w:line="314" w:lineRule="exact"/>
        <w:ind w:left="0" w:right="0"/>
        <w:jc w:val="both"/>
      </w:pPr>
      <w:r>
        <w:rPr>
          <w:color w:val="000000"/>
          <w:spacing w:val="0"/>
          <w:w w:val="100"/>
          <w:position w:val="0"/>
        </w:rPr>
        <w:t>公司主营业务为通过基因检测、质谱检测、生物信息分析等多组学大数据技术手段，为科研机构、企事业单位、医疗机 构、社会卫生组织等提供研究服务和精准医学检测综合解决方案。华大基因以推动生命科学研究进展、生命大数据应用和提 高全球医疗健康水平为出发点，基于基因领域研究成果及精准检测技术在民生健康方面的应用，致力于加速科技创新，减少 出生缺陷，加强肿瘤防控，抑制重大疾病对人类的危害，实现精准治愈感染，全面助力精准医学。</w:t>
      </w:r>
    </w:p>
    <w:p>
      <w:pPr>
        <w:pStyle w:val="Style17"/>
        <w:keepNext w:val="0"/>
        <w:keepLines w:val="0"/>
        <w:widowControl w:val="0"/>
        <w:shd w:val="clear" w:color="auto" w:fill="auto"/>
        <w:bidi w:val="0"/>
        <w:spacing w:before="0" w:line="314" w:lineRule="exact"/>
        <w:ind w:left="0" w:right="0"/>
        <w:jc w:val="both"/>
      </w:pPr>
      <w:bookmarkStart w:id="92" w:name="bookmark92"/>
      <w:r>
        <w:rPr>
          <w:rFonts w:ascii="Times New Roman" w:eastAsia="Times New Roman" w:hAnsi="Times New Roman" w:cs="Times New Roman"/>
          <w:b/>
          <w:bCs/>
          <w:color w:val="000000"/>
          <w:spacing w:val="0"/>
          <w:w w:val="100"/>
          <w:position w:val="0"/>
        </w:rPr>
        <w:t>1</w:t>
      </w:r>
      <w:bookmarkEnd w:id="92"/>
      <w:r>
        <w:rPr>
          <w:b/>
          <w:bCs/>
          <w:color w:val="000000"/>
          <w:spacing w:val="0"/>
          <w:w w:val="100"/>
          <w:position w:val="0"/>
        </w:rPr>
        <w:t>、生育健康基础研究和临床应用服务</w:t>
      </w:r>
    </w:p>
    <w:p>
      <w:pPr>
        <w:pStyle w:val="Style17"/>
        <w:keepNext w:val="0"/>
        <w:keepLines w:val="0"/>
        <w:widowControl w:val="0"/>
        <w:shd w:val="clear" w:color="auto" w:fill="auto"/>
        <w:bidi w:val="0"/>
        <w:spacing w:before="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）业务概述</w:t>
      </w:r>
    </w:p>
    <w:p>
      <w:pPr>
        <w:pStyle w:val="Style17"/>
        <w:keepNext w:val="0"/>
        <w:keepLines w:val="0"/>
        <w:widowControl w:val="0"/>
        <w:shd w:val="clear" w:color="auto" w:fill="auto"/>
        <w:bidi w:val="0"/>
        <w:spacing w:before="0" w:line="313" w:lineRule="exact"/>
        <w:ind w:left="0" w:right="0"/>
        <w:jc w:val="both"/>
      </w:pPr>
      <w:r>
        <w:rPr>
          <w:color w:val="000000"/>
          <w:spacing w:val="0"/>
          <w:w w:val="100"/>
          <w:position w:val="0"/>
        </w:rPr>
        <w:t>公司基于高通量测序仪等创新型自主检测平台，遵循国家卫健委发布的《全国出生缺陷综合防治方案》相关要求，从出 生缺陷三级防控角度出发，涵盖孕前、孕期、新生儿及儿童各阶段，开展与生育健康相关的基础研究和临床应用服务，旨在 全面助力出生缺陷防控，提高儿童健康水平，保障妇幼健康。主要业务包括：</w:t>
      </w:r>
      <w:r>
        <w:rPr>
          <w:rFonts w:ascii="Times New Roman" w:eastAsia="Times New Roman" w:hAnsi="Times New Roman" w:cs="Times New Roman"/>
          <w:color w:val="000000"/>
          <w:spacing w:val="0"/>
          <w:w w:val="100"/>
          <w:position w:val="0"/>
        </w:rPr>
        <w:t>NIFTY</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胎儿染色体异常无创产前基因检测系 列、多种单基因病无创产前检测、超声异常</w:t>
      </w:r>
      <w:r>
        <w:rPr>
          <w:rFonts w:ascii="Times New Roman" w:eastAsia="Times New Roman" w:hAnsi="Times New Roman" w:cs="Times New Roman"/>
          <w:color w:val="000000"/>
          <w:spacing w:val="0"/>
          <w:w w:val="100"/>
          <w:position w:val="0"/>
        </w:rPr>
        <w:t>/</w:t>
      </w:r>
      <w:r>
        <w:rPr>
          <w:color w:val="000000"/>
          <w:spacing w:val="0"/>
          <w:w w:val="100"/>
          <w:position w:val="0"/>
        </w:rPr>
        <w:t>引产组织高深度全基因组测序、</w:t>
      </w:r>
      <w:r>
        <w:rPr>
          <w:rFonts w:ascii="Times New Roman" w:eastAsia="Times New Roman" w:hAnsi="Times New Roman" w:cs="Times New Roman"/>
          <w:color w:val="000000"/>
          <w:spacing w:val="0"/>
          <w:w w:val="100"/>
          <w:position w:val="0"/>
        </w:rPr>
        <w:t>EmbryoSeq</w:t>
      </w:r>
      <w:r>
        <w:rPr>
          <w:color w:val="000000"/>
          <w:spacing w:val="0"/>
          <w:w w:val="100"/>
          <w:position w:val="0"/>
        </w:rPr>
        <w:t>胚胎植入前基因检测系列、康孕</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染 色体检测系列、觅因可遗传病基因检测系列（包含基于全外显子组、全基因组技术的检测）、安孕可单基因遗传病携带者筛 查系列、耳聆可</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遗传性耳聋基因检测系列、地中海贫血基因检测系列、安馨可</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新生儿及儿童基因检测系列等。</w:t>
      </w:r>
    </w:p>
    <w:p>
      <w:pPr>
        <w:pStyle w:val="Style17"/>
        <w:keepNext w:val="0"/>
        <w:keepLines w:val="0"/>
        <w:widowControl w:val="0"/>
        <w:shd w:val="clear" w:color="auto" w:fill="auto"/>
        <w:bidi w:val="0"/>
        <w:spacing w:before="0" w:after="200" w:line="312" w:lineRule="exact"/>
        <w:ind w:left="0" w:right="0"/>
        <w:jc w:val="both"/>
      </w:pPr>
      <w:r>
        <w:rPr>
          <w:color w:val="000000"/>
          <w:spacing w:val="0"/>
          <w:w w:val="100"/>
          <w:position w:val="0"/>
        </w:rPr>
        <w:t>公司基于高质量临床质谱检测服务平台，开发了一系列的医学检验产品，包括新生儿遗传代谢病筛查、新生儿先天性肾 上腺皮质增生症检测、新生儿溶酶体贮积症检测、孕期营养检测、人体氨基酸检测、人体维生素检测、人体胆汁酸谱检测等 产品。</w:t>
      </w: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）具体产品介绍</w:t>
      </w:r>
    </w:p>
    <w:tbl>
      <w:tblPr>
        <w:tblOverlap w:val="never"/>
        <w:jc w:val="center"/>
        <w:tblLayout w:type="fixed"/>
      </w:tblPr>
      <w:tblGrid>
        <w:gridCol w:w="562"/>
        <w:gridCol w:w="1704"/>
        <w:gridCol w:w="4997"/>
        <w:gridCol w:w="239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NIFTY</w:t>
            </w:r>
            <w:r>
              <w:rPr>
                <w:rFonts w:ascii="Times New Roman" w:eastAsia="Times New Roman" w:hAnsi="Times New Roman" w:cs="Times New Roman"/>
                <w:color w:val="000000"/>
                <w:spacing w:val="0"/>
                <w:w w:val="100"/>
                <w:position w:val="0"/>
                <w:vertAlign w:val="superscript"/>
              </w:rPr>
              <w:t>®</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胎儿染色体异常无创</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产前基因检测系列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采集孕妇外周血，提取胎儿游离</w:t>
            </w:r>
            <w:r>
              <w:rPr>
                <w:rFonts w:ascii="Times New Roman" w:eastAsia="Times New Roman" w:hAnsi="Times New Roman" w:cs="Times New Roman"/>
                <w:color w:val="000000"/>
                <w:spacing w:val="0"/>
                <w:w w:val="100"/>
                <w:position w:val="0"/>
              </w:rPr>
              <w:t>DNA</w:t>
            </w:r>
            <w:r>
              <w:rPr>
                <w:color w:val="000000"/>
                <w:spacing w:val="0"/>
                <w:w w:val="100"/>
                <w:position w:val="0"/>
              </w:rPr>
              <w:t>，</w:t>
            </w:r>
            <w:r>
              <w:rPr>
                <w:color w:val="000000"/>
                <w:spacing w:val="0"/>
                <w:w w:val="100"/>
                <w:position w:val="0"/>
              </w:rPr>
              <w:t>采用高通量测序技术，结 合生物信息分析，评估胎儿</w:t>
            </w: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三体综合征等胎儿常见染 色体异常风险。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提供胎儿染色体异常全面筛查 方案。</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EmbryoSeq</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胚胎植入前</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基因检测系列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以体外受精</w:t>
            </w:r>
            <w:r>
              <w:rPr>
                <w:rFonts w:ascii="Times New Roman" w:eastAsia="Times New Roman" w:hAnsi="Times New Roman" w:cs="Times New Roman"/>
                <w:color w:val="000000"/>
                <w:spacing w:val="0"/>
                <w:w w:val="100"/>
                <w:position w:val="0"/>
              </w:rPr>
              <w:t>-</w:t>
            </w:r>
            <w:r>
              <w:rPr>
                <w:color w:val="000000"/>
                <w:spacing w:val="0"/>
                <w:w w:val="100"/>
                <w:position w:val="0"/>
              </w:rPr>
              <w:t>胚胎移植技术为基础，结合胚胎显微操作、高通量测 序技术，结合生物信息学分析，对胚胎的活检细胞进行遗传学检 测，提示胚胎染色体数目及结构异常情况，及胚胎是否遗传父母 的致病突变。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为临床选择合适的胚胎植入提 供参考依据，提高胚胎植入后 的妊娠率，降低出生缺陷的发 生风险。</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康孕</w:t>
            </w:r>
            <w:r>
              <w:rPr>
                <w:rFonts w:ascii="Times New Roman" w:eastAsia="Times New Roman" w:hAnsi="Times New Roman" w:cs="Times New Roman"/>
                <w:color w:val="000000"/>
                <w:spacing w:val="0"/>
                <w:w w:val="100"/>
                <w:position w:val="0"/>
                <w:vertAlign w:val="superscript"/>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染色体检测系列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采集受检样本，采用高通量测序技术，结合短串联重复序列分析， 检测三倍体、</w:t>
            </w:r>
            <w:r>
              <w:rPr>
                <w:rFonts w:ascii="Times New Roman" w:eastAsia="Times New Roman" w:hAnsi="Times New Roman" w:cs="Times New Roman"/>
                <w:color w:val="000000"/>
                <w:spacing w:val="0"/>
                <w:w w:val="100"/>
                <w:position w:val="0"/>
              </w:rPr>
              <w:t>23</w:t>
            </w:r>
            <w:r>
              <w:rPr>
                <w:color w:val="000000"/>
                <w:spacing w:val="0"/>
                <w:w w:val="100"/>
                <w:position w:val="0"/>
              </w:rPr>
              <w:t>对染色体非整倍体、</w:t>
            </w:r>
            <w:r>
              <w:rPr>
                <w:rFonts w:ascii="Times New Roman" w:eastAsia="Times New Roman" w:hAnsi="Times New Roman" w:cs="Times New Roman"/>
                <w:color w:val="000000"/>
                <w:spacing w:val="0"/>
                <w:w w:val="100"/>
                <w:position w:val="0"/>
              </w:rPr>
              <w:t>100Kb</w:t>
            </w:r>
            <w:r>
              <w:rPr>
                <w:color w:val="000000"/>
                <w:spacing w:val="0"/>
                <w:w w:val="100"/>
                <w:position w:val="0"/>
              </w:rPr>
              <w:t>以上缺失</w:t>
            </w:r>
            <w:r>
              <w:rPr>
                <w:rFonts w:ascii="Times New Roman" w:eastAsia="Times New Roman" w:hAnsi="Times New Roman" w:cs="Times New Roman"/>
                <w:color w:val="000000"/>
                <w:spacing w:val="0"/>
                <w:w w:val="100"/>
                <w:position w:val="0"/>
              </w:rPr>
              <w:t>/</w:t>
            </w:r>
            <w:r>
              <w:rPr>
                <w:color w:val="000000"/>
                <w:spacing w:val="0"/>
                <w:w w:val="100"/>
                <w:position w:val="0"/>
              </w:rPr>
              <w:t>重复和常见 单亲二倍体</w:t>
            </w:r>
            <w:r>
              <w:rPr>
                <w:color w:val="000000"/>
                <w:spacing w:val="0"/>
                <w:w w:val="100"/>
                <w:position w:val="0"/>
              </w:rPr>
              <w:t>（</w:t>
            </w:r>
            <w:r>
              <w:rPr>
                <w:rFonts w:ascii="Times New Roman" w:eastAsia="Times New Roman" w:hAnsi="Times New Roman" w:cs="Times New Roman"/>
                <w:color w:val="000000"/>
                <w:spacing w:val="0"/>
                <w:w w:val="100"/>
                <w:position w:val="0"/>
              </w:rPr>
              <w:t>UPD</w:t>
            </w:r>
            <w:r>
              <w:rPr>
                <w:color w:val="000000"/>
                <w:spacing w:val="0"/>
                <w:w w:val="100"/>
                <w:position w:val="0"/>
              </w:rPr>
              <w:t>）</w:t>
            </w:r>
            <w:r>
              <w:rPr>
                <w:color w:val="000000"/>
                <w:spacing w:val="0"/>
                <w:w w:val="100"/>
                <w:position w:val="0"/>
              </w:rPr>
              <w:t>疾病，并对于超声异常胎儿病原微生物感染 情况予以提示。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排查自然流产、先天畸形、智 力障碍、发育迟缓等疾病的遗 传病因。</w:t>
            </w:r>
          </w:p>
        </w:tc>
      </w:tr>
      <w:tr>
        <w:trPr>
          <w:trHeight w:val="16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觅因可</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遗传病</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基因检测系列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color w:val="000000"/>
                <w:spacing w:val="0"/>
                <w:w w:val="100"/>
                <w:position w:val="0"/>
              </w:rPr>
              <w:t>采用目标序列捕获和高通量测序技术，结合生物信息学分析，对 受检者进行遗传学检测。本系列包括</w:t>
            </w:r>
            <w:r>
              <w:rPr>
                <w:rFonts w:ascii="Times New Roman" w:eastAsia="Times New Roman" w:hAnsi="Times New Roman" w:cs="Times New Roman"/>
                <w:color w:val="000000"/>
                <w:spacing w:val="0"/>
                <w:w w:val="100"/>
                <w:position w:val="0"/>
              </w:rPr>
              <w:t>53</w:t>
            </w:r>
            <w:r>
              <w:rPr>
                <w:color w:val="000000"/>
                <w:spacing w:val="0"/>
                <w:w w:val="100"/>
                <w:position w:val="0"/>
              </w:rPr>
              <w:t xml:space="preserve">种高发单基因遗传病 </w:t>
            </w:r>
            <w:r>
              <w:rPr>
                <w:rFonts w:ascii="Times New Roman" w:eastAsia="Times New Roman" w:hAnsi="Times New Roman" w:cs="Times New Roman"/>
                <w:color w:val="000000"/>
                <w:spacing w:val="0"/>
                <w:w w:val="100"/>
                <w:position w:val="0"/>
              </w:rPr>
              <w:t>panel</w:t>
            </w:r>
            <w:r>
              <w:rPr>
                <w:color w:val="000000"/>
                <w:spacing w:val="0"/>
                <w:w w:val="100"/>
                <w:position w:val="0"/>
              </w:rPr>
              <w:t>检测、临床全外显子组检测</w:t>
            </w:r>
            <w:r>
              <w:rPr>
                <w:rFonts w:ascii="Times New Roman" w:eastAsia="Times New Roman" w:hAnsi="Times New Roman" w:cs="Times New Roman"/>
                <w:b/>
                <w:bCs/>
                <w:color w:val="000000"/>
                <w:spacing w:val="0"/>
                <w:w w:val="100"/>
                <w:position w:val="0"/>
              </w:rPr>
              <w:t>-</w:t>
            </w:r>
            <w:r>
              <w:rPr>
                <w:color w:val="000000"/>
                <w:spacing w:val="0"/>
                <w:w w:val="100"/>
                <w:position w:val="0"/>
              </w:rPr>
              <w:t>单人、临床全外显子组检测</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Trio</w:t>
            </w:r>
            <w:r>
              <w:rPr>
                <w:color w:val="000000"/>
                <w:spacing w:val="0"/>
                <w:w w:val="100"/>
                <w:position w:val="0"/>
              </w:rPr>
              <w:t>、</w:t>
            </w:r>
            <w:r>
              <w:rPr>
                <w:color w:val="000000"/>
                <w:spacing w:val="0"/>
                <w:w w:val="100"/>
                <w:position w:val="0"/>
              </w:rPr>
              <w:t>单人全外及</w:t>
            </w:r>
            <w:r>
              <w:rPr>
                <w:rFonts w:ascii="Times New Roman" w:eastAsia="Times New Roman" w:hAnsi="Times New Roman" w:cs="Times New Roman"/>
                <w:color w:val="000000"/>
                <w:spacing w:val="0"/>
                <w:w w:val="100"/>
                <w:position w:val="0"/>
              </w:rPr>
              <w:t>CNVseq</w:t>
            </w:r>
            <w:r>
              <w:rPr>
                <w:color w:val="000000"/>
                <w:spacing w:val="0"/>
                <w:w w:val="100"/>
                <w:position w:val="0"/>
              </w:rPr>
              <w:t>检测套餐、家系全外及</w:t>
            </w:r>
            <w:r>
              <w:rPr>
                <w:rFonts w:ascii="Times New Roman" w:eastAsia="Times New Roman" w:hAnsi="Times New Roman" w:cs="Times New Roman"/>
                <w:color w:val="000000"/>
                <w:spacing w:val="0"/>
                <w:w w:val="100"/>
                <w:position w:val="0"/>
              </w:rPr>
              <w:t>CNVseq</w:t>
            </w:r>
            <w:r>
              <w:rPr>
                <w:color w:val="000000"/>
                <w:spacing w:val="0"/>
                <w:w w:val="100"/>
                <w:position w:val="0"/>
              </w:rPr>
              <w:t>检测套 餐、临床全基因组检测</w:t>
            </w:r>
            <w:r>
              <w:rPr>
                <w:rFonts w:ascii="Times New Roman" w:eastAsia="Times New Roman" w:hAnsi="Times New Roman" w:cs="Times New Roman"/>
                <w:color w:val="000000"/>
                <w:spacing w:val="0"/>
                <w:w w:val="100"/>
                <w:position w:val="0"/>
              </w:rPr>
              <w:t>-</w:t>
            </w:r>
            <w:r>
              <w:rPr>
                <w:color w:val="000000"/>
                <w:spacing w:val="0"/>
                <w:w w:val="100"/>
                <w:position w:val="0"/>
              </w:rPr>
              <w:t>单人、临床全基因组检测</w:t>
            </w:r>
            <w:r>
              <w:rPr>
                <w:rFonts w:ascii="Times New Roman" w:eastAsia="Times New Roman" w:hAnsi="Times New Roman" w:cs="Times New Roman"/>
                <w:color w:val="000000"/>
                <w:spacing w:val="0"/>
                <w:w w:val="100"/>
                <w:position w:val="0"/>
              </w:rPr>
              <w:t>-Trio</w:t>
            </w:r>
            <w:r>
              <w:rPr>
                <w:color w:val="000000"/>
                <w:spacing w:val="0"/>
                <w:w w:val="100"/>
                <w:position w:val="0"/>
              </w:rPr>
              <w:t>以及</w:t>
            </w:r>
            <w:r>
              <w:rPr>
                <w:rFonts w:ascii="Times New Roman" w:eastAsia="Times New Roman" w:hAnsi="Times New Roman" w:cs="Times New Roman"/>
                <w:color w:val="000000"/>
                <w:spacing w:val="0"/>
                <w:w w:val="100"/>
                <w:position w:val="0"/>
              </w:rPr>
              <w:t>MLPA</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全面、准确、科学地帮助疑似 遗传病患者查找病因、辅助临 床诊断、提供生育指导，为产 前诊断及出生缺陷的防控提供 依据。</w:t>
            </w:r>
          </w:p>
        </w:tc>
      </w:tr>
    </w:tbl>
    <w:p>
      <w:pPr>
        <w:spacing w:lineRule="exact" w:line="1"/>
        <w:rPr>
          <w:sz w:val="2"/>
          <w:szCs w:val="2"/>
        </w:rPr>
      </w:pPr>
      <w:r>
        <w:br w:type="page"/>
      </w:r>
    </w:p>
    <w:tbl>
      <w:tblPr>
        <w:tblOverlap w:val="never"/>
        <w:jc w:val="center"/>
        <w:tblLayout w:type="fixed"/>
      </w:tblPr>
      <w:tblGrid>
        <w:gridCol w:w="562"/>
        <w:gridCol w:w="1704"/>
        <w:gridCol w:w="4997"/>
        <w:gridCol w:w="239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技术平台作为补充。</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安孕可</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单基因遗传病</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携带者筛查系列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采集受检者外周血或唾液样本，采用目标序列捕获和高通量测序 等技术，结合生物信息学分析，一次性检测多种常见单基因遗传 病致病突变的携带情况。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全面、快速、准确地帮助育龄 夫妇了解自身单基因遗传病致 病突变的携带情况，评估生育 患儿的风险，为产前诊断及出 生缺陷的防控提供依据。</w:t>
            </w:r>
          </w:p>
        </w:tc>
      </w:tr>
      <w:tr>
        <w:trPr>
          <w:trHeight w:val="19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rPr>
                <w:sz w:val="12"/>
                <w:szCs w:val="12"/>
              </w:rPr>
            </w:pPr>
            <w:r>
              <w:rPr>
                <w:color w:val="000000"/>
                <w:spacing w:val="0"/>
                <w:w w:val="100"/>
                <w:position w:val="0"/>
                <w:sz w:val="18"/>
                <w:szCs w:val="18"/>
              </w:rPr>
              <w:t>耳聆可</w:t>
            </w:r>
            <w:r>
              <w:rPr>
                <w:rFonts w:ascii="Times New Roman" w:eastAsia="Times New Roman" w:hAnsi="Times New Roman" w:cs="Times New Roman"/>
                <w:color w:val="000000"/>
                <w:spacing w:val="0"/>
                <w:w w:val="100"/>
                <w:position w:val="0"/>
                <w:sz w:val="12"/>
                <w:szCs w:val="12"/>
              </w:rPr>
              <w:t>®</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遗传性耳聋</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基因检测系列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采集受检者外周血，采用高通量测序技术，结合生物信息学分析， 明确受检者是否携带耳聋致病基因突变。致力于提供更加全面、 符合中国人群特点的检测服务。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提早发现药物性、迟发性耳聋 高危儿，提供用药、生活指导， 避免耳聋的发生；发现耳聋遗 传病因，提早干预，指导人工 耳蜗植入；指导科学婚育，降 低下一代患耳聋的风险。</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地中海贫血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采集受检者外周血、脐带血、足跟血或唾液样本，采用高通量测 序技术，结合生物信息学分析，一次性检测超过</w:t>
            </w:r>
            <w:r>
              <w:rPr>
                <w:rFonts w:ascii="Times New Roman" w:eastAsia="Times New Roman" w:hAnsi="Times New Roman" w:cs="Times New Roman"/>
                <w:color w:val="000000"/>
                <w:spacing w:val="0"/>
                <w:w w:val="100"/>
                <w:position w:val="0"/>
              </w:rPr>
              <w:t>500</w:t>
            </w:r>
            <w:r>
              <w:rPr>
                <w:color w:val="000000"/>
                <w:spacing w:val="0"/>
                <w:w w:val="100"/>
                <w:position w:val="0"/>
              </w:rPr>
              <w:t>种地中海贫 血常见和非常见的基因变异类型。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为地中海贫血的防控和治疗提 供检测依据，指导地中海贫血 产前诊断及干预，防控重度地 中海贫血；明确地中海贫血携 带者的基因携带情况。</w:t>
            </w: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安馨可</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新生儿及儿 童基因检测系列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采用目标区域捕获及高通量测序技术对新生儿及儿童的干血片、 全血样本进行测序分析，检测范围包含遗传代谢病、遗传性耳聋、 地中海贫血、免疫缺陷等</w:t>
            </w:r>
            <w:r>
              <w:rPr>
                <w:rFonts w:ascii="Times New Roman" w:eastAsia="Times New Roman" w:hAnsi="Times New Roman" w:cs="Times New Roman"/>
                <w:color w:val="000000"/>
                <w:spacing w:val="0"/>
                <w:w w:val="100"/>
                <w:position w:val="0"/>
              </w:rPr>
              <w:t>156</w:t>
            </w:r>
            <w:r>
              <w:rPr>
                <w:color w:val="000000"/>
                <w:spacing w:val="0"/>
                <w:w w:val="100"/>
                <w:position w:val="0"/>
              </w:rPr>
              <w:t>种遗传性疾病。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评估新生儿及儿童群体的遗传 疾病发病风险，避免或减少因 疾病为患者及家庭带来的不可 逆的严重后果，为新生儿及儿 童的健康成长提供更全面的保 障。</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多种单基因病无创产 前检测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采用目标区域捕获及高通量测序技术，检测孕期母体外周血中胎 儿游离</w:t>
            </w:r>
            <w:r>
              <w:rPr>
                <w:rFonts w:ascii="Times New Roman" w:eastAsia="Times New Roman" w:hAnsi="Times New Roman" w:cs="Times New Roman"/>
                <w:color w:val="000000"/>
                <w:spacing w:val="0"/>
                <w:w w:val="100"/>
                <w:position w:val="0"/>
              </w:rPr>
              <w:t>DNA</w:t>
            </w:r>
            <w:r>
              <w:rPr>
                <w:color w:val="000000"/>
                <w:spacing w:val="0"/>
                <w:w w:val="100"/>
                <w:position w:val="0"/>
              </w:rPr>
              <w:t>片段，结合生物信息分析技术，评估胎儿罹患</w:t>
            </w:r>
            <w:r>
              <w:rPr>
                <w:rFonts w:ascii="Times New Roman" w:eastAsia="Times New Roman" w:hAnsi="Times New Roman" w:cs="Times New Roman"/>
                <w:color w:val="000000"/>
                <w:spacing w:val="0"/>
                <w:w w:val="100"/>
                <w:position w:val="0"/>
              </w:rPr>
              <w:t>18</w:t>
            </w:r>
            <w:r>
              <w:rPr>
                <w:color w:val="000000"/>
                <w:spacing w:val="0"/>
                <w:w w:val="100"/>
                <w:position w:val="0"/>
              </w:rPr>
              <w:t>个目 标基因中</w:t>
            </w:r>
            <w:r>
              <w:rPr>
                <w:rFonts w:ascii="Times New Roman" w:eastAsia="Times New Roman" w:hAnsi="Times New Roman" w:cs="Times New Roman"/>
                <w:color w:val="000000"/>
                <w:spacing w:val="0"/>
                <w:w w:val="100"/>
                <w:position w:val="0"/>
              </w:rPr>
              <w:t>2,038</w:t>
            </w:r>
            <w:r>
              <w:rPr>
                <w:color w:val="000000"/>
                <w:spacing w:val="0"/>
                <w:w w:val="100"/>
                <w:position w:val="0"/>
              </w:rPr>
              <w:t>个致病或疑似致病变异位点相关的</w:t>
            </w:r>
            <w:r>
              <w:rPr>
                <w:rFonts w:ascii="Times New Roman" w:eastAsia="Times New Roman" w:hAnsi="Times New Roman" w:cs="Times New Roman"/>
                <w:color w:val="000000"/>
                <w:spacing w:val="0"/>
                <w:w w:val="100"/>
                <w:position w:val="0"/>
              </w:rPr>
              <w:t>27</w:t>
            </w:r>
            <w:r>
              <w:rPr>
                <w:color w:val="000000"/>
                <w:spacing w:val="0"/>
                <w:w w:val="100"/>
                <w:position w:val="0"/>
              </w:rPr>
              <w:t>种显性单基 因病的风险。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实现单基因疾病的无创检测， 避免部分显性单基因病导致的 出生缺陷。</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超声异常</w:t>
            </w:r>
            <w:r>
              <w:rPr>
                <w:rFonts w:ascii="Times New Roman" w:eastAsia="Times New Roman" w:hAnsi="Times New Roman" w:cs="Times New Roman"/>
                <w:color w:val="000000"/>
                <w:spacing w:val="0"/>
                <w:w w:val="100"/>
                <w:position w:val="0"/>
              </w:rPr>
              <w:t>/</w:t>
            </w:r>
            <w:r>
              <w:rPr>
                <w:color w:val="000000"/>
                <w:spacing w:val="0"/>
                <w:w w:val="100"/>
                <w:position w:val="0"/>
              </w:rPr>
              <w:t xml:space="preserve">引产组织高 深度全基因组测序 </w:t>
            </w:r>
            <w:r>
              <w:rPr>
                <w:color w:val="000000"/>
                <w:spacing w:val="0"/>
                <w:w w:val="100"/>
                <w:position w:val="0"/>
              </w:rPr>
              <w:t>（</w:t>
            </w:r>
            <w:r>
              <w:rPr>
                <w:rFonts w:ascii="Times New Roman" w:eastAsia="Times New Roman" w:hAnsi="Times New Roman" w:cs="Times New Roman"/>
                <w:color w:val="000000"/>
                <w:spacing w:val="0"/>
                <w:w w:val="100"/>
                <w:position w:val="0"/>
              </w:rPr>
              <w:t>WGS</w:t>
            </w:r>
            <w:r>
              <w:rPr>
                <w:color w:val="000000"/>
                <w:spacing w:val="0"/>
                <w:w w:val="100"/>
                <w:position w:val="0"/>
              </w:rPr>
              <w:t>）检测系列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采用高通量测序技术，对超声异常</w:t>
            </w:r>
            <w:r>
              <w:rPr>
                <w:rFonts w:ascii="Times New Roman" w:eastAsia="Times New Roman" w:hAnsi="Times New Roman" w:cs="Times New Roman"/>
                <w:color w:val="000000"/>
                <w:spacing w:val="0"/>
                <w:w w:val="100"/>
                <w:position w:val="0"/>
              </w:rPr>
              <w:t>/</w:t>
            </w:r>
            <w:r>
              <w:rPr>
                <w:color w:val="000000"/>
                <w:spacing w:val="0"/>
                <w:w w:val="100"/>
                <w:position w:val="0"/>
              </w:rPr>
              <w:t>引产组织样本提取</w:t>
            </w:r>
            <w:r>
              <w:rPr>
                <w:rFonts w:ascii="Times New Roman" w:eastAsia="Times New Roman" w:hAnsi="Times New Roman" w:cs="Times New Roman"/>
                <w:color w:val="000000"/>
                <w:spacing w:val="0"/>
                <w:w w:val="100"/>
                <w:position w:val="0"/>
              </w:rPr>
              <w:t>DNA</w:t>
            </w:r>
            <w:r>
              <w:rPr>
                <w:color w:val="000000"/>
                <w:spacing w:val="0"/>
                <w:w w:val="100"/>
                <w:position w:val="0"/>
              </w:rPr>
              <w:t>进行 高深度的全基因组测序</w:t>
            </w:r>
            <w:r>
              <w:rPr>
                <w:color w:val="000000"/>
                <w:spacing w:val="0"/>
                <w:w w:val="100"/>
                <w:position w:val="0"/>
              </w:rPr>
              <w:t>（</w:t>
            </w:r>
            <w:r>
              <w:rPr>
                <w:rFonts w:ascii="Times New Roman" w:eastAsia="Times New Roman" w:hAnsi="Times New Roman" w:cs="Times New Roman"/>
                <w:color w:val="000000"/>
                <w:spacing w:val="0"/>
                <w:w w:val="100"/>
                <w:position w:val="0"/>
              </w:rPr>
              <w:t>WGS</w:t>
            </w:r>
            <w:r>
              <w:rPr>
                <w:color w:val="000000"/>
                <w:spacing w:val="0"/>
                <w:w w:val="100"/>
                <w:position w:val="0"/>
              </w:rPr>
              <w:t>）</w:t>
            </w:r>
            <w:r>
              <w:rPr>
                <w:color w:val="000000"/>
                <w:spacing w:val="0"/>
                <w:w w:val="100"/>
                <w:position w:val="0"/>
              </w:rPr>
              <w:t>和生物学信息分析，获取染色体 和基因的变异信息。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从染色体和基因水平辅助临床 查找畸形及死胎的遗传学病 因，为生育指导及后续干预提 供一定科学依据。</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新生儿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遗传代谢病检测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采用高通量串联质谱技术对新生儿足跟血干血片样本中的氨基 酸、酰基肉碱的浓度进行分析，一次性筛查</w:t>
            </w:r>
            <w:r>
              <w:rPr>
                <w:rFonts w:ascii="Times New Roman" w:eastAsia="Times New Roman" w:hAnsi="Times New Roman" w:cs="Times New Roman"/>
                <w:color w:val="000000"/>
                <w:spacing w:val="0"/>
                <w:w w:val="100"/>
                <w:position w:val="0"/>
              </w:rPr>
              <w:t>48</w:t>
            </w:r>
            <w:r>
              <w:rPr>
                <w:color w:val="000000"/>
                <w:spacing w:val="0"/>
                <w:w w:val="100"/>
                <w:position w:val="0"/>
              </w:rPr>
              <w:t>种遗传代谢病。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极大地扩展了新生儿遗传代谢 病筛查的疾病谱，提高筛查效 率。有助于尽早发现疾病，及 时进行治疗，降低出生缺陷。</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新生儿先天性肾上腺 皮质增生检测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采用液相色谱串联质谱技术对新生儿干血片中</w:t>
            </w:r>
            <w:r>
              <w:rPr>
                <w:rFonts w:ascii="Times New Roman" w:eastAsia="Times New Roman" w:hAnsi="Times New Roman" w:cs="Times New Roman"/>
                <w:color w:val="000000"/>
                <w:spacing w:val="0"/>
                <w:w w:val="100"/>
                <w:position w:val="0"/>
              </w:rPr>
              <w:t>5</w:t>
            </w:r>
            <w:r>
              <w:rPr>
                <w:color w:val="000000"/>
                <w:spacing w:val="0"/>
                <w:w w:val="100"/>
                <w:position w:val="0"/>
              </w:rPr>
              <w:t>种类固醇激素进 行同时定量检测。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新生儿先天性肾上腺皮质增生 症的早期筛查、二级筛查、辅 助诊断等。</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新生儿溶酶体贮积症 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采用液相色谱串联质谱技术对新生儿干血片中</w:t>
            </w:r>
            <w:r>
              <w:rPr>
                <w:rFonts w:ascii="Times New Roman" w:eastAsia="Times New Roman" w:hAnsi="Times New Roman" w:cs="Times New Roman"/>
                <w:color w:val="000000"/>
                <w:spacing w:val="0"/>
                <w:w w:val="100"/>
                <w:position w:val="0"/>
              </w:rPr>
              <w:t>5</w:t>
            </w:r>
            <w:r>
              <w:rPr>
                <w:color w:val="000000"/>
                <w:spacing w:val="0"/>
                <w:w w:val="100"/>
                <w:position w:val="0"/>
              </w:rPr>
              <w:t>种溶酶体酶活性 进行检测。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新生儿溶酶体贮积症的早期筛 查、辅助诊断、辅助临床治疗 效果评估。</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新生儿</w:t>
            </w:r>
            <w:r>
              <w:rPr>
                <w:rFonts w:ascii="Times New Roman" w:eastAsia="Times New Roman" w:hAnsi="Times New Roman" w:cs="Times New Roman"/>
                <w:color w:val="000000"/>
                <w:spacing w:val="0"/>
                <w:w w:val="100"/>
                <w:position w:val="0"/>
              </w:rPr>
              <w:t>/</w:t>
            </w:r>
            <w:r>
              <w:rPr>
                <w:color w:val="000000"/>
                <w:spacing w:val="0"/>
                <w:w w:val="100"/>
                <w:position w:val="0"/>
              </w:rPr>
              <w:t>儿童尿液代谢 物检测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采用气相色谱</w:t>
            </w:r>
            <w:r>
              <w:rPr>
                <w:rFonts w:ascii="Times New Roman" w:eastAsia="Times New Roman" w:hAnsi="Times New Roman" w:cs="Times New Roman"/>
                <w:color w:val="000000"/>
                <w:spacing w:val="0"/>
                <w:w w:val="100"/>
                <w:position w:val="0"/>
              </w:rPr>
              <w:t>-</w:t>
            </w:r>
            <w:r>
              <w:rPr>
                <w:color w:val="000000"/>
                <w:spacing w:val="0"/>
                <w:w w:val="100"/>
                <w:position w:val="0"/>
              </w:rPr>
              <w:t>质谱联用技术，对尿液中有机酸成分进行定性和 定量分析。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辅助对氨基酸代谢缺陷、有机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酸代谢缺陷和脂肪酸氧化障碍</w:t>
            </w:r>
          </w:p>
        </w:tc>
      </w:tr>
    </w:tbl>
    <w:p>
      <w:pPr>
        <w:spacing w:lineRule="exact" w:line="1"/>
        <w:rPr>
          <w:sz w:val="2"/>
          <w:szCs w:val="2"/>
        </w:rPr>
      </w:pPr>
      <w:r>
        <w:br w:type="page"/>
      </w:r>
    </w:p>
    <w:tbl>
      <w:tblPr>
        <w:tblOverlap w:val="never"/>
        <w:jc w:val="center"/>
        <w:tblLayout w:type="fixed"/>
      </w:tblPr>
      <w:tblGrid>
        <w:gridCol w:w="562"/>
        <w:gridCol w:w="1704"/>
        <w:gridCol w:w="4997"/>
        <w:gridCol w:w="239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等疾病进行诊断及鉴别诊断。</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孕期营养检测系列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采用质谱技术对孕妇血液中的氨基酸、维生素等多种营养元素及 代谢物进行检测。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为孕妇个性化营养干预提供指 导建议。</w:t>
            </w:r>
          </w:p>
        </w:tc>
      </w:tr>
      <w:tr>
        <w:trPr>
          <w:trHeight w:val="19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人体维生素检测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采用液相色谱串联质谱技术对人体</w:t>
            </w:r>
            <w:r>
              <w:rPr>
                <w:rFonts w:ascii="Times New Roman" w:eastAsia="Times New Roman" w:hAnsi="Times New Roman" w:cs="Times New Roman"/>
                <w:color w:val="000000"/>
                <w:spacing w:val="0"/>
                <w:w w:val="100"/>
                <w:position w:val="0"/>
              </w:rPr>
              <w:t>14</w:t>
            </w:r>
            <w:r>
              <w:rPr>
                <w:color w:val="000000"/>
                <w:spacing w:val="0"/>
                <w:w w:val="100"/>
                <w:position w:val="0"/>
              </w:rPr>
              <w:t>种维生素进行一次性检测， 包括：维生素</w:t>
            </w:r>
            <w:r>
              <w:rPr>
                <w:rFonts w:ascii="Times New Roman" w:eastAsia="Times New Roman" w:hAnsi="Times New Roman" w:cs="Times New Roman"/>
                <w:color w:val="000000"/>
                <w:spacing w:val="0"/>
                <w:w w:val="100"/>
                <w:position w:val="0"/>
              </w:rPr>
              <w:t>B1(VB1)</w:t>
            </w:r>
            <w:r>
              <w:rPr>
                <w:color w:val="000000"/>
                <w:spacing w:val="0"/>
                <w:w w:val="100"/>
                <w:position w:val="0"/>
              </w:rPr>
              <w:t>、维生素</w:t>
            </w:r>
            <w:r>
              <w:rPr>
                <w:rFonts w:ascii="Times New Roman" w:eastAsia="Times New Roman" w:hAnsi="Times New Roman" w:cs="Times New Roman"/>
                <w:color w:val="000000"/>
                <w:spacing w:val="0"/>
                <w:w w:val="100"/>
                <w:position w:val="0"/>
              </w:rPr>
              <w:t>B2(VB2)</w:t>
            </w:r>
            <w:r>
              <w:rPr>
                <w:color w:val="000000"/>
                <w:spacing w:val="0"/>
                <w:w w:val="100"/>
                <w:position w:val="0"/>
              </w:rPr>
              <w:t>、</w:t>
            </w:r>
            <w:r>
              <w:rPr>
                <w:color w:val="000000"/>
                <w:spacing w:val="0"/>
                <w:w w:val="100"/>
                <w:position w:val="0"/>
              </w:rPr>
              <w:t>烟酰胺</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VB3)</w:t>
            </w:r>
            <w:r>
              <w:rPr>
                <w:color w:val="000000"/>
                <w:spacing w:val="0"/>
                <w:w w:val="100"/>
                <w:position w:val="0"/>
              </w:rPr>
              <w:t xml:space="preserve">、维生素 </w:t>
            </w:r>
            <w:r>
              <w:rPr>
                <w:rFonts w:ascii="Times New Roman" w:eastAsia="Times New Roman" w:hAnsi="Times New Roman" w:cs="Times New Roman"/>
                <w:color w:val="000000"/>
                <w:spacing w:val="0"/>
                <w:w w:val="100"/>
                <w:position w:val="0"/>
              </w:rPr>
              <w:t>B5(VB5)</w:t>
            </w:r>
            <w:r>
              <w:rPr>
                <w:color w:val="000000"/>
                <w:spacing w:val="0"/>
                <w:w w:val="100"/>
                <w:position w:val="0"/>
              </w:rPr>
              <w:t>、</w:t>
            </w:r>
            <w:r>
              <w:rPr>
                <w:color w:val="000000"/>
                <w:spacing w:val="0"/>
                <w:w w:val="100"/>
                <w:position w:val="0"/>
              </w:rPr>
              <w:t>吡哆酸</w:t>
            </w:r>
            <w:r>
              <w:rPr>
                <w:rFonts w:ascii="Times New Roman" w:eastAsia="Times New Roman" w:hAnsi="Times New Roman" w:cs="Times New Roman"/>
                <w:color w:val="000000"/>
                <w:spacing w:val="0"/>
                <w:w w:val="100"/>
                <w:position w:val="0"/>
              </w:rPr>
              <w:t>(VB6PA)</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B7(VB7)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甲基四氢叶酸</w:t>
            </w:r>
            <w:r>
              <w:rPr>
                <w:rFonts w:ascii="Times New Roman" w:eastAsia="Times New Roman" w:hAnsi="Times New Roman" w:cs="Times New Roman"/>
                <w:color w:val="000000"/>
                <w:spacing w:val="0"/>
                <w:w w:val="100"/>
                <w:position w:val="0"/>
              </w:rPr>
              <w:t>(5- MTHF)</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B12(VB12)</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C(VC)</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A(VA)</w:t>
            </w:r>
            <w:r>
              <w:rPr>
                <w:color w:val="000000"/>
                <w:spacing w:val="0"/>
                <w:w w:val="100"/>
                <w:position w:val="0"/>
              </w:rPr>
              <w:t>、</w:t>
            </w:r>
            <w:r>
              <w:rPr>
                <w:rFonts w:ascii="Times New Roman" w:eastAsia="Times New Roman" w:hAnsi="Times New Roman" w:cs="Times New Roman"/>
                <w:color w:val="000000"/>
                <w:spacing w:val="0"/>
                <w:w w:val="100"/>
                <w:position w:val="0"/>
              </w:rPr>
              <w:t xml:space="preserve">25- </w:t>
            </w:r>
            <w:r>
              <w:rPr>
                <w:color w:val="000000"/>
                <w:spacing w:val="0"/>
                <w:w w:val="100"/>
                <w:position w:val="0"/>
              </w:rPr>
              <w:t>羟基维生素</w:t>
            </w:r>
            <w:r>
              <w:rPr>
                <w:rFonts w:ascii="Times New Roman" w:eastAsia="Times New Roman" w:hAnsi="Times New Roman" w:cs="Times New Roman"/>
                <w:color w:val="000000"/>
                <w:spacing w:val="0"/>
                <w:w w:val="100"/>
                <w:position w:val="0"/>
              </w:rPr>
              <w:t>D2(25(OH)D2)</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D3(25(OH)D3)</w:t>
            </w:r>
            <w:r>
              <w:rPr>
                <w:color w:val="000000"/>
                <w:spacing w:val="0"/>
                <w:w w:val="100"/>
                <w:position w:val="0"/>
              </w:rPr>
              <w:t>、</w:t>
            </w:r>
            <w:r>
              <w:rPr>
                <w:color w:val="000000"/>
                <w:spacing w:val="0"/>
                <w:w w:val="100"/>
                <w:position w:val="0"/>
              </w:rPr>
              <w:t>维生 素</w:t>
            </w:r>
            <w:r>
              <w:rPr>
                <w:rFonts w:ascii="Times New Roman" w:eastAsia="Times New Roman" w:hAnsi="Times New Roman" w:cs="Times New Roman"/>
                <w:color w:val="000000"/>
                <w:spacing w:val="0"/>
                <w:w w:val="100"/>
                <w:position w:val="0"/>
              </w:rPr>
              <w:t>E(VE)</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K1(VK1)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指导个性化的营养干预，预防 疾病发生；为患病人群提供身 体营养代谢状况的量化指标， 为治疗过程提供参考。</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人体氨基酸检测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采用液相色谱串联质谱技术对人体的</w:t>
            </w:r>
            <w:r>
              <w:rPr>
                <w:rFonts w:ascii="Times New Roman" w:eastAsia="Times New Roman" w:hAnsi="Times New Roman" w:cs="Times New Roman"/>
                <w:color w:val="000000"/>
                <w:spacing w:val="0"/>
                <w:w w:val="100"/>
                <w:position w:val="0"/>
              </w:rPr>
              <w:t>20</w:t>
            </w:r>
            <w:r>
              <w:rPr>
                <w:color w:val="000000"/>
                <w:spacing w:val="0"/>
                <w:w w:val="100"/>
                <w:position w:val="0"/>
              </w:rPr>
              <w:t>种氨基酸进行定量检测。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指导个性化的营养干预，预防 疾病发生；为患病人群提供身 体营养代谢状况的量化指标， 为治疗过程提供参考。</w:t>
            </w:r>
          </w:p>
        </w:tc>
      </w:tr>
      <w:tr>
        <w:trPr>
          <w:trHeight w:val="129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人体胆汁酸谱检测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采用液相色谱串联质谱技术对人体的</w:t>
            </w:r>
            <w:r>
              <w:rPr>
                <w:rFonts w:ascii="Times New Roman" w:eastAsia="Times New Roman" w:hAnsi="Times New Roman" w:cs="Times New Roman"/>
                <w:color w:val="000000"/>
                <w:spacing w:val="0"/>
                <w:w w:val="100"/>
                <w:position w:val="0"/>
              </w:rPr>
              <w:t>15</w:t>
            </w:r>
            <w:r>
              <w:rPr>
                <w:color w:val="000000"/>
                <w:spacing w:val="0"/>
                <w:w w:val="100"/>
                <w:position w:val="0"/>
              </w:rPr>
              <w:t>种胆汁酸的一次性检测， 包括游离胆汁酸和结合型胆汁酸。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辅助孕妇(肝内胆汁淤积症患 者)和肝胆肠疾病患者的早期 筛查</w:t>
            </w:r>
            <w:r>
              <w:rPr>
                <w:rFonts w:ascii="Times New Roman" w:eastAsia="Times New Roman" w:hAnsi="Times New Roman" w:cs="Times New Roman"/>
                <w:color w:val="000000"/>
                <w:spacing w:val="0"/>
                <w:w w:val="100"/>
                <w:position w:val="0"/>
              </w:rPr>
              <w:t>/</w:t>
            </w:r>
            <w:r>
              <w:rPr>
                <w:color w:val="000000"/>
                <w:spacing w:val="0"/>
                <w:w w:val="100"/>
                <w:position w:val="0"/>
              </w:rPr>
              <w:t>诊断，为评估患者接受胆 汁酸治疗效果提供参考。</w:t>
            </w:r>
          </w:p>
        </w:tc>
      </w:tr>
    </w:tbl>
    <w:p>
      <w:pPr>
        <w:widowControl w:val="0"/>
        <w:spacing w:after="259" w:line="1" w:lineRule="exact"/>
      </w:pPr>
    </w:p>
    <w:p>
      <w:pPr>
        <w:pStyle w:val="Style17"/>
        <w:keepNext w:val="0"/>
        <w:keepLines w:val="0"/>
        <w:widowControl w:val="0"/>
        <w:shd w:val="clear" w:color="auto" w:fill="auto"/>
        <w:bidi w:val="0"/>
        <w:spacing w:before="0" w:after="120" w:line="303" w:lineRule="exact"/>
        <w:ind w:left="0" w:right="0"/>
        <w:jc w:val="left"/>
      </w:pPr>
      <w:bookmarkStart w:id="93" w:name="bookmark93"/>
      <w:r>
        <w:rPr>
          <w:rFonts w:ascii="Times New Roman" w:eastAsia="Times New Roman" w:hAnsi="Times New Roman" w:cs="Times New Roman"/>
          <w:b/>
          <w:bCs/>
          <w:color w:val="000000"/>
          <w:spacing w:val="0"/>
          <w:w w:val="100"/>
          <w:position w:val="0"/>
        </w:rPr>
        <w:t>2</w:t>
      </w:r>
      <w:bookmarkEnd w:id="93"/>
      <w:r>
        <w:rPr>
          <w:b/>
          <w:bCs/>
          <w:color w:val="000000"/>
          <w:spacing w:val="0"/>
          <w:w w:val="100"/>
          <w:position w:val="0"/>
        </w:rPr>
        <w:t>、肿瘤防控及转化医学类服务</w:t>
      </w:r>
    </w:p>
    <w:p>
      <w:pPr>
        <w:pStyle w:val="Style17"/>
        <w:keepNext w:val="0"/>
        <w:keepLines w:val="0"/>
        <w:widowControl w:val="0"/>
        <w:shd w:val="clear" w:color="auto" w:fill="auto"/>
        <w:bidi w:val="0"/>
        <w:spacing w:before="0" w:after="120" w:line="30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)业务概述</w:t>
      </w:r>
    </w:p>
    <w:p>
      <w:pPr>
        <w:pStyle w:val="Style17"/>
        <w:keepNext w:val="0"/>
        <w:keepLines w:val="0"/>
        <w:widowControl w:val="0"/>
        <w:shd w:val="clear" w:color="auto" w:fill="auto"/>
        <w:bidi w:val="0"/>
        <w:spacing w:before="0" w:after="0" w:line="303" w:lineRule="exact"/>
        <w:ind w:left="0" w:right="0"/>
        <w:jc w:val="both"/>
      </w:pPr>
      <w:r>
        <w:rPr>
          <w:color w:val="000000"/>
          <w:spacing w:val="0"/>
          <w:w w:val="100"/>
          <w:position w:val="0"/>
        </w:rPr>
        <w:t>公司围绕多类肿瘤构建肿瘤</w:t>
      </w:r>
      <w:r>
        <w:rPr>
          <w:rFonts w:ascii="Times New Roman" w:eastAsia="Times New Roman" w:hAnsi="Times New Roman" w:cs="Times New Roman"/>
          <w:color w:val="000000"/>
          <w:spacing w:val="0"/>
          <w:w w:val="100"/>
          <w:position w:val="0"/>
        </w:rPr>
        <w:t>“</w:t>
      </w:r>
      <w:r>
        <w:rPr>
          <w:color w:val="000000"/>
          <w:spacing w:val="0"/>
          <w:w w:val="100"/>
          <w:position w:val="0"/>
        </w:rPr>
        <w:t>预、筛、诊、监</w:t>
      </w:r>
      <w:r>
        <w:rPr>
          <w:rFonts w:ascii="Times New Roman" w:eastAsia="Times New Roman" w:hAnsi="Times New Roman" w:cs="Times New Roman"/>
          <w:color w:val="000000"/>
          <w:spacing w:val="0"/>
          <w:w w:val="100"/>
          <w:position w:val="0"/>
        </w:rPr>
        <w:t>”</w:t>
      </w:r>
      <w:r>
        <w:rPr>
          <w:color w:val="000000"/>
          <w:spacing w:val="0"/>
          <w:w w:val="100"/>
          <w:position w:val="0"/>
        </w:rPr>
        <w:t xml:space="preserve">闭环，并通过技术和产品的不断升级，建立全面有效的防控体系。公司面 向受检者提供癌症风险评估以及靶向治疗和免疫治疗等用药指导和复发监测信息，为各级医疗机构提供基于高通量测序、 </w:t>
      </w:r>
      <w:r>
        <w:rPr>
          <w:rFonts w:ascii="Times New Roman" w:eastAsia="Times New Roman" w:hAnsi="Times New Roman" w:cs="Times New Roman"/>
          <w:color w:val="000000"/>
          <w:spacing w:val="0"/>
          <w:w w:val="100"/>
          <w:position w:val="0"/>
        </w:rPr>
        <w:t>PCR</w:t>
      </w:r>
      <w:r>
        <w:rPr>
          <w:color w:val="000000"/>
          <w:spacing w:val="0"/>
          <w:w w:val="100"/>
          <w:position w:val="0"/>
        </w:rPr>
        <w:t>、</w:t>
      </w:r>
      <w:r>
        <w:rPr>
          <w:color w:val="000000"/>
          <w:spacing w:val="0"/>
          <w:w w:val="100"/>
          <w:position w:val="0"/>
        </w:rPr>
        <w:t>酶联免疫、化学发光等技术的检测试剂，并且与国内外知名医药企业合作开展致病机理发现、生物标志物开发、药物 靶标确认和药物风险管控等全套药物基因组学研究业务和肿瘤临床研发业务。主要服务包括：遗传性肿瘤基因检测、</w:t>
      </w:r>
      <w:r>
        <w:rPr>
          <w:rFonts w:ascii="Times New Roman" w:eastAsia="Times New Roman" w:hAnsi="Times New Roman" w:cs="Times New Roman"/>
          <w:color w:val="000000"/>
          <w:spacing w:val="0"/>
          <w:w w:val="100"/>
          <w:position w:val="0"/>
        </w:rPr>
        <w:t>HPV</w:t>
      </w:r>
      <w:r>
        <w:rPr>
          <w:color w:val="000000"/>
          <w:spacing w:val="0"/>
          <w:w w:val="100"/>
          <w:position w:val="0"/>
        </w:rPr>
        <w:t xml:space="preserve">分 型基因检测、无创癌症筛查基因检测、多组学肿瘤标志物测定、肿瘤个体化诊疗和用药指导基因检测和肿瘤微小残留病灶 </w:t>
      </w:r>
      <w:r>
        <w:rPr>
          <w:color w:val="000000"/>
          <w:spacing w:val="0"/>
          <w:w w:val="100"/>
          <w:position w:val="0"/>
        </w:rPr>
        <w:t>(</w:t>
      </w:r>
      <w:r>
        <w:rPr>
          <w:rFonts w:ascii="Times New Roman" w:eastAsia="Times New Roman" w:hAnsi="Times New Roman" w:cs="Times New Roman"/>
          <w:color w:val="000000"/>
          <w:spacing w:val="0"/>
          <w:w w:val="100"/>
          <w:position w:val="0"/>
        </w:rPr>
        <w:t>MRD</w:t>
      </w:r>
      <w:r>
        <w:rPr>
          <w:color w:val="000000"/>
          <w:spacing w:val="0"/>
          <w:w w:val="100"/>
          <w:position w:val="0"/>
        </w:rPr>
        <w:t>)</w:t>
      </w:r>
      <w:r>
        <w:rPr>
          <w:color w:val="000000"/>
          <w:spacing w:val="0"/>
          <w:w w:val="100"/>
          <w:position w:val="0"/>
        </w:rPr>
        <w:t>定制化检测等。报告期内，公司进一步拓展妇科肿瘤及血液肿瘤领域的产品布局，推出华妍安</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子宫内膜癌分子分 型和华雪安</w:t>
      </w:r>
      <w:r>
        <w:rPr>
          <w:rFonts w:ascii="Times New Roman" w:eastAsia="Times New Roman" w:hAnsi="Times New Roman" w:cs="Times New Roman"/>
          <w:smallCaps/>
          <w:color w:val="000000"/>
          <w:spacing w:val="0"/>
          <w:w w:val="100"/>
          <w:position w:val="0"/>
          <w:sz w:val="15"/>
          <w:szCs w:val="15"/>
        </w:rPr>
        <w:t>tm</w:t>
      </w:r>
      <w:r>
        <w:rPr>
          <w:color w:val="000000"/>
          <w:spacing w:val="0"/>
          <w:w w:val="100"/>
          <w:position w:val="0"/>
        </w:rPr>
        <w:t>白血病基因检测。</w:t>
      </w:r>
    </w:p>
    <w:p>
      <w:pPr>
        <w:pStyle w:val="Style17"/>
        <w:keepNext w:val="0"/>
        <w:keepLines w:val="0"/>
        <w:widowControl w:val="0"/>
        <w:shd w:val="clear" w:color="auto" w:fill="auto"/>
        <w:bidi w:val="0"/>
        <w:spacing w:before="0" w:after="200" w:line="312" w:lineRule="exact"/>
        <w:ind w:left="0" w:right="0"/>
        <w:jc w:val="both"/>
      </w:pPr>
      <w:r>
        <w:rPr>
          <w:color w:val="000000"/>
          <w:spacing w:val="0"/>
          <w:w w:val="100"/>
          <w:position w:val="0"/>
        </w:rPr>
        <w:t>公司专注于肿瘤早筛业务和数据服务的子公司华大数极已上市华常康</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无创肠癌基因检测及其</w:t>
      </w:r>
      <w:r>
        <w:rPr>
          <w:rFonts w:ascii="Times New Roman" w:eastAsia="Times New Roman" w:hAnsi="Times New Roman" w:cs="Times New Roman"/>
          <w:color w:val="000000"/>
          <w:spacing w:val="0"/>
          <w:w w:val="100"/>
          <w:position w:val="0"/>
        </w:rPr>
        <w:t>“</w:t>
      </w:r>
      <w:r>
        <w:rPr>
          <w:color w:val="000000"/>
          <w:spacing w:val="0"/>
          <w:w w:val="100"/>
          <w:position w:val="0"/>
        </w:rPr>
        <w:t>筛诊保</w:t>
      </w:r>
      <w:r>
        <w:rPr>
          <w:rFonts w:ascii="Times New Roman" w:eastAsia="Times New Roman" w:hAnsi="Times New Roman" w:cs="Times New Roman"/>
          <w:color w:val="000000"/>
          <w:spacing w:val="0"/>
          <w:w w:val="100"/>
          <w:position w:val="0"/>
        </w:rPr>
        <w:t>”</w:t>
      </w:r>
      <w:r>
        <w:rPr>
          <w:color w:val="000000"/>
          <w:spacing w:val="0"/>
          <w:w w:val="100"/>
          <w:position w:val="0"/>
        </w:rPr>
        <w:t>闭环解决方案和 华甘宁</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无创肝癌基因检测，未来将陆续推出其他高发癌种早筛系列产品。</w:t>
      </w: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)具体产品介绍</w:t>
      </w:r>
    </w:p>
    <w:tbl>
      <w:tblPr>
        <w:tblOverlap w:val="never"/>
        <w:jc w:val="center"/>
        <w:tblLayout w:type="fixed"/>
      </w:tblPr>
      <w:tblGrid>
        <w:gridCol w:w="509"/>
        <w:gridCol w:w="965"/>
        <w:gridCol w:w="3643"/>
        <w:gridCol w:w="4526"/>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遗传性肿瘤</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本系列产品采集受检者外周血或唾液，结合高 通量测序技术，检测遗传性乳腺癌、遗传性卵 巢癌、遗传性结直肠癌、遗传性胃癌、遗传性 前列腺癌、遗传性甲状腺癌、视网膜母细胞瘤、 遗传性神经纤维瘤等相关基因。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为肿瘤患者寻找致病基因，为治疗方案提供依据；帮助评 估肿瘤患者、家属和有肿瘤家族史的健康人群评估肿瘤的 遗传性风险，提供肿瘤家族风险管理参考。</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华然安</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同 源重组修复 基因检测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本系列产品采集患者样本，针对卵巢癌、乳腺 癌、前列腺癌、胰腺癌患者的</w:t>
            </w:r>
            <w:r>
              <w:rPr>
                <w:rFonts w:ascii="Times New Roman" w:eastAsia="Times New Roman" w:hAnsi="Times New Roman" w:cs="Times New Roman"/>
                <w:color w:val="000000"/>
                <w:spacing w:val="0"/>
                <w:w w:val="100"/>
                <w:position w:val="0"/>
              </w:rPr>
              <w:t>BRCA1/2</w:t>
            </w:r>
            <w:r>
              <w:rPr>
                <w:color w:val="000000"/>
                <w:spacing w:val="0"/>
                <w:w w:val="100"/>
                <w:position w:val="0"/>
              </w:rPr>
              <w:t>基因及 同源重组修复</w:t>
            </w:r>
            <w:r>
              <w:rPr>
                <w:color w:val="000000"/>
                <w:spacing w:val="0"/>
                <w:w w:val="100"/>
                <w:position w:val="0"/>
              </w:rPr>
              <w:t>(</w:t>
            </w:r>
            <w:r>
              <w:rPr>
                <w:rFonts w:ascii="Times New Roman" w:eastAsia="Times New Roman" w:hAnsi="Times New Roman" w:cs="Times New Roman"/>
                <w:color w:val="000000"/>
                <w:spacing w:val="0"/>
                <w:w w:val="100"/>
                <w:position w:val="0"/>
              </w:rPr>
              <w:t>HRR</w:t>
            </w:r>
            <w:r>
              <w:rPr>
                <w:color w:val="000000"/>
                <w:spacing w:val="0"/>
                <w:w w:val="100"/>
                <w:position w:val="0"/>
              </w:rPr>
              <w:t>)</w:t>
            </w:r>
            <w:r>
              <w:rPr>
                <w:color w:val="000000"/>
                <w:spacing w:val="0"/>
                <w:w w:val="100"/>
                <w:position w:val="0"/>
              </w:rPr>
              <w:t>信号通路基因的胚系突 变和体系突变进行检测。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针对卵巢癌、乳腺癌、前列腺癌、胰腺癌，精准筛选使用 </w:t>
            </w:r>
            <w:r>
              <w:rPr>
                <w:rFonts w:ascii="Times New Roman" w:eastAsia="Times New Roman" w:hAnsi="Times New Roman" w:cs="Times New Roman"/>
                <w:color w:val="000000"/>
                <w:spacing w:val="0"/>
                <w:w w:val="100"/>
                <w:position w:val="0"/>
              </w:rPr>
              <w:t>PARP</w:t>
            </w:r>
            <w:r>
              <w:rPr>
                <w:color w:val="000000"/>
                <w:spacing w:val="0"/>
                <w:w w:val="100"/>
                <w:position w:val="0"/>
              </w:rPr>
              <w:t>抑制剂的敏感获益人群，为医生制定治疗方案或为 筛选病人入组临床试验提供依据。</w:t>
            </w:r>
          </w:p>
        </w:tc>
      </w:tr>
      <w:tr>
        <w:trPr>
          <w:trHeight w:val="67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华然迪</w:t>
            </w:r>
            <w:r>
              <w:rPr>
                <w:rFonts w:ascii="Times New Roman" w:eastAsia="Times New Roman" w:hAnsi="Times New Roman" w:cs="Times New Roman"/>
                <w:color w:val="000000"/>
                <w:spacing w:val="0"/>
                <w:w w:val="100"/>
                <w:position w:val="0"/>
              </w:rPr>
              <w:t>™</w:t>
            </w:r>
            <w:r>
              <w:rPr>
                <w:color w:val="000000"/>
                <w:spacing w:val="0"/>
                <w:w w:val="100"/>
                <w:position w:val="0"/>
              </w:rPr>
              <w:t>同 源重组缺陷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本系列产品采集患者样本，针对卵巢癌患者的 同源重组缺陷</w:t>
            </w:r>
            <w:r>
              <w:rPr>
                <w:color w:val="000000"/>
                <w:spacing w:val="0"/>
                <w:w w:val="100"/>
                <w:position w:val="0"/>
              </w:rPr>
              <w:t>(</w:t>
            </w:r>
            <w:r>
              <w:rPr>
                <w:rFonts w:ascii="Times New Roman" w:eastAsia="Times New Roman" w:hAnsi="Times New Roman" w:cs="Times New Roman"/>
                <w:color w:val="000000"/>
                <w:spacing w:val="0"/>
                <w:w w:val="100"/>
                <w:position w:val="0"/>
              </w:rPr>
              <w:t>HRD</w:t>
            </w:r>
            <w:r>
              <w:rPr>
                <w:color w:val="000000"/>
                <w:spacing w:val="0"/>
                <w:w w:val="100"/>
                <w:position w:val="0"/>
              </w:rPr>
              <w:t>)</w:t>
            </w:r>
            <w:r>
              <w:rPr>
                <w:color w:val="000000"/>
                <w:spacing w:val="0"/>
                <w:w w:val="100"/>
                <w:position w:val="0"/>
              </w:rPr>
              <w:t>进行全面检测。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针对卵巢癌，精准筛选</w:t>
            </w:r>
            <w:r>
              <w:rPr>
                <w:rFonts w:ascii="Times New Roman" w:eastAsia="Times New Roman" w:hAnsi="Times New Roman" w:cs="Times New Roman"/>
                <w:color w:val="000000"/>
                <w:spacing w:val="0"/>
                <w:w w:val="100"/>
                <w:position w:val="0"/>
              </w:rPr>
              <w:t>PARP</w:t>
            </w:r>
            <w:r>
              <w:rPr>
                <w:color w:val="000000"/>
                <w:spacing w:val="0"/>
                <w:w w:val="100"/>
                <w:position w:val="0"/>
              </w:rPr>
              <w:t>抑制剂的敏感获益人群，为医 生制定治疗方案或为筛选病人入组临床试验提供依据。</w:t>
            </w:r>
          </w:p>
        </w:tc>
      </w:tr>
    </w:tbl>
    <w:p>
      <w:pPr>
        <w:spacing w:lineRule="exact" w:line="1"/>
        <w:rPr>
          <w:sz w:val="2"/>
          <w:szCs w:val="2"/>
        </w:rPr>
      </w:pPr>
      <w:r>
        <w:br w:type="page"/>
      </w:r>
    </w:p>
    <w:tbl>
      <w:tblPr>
        <w:tblOverlap w:val="never"/>
        <w:jc w:val="center"/>
        <w:tblLayout w:type="fixed"/>
      </w:tblPr>
      <w:tblGrid>
        <w:gridCol w:w="509"/>
        <w:gridCol w:w="965"/>
        <w:gridCol w:w="3643"/>
        <w:gridCol w:w="452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评分检测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华翡冉</w:t>
            </w:r>
            <w:r>
              <w:rPr>
                <w:rFonts w:ascii="Times New Roman" w:eastAsia="Times New Roman" w:hAnsi="Times New Roman" w:cs="Times New Roman"/>
                <w:color w:val="000000"/>
                <w:spacing w:val="0"/>
                <w:w w:val="100"/>
                <w:position w:val="0"/>
              </w:rPr>
              <w:t>™</w:t>
            </w:r>
            <w:r>
              <w:rPr>
                <w:color w:val="000000"/>
                <w:spacing w:val="0"/>
                <w:w w:val="100"/>
                <w:position w:val="0"/>
              </w:rPr>
              <w:t>肺 癌组织靶向 药物基因检 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本系列产品采集患者组织样本，一次性检测肺 癌相关基因，解读肺癌相关的靶向药物。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为肺癌靶向药物治疗提供基因变异结果，给临床医生为肺 癌患者选择最佳治疗方案或为筛选病人入组临床试验提 供依据。</w:t>
            </w:r>
          </w:p>
        </w:tc>
      </w:tr>
      <w:tr>
        <w:trPr>
          <w:trHeight w:val="15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华翡悦</w:t>
            </w:r>
            <w:r>
              <w:rPr>
                <w:rFonts w:ascii="Times New Roman" w:eastAsia="Times New Roman" w:hAnsi="Times New Roman" w:cs="Times New Roman"/>
                <w:color w:val="000000"/>
                <w:spacing w:val="0"/>
                <w:w w:val="100"/>
                <w:position w:val="0"/>
              </w:rPr>
              <w:t>™</w:t>
            </w:r>
            <w:r>
              <w:rPr>
                <w:color w:val="000000"/>
                <w:spacing w:val="0"/>
                <w:w w:val="100"/>
                <w:position w:val="0"/>
              </w:rPr>
              <w:t xml:space="preserve">无 创肺癌 </w:t>
            </w:r>
            <w:r>
              <w:rPr>
                <w:rFonts w:ascii="Times New Roman" w:eastAsia="Times New Roman" w:hAnsi="Times New Roman" w:cs="Times New Roman"/>
                <w:color w:val="000000"/>
                <w:spacing w:val="0"/>
                <w:w w:val="100"/>
                <w:position w:val="0"/>
              </w:rPr>
              <w:t>ctDNA</w:t>
            </w:r>
            <w:r>
              <w:rPr>
                <w:color w:val="000000"/>
                <w:spacing w:val="0"/>
                <w:w w:val="100"/>
                <w:position w:val="0"/>
              </w:rPr>
              <w:t>靶向 药物基因检 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使用公司自主研发的</w:t>
            </w:r>
            <w:r>
              <w:rPr>
                <w:rFonts w:ascii="Times New Roman" w:eastAsia="Times New Roman" w:hAnsi="Times New Roman" w:cs="Times New Roman"/>
                <w:color w:val="000000"/>
                <w:spacing w:val="0"/>
                <w:w w:val="100"/>
                <w:position w:val="0"/>
              </w:rPr>
              <w:t xml:space="preserve">BGI </w:t>
            </w:r>
            <w:r>
              <w:rPr>
                <w:color w:val="000000"/>
                <w:spacing w:val="0"/>
                <w:w w:val="100"/>
                <w:position w:val="0"/>
              </w:rPr>
              <w:t>一超级探针技术，针 对晚期肺癌无法取得组织的患者，通过检测外 周血循环肿瘤</w:t>
            </w:r>
            <w:r>
              <w:rPr>
                <w:rFonts w:ascii="Times New Roman" w:eastAsia="Times New Roman" w:hAnsi="Times New Roman" w:cs="Times New Roman"/>
                <w:color w:val="000000"/>
                <w:spacing w:val="0"/>
                <w:w w:val="100"/>
                <w:position w:val="0"/>
              </w:rPr>
              <w:t>DNA</w:t>
            </w:r>
            <w:r>
              <w:rPr>
                <w:color w:val="000000"/>
                <w:spacing w:val="0"/>
                <w:w w:val="100"/>
                <w:position w:val="0"/>
              </w:rPr>
              <w:t>检测常见肺癌靶向药物相 关位点，为医生治疗决策提供依据。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主要用于肺癌晚期初诊无法取得肿瘤组织或一线靶向用 药出现耐药的患者，此检测技术打破原有临床上肿瘤组织 样本非常有限和不能持续多次活检监测肿瘤患者耐药变 化的限制，为医生根据肿瘤进展情况及时调整用药方案或 为筛选病人入组临床试验提供临床依据。</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华迦安</w:t>
            </w:r>
            <w:r>
              <w:rPr>
                <w:rFonts w:ascii="Times New Roman" w:eastAsia="Times New Roman" w:hAnsi="Times New Roman" w:cs="Times New Roman"/>
                <w:color w:val="000000"/>
                <w:spacing w:val="0"/>
                <w:w w:val="100"/>
                <w:position w:val="0"/>
              </w:rPr>
              <w:t>™</w:t>
            </w:r>
            <w:r>
              <w:rPr>
                <w:color w:val="000000"/>
                <w:spacing w:val="0"/>
                <w:w w:val="100"/>
                <w:position w:val="0"/>
              </w:rPr>
              <w:t>靶 向药物全景 基因检测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针对肺癌、结直肠癌、卵巢癌、乳腺癌、前列腺 癌以及其他所有实体肿瘤患者的肿瘤组织进行 全面的靶向药物基因检测。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主要用于肺癌、乳腺癌、卵巢癌、子宫内膜癌、子宫颈癌、 结直肠癌、胃癌、肝癌、肾癌、胰腺癌、胃肠道间质瘤、 膀胱癌、口腔癌等实体肿瘤组织进行基因检测，为靶向药 物治疗提供基因变异结果，给临床医生为患者选择最佳治 疗方案或为筛选病人入组临床试验提供依据。</w:t>
            </w:r>
          </w:p>
        </w:tc>
      </w:tr>
      <w:tr>
        <w:trPr>
          <w:trHeight w:val="25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5" w:lineRule="exact"/>
              <w:ind w:left="0" w:right="0" w:firstLine="0"/>
              <w:jc w:val="both"/>
            </w:pPr>
            <w:r>
              <w:rPr>
                <w:color w:val="000000"/>
                <w:spacing w:val="0"/>
                <w:w w:val="100"/>
                <w:position w:val="0"/>
              </w:rPr>
              <w:t>华迦安</w:t>
            </w:r>
            <w:r>
              <w:rPr>
                <w:rFonts w:ascii="Times New Roman" w:eastAsia="Times New Roman" w:hAnsi="Times New Roman" w:cs="Times New Roman"/>
                <w:color w:val="000000"/>
                <w:spacing w:val="0"/>
                <w:w w:val="100"/>
                <w:position w:val="0"/>
              </w:rPr>
              <w:t>TM ctDNA</w:t>
            </w:r>
            <w:r>
              <w:rPr>
                <w:color w:val="000000"/>
                <w:spacing w:val="0"/>
                <w:w w:val="100"/>
                <w:position w:val="0"/>
              </w:rPr>
              <w:t>靶向 药物全景基 因检测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针对肺癌、结直肠癌、卵巢癌、乳腺癌、前列腺</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癌以及其他所有实体肿瘤患者的外周血循环肿 瘤</w:t>
            </w:r>
            <w:r>
              <w:rPr>
                <w:rFonts w:ascii="Times New Roman" w:eastAsia="Times New Roman" w:hAnsi="Times New Roman" w:cs="Times New Roman"/>
                <w:color w:val="000000"/>
                <w:spacing w:val="0"/>
                <w:w w:val="100"/>
                <w:position w:val="0"/>
              </w:rPr>
              <w:t>DNA</w:t>
            </w:r>
            <w:r>
              <w:rPr>
                <w:color w:val="000000"/>
                <w:spacing w:val="0"/>
                <w:w w:val="100"/>
                <w:position w:val="0"/>
              </w:rPr>
              <w:t>进行全面的靶向药物基因检测。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主要用于肺癌、乳腺癌、卵巢癌、子宫内膜癌、子宫颈癌、 结直肠癌、胃癌、肝癌、肾癌、胰腺癌、胃肠道间质瘤、 膀胱癌、口腔癌等实体肿瘤患者的外周血中循环肿瘤</w:t>
            </w:r>
            <w:r>
              <w:rPr>
                <w:rFonts w:ascii="Times New Roman" w:eastAsia="Times New Roman" w:hAnsi="Times New Roman" w:cs="Times New Roman"/>
                <w:color w:val="000000"/>
                <w:spacing w:val="0"/>
                <w:w w:val="100"/>
                <w:position w:val="0"/>
              </w:rPr>
              <w:t xml:space="preserve">DNA </w:t>
            </w:r>
            <w:r>
              <w:rPr>
                <w:color w:val="000000"/>
                <w:spacing w:val="0"/>
                <w:w w:val="100"/>
                <w:position w:val="0"/>
              </w:rPr>
              <w:t>检测，此检测技术打破原有临床上肿瘤组织样本非常有限 和不能持续多次活检监测肿瘤患者耐药变化的限制，能够 实现对肿瘤患者用药有效情况的及时监测，为医生根据肿 瘤进展情况及时调整用药方案或为筛选病人入组临床试 验提供临床依据。</w:t>
            </w: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华梵安</w:t>
            </w:r>
            <w:r>
              <w:rPr>
                <w:rFonts w:ascii="Times New Roman" w:eastAsia="Times New Roman" w:hAnsi="Times New Roman" w:cs="Times New Roman"/>
                <w:color w:val="000000"/>
                <w:spacing w:val="0"/>
                <w:w w:val="100"/>
                <w:position w:val="0"/>
              </w:rPr>
              <w:t>™</w:t>
            </w:r>
            <w:r>
              <w:rPr>
                <w:color w:val="000000"/>
                <w:spacing w:val="0"/>
                <w:w w:val="100"/>
                <w:position w:val="0"/>
              </w:rPr>
              <w:t>肿 瘤个体化诊 疗组织基因 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针对肺癌、结直肠癌、卵巢癌、乳腺癌、前列腺 癌以及其他所有实体肿瘤患者的肿瘤组织进行 全面的靶向药物、化疗药物、免疫治疗药物、 遗传性肿瘤基因检测。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主要用于肺癌、乳腺癌、卵巢癌、子宫内膜癌、子宫颈癌、 结直肠癌、胃癌、肝癌、肾癌、胰腺癌、胃肠道间质瘤、 膀胱癌、口腔癌等实体肿瘤组织进行基因检测，为靶向药 物治疗、化疗药物治疗、免疫治疗提供基因变异结果，预 测肿瘤的家族遗传性风险，给临床医生为患者选择最佳治 疗方案或为筛选病人入组临床试验提供依据。</w:t>
            </w:r>
          </w:p>
        </w:tc>
      </w:tr>
      <w:tr>
        <w:trPr>
          <w:trHeight w:val="25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华梵安</w:t>
            </w:r>
            <w:r>
              <w:rPr>
                <w:rFonts w:ascii="Times New Roman" w:eastAsia="Times New Roman" w:hAnsi="Times New Roman" w:cs="Times New Roman"/>
                <w:color w:val="000000"/>
                <w:spacing w:val="0"/>
                <w:w w:val="100"/>
                <w:position w:val="0"/>
              </w:rPr>
              <w:t>TM ctDNA</w:t>
            </w:r>
            <w:r>
              <w:rPr>
                <w:color w:val="000000"/>
                <w:spacing w:val="0"/>
                <w:w w:val="100"/>
                <w:position w:val="0"/>
              </w:rPr>
              <w:t>无创 肿瘤个体化 诊疗基因检 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针对肺癌、结直肠癌、卵巢癌、乳腺癌、前列腺 癌以及其他所有实体肿瘤患者的外周血循环肿 瘤</w:t>
            </w:r>
            <w:r>
              <w:rPr>
                <w:rFonts w:ascii="Times New Roman" w:eastAsia="Times New Roman" w:hAnsi="Times New Roman" w:cs="Times New Roman"/>
                <w:color w:val="000000"/>
                <w:spacing w:val="0"/>
                <w:w w:val="100"/>
                <w:position w:val="0"/>
              </w:rPr>
              <w:t>DNA</w:t>
            </w:r>
            <w:r>
              <w:rPr>
                <w:color w:val="000000"/>
                <w:spacing w:val="0"/>
                <w:w w:val="100"/>
                <w:position w:val="0"/>
              </w:rPr>
              <w:t>进行全面的靶向药物、化疗药物、免疫 治疗药物基因检测，及耐药监测，为临床医生 治疗患者提供参考依据。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主要用于肺癌、乳腺癌、卵巢癌、子宫内膜癌、子宫颈癌、 结直肠癌、胃癌、肝癌、肾癌、胰腺癌、胃肠道间质瘤、 膀胱癌、口腔癌等实体肿瘤患者的外周血中循环肿瘤</w:t>
            </w:r>
            <w:r>
              <w:rPr>
                <w:rFonts w:ascii="Times New Roman" w:eastAsia="Times New Roman" w:hAnsi="Times New Roman" w:cs="Times New Roman"/>
                <w:color w:val="000000"/>
                <w:spacing w:val="0"/>
                <w:w w:val="100"/>
                <w:position w:val="0"/>
              </w:rPr>
              <w:t xml:space="preserve">DNA </w:t>
            </w:r>
            <w:r>
              <w:rPr>
                <w:color w:val="000000"/>
                <w:spacing w:val="0"/>
                <w:w w:val="100"/>
                <w:position w:val="0"/>
              </w:rPr>
              <w:t>检测，此检测技术打破原有临床上肿瘤组织样本非常有限 和不能持续多次活检监测肿瘤患者耐药变化的限制，能够 实现对肿瘤患者用药有效情况的及时监测，为医生根据肿 瘤进展情况及时调整用药方案或为筛选病人入组临床试 验提供临床依据。</w:t>
            </w:r>
          </w:p>
        </w:tc>
      </w:tr>
      <w:tr>
        <w:trPr>
          <w:trHeight w:val="19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全希</w:t>
            </w:r>
            <w:r>
              <w:rPr>
                <w:rFonts w:ascii="Times New Roman" w:eastAsia="Times New Roman" w:hAnsi="Times New Roman" w:cs="Times New Roman"/>
                <w:color w:val="000000"/>
                <w:spacing w:val="0"/>
                <w:w w:val="100"/>
                <w:position w:val="0"/>
              </w:rPr>
              <w:t>™</w:t>
            </w:r>
            <w:r>
              <w:rPr>
                <w:color w:val="000000"/>
                <w:spacing w:val="0"/>
                <w:w w:val="100"/>
                <w:position w:val="0"/>
              </w:rPr>
              <w:t>肿瘤 全外显子基 因检测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针对各种肿瘤患者的组织</w:t>
            </w:r>
            <w:r>
              <w:rPr>
                <w:rFonts w:ascii="Times New Roman" w:eastAsia="Times New Roman" w:hAnsi="Times New Roman" w:cs="Times New Roman"/>
                <w:color w:val="000000"/>
                <w:spacing w:val="0"/>
                <w:w w:val="100"/>
                <w:position w:val="0"/>
              </w:rPr>
              <w:t>DNA</w:t>
            </w:r>
            <w:r>
              <w:rPr>
                <w:color w:val="000000"/>
                <w:spacing w:val="0"/>
                <w:w w:val="100"/>
                <w:position w:val="0"/>
              </w:rPr>
              <w:t xml:space="preserve">和血液白细胞 </w:t>
            </w:r>
            <w:r>
              <w:rPr>
                <w:rFonts w:ascii="Times New Roman" w:eastAsia="Times New Roman" w:hAnsi="Times New Roman" w:cs="Times New Roman"/>
                <w:color w:val="000000"/>
                <w:spacing w:val="0"/>
                <w:w w:val="100"/>
                <w:position w:val="0"/>
              </w:rPr>
              <w:t>DNA</w:t>
            </w:r>
            <w:r>
              <w:rPr>
                <w:color w:val="000000"/>
                <w:spacing w:val="0"/>
                <w:w w:val="100"/>
                <w:position w:val="0"/>
              </w:rPr>
              <w:t>进行全外显子组范围检测，全面评估肿瘤 免疫治疗的各类生物标志物，包括肿瘤新抗原、 肿瘤新抗原负荷、</w:t>
            </w:r>
            <w:r>
              <w:rPr>
                <w:rFonts w:ascii="Times New Roman" w:eastAsia="Times New Roman" w:hAnsi="Times New Roman" w:cs="Times New Roman"/>
                <w:color w:val="000000"/>
                <w:spacing w:val="0"/>
                <w:w w:val="100"/>
                <w:position w:val="0"/>
              </w:rPr>
              <w:t>HLA</w:t>
            </w:r>
            <w:r>
              <w:rPr>
                <w:color w:val="000000"/>
                <w:spacing w:val="0"/>
                <w:w w:val="100"/>
                <w:position w:val="0"/>
              </w:rPr>
              <w:t>状态、肿瘤突变负荷、 微卫星不稳定性等的评估，同时，对于肿瘤靶 向治疗药物、化疗药物相关基因和遗传性肿瘤</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主要用于各类肿瘤患者的免疫检查点抑制剂治疗及免疫 细胞治疗研究、靶向药物治疗、化疗药物治疗提供基因变 异结果，给临床医生为患者选择最佳治疗方案或为筛选病 人入组临床试验提供依据。</w:t>
            </w:r>
          </w:p>
        </w:tc>
      </w:tr>
    </w:tbl>
    <w:p>
      <w:pPr>
        <w:spacing w:lineRule="exact" w:line="1"/>
        <w:rPr>
          <w:sz w:val="2"/>
          <w:szCs w:val="2"/>
        </w:rPr>
      </w:pPr>
      <w:r>
        <w:br w:type="page"/>
      </w:r>
    </w:p>
    <w:tbl>
      <w:tblPr>
        <w:tblOverlap w:val="never"/>
        <w:jc w:val="center"/>
        <w:tblLayout w:type="fixed"/>
      </w:tblPr>
      <w:tblGrid>
        <w:gridCol w:w="509"/>
        <w:gridCol w:w="965"/>
        <w:gridCol w:w="3643"/>
        <w:gridCol w:w="452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的关键基因进行全面检测。</w:t>
            </w:r>
          </w:p>
        </w:tc>
        <w:tc>
          <w:tcPr>
            <w:tcBorders>
              <w:top w:val="single" w:sz="4"/>
              <w:left w:val="single" w:sz="4"/>
              <w:right w:val="single" w:sz="4"/>
            </w:tcBorders>
            <w:shd w:val="clear" w:color="auto" w:fill="FFFFFF"/>
            <w:vAlign w:val="top"/>
          </w:tcPr>
          <w:p>
            <w:pPr>
              <w:widowControl w:val="0"/>
              <w:rPr>
                <w:sz w:val="10"/>
                <w:szCs w:val="10"/>
              </w:rPr>
            </w:pP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华见微</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肿 瘤</w:t>
            </w:r>
            <w:r>
              <w:rPr>
                <w:rFonts w:ascii="Times New Roman" w:eastAsia="Times New Roman" w:hAnsi="Times New Roman" w:cs="Times New Roman"/>
                <w:color w:val="000000"/>
                <w:spacing w:val="0"/>
                <w:w w:val="100"/>
                <w:position w:val="0"/>
              </w:rPr>
              <w:t>MRD</w:t>
            </w:r>
            <w:r>
              <w:rPr>
                <w:color w:val="000000"/>
                <w:spacing w:val="0"/>
                <w:w w:val="100"/>
                <w:position w:val="0"/>
              </w:rPr>
              <w:t>定 制化检测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通过对患者的肿瘤组织进行全外显子测序，基 于其测序结果，为患者设计定制化位点检测； 在监测时采集外周血并检测</w:t>
            </w:r>
            <w:r>
              <w:rPr>
                <w:rFonts w:ascii="Times New Roman" w:eastAsia="Times New Roman" w:hAnsi="Times New Roman" w:cs="Times New Roman"/>
                <w:color w:val="000000"/>
                <w:spacing w:val="0"/>
                <w:w w:val="100"/>
                <w:position w:val="0"/>
              </w:rPr>
              <w:t>ctDNA</w:t>
            </w:r>
            <w:r>
              <w:rPr>
                <w:color w:val="000000"/>
                <w:spacing w:val="0"/>
                <w:w w:val="100"/>
                <w:position w:val="0"/>
              </w:rPr>
              <w:t>，对患者的 微小残留病灶</w:t>
            </w:r>
            <w:r>
              <w:rPr>
                <w:color w:val="000000"/>
                <w:spacing w:val="0"/>
                <w:w w:val="100"/>
                <w:position w:val="0"/>
              </w:rPr>
              <w:t>（</w:t>
            </w:r>
            <w:r>
              <w:rPr>
                <w:rFonts w:ascii="Times New Roman" w:eastAsia="Times New Roman" w:hAnsi="Times New Roman" w:cs="Times New Roman"/>
                <w:color w:val="000000"/>
                <w:spacing w:val="0"/>
                <w:w w:val="100"/>
                <w:position w:val="0"/>
              </w:rPr>
              <w:t>MRD</w:t>
            </w:r>
            <w:r>
              <w:rPr>
                <w:color w:val="000000"/>
                <w:spacing w:val="0"/>
                <w:w w:val="100"/>
                <w:position w:val="0"/>
              </w:rPr>
              <w:t>）</w:t>
            </w:r>
            <w:r>
              <w:rPr>
                <w:color w:val="000000"/>
                <w:spacing w:val="0"/>
                <w:w w:val="100"/>
                <w:position w:val="0"/>
              </w:rPr>
              <w:t>进行监测，记录肿瘤分 子含量和变化趋势，为临床医生早期发现患者 复发和及时判断疗效提供参考依据。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主要用于实体瘤患者的定制化复发监测及疗效评估。</w:t>
            </w:r>
          </w:p>
        </w:tc>
      </w:tr>
      <w:tr>
        <w:trPr>
          <w:trHeight w:val="22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HPV</w:t>
            </w:r>
            <w:r>
              <w:rPr>
                <w:color w:val="000000"/>
                <w:spacing w:val="0"/>
                <w:w w:val="100"/>
                <w:position w:val="0"/>
              </w:rPr>
              <w:t>分型基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本系列产品是基于高通量测序技术，对世界卫 生组织公布的与子宫颈癌发生高度相关的</w:t>
            </w:r>
            <w:r>
              <w:rPr>
                <w:rFonts w:ascii="Times New Roman" w:eastAsia="Times New Roman" w:hAnsi="Times New Roman" w:cs="Times New Roman"/>
                <w:color w:val="000000"/>
                <w:spacing w:val="0"/>
                <w:w w:val="100"/>
                <w:position w:val="0"/>
              </w:rPr>
              <w:t>14</w:t>
            </w:r>
            <w:r>
              <w:rPr>
                <w:color w:val="000000"/>
                <w:spacing w:val="0"/>
                <w:w w:val="100"/>
                <w:position w:val="0"/>
              </w:rPr>
              <w:t>种 高危型</w:t>
            </w:r>
            <w:r>
              <w:rPr>
                <w:rFonts w:ascii="Times New Roman" w:eastAsia="Times New Roman" w:hAnsi="Times New Roman" w:cs="Times New Roman"/>
                <w:color w:val="000000"/>
                <w:spacing w:val="0"/>
                <w:w w:val="100"/>
                <w:position w:val="0"/>
              </w:rPr>
              <w:t>HPV</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w:t>
            </w:r>
            <w:r>
              <w:rPr>
                <w:rFonts w:ascii="Times New Roman" w:eastAsia="Times New Roman" w:hAnsi="Times New Roman" w:cs="Times New Roman"/>
                <w:color w:val="000000"/>
                <w:spacing w:val="0"/>
                <w:w w:val="100"/>
                <w:position w:val="0"/>
              </w:rPr>
              <w:t>33</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 xml:space="preserve">、 </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56</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w:t>
            </w:r>
            <w:r>
              <w:rPr>
                <w:rFonts w:ascii="Times New Roman" w:eastAsia="Times New Roman" w:hAnsi="Times New Roman" w:cs="Times New Roman"/>
                <w:color w:val="000000"/>
                <w:spacing w:val="0"/>
                <w:w w:val="100"/>
                <w:position w:val="0"/>
              </w:rPr>
              <w:t>59</w:t>
            </w:r>
            <w:r>
              <w:rPr>
                <w:color w:val="000000"/>
                <w:spacing w:val="0"/>
                <w:w w:val="100"/>
                <w:position w:val="0"/>
              </w:rPr>
              <w:t>、</w:t>
            </w:r>
            <w:r>
              <w:rPr>
                <w:rFonts w:ascii="Times New Roman" w:eastAsia="Times New Roman" w:hAnsi="Times New Roman" w:cs="Times New Roman"/>
                <w:color w:val="000000"/>
                <w:spacing w:val="0"/>
                <w:w w:val="100"/>
                <w:position w:val="0"/>
              </w:rPr>
              <w:t>66</w:t>
            </w:r>
            <w:r>
              <w:rPr>
                <w:color w:val="000000"/>
                <w:spacing w:val="0"/>
                <w:w w:val="100"/>
                <w:position w:val="0"/>
              </w:rPr>
              <w:t>、</w:t>
            </w:r>
            <w:r>
              <w:rPr>
                <w:rFonts w:ascii="Times New Roman" w:eastAsia="Times New Roman" w:hAnsi="Times New Roman" w:cs="Times New Roman"/>
                <w:color w:val="000000"/>
                <w:spacing w:val="0"/>
                <w:w w:val="100"/>
                <w:position w:val="0"/>
              </w:rPr>
              <w:t>68</w:t>
            </w:r>
            <w:r>
              <w:rPr>
                <w:color w:val="000000"/>
                <w:spacing w:val="0"/>
                <w:w w:val="100"/>
                <w:position w:val="0"/>
              </w:rPr>
              <w:t>），和</w:t>
            </w:r>
            <w:r>
              <w:rPr>
                <w:rFonts w:ascii="Times New Roman" w:eastAsia="Times New Roman" w:hAnsi="Times New Roman" w:cs="Times New Roman"/>
                <w:color w:val="000000"/>
                <w:spacing w:val="0"/>
                <w:w w:val="100"/>
                <w:position w:val="0"/>
              </w:rPr>
              <w:t>2</w:t>
            </w:r>
            <w:r>
              <w:rPr>
                <w:color w:val="000000"/>
                <w:spacing w:val="0"/>
                <w:w w:val="100"/>
                <w:position w:val="0"/>
              </w:rPr>
              <w:t>种低危型</w:t>
            </w:r>
            <w:r>
              <w:rPr>
                <w:rFonts w:ascii="Times New Roman" w:eastAsia="Times New Roman" w:hAnsi="Times New Roman" w:cs="Times New Roman"/>
                <w:color w:val="000000"/>
                <w:spacing w:val="0"/>
                <w:w w:val="100"/>
                <w:position w:val="0"/>
              </w:rPr>
              <w:t xml:space="preserve">HPV </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）进行精准分型与检测。此外还可提供 阳性确诊及阴性保险服务的</w:t>
            </w:r>
            <w:r>
              <w:rPr>
                <w:rFonts w:ascii="Times New Roman" w:eastAsia="Times New Roman" w:hAnsi="Times New Roman" w:cs="Times New Roman"/>
                <w:color w:val="000000"/>
                <w:spacing w:val="0"/>
                <w:w w:val="100"/>
                <w:position w:val="0"/>
              </w:rPr>
              <w:t>“</w:t>
            </w:r>
            <w:r>
              <w:rPr>
                <w:color w:val="000000"/>
                <w:spacing w:val="0"/>
                <w:w w:val="100"/>
                <w:position w:val="0"/>
              </w:rPr>
              <w:t>筛诊保</w:t>
            </w:r>
            <w:r>
              <w:rPr>
                <w:rFonts w:ascii="Times New Roman" w:eastAsia="Times New Roman" w:hAnsi="Times New Roman" w:cs="Times New Roman"/>
                <w:color w:val="000000"/>
                <w:spacing w:val="0"/>
                <w:w w:val="100"/>
                <w:position w:val="0"/>
              </w:rPr>
              <w:t>”</w:t>
            </w:r>
            <w:r>
              <w:rPr>
                <w:color w:val="000000"/>
                <w:spacing w:val="0"/>
                <w:w w:val="100"/>
                <w:position w:val="0"/>
              </w:rPr>
              <w:t>闭环解决 方案。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主要用于以宫颈癌防控为目的的</w:t>
            </w:r>
            <w:r>
              <w:rPr>
                <w:rFonts w:ascii="Times New Roman" w:eastAsia="Times New Roman" w:hAnsi="Times New Roman" w:cs="Times New Roman"/>
                <w:color w:val="000000"/>
                <w:spacing w:val="0"/>
                <w:w w:val="100"/>
                <w:position w:val="0"/>
              </w:rPr>
              <w:t>HPV</w:t>
            </w:r>
            <w:r>
              <w:rPr>
                <w:color w:val="000000"/>
                <w:spacing w:val="0"/>
                <w:w w:val="100"/>
                <w:position w:val="0"/>
              </w:rPr>
              <w:t xml:space="preserve">基因分型检测，提供 </w:t>
            </w:r>
            <w:r>
              <w:rPr>
                <w:rFonts w:ascii="Times New Roman" w:eastAsia="Times New Roman" w:hAnsi="Times New Roman" w:cs="Times New Roman"/>
                <w:color w:val="000000"/>
                <w:spacing w:val="0"/>
                <w:w w:val="100"/>
                <w:position w:val="0"/>
              </w:rPr>
              <w:t>HPV</w:t>
            </w:r>
            <w:r>
              <w:rPr>
                <w:color w:val="000000"/>
                <w:spacing w:val="0"/>
                <w:w w:val="100"/>
                <w:position w:val="0"/>
              </w:rPr>
              <w:t>检测、</w:t>
            </w:r>
            <w:r>
              <w:rPr>
                <w:rFonts w:ascii="Times New Roman" w:eastAsia="Times New Roman" w:hAnsi="Times New Roman" w:cs="Times New Roman"/>
                <w:color w:val="000000"/>
                <w:spacing w:val="0"/>
                <w:w w:val="100"/>
                <w:position w:val="0"/>
              </w:rPr>
              <w:t>HPV</w:t>
            </w:r>
            <w:r>
              <w:rPr>
                <w:color w:val="000000"/>
                <w:spacing w:val="0"/>
                <w:w w:val="100"/>
                <w:position w:val="0"/>
              </w:rPr>
              <w:t>阳性分流管理、病理诊断的整体解决方案。</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乳腺癌</w:t>
            </w:r>
            <w:r>
              <w:rPr>
                <w:rFonts w:ascii="Times New Roman" w:eastAsia="Times New Roman" w:hAnsi="Times New Roman" w:cs="Times New Roman"/>
                <w:color w:val="000000"/>
                <w:spacing w:val="0"/>
                <w:w w:val="100"/>
                <w:position w:val="0"/>
              </w:rPr>
              <w:t>/</w:t>
            </w:r>
            <w:r>
              <w:rPr>
                <w:color w:val="000000"/>
                <w:spacing w:val="0"/>
                <w:w w:val="100"/>
                <w:position w:val="0"/>
              </w:rPr>
              <w:t xml:space="preserve">卵 巢癌易感基 因 </w:t>
            </w:r>
            <w:r>
              <w:rPr>
                <w:rFonts w:ascii="Times New Roman" w:eastAsia="Times New Roman" w:hAnsi="Times New Roman" w:cs="Times New Roman"/>
                <w:color w:val="000000"/>
                <w:spacing w:val="0"/>
                <w:w w:val="100"/>
                <w:position w:val="0"/>
              </w:rPr>
              <w:t xml:space="preserve">BRCA1/2 </w:t>
            </w:r>
            <w:r>
              <w:rPr>
                <w:color w:val="000000"/>
                <w:spacing w:val="0"/>
                <w:w w:val="100"/>
                <w:position w:val="0"/>
              </w:rPr>
              <w:t>遗传风险评 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本产品采集受检者唾液，利用高通量测序技术， 检测遗传性乳腺癌、遗传性卵巢癌相关的 </w:t>
            </w:r>
            <w:r>
              <w:rPr>
                <w:rFonts w:ascii="Times New Roman" w:eastAsia="Times New Roman" w:hAnsi="Times New Roman" w:cs="Times New Roman"/>
                <w:color w:val="000000"/>
                <w:spacing w:val="0"/>
                <w:w w:val="100"/>
                <w:position w:val="0"/>
              </w:rPr>
              <w:t>BRCA1/2</w:t>
            </w:r>
            <w:r>
              <w:rPr>
                <w:color w:val="000000"/>
                <w:spacing w:val="0"/>
                <w:w w:val="100"/>
                <w:position w:val="0"/>
              </w:rPr>
              <w:t>基因，评估遗传风险。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主要用于乳腺癌</w:t>
            </w:r>
            <w:r>
              <w:rPr>
                <w:rFonts w:ascii="Times New Roman" w:eastAsia="Times New Roman" w:hAnsi="Times New Roman" w:cs="Times New Roman"/>
                <w:color w:val="000000"/>
                <w:spacing w:val="0"/>
                <w:w w:val="100"/>
                <w:position w:val="0"/>
              </w:rPr>
              <w:t>/</w:t>
            </w:r>
            <w:r>
              <w:rPr>
                <w:color w:val="000000"/>
                <w:spacing w:val="0"/>
                <w:w w:val="100"/>
                <w:position w:val="0"/>
              </w:rPr>
              <w:t>卵巢癌易感基因</w:t>
            </w:r>
            <w:r>
              <w:rPr>
                <w:rFonts w:ascii="Times New Roman" w:eastAsia="Times New Roman" w:hAnsi="Times New Roman" w:cs="Times New Roman"/>
                <w:color w:val="000000"/>
                <w:spacing w:val="0"/>
                <w:w w:val="100"/>
                <w:position w:val="0"/>
              </w:rPr>
              <w:t>BRCA1/2</w:t>
            </w:r>
            <w:r>
              <w:rPr>
                <w:color w:val="000000"/>
                <w:spacing w:val="0"/>
                <w:w w:val="100"/>
                <w:position w:val="0"/>
              </w:rPr>
              <w:t>遗传风险评估。</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华妍安</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子 宫内膜癌分 子分型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本产品采集受检者肿瘤组织，利用高通量测序 技术和免疫组化技术，检测子宫内膜癌临床指 南推荐的分子分型标记物和遗传变异基因，对 子宫内膜癌进行分子分型。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主主要用于子宫内膜癌分子分型，为临床预后判断提供参 考依据。</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华雪安</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白 血病基因检 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本产品采集患者肿瘤组织或血液及唾液，利用 高通量测序技术对与白血病相关的基因进行 </w:t>
            </w:r>
            <w:r>
              <w:rPr>
                <w:rFonts w:ascii="Times New Roman" w:eastAsia="Times New Roman" w:hAnsi="Times New Roman" w:cs="Times New Roman"/>
                <w:color w:val="000000"/>
                <w:spacing w:val="0"/>
                <w:w w:val="100"/>
                <w:position w:val="0"/>
              </w:rPr>
              <w:t>DNA</w:t>
            </w:r>
            <w:r>
              <w:rPr>
                <w:color w:val="000000"/>
                <w:spacing w:val="0"/>
                <w:w w:val="100"/>
                <w:position w:val="0"/>
              </w:rPr>
              <w:t>和</w:t>
            </w:r>
            <w:r>
              <w:rPr>
                <w:rFonts w:ascii="Times New Roman" w:eastAsia="Times New Roman" w:hAnsi="Times New Roman" w:cs="Times New Roman"/>
                <w:color w:val="000000"/>
                <w:spacing w:val="0"/>
                <w:w w:val="100"/>
                <w:position w:val="0"/>
              </w:rPr>
              <w:t>RNA</w:t>
            </w:r>
            <w:r>
              <w:rPr>
                <w:color w:val="000000"/>
                <w:spacing w:val="0"/>
                <w:w w:val="100"/>
                <w:position w:val="0"/>
              </w:rPr>
              <w:t>层面检测，辅助临床进行分子分 型、预后评估和用药指导。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主要用于各类白血病分子分型、预后评估和用药指导，为 临床诊疗提供参考依据。</w:t>
            </w:r>
          </w:p>
        </w:tc>
      </w:tr>
      <w:tr>
        <w:trPr>
          <w:trHeight w:val="15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华常康</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无 创肠癌基因 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提取粪便中肠道脱落细胞</w:t>
            </w:r>
            <w:r>
              <w:rPr>
                <w:rFonts w:ascii="Times New Roman" w:eastAsia="Times New Roman" w:hAnsi="Times New Roman" w:cs="Times New Roman"/>
                <w:color w:val="000000"/>
                <w:spacing w:val="0"/>
                <w:w w:val="100"/>
                <w:position w:val="0"/>
              </w:rPr>
              <w:t>DNA</w:t>
            </w:r>
            <w:r>
              <w:rPr>
                <w:color w:val="000000"/>
                <w:spacing w:val="0"/>
                <w:w w:val="100"/>
                <w:position w:val="0"/>
              </w:rPr>
              <w:t>，</w:t>
            </w:r>
            <w:r>
              <w:rPr>
                <w:color w:val="000000"/>
                <w:spacing w:val="0"/>
                <w:w w:val="100"/>
                <w:position w:val="0"/>
              </w:rPr>
              <w:t xml:space="preserve">用荧光定量 </w:t>
            </w:r>
            <w:r>
              <w:rPr>
                <w:rFonts w:ascii="Times New Roman" w:eastAsia="Times New Roman" w:hAnsi="Times New Roman" w:cs="Times New Roman"/>
                <w:color w:val="000000"/>
                <w:spacing w:val="0"/>
                <w:w w:val="100"/>
                <w:position w:val="0"/>
              </w:rPr>
              <w:t>PCR</w:t>
            </w:r>
            <w:r>
              <w:rPr>
                <w:color w:val="000000"/>
                <w:spacing w:val="0"/>
                <w:w w:val="100"/>
                <w:position w:val="0"/>
              </w:rPr>
              <w:t>技术检测肠癌相关基因的甲基化水平，分 析受检者罹患结直肠肿瘤及癌前病变的风险。 此外还可提供阳性确诊及阴性保险服务的</w:t>
            </w:r>
            <w:r>
              <w:rPr>
                <w:rFonts w:ascii="Times New Roman" w:eastAsia="Times New Roman" w:hAnsi="Times New Roman" w:cs="Times New Roman"/>
                <w:color w:val="000000"/>
                <w:spacing w:val="0"/>
                <w:w w:val="100"/>
                <w:position w:val="0"/>
              </w:rPr>
              <w:t>“</w:t>
            </w:r>
            <w:r>
              <w:rPr>
                <w:color w:val="000000"/>
                <w:spacing w:val="0"/>
                <w:w w:val="100"/>
                <w:position w:val="0"/>
              </w:rPr>
              <w:t>筛 诊保</w:t>
            </w:r>
            <w:r>
              <w:rPr>
                <w:rFonts w:ascii="Times New Roman" w:eastAsia="Times New Roman" w:hAnsi="Times New Roman" w:cs="Times New Roman"/>
                <w:color w:val="000000"/>
                <w:spacing w:val="0"/>
                <w:w w:val="100"/>
                <w:position w:val="0"/>
              </w:rPr>
              <w:t>”</w:t>
            </w:r>
            <w:r>
              <w:rPr>
                <w:color w:val="000000"/>
                <w:spacing w:val="0"/>
                <w:w w:val="100"/>
                <w:position w:val="0"/>
              </w:rPr>
              <w:t>闭环解决方案。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评估受检者是否罹患癌前病变或早期结直肠癌的风险。</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华甘宁</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无 创肝癌基因 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采集受检者外周血，通过甲基化快速靶向建库 测序技术，检测肝癌相关基因的甲基化水平， 分析受检者罹患肝癌的风险。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评估受检者罹患肝癌的风险。</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人肿瘤单基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因突变检测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用于检测癌症患者肿瘤组织中单个肿瘤驱动基 因的多种常见突变，提供突变状态的定性评估。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主要用于肺癌及结直肠癌患者进行基因检测，为医生制定 治疗方案提供肿瘤个体化用药依据。</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六项肿瘤标 志物测定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采集受检者外周血，可一次检测</w:t>
            </w:r>
            <w:r>
              <w:rPr>
                <w:rFonts w:ascii="Times New Roman" w:eastAsia="Times New Roman" w:hAnsi="Times New Roman" w:cs="Times New Roman"/>
                <w:color w:val="000000"/>
                <w:spacing w:val="0"/>
                <w:w w:val="100"/>
                <w:position w:val="0"/>
              </w:rPr>
              <w:t>AFP</w:t>
            </w:r>
            <w:r>
              <w:rPr>
                <w:color w:val="000000"/>
                <w:spacing w:val="0"/>
                <w:w w:val="100"/>
                <w:position w:val="0"/>
              </w:rPr>
              <w:t>、</w:t>
            </w:r>
            <w:r>
              <w:rPr>
                <w:rFonts w:ascii="Times New Roman" w:eastAsia="Times New Roman" w:hAnsi="Times New Roman" w:cs="Times New Roman"/>
                <w:color w:val="000000"/>
                <w:spacing w:val="0"/>
                <w:w w:val="100"/>
                <w:position w:val="0"/>
              </w:rPr>
              <w:t>CEA</w:t>
            </w:r>
            <w:r>
              <w:rPr>
                <w:color w:val="000000"/>
                <w:spacing w:val="0"/>
                <w:w w:val="100"/>
                <w:position w:val="0"/>
              </w:rPr>
              <w:t xml:space="preserve">、 </w:t>
            </w:r>
            <w:r>
              <w:rPr>
                <w:rFonts w:ascii="Times New Roman" w:eastAsia="Times New Roman" w:hAnsi="Times New Roman" w:cs="Times New Roman"/>
                <w:color w:val="000000"/>
                <w:spacing w:val="0"/>
                <w:w w:val="100"/>
                <w:position w:val="0"/>
              </w:rPr>
              <w:t>PSA</w:t>
            </w:r>
            <w:r>
              <w:rPr>
                <w:color w:val="000000"/>
                <w:spacing w:val="0"/>
                <w:w w:val="100"/>
                <w:position w:val="0"/>
              </w:rPr>
              <w:t>、</w:t>
            </w:r>
            <w:r>
              <w:rPr>
                <w:rFonts w:ascii="Times New Roman" w:eastAsia="Times New Roman" w:hAnsi="Times New Roman" w:cs="Times New Roman"/>
                <w:color w:val="000000"/>
                <w:spacing w:val="0"/>
                <w:w w:val="100"/>
                <w:position w:val="0"/>
              </w:rPr>
              <w:t>CA125</w:t>
            </w:r>
            <w:r>
              <w:rPr>
                <w:color w:val="000000"/>
                <w:spacing w:val="0"/>
                <w:w w:val="100"/>
                <w:position w:val="0"/>
              </w:rPr>
              <w:t>、</w:t>
            </w:r>
            <w:r>
              <w:rPr>
                <w:rFonts w:ascii="Times New Roman" w:eastAsia="Times New Roman" w:hAnsi="Times New Roman" w:cs="Times New Roman"/>
                <w:color w:val="000000"/>
                <w:spacing w:val="0"/>
                <w:w w:val="100"/>
                <w:position w:val="0"/>
              </w:rPr>
              <w:t>CA19-9</w:t>
            </w:r>
            <w:r>
              <w:rPr>
                <w:color w:val="000000"/>
                <w:spacing w:val="0"/>
                <w:w w:val="100"/>
                <w:position w:val="0"/>
              </w:rPr>
              <w:t>和</w:t>
            </w:r>
            <w:r>
              <w:rPr>
                <w:rFonts w:ascii="Times New Roman" w:eastAsia="Times New Roman" w:hAnsi="Times New Roman" w:cs="Times New Roman"/>
                <w:color w:val="000000"/>
                <w:spacing w:val="0"/>
                <w:w w:val="100"/>
                <w:position w:val="0"/>
              </w:rPr>
              <w:t>CA15-3</w:t>
            </w:r>
            <w:r>
              <w:rPr>
                <w:color w:val="000000"/>
                <w:spacing w:val="0"/>
                <w:w w:val="100"/>
                <w:position w:val="0"/>
              </w:rPr>
              <w:t>六个肿瘤标志 物指标。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主要用于相关肿瘤标志物指标的测定，为医生提供检测结 果以便判断肿瘤良恶情况和为患者选择最佳治疗方案。</w:t>
            </w:r>
          </w:p>
        </w:tc>
      </w:tr>
      <w:tr>
        <w:trPr>
          <w:trHeight w:val="9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肿瘤标志物</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测定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采集受检者外周血，根据检测内容进行常见肿 瘤的早期筛查，包括肺癌、肝癌、胃癌、结直肠 癌、乳腺癌、卵巢癌、胰腺癌、食管癌、前列腺</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509"/>
        <w:gridCol w:w="965"/>
        <w:gridCol w:w="3643"/>
        <w:gridCol w:w="4526"/>
      </w:tblGrid>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癌、胆囊癌等。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7"/>
        <w:keepNext w:val="0"/>
        <w:keepLines w:val="0"/>
        <w:widowControl w:val="0"/>
        <w:shd w:val="clear" w:color="auto" w:fill="auto"/>
        <w:bidi w:val="0"/>
        <w:spacing w:before="0" w:line="312" w:lineRule="exact"/>
        <w:ind w:left="0" w:right="0"/>
        <w:jc w:val="left"/>
      </w:pPr>
      <w:bookmarkStart w:id="94" w:name="bookmark94"/>
      <w:r>
        <w:rPr>
          <w:rFonts w:ascii="Times New Roman" w:eastAsia="Times New Roman" w:hAnsi="Times New Roman" w:cs="Times New Roman"/>
          <w:b/>
          <w:bCs/>
          <w:color w:val="000000"/>
          <w:spacing w:val="0"/>
          <w:w w:val="100"/>
          <w:position w:val="0"/>
        </w:rPr>
        <w:t>3</w:t>
      </w:r>
      <w:bookmarkEnd w:id="94"/>
      <w:r>
        <w:rPr>
          <w:b/>
          <w:bCs/>
          <w:color w:val="000000"/>
          <w:spacing w:val="0"/>
          <w:w w:val="100"/>
          <w:position w:val="0"/>
        </w:rPr>
        <w:t>、感染防控基础研究和临床应用服务</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）业务概述</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华大基因利用宏基因组学等多个技术平台对疑难危重感染进行检测和分析，建立了多种病原检测的技术与产品体系，覆 盖了不同客户人群多层次的检测需求，成为临床诊断的重要辅助手段。其中，基于宏基因组学的</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 基因检测根据不同病原类型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病原体）以及不同的检测灵敏度，从血流感染、中枢神经系统感染、呼吸系统感染 及局灶感染四大症候群维度，针对不同标本类型，细化升级出基础版</w:t>
      </w:r>
      <w:r>
        <w:rPr>
          <w:rFonts w:ascii="Times New Roman" w:eastAsia="Times New Roman" w:hAnsi="Times New Roman" w:cs="Times New Roman"/>
          <w:color w:val="000000"/>
          <w:spacing w:val="0"/>
          <w:w w:val="100"/>
          <w:position w:val="0"/>
        </w:rPr>
        <w:t>/</w:t>
      </w:r>
      <w:r>
        <w:rPr>
          <w:color w:val="000000"/>
          <w:spacing w:val="0"/>
          <w:w w:val="100"/>
          <w:position w:val="0"/>
        </w:rPr>
        <w:t>高敏版的</w:t>
      </w:r>
      <w:r>
        <w:rPr>
          <w:rFonts w:ascii="Times New Roman" w:eastAsia="Times New Roman" w:hAnsi="Times New Roman" w:cs="Times New Roman"/>
          <w:color w:val="000000"/>
          <w:spacing w:val="0"/>
          <w:w w:val="100"/>
          <w:position w:val="0"/>
        </w:rPr>
        <w:t>PMseq®-DNA</w:t>
      </w:r>
      <w:r>
        <w:rPr>
          <w:color w:val="000000"/>
          <w:spacing w:val="0"/>
          <w:w w:val="100"/>
          <w:position w:val="0"/>
        </w:rPr>
        <w:t>、</w:t>
      </w:r>
      <w:r>
        <w:rPr>
          <w:rFonts w:ascii="Times New Roman" w:eastAsia="Times New Roman" w:hAnsi="Times New Roman" w:cs="Times New Roman"/>
          <w:color w:val="000000"/>
          <w:spacing w:val="0"/>
          <w:w w:val="100"/>
          <w:position w:val="0"/>
        </w:rPr>
        <w:t>PMseq®-RNA</w:t>
      </w:r>
      <w:r>
        <w:rPr>
          <w:color w:val="000000"/>
          <w:spacing w:val="0"/>
          <w:w w:val="100"/>
          <w:position w:val="0"/>
        </w:rPr>
        <w:t>、</w:t>
      </w:r>
      <w:r>
        <w:rPr>
          <w:rFonts w:ascii="Times New Roman" w:eastAsia="Times New Roman" w:hAnsi="Times New Roman" w:cs="Times New Roman"/>
          <w:color w:val="000000"/>
          <w:spacing w:val="0"/>
          <w:w w:val="100"/>
          <w:position w:val="0"/>
        </w:rPr>
        <w:t>PMseq®- DNA+RNA</w:t>
      </w:r>
      <w:r>
        <w:rPr>
          <w:color w:val="000000"/>
          <w:spacing w:val="0"/>
          <w:w w:val="100"/>
          <w:position w:val="0"/>
        </w:rPr>
        <w:t>病原微生物高通量基因检测产品。报告期内，公司对细菌耐药基因多重检测产品进行了全新升级，可检测</w:t>
      </w:r>
      <w:r>
        <w:rPr>
          <w:rFonts w:ascii="Times New Roman" w:eastAsia="Times New Roman" w:hAnsi="Times New Roman" w:cs="Times New Roman"/>
          <w:color w:val="000000"/>
          <w:spacing w:val="0"/>
          <w:w w:val="100"/>
          <w:position w:val="0"/>
        </w:rPr>
        <w:t>5</w:t>
      </w:r>
      <w:r>
        <w:rPr>
          <w:color w:val="000000"/>
          <w:spacing w:val="0"/>
          <w:w w:val="100"/>
          <w:position w:val="0"/>
        </w:rPr>
        <w:t>种常 见病原微生物和导致细菌耐药相关的</w:t>
      </w:r>
      <w:r>
        <w:rPr>
          <w:rFonts w:ascii="Times New Roman" w:eastAsia="Times New Roman" w:hAnsi="Times New Roman" w:cs="Times New Roman"/>
          <w:color w:val="000000"/>
          <w:spacing w:val="0"/>
          <w:w w:val="100"/>
          <w:position w:val="0"/>
        </w:rPr>
        <w:t>9</w:t>
      </w:r>
      <w:r>
        <w:rPr>
          <w:color w:val="000000"/>
          <w:spacing w:val="0"/>
          <w:w w:val="100"/>
          <w:position w:val="0"/>
        </w:rPr>
        <w:t>个蛋白酶基因。报告期内，公司新发布</w:t>
      </w:r>
      <w:r>
        <w:rPr>
          <w:rFonts w:ascii="Times New Roman" w:eastAsia="Times New Roman" w:hAnsi="Times New Roman" w:cs="Times New Roman"/>
          <w:color w:val="000000"/>
          <w:spacing w:val="0"/>
          <w:w w:val="100"/>
          <w:position w:val="0"/>
        </w:rPr>
        <w:t>PM Easy Lab</w:t>
      </w:r>
      <w:r>
        <w:rPr>
          <w:color w:val="000000"/>
          <w:spacing w:val="0"/>
          <w:w w:val="100"/>
          <w:position w:val="0"/>
        </w:rPr>
        <w:t>全自动核酸检测系统，可一站式 处理从核酸提取到检测出报告的全过程；并基于此平台完成了中枢神经系统感染病原体核酸多重检测、呼吸道病原体核酸多 重检测产品的开发，为中枢神经系统感染和呼吸道感染患者提供快速的病原学检测结果。同时，公司基于液相色谱串联质谱 技术的抗菌药物浓度检测产品，可为医生制定用药处方提供参考依据。</w:t>
      </w:r>
    </w:p>
    <w:p>
      <w:pPr>
        <w:pStyle w:val="Style17"/>
        <w:keepNext w:val="0"/>
        <w:keepLines w:val="0"/>
        <w:widowControl w:val="0"/>
        <w:shd w:val="clear" w:color="auto" w:fill="auto"/>
        <w:bidi w:val="0"/>
        <w:spacing w:before="0" w:after="200" w:line="312" w:lineRule="exact"/>
        <w:ind w:left="0" w:right="0"/>
        <w:jc w:val="both"/>
      </w:pPr>
      <w:r>
        <w:rPr>
          <w:color w:val="000000"/>
          <w:spacing w:val="0"/>
          <w:w w:val="100"/>
          <w:position w:val="0"/>
        </w:rPr>
        <w:t>新型冠状（以下简称新冠）病毒肺炎疫情在全球范围内爆发，公司第一时间研发出多项新冠病毒检测试剂盒。报告期内， 公司针对多联检检测、核酸快速检测、不同变异株检测的市场需求，加大研发资源投入，相关检测试剂盒均已获得欧盟</w:t>
      </w:r>
      <w:r>
        <w:rPr>
          <w:rFonts w:ascii="Times New Roman" w:eastAsia="Times New Roman" w:hAnsi="Times New Roman" w:cs="Times New Roman"/>
          <w:color w:val="000000"/>
          <w:spacing w:val="0"/>
          <w:w w:val="100"/>
          <w:position w:val="0"/>
        </w:rPr>
        <w:t xml:space="preserve">CE </w:t>
      </w:r>
      <w:r>
        <w:rPr>
          <w:color w:val="000000"/>
          <w:spacing w:val="0"/>
          <w:w w:val="100"/>
          <w:position w:val="0"/>
        </w:rPr>
        <w:t>准入资质。目前，公司已形成病毒测序、核酸检测、核酸快检、抗原快检、抗原自测、抗体快检、中和抗体检测等多产品覆 盖体系，技术覆盖荧光</w:t>
      </w:r>
      <w:r>
        <w:rPr>
          <w:rFonts w:ascii="Times New Roman" w:eastAsia="Times New Roman" w:hAnsi="Times New Roman" w:cs="Times New Roman"/>
          <w:color w:val="000000"/>
          <w:spacing w:val="0"/>
          <w:w w:val="100"/>
          <w:position w:val="0"/>
        </w:rPr>
        <w:t>PCR</w:t>
      </w:r>
      <w:r>
        <w:rPr>
          <w:color w:val="000000"/>
          <w:spacing w:val="0"/>
          <w:w w:val="100"/>
          <w:position w:val="0"/>
        </w:rPr>
        <w:t>法、联合探针锚定聚合测序法、酶联免疫吸附测定法、胶体金法、荧光免疫层析法、自驱动微流 控</w:t>
      </w:r>
      <w:r>
        <w:rPr>
          <w:rFonts w:ascii="Times New Roman" w:eastAsia="Times New Roman" w:hAnsi="Times New Roman" w:cs="Times New Roman"/>
          <w:color w:val="000000"/>
          <w:spacing w:val="0"/>
          <w:w w:val="100"/>
          <w:position w:val="0"/>
        </w:rPr>
        <w:t>-</w:t>
      </w:r>
      <w:r>
        <w:rPr>
          <w:color w:val="000000"/>
          <w:spacing w:val="0"/>
          <w:w w:val="100"/>
          <w:position w:val="0"/>
        </w:rPr>
        <w:t>试纸条法等，满足不同地区及人群的疫情防控需求。</w:t>
      </w: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）具体产品介绍</w:t>
      </w:r>
    </w:p>
    <w:tbl>
      <w:tblPr>
        <w:tblOverlap w:val="never"/>
        <w:jc w:val="center"/>
        <w:tblLayout w:type="fixed"/>
      </w:tblPr>
      <w:tblGrid>
        <w:gridCol w:w="422"/>
        <w:gridCol w:w="1032"/>
        <w:gridCol w:w="5434"/>
        <w:gridCol w:w="275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15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血流感染症</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候群病原微</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生物基因检</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针对血液标本，采用基于宏基因组学的高通量测序技术对标本中的病 原体进行鉴定。根据不同病原类型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病原体）以及不同的 检测灵敏度划分为基础版</w:t>
            </w:r>
            <w:r>
              <w:rPr>
                <w:rFonts w:ascii="Times New Roman" w:eastAsia="Times New Roman" w:hAnsi="Times New Roman" w:cs="Times New Roman"/>
                <w:color w:val="000000"/>
                <w:spacing w:val="0"/>
                <w:w w:val="100"/>
                <w:position w:val="0"/>
              </w:rPr>
              <w:t>/</w:t>
            </w:r>
            <w:r>
              <w:rPr>
                <w:color w:val="000000"/>
                <w:spacing w:val="0"/>
                <w:w w:val="100"/>
                <w:position w:val="0"/>
              </w:rPr>
              <w:t>高敏版的</w:t>
            </w:r>
            <w:r>
              <w:rPr>
                <w:rFonts w:ascii="Times New Roman" w:eastAsia="Times New Roman" w:hAnsi="Times New Roman" w:cs="Times New Roman"/>
                <w:color w:val="000000"/>
                <w:spacing w:val="0"/>
                <w:w w:val="100"/>
                <w:position w:val="0"/>
              </w:rPr>
              <w:t>PMseq®-DNA</w:t>
            </w:r>
            <w:r>
              <w:rPr>
                <w:color w:val="000000"/>
                <w:spacing w:val="0"/>
                <w:w w:val="100"/>
                <w:position w:val="0"/>
              </w:rPr>
              <w:t>、</w:t>
            </w:r>
            <w:r>
              <w:rPr>
                <w:rFonts w:ascii="Times New Roman" w:eastAsia="Times New Roman" w:hAnsi="Times New Roman" w:cs="Times New Roman"/>
                <w:color w:val="000000"/>
                <w:spacing w:val="0"/>
                <w:w w:val="100"/>
                <w:position w:val="0"/>
              </w:rPr>
              <w:t>PMseq®-RNA</w:t>
            </w:r>
            <w:r>
              <w:rPr>
                <w:color w:val="000000"/>
                <w:spacing w:val="0"/>
                <w:w w:val="100"/>
                <w:position w:val="0"/>
              </w:rPr>
              <w:t xml:space="preserve">、 </w:t>
            </w:r>
            <w:r>
              <w:rPr>
                <w:rFonts w:ascii="Times New Roman" w:eastAsia="Times New Roman" w:hAnsi="Times New Roman" w:cs="Times New Roman"/>
                <w:color w:val="000000"/>
                <w:spacing w:val="0"/>
                <w:w w:val="100"/>
                <w:position w:val="0"/>
              </w:rPr>
              <w:t>PMseq®-DNA+RNA</w:t>
            </w:r>
            <w:r>
              <w:rPr>
                <w:color w:val="000000"/>
                <w:spacing w:val="0"/>
                <w:w w:val="100"/>
                <w:position w:val="0"/>
              </w:rPr>
              <w:t>血流感染病原微生物高通量基因检测产品。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可用于重症医学科、感染科、血液 科、儿科、心外科等科室疑似血流 感染患者（例如不明原因发热查因、 脓毒血症、感染性休克等）的病原 体筛查，辅助临床诊断。</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中枢神经系 统感染症候 群病原微生 物基因检测 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针对脑脊液、脊髓液标本，采用基于宏基因组学的高通量测序技术对 标本中的病原体进行鉴定。根据不同病原类型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 以及不同的检测灵敏度划分为基础版</w:t>
            </w:r>
            <w:r>
              <w:rPr>
                <w:rFonts w:ascii="Times New Roman" w:eastAsia="Times New Roman" w:hAnsi="Times New Roman" w:cs="Times New Roman"/>
                <w:color w:val="000000"/>
                <w:spacing w:val="0"/>
                <w:w w:val="100"/>
                <w:position w:val="0"/>
              </w:rPr>
              <w:t>/</w:t>
            </w:r>
            <w:r>
              <w:rPr>
                <w:color w:val="000000"/>
                <w:spacing w:val="0"/>
                <w:w w:val="100"/>
                <w:position w:val="0"/>
              </w:rPr>
              <w:t>高敏版的</w:t>
            </w:r>
            <w:r>
              <w:rPr>
                <w:rFonts w:ascii="Times New Roman" w:eastAsia="Times New Roman" w:hAnsi="Times New Roman" w:cs="Times New Roman"/>
                <w:color w:val="000000"/>
                <w:spacing w:val="0"/>
                <w:w w:val="100"/>
                <w:position w:val="0"/>
              </w:rPr>
              <w:t>PMseq®-DNA</w:t>
            </w:r>
            <w:r>
              <w:rPr>
                <w:color w:val="000000"/>
                <w:spacing w:val="0"/>
                <w:w w:val="100"/>
                <w:position w:val="0"/>
              </w:rPr>
              <w:t xml:space="preserve">、 </w:t>
            </w:r>
            <w:r>
              <w:rPr>
                <w:rFonts w:ascii="Times New Roman" w:eastAsia="Times New Roman" w:hAnsi="Times New Roman" w:cs="Times New Roman"/>
                <w:color w:val="000000"/>
                <w:spacing w:val="0"/>
                <w:w w:val="100"/>
                <w:position w:val="0"/>
              </w:rPr>
              <w:t>PMseq®-RNA</w:t>
            </w:r>
            <w:r>
              <w:rPr>
                <w:color w:val="000000"/>
                <w:spacing w:val="0"/>
                <w:w w:val="100"/>
                <w:position w:val="0"/>
              </w:rPr>
              <w:t>、</w:t>
            </w:r>
            <w:r>
              <w:rPr>
                <w:rFonts w:ascii="Times New Roman" w:eastAsia="Times New Roman" w:hAnsi="Times New Roman" w:cs="Times New Roman"/>
                <w:color w:val="000000"/>
                <w:spacing w:val="0"/>
                <w:w w:val="100"/>
                <w:position w:val="0"/>
              </w:rPr>
              <w:t>PMseq®-DNA+RNA</w:t>
            </w:r>
            <w:r>
              <w:rPr>
                <w:color w:val="000000"/>
                <w:spacing w:val="0"/>
                <w:w w:val="100"/>
                <w:position w:val="0"/>
              </w:rPr>
              <w:t>中枢神经系统感染病原微生物高 通量基因检测产品。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可用于疑似中枢神经系统感染（例 如脑炎、脑膜炎）患者的病原体筛 查，辅助临床诊断。</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呼吸系统感 染症候群病 原微生物基 因检测系列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针对深部痰液、肺泡灌洗液、咽拭子等呼吸道标本，采用基于宏基因 组学的高通量测序技术对标本中的病原体进行鉴定。根据不同病原类 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病原体）以及不同的检测灵敏度划分为基础版</w:t>
            </w:r>
            <w:r>
              <w:rPr>
                <w:rFonts w:ascii="Times New Roman" w:eastAsia="Times New Roman" w:hAnsi="Times New Roman" w:cs="Times New Roman"/>
                <w:color w:val="000000"/>
                <w:spacing w:val="0"/>
                <w:w w:val="100"/>
                <w:position w:val="0"/>
              </w:rPr>
              <w:t>/</w:t>
            </w:r>
            <w:r>
              <w:rPr>
                <w:color w:val="000000"/>
                <w:spacing w:val="0"/>
                <w:w w:val="100"/>
                <w:position w:val="0"/>
              </w:rPr>
              <w:t>高敏版 的</w:t>
            </w:r>
            <w:r>
              <w:rPr>
                <w:rFonts w:ascii="Times New Roman" w:eastAsia="Times New Roman" w:hAnsi="Times New Roman" w:cs="Times New Roman"/>
                <w:color w:val="000000"/>
                <w:spacing w:val="0"/>
                <w:w w:val="100"/>
                <w:position w:val="0"/>
              </w:rPr>
              <w:t>PMseq®-DNA</w:t>
            </w:r>
            <w:r>
              <w:rPr>
                <w:color w:val="000000"/>
                <w:spacing w:val="0"/>
                <w:w w:val="100"/>
                <w:position w:val="0"/>
              </w:rPr>
              <w:t>、</w:t>
            </w:r>
            <w:r>
              <w:rPr>
                <w:rFonts w:ascii="Times New Roman" w:eastAsia="Times New Roman" w:hAnsi="Times New Roman" w:cs="Times New Roman"/>
                <w:color w:val="000000"/>
                <w:spacing w:val="0"/>
                <w:w w:val="100"/>
                <w:position w:val="0"/>
              </w:rPr>
              <w:t>PMseq®-RNA</w:t>
            </w:r>
            <w:r>
              <w:rPr>
                <w:color w:val="000000"/>
                <w:spacing w:val="0"/>
                <w:w w:val="100"/>
                <w:position w:val="0"/>
              </w:rPr>
              <w:t>、</w:t>
            </w:r>
            <w:r>
              <w:rPr>
                <w:rFonts w:ascii="Times New Roman" w:eastAsia="Times New Roman" w:hAnsi="Times New Roman" w:cs="Times New Roman"/>
                <w:color w:val="000000"/>
                <w:spacing w:val="0"/>
                <w:w w:val="100"/>
                <w:position w:val="0"/>
              </w:rPr>
              <w:t>PMseq®-DNA+RNA</w:t>
            </w:r>
            <w:r>
              <w:rPr>
                <w:color w:val="000000"/>
                <w:spacing w:val="0"/>
                <w:w w:val="100"/>
                <w:position w:val="0"/>
              </w:rPr>
              <w:t>呼吸系统感染病 原微生物高通量基因检测产品。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可用于呼吸科、重症医学科、感染 科、儿科等科室疑似呼吸道感染患 者（例如重症肺炎患者）的病原体 筛查，辅助临床诊断。</w:t>
            </w:r>
          </w:p>
        </w:tc>
      </w:tr>
      <w:tr>
        <w:trPr>
          <w:trHeight w:val="15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局灶感染症</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候群病原微</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生物基因检</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针对胸腹水、尿液、关节液、脓液、房水、新鲜组织等局灶标本，采 用基于宏基因组学的高通量测序技术对标本中的病原体进行鉴定。根 据不同病原类型</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或</w:t>
            </w:r>
            <w:r>
              <w:rPr>
                <w:rFonts w:ascii="Times New Roman" w:eastAsia="Times New Roman" w:hAnsi="Times New Roman" w:cs="Times New Roman"/>
                <w:color w:val="000000"/>
                <w:spacing w:val="0"/>
                <w:w w:val="100"/>
                <w:position w:val="0"/>
              </w:rPr>
              <w:t>RNA</w:t>
            </w:r>
            <w:r>
              <w:rPr>
                <w:color w:val="000000"/>
                <w:spacing w:val="0"/>
                <w:w w:val="100"/>
                <w:position w:val="0"/>
              </w:rPr>
              <w:t>病原体）以及不同的检测灵敏度划分为 基础版</w:t>
            </w:r>
            <w:r>
              <w:rPr>
                <w:rFonts w:ascii="Times New Roman" w:eastAsia="Times New Roman" w:hAnsi="Times New Roman" w:cs="Times New Roman"/>
                <w:color w:val="000000"/>
                <w:spacing w:val="0"/>
                <w:w w:val="100"/>
                <w:position w:val="0"/>
              </w:rPr>
              <w:t>/</w:t>
            </w:r>
            <w:r>
              <w:rPr>
                <w:color w:val="000000"/>
                <w:spacing w:val="0"/>
                <w:w w:val="100"/>
                <w:position w:val="0"/>
              </w:rPr>
              <w:t>高敏版的</w:t>
            </w:r>
            <w:r>
              <w:rPr>
                <w:rFonts w:ascii="Times New Roman" w:eastAsia="Times New Roman" w:hAnsi="Times New Roman" w:cs="Times New Roman"/>
                <w:color w:val="000000"/>
                <w:spacing w:val="0"/>
                <w:w w:val="100"/>
                <w:position w:val="0"/>
              </w:rPr>
              <w:t>PMseq®-DNA</w:t>
            </w:r>
            <w:r>
              <w:rPr>
                <w:color w:val="000000"/>
                <w:spacing w:val="0"/>
                <w:w w:val="100"/>
                <w:position w:val="0"/>
              </w:rPr>
              <w:t>、</w:t>
            </w:r>
            <w:r>
              <w:rPr>
                <w:rFonts w:ascii="Times New Roman" w:eastAsia="Times New Roman" w:hAnsi="Times New Roman" w:cs="Times New Roman"/>
                <w:color w:val="000000"/>
                <w:spacing w:val="0"/>
                <w:w w:val="100"/>
                <w:position w:val="0"/>
              </w:rPr>
              <w:t>PMseq®-RNA</w:t>
            </w:r>
            <w:r>
              <w:rPr>
                <w:color w:val="000000"/>
                <w:spacing w:val="0"/>
                <w:w w:val="100"/>
                <w:position w:val="0"/>
              </w:rPr>
              <w:t>、</w:t>
            </w:r>
            <w:r>
              <w:rPr>
                <w:rFonts w:ascii="Times New Roman" w:eastAsia="Times New Roman" w:hAnsi="Times New Roman" w:cs="Times New Roman"/>
                <w:color w:val="000000"/>
                <w:spacing w:val="0"/>
                <w:w w:val="100"/>
                <w:position w:val="0"/>
              </w:rPr>
              <w:t xml:space="preserve">PMseq®-DNA+RNA </w:t>
            </w:r>
            <w:r>
              <w:rPr>
                <w:color w:val="000000"/>
                <w:spacing w:val="0"/>
                <w:w w:val="100"/>
                <w:position w:val="0"/>
              </w:rPr>
              <w:t>局灶感染病原微生物高通量基因检测产品。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可用于疑似骨关节感染、深浅部脓 肿、眼部感染、胸腔</w:t>
            </w:r>
            <w:r>
              <w:rPr>
                <w:rFonts w:ascii="Times New Roman" w:eastAsia="Times New Roman" w:hAnsi="Times New Roman" w:cs="Times New Roman"/>
                <w:color w:val="000000"/>
                <w:spacing w:val="0"/>
                <w:w w:val="100"/>
                <w:position w:val="0"/>
              </w:rPr>
              <w:t>/</w:t>
            </w:r>
            <w:r>
              <w:rPr>
                <w:color w:val="000000"/>
                <w:spacing w:val="0"/>
                <w:w w:val="100"/>
                <w:position w:val="0"/>
              </w:rPr>
              <w:t>腹腔感染、局 部组织感染等局灶感染患者的病原 体筛查，辅助临床诊断。</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耐药基因检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测系列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本系列产品包括：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）基于荧光</w:t>
            </w:r>
            <w:r>
              <w:rPr>
                <w:rFonts w:ascii="Times New Roman" w:eastAsia="Times New Roman" w:hAnsi="Times New Roman" w:cs="Times New Roman"/>
                <w:color w:val="000000"/>
                <w:spacing w:val="0"/>
                <w:w w:val="100"/>
                <w:position w:val="0"/>
              </w:rPr>
              <w:t>PCR</w:t>
            </w:r>
            <w:r>
              <w:rPr>
                <w:color w:val="000000"/>
                <w:spacing w:val="0"/>
                <w:w w:val="100"/>
                <w:position w:val="0"/>
              </w:rPr>
              <w:t>技术的结核分枝杆菌鉴定及利福平</w:t>
            </w:r>
            <w:r>
              <w:rPr>
                <w:rFonts w:ascii="Times New Roman" w:eastAsia="Times New Roman" w:hAnsi="Times New Roman" w:cs="Times New Roman"/>
                <w:color w:val="000000"/>
                <w:spacing w:val="0"/>
                <w:w w:val="100"/>
                <w:position w:val="0"/>
              </w:rPr>
              <w:t>/</w:t>
            </w:r>
            <w:r>
              <w:rPr>
                <w:color w:val="000000"/>
                <w:spacing w:val="0"/>
                <w:w w:val="100"/>
                <w:position w:val="0"/>
              </w:rPr>
              <w:t>异烟肼耐药基因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适用于特定病原体的特定耐药基因 检测，辅助临床应用抗菌药物。</w:t>
            </w:r>
          </w:p>
        </w:tc>
      </w:tr>
    </w:tbl>
    <w:p>
      <w:pPr>
        <w:spacing w:lineRule="exact" w:line="1"/>
        <w:rPr>
          <w:sz w:val="2"/>
          <w:szCs w:val="2"/>
        </w:rPr>
      </w:pPr>
      <w:r>
        <w:br w:type="page"/>
      </w:r>
    </w:p>
    <w:tbl>
      <w:tblPr>
        <w:tblOverlap w:val="never"/>
        <w:jc w:val="center"/>
        <w:tblLayout w:type="fixed"/>
      </w:tblPr>
      <w:tblGrid>
        <w:gridCol w:w="422"/>
        <w:gridCol w:w="1032"/>
        <w:gridCol w:w="5434"/>
        <w:gridCol w:w="2750"/>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检测；</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）基于荧光</w:t>
            </w:r>
            <w:r>
              <w:rPr>
                <w:rFonts w:ascii="Times New Roman" w:eastAsia="Times New Roman" w:hAnsi="Times New Roman" w:cs="Times New Roman"/>
                <w:color w:val="000000"/>
                <w:spacing w:val="0"/>
                <w:w w:val="100"/>
                <w:position w:val="0"/>
              </w:rPr>
              <w:t>PCR</w:t>
            </w:r>
            <w:r>
              <w:rPr>
                <w:color w:val="000000"/>
                <w:spacing w:val="0"/>
                <w:w w:val="100"/>
                <w:position w:val="0"/>
              </w:rPr>
              <w:t>技术的细菌耐药基因多重检测。</w:t>
            </w: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新型冠状病</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毒检测系列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采用高通量测序、荧光</w:t>
            </w:r>
            <w:r>
              <w:rPr>
                <w:rFonts w:ascii="Times New Roman" w:eastAsia="Times New Roman" w:hAnsi="Times New Roman" w:cs="Times New Roman"/>
                <w:color w:val="000000"/>
                <w:spacing w:val="0"/>
                <w:w w:val="100"/>
                <w:position w:val="0"/>
              </w:rPr>
              <w:t>PCR</w:t>
            </w:r>
            <w:r>
              <w:rPr>
                <w:color w:val="000000"/>
                <w:spacing w:val="0"/>
                <w:w w:val="100"/>
                <w:position w:val="0"/>
              </w:rPr>
              <w:t>、</w:t>
            </w:r>
            <w:r>
              <w:rPr>
                <w:color w:val="000000"/>
                <w:spacing w:val="0"/>
                <w:w w:val="100"/>
                <w:position w:val="0"/>
              </w:rPr>
              <w:t xml:space="preserve">酶联免疫、胶体金等技术，体外定性检 测新冠病毒感染的肺炎疑似病例、疑似聚集性病例患者、其他需要进 行新冠病毒感染诊断或鉴别诊断者样本中的新冠病毒核酸序列或抗体 </w:t>
            </w:r>
            <w:r>
              <w:rPr>
                <w:rFonts w:ascii="Times New Roman" w:eastAsia="Times New Roman" w:hAnsi="Times New Roman" w:cs="Times New Roman"/>
                <w:color w:val="000000"/>
                <w:spacing w:val="0"/>
                <w:w w:val="100"/>
                <w:position w:val="0"/>
              </w:rPr>
              <w:t>/</w:t>
            </w:r>
            <w:r>
              <w:rPr>
                <w:color w:val="000000"/>
                <w:spacing w:val="0"/>
                <w:w w:val="100"/>
                <w:position w:val="0"/>
              </w:rPr>
              <w:t>抗原。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适用于新冠病毒肺炎疑似患者的辅 助诊断。</w:t>
            </w:r>
          </w:p>
        </w:tc>
      </w:tr>
      <w:tr>
        <w:trPr>
          <w:trHeight w:val="28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肝炎病毒检 测系列（酶联 免疫法及 </w:t>
            </w:r>
            <w:r>
              <w:rPr>
                <w:rFonts w:ascii="Times New Roman" w:eastAsia="Times New Roman" w:hAnsi="Times New Roman" w:cs="Times New Roman"/>
                <w:color w:val="000000"/>
                <w:spacing w:val="0"/>
                <w:w w:val="100"/>
                <w:position w:val="0"/>
              </w:rPr>
              <w:t>PCR-</w:t>
            </w:r>
            <w:r>
              <w:rPr>
                <w:color w:val="000000"/>
                <w:spacing w:val="0"/>
                <w:w w:val="100"/>
                <w:position w:val="0"/>
              </w:rPr>
              <w:t>荧光探 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本系列产品包括：</w:t>
            </w:r>
          </w:p>
          <w:p>
            <w:pPr>
              <w:pStyle w:val="Style20"/>
              <w:keepNext w:val="0"/>
              <w:keepLines w:val="0"/>
              <w:widowControl w:val="0"/>
              <w:shd w:val="clear" w:color="auto" w:fill="auto"/>
              <w:tabs>
                <w:tab w:pos="235"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基于酶联免疫法的乙型肝炎病毒五项检测试剂盒（乙型肝炎病毒表 面抗原、表面抗体、</w:t>
            </w:r>
            <w:r>
              <w:rPr>
                <w:rFonts w:ascii="Times New Roman" w:eastAsia="Times New Roman" w:hAnsi="Times New Roman" w:cs="Times New Roman"/>
                <w:color w:val="000000"/>
                <w:spacing w:val="0"/>
                <w:w w:val="100"/>
                <w:position w:val="0"/>
              </w:rPr>
              <w:t>e</w:t>
            </w:r>
            <w:r>
              <w:rPr>
                <w:color w:val="000000"/>
                <w:spacing w:val="0"/>
                <w:w w:val="100"/>
                <w:position w:val="0"/>
              </w:rPr>
              <w:t>抗原、</w:t>
            </w:r>
            <w:r>
              <w:rPr>
                <w:rFonts w:ascii="Times New Roman" w:eastAsia="Times New Roman" w:hAnsi="Times New Roman" w:cs="Times New Roman"/>
                <w:color w:val="000000"/>
                <w:spacing w:val="0"/>
                <w:w w:val="100"/>
                <w:position w:val="0"/>
              </w:rPr>
              <w:t>e</w:t>
            </w:r>
            <w:r>
              <w:rPr>
                <w:color w:val="000000"/>
                <w:spacing w:val="0"/>
                <w:w w:val="100"/>
                <w:position w:val="0"/>
              </w:rPr>
              <w:t>抗体、核心抗体）、甲型肝炎病毒</w:t>
            </w:r>
            <w:r>
              <w:rPr>
                <w:rFonts w:ascii="Times New Roman" w:eastAsia="Times New Roman" w:hAnsi="Times New Roman" w:cs="Times New Roman"/>
                <w:color w:val="000000"/>
                <w:spacing w:val="0"/>
                <w:w w:val="100"/>
                <w:position w:val="0"/>
              </w:rPr>
              <w:t>IgM</w:t>
            </w:r>
            <w:r>
              <w:rPr>
                <w:color w:val="000000"/>
                <w:spacing w:val="0"/>
                <w:w w:val="100"/>
                <w:position w:val="0"/>
              </w:rPr>
              <w:t>抗 体检测试剂盒、丙型肝炎病毒抗体检测试剂盒、戊型肝炎病毒</w:t>
            </w:r>
            <w:r>
              <w:rPr>
                <w:rFonts w:ascii="Times New Roman" w:eastAsia="Times New Roman" w:hAnsi="Times New Roman" w:cs="Times New Roman"/>
                <w:color w:val="000000"/>
                <w:spacing w:val="0"/>
                <w:w w:val="100"/>
                <w:position w:val="0"/>
              </w:rPr>
              <w:t>IgM</w:t>
            </w:r>
            <w:r>
              <w:rPr>
                <w:color w:val="000000"/>
                <w:spacing w:val="0"/>
                <w:w w:val="100"/>
                <w:position w:val="0"/>
              </w:rPr>
              <w:t>抗体 检测试剂盒及戊型肝炎病毒</w:t>
            </w:r>
            <w:r>
              <w:rPr>
                <w:rFonts w:ascii="Times New Roman" w:eastAsia="Times New Roman" w:hAnsi="Times New Roman" w:cs="Times New Roman"/>
                <w:color w:val="000000"/>
                <w:spacing w:val="0"/>
                <w:w w:val="100"/>
                <w:position w:val="0"/>
              </w:rPr>
              <w:t>IgG</w:t>
            </w:r>
            <w:r>
              <w:rPr>
                <w:color w:val="000000"/>
                <w:spacing w:val="0"/>
                <w:w w:val="100"/>
                <w:position w:val="0"/>
              </w:rPr>
              <w:t>抗体检测试剂盒。体外定性检测人血清 或血浆中的肝炎病毒抗原</w:t>
            </w:r>
            <w:r>
              <w:rPr>
                <w:rFonts w:ascii="Times New Roman" w:eastAsia="Times New Roman" w:hAnsi="Times New Roman" w:cs="Times New Roman"/>
                <w:color w:val="000000"/>
                <w:spacing w:val="0"/>
                <w:w w:val="100"/>
                <w:position w:val="0"/>
              </w:rPr>
              <w:t>/</w:t>
            </w:r>
            <w:r>
              <w:rPr>
                <w:color w:val="000000"/>
                <w:spacing w:val="0"/>
                <w:w w:val="100"/>
                <w:position w:val="0"/>
              </w:rPr>
              <w:t>抗体；</w:t>
            </w:r>
          </w:p>
          <w:p>
            <w:pPr>
              <w:pStyle w:val="Style20"/>
              <w:keepNext w:val="0"/>
              <w:keepLines w:val="0"/>
              <w:widowControl w:val="0"/>
              <w:shd w:val="clear" w:color="auto" w:fill="auto"/>
              <w:tabs>
                <w:tab w:pos="211"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基于</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荧光探针法的乙型肝炎病毒核酸定量检测试剂盒、丙型肝 炎病毒核酸定量检测试剂盒。分别用于体外定量检测人血清或血浆样 本中的乙型肝炎病毒核酸及丙型肝炎病毒核酸。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4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用于献血员筛查、血液制品检测 和肝炎病毒感染高危人群中血清学 诊断；</w:t>
            </w:r>
          </w:p>
          <w:p>
            <w:pPr>
              <w:pStyle w:val="Style20"/>
              <w:keepNext w:val="0"/>
              <w:keepLines w:val="0"/>
              <w:widowControl w:val="0"/>
              <w:shd w:val="clear" w:color="auto" w:fill="auto"/>
              <w:tabs>
                <w:tab w:pos="16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tab/>
            </w:r>
            <w:r>
              <w:rPr>
                <w:color w:val="000000"/>
                <w:spacing w:val="0"/>
                <w:w w:val="100"/>
                <w:position w:val="0"/>
              </w:rPr>
              <w:t>临床诊断乙型肝炎病毒、丙型肝 炎病毒感染、选择治疗方案及判断 预后。</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血筛四项系 列（酶联免疫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本系列产品体外定性检测人血清或血浆中的乙型肝炎病毒表面抗原、 丙型肝炎病毒抗体、梅毒螺旋体抗体、人类免疫缺陷病毒的抗原</w:t>
            </w:r>
            <w:r>
              <w:rPr>
                <w:rFonts w:ascii="Times New Roman" w:eastAsia="Times New Roman" w:hAnsi="Times New Roman" w:cs="Times New Roman"/>
                <w:color w:val="000000"/>
                <w:spacing w:val="0"/>
                <w:w w:val="100"/>
                <w:position w:val="0"/>
              </w:rPr>
              <w:t>/</w:t>
            </w:r>
            <w:r>
              <w:rPr>
                <w:color w:val="000000"/>
                <w:spacing w:val="0"/>
                <w:w w:val="100"/>
                <w:position w:val="0"/>
              </w:rPr>
              <w:t>抗体。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可用于献血员筛查、血液制品检测、 临床辅助诊断。</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孕前病原筛 查系列（酶联 免疫法及微 阵列酶联免 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本系列产品体外定性检测人血清或血浆中弓形虫、巨细胞病毒、风疹 病毒、单纯疱疹病毒（</w:t>
            </w:r>
            <w:r>
              <w:rPr>
                <w:rFonts w:ascii="Times New Roman" w:eastAsia="Times New Roman" w:hAnsi="Times New Roman" w:cs="Times New Roman"/>
                <w:color w:val="000000"/>
                <w:spacing w:val="0"/>
                <w:w w:val="100"/>
                <w:position w:val="0"/>
              </w:rPr>
              <w:t>I</w:t>
            </w:r>
            <w:r>
              <w:rPr>
                <w:color w:val="000000"/>
                <w:spacing w:val="0"/>
                <w:w w:val="100"/>
                <w:position w:val="0"/>
              </w:rPr>
              <w:t>型）、单纯疱疹病毒</w:t>
            </w:r>
            <w:r>
              <w:rPr>
                <w:color w:val="000000"/>
                <w:spacing w:val="0"/>
                <w:w w:val="100"/>
                <w:position w:val="0"/>
              </w:rPr>
              <w:t>（</w:t>
            </w:r>
            <w:r>
              <w:rPr>
                <w:rFonts w:ascii="Times New Roman" w:eastAsia="Times New Roman" w:hAnsi="Times New Roman" w:cs="Times New Roman"/>
                <w:color w:val="000000"/>
                <w:spacing w:val="0"/>
                <w:w w:val="100"/>
                <w:position w:val="0"/>
              </w:rPr>
              <w:t>II</w:t>
            </w:r>
            <w:r>
              <w:rPr>
                <w:color w:val="000000"/>
                <w:spacing w:val="0"/>
                <w:w w:val="100"/>
                <w:position w:val="0"/>
              </w:rPr>
              <w:t>型）的</w:t>
            </w:r>
            <w:r>
              <w:rPr>
                <w:rFonts w:ascii="Times New Roman" w:eastAsia="Times New Roman" w:hAnsi="Times New Roman" w:cs="Times New Roman"/>
                <w:color w:val="000000"/>
                <w:spacing w:val="0"/>
                <w:w w:val="100"/>
                <w:position w:val="0"/>
              </w:rPr>
              <w:t>IgM</w:t>
            </w:r>
            <w:r>
              <w:rPr>
                <w:color w:val="000000"/>
                <w:spacing w:val="0"/>
                <w:w w:val="100"/>
                <w:position w:val="0"/>
              </w:rPr>
              <w:t>抗体及</w:t>
            </w:r>
            <w:r>
              <w:rPr>
                <w:rFonts w:ascii="Times New Roman" w:eastAsia="Times New Roman" w:hAnsi="Times New Roman" w:cs="Times New Roman"/>
                <w:color w:val="000000"/>
                <w:spacing w:val="0"/>
                <w:w w:val="100"/>
                <w:position w:val="0"/>
              </w:rPr>
              <w:t xml:space="preserve">IgG </w:t>
            </w:r>
            <w:r>
              <w:rPr>
                <w:color w:val="000000"/>
                <w:spacing w:val="0"/>
                <w:w w:val="100"/>
                <w:position w:val="0"/>
              </w:rPr>
              <w:t>抗体。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孕前妇女筛查；疑似症状感染者指 导生育。</w:t>
            </w:r>
          </w:p>
        </w:tc>
      </w:tr>
      <w:tr>
        <w:trPr>
          <w:trHeight w:val="25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脑炎出血热</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类检测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本系列产品包括：</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基于酶联免疫法的乙型脑炎病毒</w:t>
            </w:r>
            <w:r>
              <w:rPr>
                <w:rFonts w:ascii="Times New Roman" w:eastAsia="Times New Roman" w:hAnsi="Times New Roman" w:cs="Times New Roman"/>
                <w:color w:val="000000"/>
                <w:spacing w:val="0"/>
                <w:w w:val="100"/>
                <w:position w:val="0"/>
              </w:rPr>
              <w:t>IgM</w:t>
            </w:r>
            <w:r>
              <w:rPr>
                <w:color w:val="000000"/>
                <w:spacing w:val="0"/>
                <w:w w:val="100"/>
                <w:position w:val="0"/>
              </w:rPr>
              <w:t xml:space="preserve">抗体检测试剂盒、登革热病毒 </w:t>
            </w:r>
            <w:r>
              <w:rPr>
                <w:rFonts w:ascii="Times New Roman" w:eastAsia="Times New Roman" w:hAnsi="Times New Roman" w:cs="Times New Roman"/>
                <w:color w:val="000000"/>
                <w:spacing w:val="0"/>
                <w:w w:val="100"/>
                <w:position w:val="0"/>
              </w:rPr>
              <w:t>IgG</w:t>
            </w:r>
            <w:r>
              <w:rPr>
                <w:color w:val="000000"/>
                <w:spacing w:val="0"/>
                <w:w w:val="100"/>
                <w:position w:val="0"/>
              </w:rPr>
              <w:t>抗体检测试剂盒、汉坦病毒</w:t>
            </w:r>
            <w:r>
              <w:rPr>
                <w:rFonts w:ascii="Times New Roman" w:eastAsia="Times New Roman" w:hAnsi="Times New Roman" w:cs="Times New Roman"/>
                <w:color w:val="000000"/>
                <w:spacing w:val="0"/>
                <w:w w:val="100"/>
                <w:position w:val="0"/>
              </w:rPr>
              <w:t>IgG</w:t>
            </w:r>
            <w:r>
              <w:rPr>
                <w:color w:val="000000"/>
                <w:spacing w:val="0"/>
                <w:w w:val="100"/>
                <w:position w:val="0"/>
              </w:rPr>
              <w:t>抗体检测试剂盒，体外定性检测人 血清中乙型脑炎病毒的特异性</w:t>
            </w:r>
            <w:r>
              <w:rPr>
                <w:rFonts w:ascii="Times New Roman" w:eastAsia="Times New Roman" w:hAnsi="Times New Roman" w:cs="Times New Roman"/>
                <w:color w:val="000000"/>
                <w:spacing w:val="0"/>
                <w:w w:val="100"/>
                <w:position w:val="0"/>
              </w:rPr>
              <w:t>IgM</w:t>
            </w:r>
            <w:r>
              <w:rPr>
                <w:color w:val="000000"/>
                <w:spacing w:val="0"/>
                <w:w w:val="100"/>
                <w:position w:val="0"/>
              </w:rPr>
              <w:t>抗体、登革热病毒的特异性</w:t>
            </w:r>
            <w:r>
              <w:rPr>
                <w:rFonts w:ascii="Times New Roman" w:eastAsia="Times New Roman" w:hAnsi="Times New Roman" w:cs="Times New Roman"/>
                <w:color w:val="000000"/>
                <w:spacing w:val="0"/>
                <w:w w:val="100"/>
                <w:position w:val="0"/>
              </w:rPr>
              <w:t>IgG</w:t>
            </w:r>
            <w:r>
              <w:rPr>
                <w:color w:val="000000"/>
                <w:spacing w:val="0"/>
                <w:w w:val="100"/>
                <w:position w:val="0"/>
              </w:rPr>
              <w:t>抗 体、汉坦病毒的特异性</w:t>
            </w:r>
            <w:r>
              <w:rPr>
                <w:rFonts w:ascii="Times New Roman" w:eastAsia="Times New Roman" w:hAnsi="Times New Roman" w:cs="Times New Roman"/>
                <w:color w:val="000000"/>
                <w:spacing w:val="0"/>
                <w:w w:val="100"/>
                <w:position w:val="0"/>
              </w:rPr>
              <w:t>IgG</w:t>
            </w:r>
            <w:r>
              <w:rPr>
                <w:color w:val="000000"/>
                <w:spacing w:val="0"/>
                <w:w w:val="100"/>
                <w:position w:val="0"/>
              </w:rPr>
              <w:t>抗体；</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 基于</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荧光探针法的发热伴血小板减少综合征布尼亚病毒核酸 检测试剂盒，用于体外定性检测人血清样本中发热伴血小板减少综合 征布尼亚病毒</w:t>
            </w:r>
            <w:r>
              <w:rPr>
                <w:rFonts w:ascii="Times New Roman" w:eastAsia="Times New Roman" w:hAnsi="Times New Roman" w:cs="Times New Roman"/>
                <w:color w:val="000000"/>
                <w:spacing w:val="0"/>
                <w:w w:val="100"/>
                <w:position w:val="0"/>
              </w:rPr>
              <w:t>RNA</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可用于乙型脑炎病毒、登革热病毒、</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汉坦病毒、发热伴血小板减少综合 征布尼亚病毒感染的辅助诊断。</w:t>
            </w:r>
          </w:p>
        </w:tc>
      </w:tr>
      <w:tr>
        <w:trPr>
          <w:trHeight w:val="379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呼吸道病原 体检测系列 （</w:t>
            </w:r>
            <w:r>
              <w:rPr>
                <w:rFonts w:ascii="Times New Roman" w:eastAsia="Times New Roman" w:hAnsi="Times New Roman" w:cs="Times New Roman"/>
                <w:color w:val="000000"/>
                <w:spacing w:val="0"/>
                <w:w w:val="100"/>
                <w:position w:val="0"/>
              </w:rPr>
              <w:t>PCR-</w:t>
            </w:r>
            <w:r>
              <w:rPr>
                <w:color w:val="000000"/>
                <w:spacing w:val="0"/>
                <w:w w:val="100"/>
                <w:position w:val="0"/>
              </w:rPr>
              <w:t>荧光 探针法）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本系列产品包括：</w:t>
            </w:r>
          </w:p>
          <w:p>
            <w:pPr>
              <w:pStyle w:val="Style20"/>
              <w:keepNext w:val="0"/>
              <w:keepLines w:val="0"/>
              <w:widowControl w:val="0"/>
              <w:shd w:val="clear" w:color="auto" w:fill="auto"/>
              <w:tabs>
                <w:tab w:pos="312"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甲型流感病毒通用型核酸检测试剂盒以及甲型</w:t>
            </w:r>
            <w:r>
              <w:rPr>
                <w:rFonts w:ascii="Times New Roman" w:eastAsia="Times New Roman" w:hAnsi="Times New Roman" w:cs="Times New Roman"/>
                <w:color w:val="000000"/>
                <w:spacing w:val="0"/>
                <w:w w:val="100"/>
                <w:position w:val="0"/>
              </w:rPr>
              <w:t>H1N1</w:t>
            </w:r>
            <w:r>
              <w:rPr>
                <w:color w:val="000000"/>
                <w:spacing w:val="0"/>
                <w:w w:val="100"/>
                <w:position w:val="0"/>
              </w:rPr>
              <w:t>流感病毒 （</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RNA</w:t>
            </w:r>
            <w:r>
              <w:rPr>
                <w:color w:val="000000"/>
                <w:spacing w:val="0"/>
                <w:w w:val="100"/>
                <w:position w:val="0"/>
              </w:rPr>
              <w:t>核酸检测试剂盒，对甲型流感病毒疑似患者的鼻咽拭子</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样本的核酸进行定性检测；</w:t>
            </w:r>
          </w:p>
          <w:p>
            <w:pPr>
              <w:pStyle w:val="Style20"/>
              <w:keepNext w:val="0"/>
              <w:keepLines w:val="0"/>
              <w:widowControl w:val="0"/>
              <w:shd w:val="clear" w:color="auto" w:fill="auto"/>
              <w:tabs>
                <w:tab w:pos="24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结核分枝杆菌核酸检测试剂盒，体外定性检测人痰液样本中的结核 分枝杆菌核酸；</w:t>
            </w:r>
          </w:p>
          <w:p>
            <w:pPr>
              <w:pStyle w:val="Style20"/>
              <w:keepNext w:val="0"/>
              <w:keepLines w:val="0"/>
              <w:widowControl w:val="0"/>
              <w:shd w:val="clear" w:color="auto" w:fill="auto"/>
              <w:tabs>
                <w:tab w:pos="25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六项呼吸道病原体核酸检测试剂盒（荧光</w:t>
            </w:r>
            <w:r>
              <w:rPr>
                <w:rFonts w:ascii="Times New Roman" w:eastAsia="Times New Roman" w:hAnsi="Times New Roman" w:cs="Times New Roman"/>
                <w:color w:val="000000"/>
                <w:spacing w:val="0"/>
                <w:w w:val="100"/>
                <w:position w:val="0"/>
              </w:rPr>
              <w:t>PCR</w:t>
            </w:r>
            <w:r>
              <w:rPr>
                <w:color w:val="000000"/>
                <w:spacing w:val="0"/>
                <w:w w:val="100"/>
                <w:position w:val="0"/>
              </w:rPr>
              <w:t>法），定性检测呼吸 道标本中的甲型流感病毒、乙型流感病毒、人腺病毒、肺炎支原体、 人鼻病毒及呼吸道合胞病毒核酸。</w:t>
            </w:r>
          </w:p>
          <w:p>
            <w:pPr>
              <w:pStyle w:val="Style20"/>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呼吸道病原体核酸多重检测产品：适用于人咽拭子、鼻拭子、痰液 及肺泡灌洗液样本，体外定性检测上述样本中的金黄色葡萄球菌、肺 炎克雷伯菌、冠状病毒等</w:t>
            </w:r>
            <w:r>
              <w:rPr>
                <w:rFonts w:ascii="Times New Roman" w:eastAsia="Times New Roman" w:hAnsi="Times New Roman" w:cs="Times New Roman"/>
                <w:color w:val="000000"/>
                <w:spacing w:val="0"/>
                <w:w w:val="100"/>
                <w:position w:val="0"/>
              </w:rPr>
              <w:t>18</w:t>
            </w:r>
            <w:r>
              <w:rPr>
                <w:color w:val="000000"/>
                <w:spacing w:val="0"/>
                <w:w w:val="100"/>
                <w:position w:val="0"/>
              </w:rPr>
              <w:t>种呼吸系统感染常见病原体的核酸。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可用于疑似呼吸系统感染患者的辅 助诊断。</w:t>
            </w:r>
          </w:p>
        </w:tc>
      </w:tr>
    </w:tbl>
    <w:p>
      <w:pPr>
        <w:spacing w:lineRule="exact" w:line="1"/>
        <w:rPr>
          <w:sz w:val="2"/>
          <w:szCs w:val="2"/>
        </w:rPr>
      </w:pPr>
      <w:r>
        <w:br w:type="page"/>
      </w:r>
    </w:p>
    <w:tbl>
      <w:tblPr>
        <w:tblOverlap w:val="never"/>
        <w:jc w:val="center"/>
        <w:tblLayout w:type="fixed"/>
      </w:tblPr>
      <w:tblGrid>
        <w:gridCol w:w="422"/>
        <w:gridCol w:w="1032"/>
        <w:gridCol w:w="5434"/>
        <w:gridCol w:w="2750"/>
      </w:tblGrid>
      <w:tr>
        <w:trPr>
          <w:trHeight w:val="129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中枢神经系 统感染病原 体核酸多重 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本产品基于</w:t>
            </w:r>
            <w:r>
              <w:rPr>
                <w:rFonts w:ascii="Times New Roman" w:eastAsia="Times New Roman" w:hAnsi="Times New Roman" w:cs="Times New Roman"/>
                <w:color w:val="000000"/>
                <w:spacing w:val="0"/>
                <w:w w:val="100"/>
                <w:position w:val="0"/>
              </w:rPr>
              <w:t>PCR-</w:t>
            </w:r>
            <w:r>
              <w:rPr>
                <w:color w:val="000000"/>
                <w:spacing w:val="0"/>
                <w:w w:val="100"/>
                <w:position w:val="0"/>
              </w:rPr>
              <w:t>荧光探针法，体外定性检测人脑脊液样本中的金黄色 葡萄球菌、鲍曼不动杆菌、单纯疱疹病毒等</w:t>
            </w:r>
            <w:r>
              <w:rPr>
                <w:rFonts w:ascii="Times New Roman" w:eastAsia="Times New Roman" w:hAnsi="Times New Roman" w:cs="Times New Roman"/>
                <w:color w:val="000000"/>
                <w:spacing w:val="0"/>
                <w:w w:val="100"/>
                <w:position w:val="0"/>
              </w:rPr>
              <w:t>18</w:t>
            </w:r>
            <w:r>
              <w:rPr>
                <w:color w:val="000000"/>
                <w:spacing w:val="0"/>
                <w:w w:val="100"/>
                <w:position w:val="0"/>
              </w:rPr>
              <w:t>种中枢神经系统感染常 见病原体的核酸。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可用于疑似中枢神经系统感染患者 的辅助诊断。</w:t>
            </w: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性病病原体 检测系列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本系列产品包括：</w:t>
            </w:r>
          </w:p>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基于</w:t>
            </w:r>
            <w:r>
              <w:rPr>
                <w:rFonts w:ascii="Times New Roman" w:eastAsia="Times New Roman" w:hAnsi="Times New Roman" w:cs="Times New Roman"/>
                <w:color w:val="000000"/>
                <w:spacing w:val="0"/>
                <w:w w:val="100"/>
                <w:position w:val="0"/>
              </w:rPr>
              <w:t xml:space="preserve">PCR </w:t>
            </w:r>
            <w:r>
              <w:rPr>
                <w:rFonts w:ascii="Times New Roman" w:eastAsia="Times New Roman" w:hAnsi="Times New Roman" w:cs="Times New Roman"/>
                <w:color w:val="000000"/>
                <w:spacing w:val="0"/>
                <w:w w:val="100"/>
                <w:position w:val="0"/>
              </w:rPr>
              <w:t>-</w:t>
            </w:r>
            <w:r>
              <w:rPr>
                <w:color w:val="000000"/>
                <w:spacing w:val="0"/>
                <w:w w:val="100"/>
                <w:position w:val="0"/>
              </w:rPr>
              <w:t>荧光探针法的奈瑟淋球菌核酸检测试剂盒、沙眼衣原体</w:t>
            </w:r>
            <w:r>
              <w:rPr>
                <w:rFonts w:ascii="Times New Roman" w:eastAsia="Times New Roman" w:hAnsi="Times New Roman" w:cs="Times New Roman"/>
                <w:color w:val="000000"/>
                <w:spacing w:val="0"/>
                <w:w w:val="100"/>
                <w:position w:val="0"/>
              </w:rPr>
              <w:t xml:space="preserve">/ </w:t>
            </w:r>
            <w:r>
              <w:rPr>
                <w:color w:val="000000"/>
                <w:spacing w:val="0"/>
                <w:w w:val="100"/>
                <w:position w:val="0"/>
              </w:rPr>
              <w:t>解脲脲原体核酸检测试剂盒，用于体外定性检测女性宫颈拭子和男性 尿道拭子样本中提取的奈瑟淋球菌、沙眼衣原体、解脲脲原体</w:t>
            </w:r>
            <w:r>
              <w:rPr>
                <w:rFonts w:ascii="Times New Roman" w:eastAsia="Times New Roman" w:hAnsi="Times New Roman" w:cs="Times New Roman"/>
                <w:color w:val="000000"/>
                <w:spacing w:val="0"/>
                <w:w w:val="100"/>
                <w:position w:val="0"/>
              </w:rPr>
              <w:t>DNA</w:t>
            </w:r>
            <w:r>
              <w:rPr>
                <w:color w:val="000000"/>
                <w:spacing w:val="0"/>
                <w:w w:val="100"/>
                <w:position w:val="0"/>
              </w:rPr>
              <w:t>；</w:t>
            </w:r>
          </w:p>
          <w:p>
            <w:pPr>
              <w:pStyle w:val="Style20"/>
              <w:keepNext w:val="0"/>
              <w:keepLines w:val="0"/>
              <w:widowControl w:val="0"/>
              <w:shd w:val="clear" w:color="auto" w:fill="auto"/>
              <w:tabs>
                <w:tab w:pos="235"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基于胶体金法的梅毒螺旋体抗体检测试剂盒，用于体外定性检测全 血</w:t>
            </w:r>
            <w:r>
              <w:rPr>
                <w:rFonts w:ascii="Times New Roman" w:eastAsia="Times New Roman" w:hAnsi="Times New Roman" w:cs="Times New Roman"/>
                <w:color w:val="000000"/>
                <w:spacing w:val="0"/>
                <w:w w:val="100"/>
                <w:position w:val="0"/>
              </w:rPr>
              <w:t>/</w:t>
            </w:r>
            <w:r>
              <w:rPr>
                <w:color w:val="000000"/>
                <w:spacing w:val="0"/>
                <w:w w:val="100"/>
                <w:position w:val="0"/>
              </w:rPr>
              <w:t>血清</w:t>
            </w:r>
            <w:r>
              <w:rPr>
                <w:rFonts w:ascii="Times New Roman" w:eastAsia="Times New Roman" w:hAnsi="Times New Roman" w:cs="Times New Roman"/>
                <w:color w:val="000000"/>
                <w:spacing w:val="0"/>
                <w:w w:val="100"/>
                <w:position w:val="0"/>
              </w:rPr>
              <w:t>/</w:t>
            </w:r>
            <w:r>
              <w:rPr>
                <w:color w:val="000000"/>
                <w:spacing w:val="0"/>
                <w:w w:val="100"/>
                <w:position w:val="0"/>
              </w:rPr>
              <w:t>血浆中是否含有特异性梅毒螺旋体抗体。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男女不孕不育原因筛查；疑似症状 人员进行性病病原体检测；淋病辅 助诊断。</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手足口病原 检测系列</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 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本系列产品包括肠道病毒通用型核酸检测试剂盒、肠道病毒</w:t>
            </w:r>
            <w:r>
              <w:rPr>
                <w:rFonts w:ascii="Times New Roman" w:eastAsia="Times New Roman" w:hAnsi="Times New Roman" w:cs="Times New Roman"/>
                <w:color w:val="000000"/>
                <w:spacing w:val="0"/>
                <w:w w:val="100"/>
                <w:position w:val="0"/>
              </w:rPr>
              <w:t>71</w:t>
            </w:r>
            <w:r>
              <w:rPr>
                <w:color w:val="000000"/>
                <w:spacing w:val="0"/>
                <w:w w:val="100"/>
                <w:position w:val="0"/>
              </w:rPr>
              <w:t>型核酸 检测试剂盒、柯萨奇病毒</w:t>
            </w:r>
            <w:r>
              <w:rPr>
                <w:rFonts w:ascii="Times New Roman" w:eastAsia="Times New Roman" w:hAnsi="Times New Roman" w:cs="Times New Roman"/>
                <w:color w:val="000000"/>
                <w:spacing w:val="0"/>
                <w:w w:val="100"/>
                <w:position w:val="0"/>
              </w:rPr>
              <w:t>A16</w:t>
            </w:r>
            <w:r>
              <w:rPr>
                <w:color w:val="000000"/>
                <w:spacing w:val="0"/>
                <w:w w:val="100"/>
                <w:position w:val="0"/>
              </w:rPr>
              <w:t>型核酸检测试剂盒，分别用于体外定性检 测人的咽拭子、疱疹液和粪便样本中的肠道病毒、肠道病毒</w:t>
            </w:r>
            <w:r>
              <w:rPr>
                <w:rFonts w:ascii="Times New Roman" w:eastAsia="Times New Roman" w:hAnsi="Times New Roman" w:cs="Times New Roman"/>
                <w:color w:val="000000"/>
                <w:spacing w:val="0"/>
                <w:w w:val="100"/>
                <w:position w:val="0"/>
              </w:rPr>
              <w:t>71</w:t>
            </w:r>
            <w:r>
              <w:rPr>
                <w:color w:val="000000"/>
                <w:spacing w:val="0"/>
                <w:w w:val="100"/>
                <w:position w:val="0"/>
              </w:rPr>
              <w:t>型及柯 萨奇病毒</w:t>
            </w:r>
            <w:r>
              <w:rPr>
                <w:rFonts w:ascii="Times New Roman" w:eastAsia="Times New Roman" w:hAnsi="Times New Roman" w:cs="Times New Roman"/>
                <w:color w:val="000000"/>
                <w:spacing w:val="0"/>
                <w:w w:val="100"/>
                <w:position w:val="0"/>
              </w:rPr>
              <w:t>A16</w:t>
            </w:r>
            <w:r>
              <w:rPr>
                <w:color w:val="000000"/>
                <w:spacing w:val="0"/>
                <w:w w:val="100"/>
                <w:position w:val="0"/>
              </w:rPr>
              <w:t>型核酸。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为手足口病患者的诊断提供辅助手 段。</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其他病原体 检测</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35"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EB</w:t>
            </w:r>
            <w:r>
              <w:rPr>
                <w:color w:val="000000"/>
                <w:spacing w:val="0"/>
                <w:w w:val="100"/>
                <w:position w:val="0"/>
              </w:rPr>
              <w:t>病毒</w:t>
            </w:r>
            <w:r>
              <w:rPr>
                <w:rFonts w:ascii="Times New Roman" w:eastAsia="Times New Roman" w:hAnsi="Times New Roman" w:cs="Times New Roman"/>
                <w:color w:val="000000"/>
                <w:spacing w:val="0"/>
                <w:w w:val="100"/>
                <w:position w:val="0"/>
              </w:rPr>
              <w:t>VCA IgA</w:t>
            </w:r>
            <w:r>
              <w:rPr>
                <w:color w:val="000000"/>
                <w:spacing w:val="0"/>
                <w:w w:val="100"/>
                <w:position w:val="0"/>
              </w:rPr>
              <w:t>抗体诊断试剂盒（酶联免疫法），体外定性检测人 血清或血浆中</w:t>
            </w:r>
            <w:r>
              <w:rPr>
                <w:rFonts w:ascii="Times New Roman" w:eastAsia="Times New Roman" w:hAnsi="Times New Roman" w:cs="Times New Roman"/>
                <w:color w:val="000000"/>
                <w:spacing w:val="0"/>
                <w:w w:val="100"/>
                <w:position w:val="0"/>
              </w:rPr>
              <w:t>EB</w:t>
            </w:r>
            <w:r>
              <w:rPr>
                <w:color w:val="000000"/>
                <w:spacing w:val="0"/>
                <w:w w:val="100"/>
                <w:position w:val="0"/>
              </w:rPr>
              <w:t>病毒</w:t>
            </w:r>
            <w:r>
              <w:rPr>
                <w:rFonts w:ascii="Times New Roman" w:eastAsia="Times New Roman" w:hAnsi="Times New Roman" w:cs="Times New Roman"/>
                <w:color w:val="000000"/>
                <w:spacing w:val="0"/>
                <w:w w:val="100"/>
                <w:position w:val="0"/>
              </w:rPr>
              <w:t>VCA-IgA</w:t>
            </w:r>
            <w:r>
              <w:rPr>
                <w:color w:val="000000"/>
                <w:spacing w:val="0"/>
                <w:w w:val="100"/>
                <w:position w:val="0"/>
              </w:rPr>
              <w:t>抗体；</w:t>
            </w:r>
          </w:p>
          <w:p>
            <w:pPr>
              <w:pStyle w:val="Style20"/>
              <w:keepNext w:val="0"/>
              <w:keepLines w:val="0"/>
              <w:widowControl w:val="0"/>
              <w:shd w:val="clear" w:color="auto" w:fill="auto"/>
              <w:tabs>
                <w:tab w:pos="278"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结核分枝杆菌</w:t>
            </w:r>
            <w:r>
              <w:rPr>
                <w:rFonts w:ascii="Times New Roman" w:eastAsia="Times New Roman" w:hAnsi="Times New Roman" w:cs="Times New Roman"/>
                <w:color w:val="000000"/>
                <w:spacing w:val="0"/>
                <w:w w:val="100"/>
                <w:position w:val="0"/>
              </w:rPr>
              <w:t>IgG</w:t>
            </w:r>
            <w:r>
              <w:rPr>
                <w:color w:val="000000"/>
                <w:spacing w:val="0"/>
                <w:w w:val="100"/>
                <w:position w:val="0"/>
              </w:rPr>
              <w:t>抗体谱检测试剂盒（微阵列酶联免疫法），用于 体外定性检测人血清中抗多种结核抗原</w:t>
            </w:r>
            <w:r>
              <w:rPr>
                <w:color w:val="000000"/>
                <w:spacing w:val="0"/>
                <w:w w:val="100"/>
                <w:position w:val="0"/>
              </w:rPr>
              <w:t>（</w:t>
            </w:r>
            <w:r>
              <w:rPr>
                <w:rFonts w:ascii="Times New Roman" w:eastAsia="Times New Roman" w:hAnsi="Times New Roman" w:cs="Times New Roman"/>
                <w:color w:val="000000"/>
                <w:spacing w:val="0"/>
                <w:w w:val="100"/>
                <w:position w:val="0"/>
              </w:rPr>
              <w:t>16KDa</w:t>
            </w:r>
            <w:r>
              <w:rPr>
                <w:color w:val="000000"/>
                <w:spacing w:val="0"/>
                <w:w w:val="100"/>
                <w:position w:val="0"/>
              </w:rPr>
              <w:t>、</w:t>
            </w:r>
            <w:r>
              <w:rPr>
                <w:rFonts w:ascii="Times New Roman" w:eastAsia="Times New Roman" w:hAnsi="Times New Roman" w:cs="Times New Roman"/>
                <w:color w:val="000000"/>
                <w:spacing w:val="0"/>
                <w:w w:val="100"/>
                <w:position w:val="0"/>
              </w:rPr>
              <w:t>38KDa</w:t>
            </w:r>
            <w:r>
              <w:rPr>
                <w:color w:val="000000"/>
                <w:spacing w:val="0"/>
                <w:w w:val="100"/>
                <w:position w:val="0"/>
              </w:rPr>
              <w:t>、</w:t>
            </w:r>
            <w:r>
              <w:rPr>
                <w:rFonts w:ascii="Times New Roman" w:eastAsia="Times New Roman" w:hAnsi="Times New Roman" w:cs="Times New Roman"/>
                <w:color w:val="000000"/>
                <w:spacing w:val="0"/>
                <w:w w:val="100"/>
                <w:position w:val="0"/>
              </w:rPr>
              <w:t>Ag85B</w:t>
            </w:r>
            <w:r>
              <w:rPr>
                <w:color w:val="000000"/>
                <w:spacing w:val="0"/>
                <w:w w:val="100"/>
                <w:position w:val="0"/>
              </w:rPr>
              <w:t xml:space="preserve">和 </w:t>
            </w:r>
            <w:r>
              <w:rPr>
                <w:rFonts w:ascii="Times New Roman" w:eastAsia="Times New Roman" w:hAnsi="Times New Roman" w:cs="Times New Roman"/>
                <w:color w:val="000000"/>
                <w:spacing w:val="0"/>
                <w:w w:val="100"/>
                <w:position w:val="0"/>
              </w:rPr>
              <w:t>MPT64</w:t>
            </w:r>
            <w:r>
              <w:rPr>
                <w:color w:val="000000"/>
                <w:spacing w:val="0"/>
                <w:w w:val="100"/>
                <w:position w:val="0"/>
              </w:rPr>
              <w:t>）的抗体。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应用于产品所涉及的相关病原体感 染的辅助诊断。</w:t>
            </w:r>
          </w:p>
        </w:tc>
      </w:tr>
      <w:tr>
        <w:trPr>
          <w:trHeight w:val="16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抗菌药物浓</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度检测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采用液相色谱串联质谱技术对人体外周血中的阿米卡星、亚胺培南</w:t>
            </w:r>
            <w:r>
              <w:rPr>
                <w:rFonts w:ascii="Times New Roman" w:eastAsia="Times New Roman" w:hAnsi="Times New Roman" w:cs="Times New Roman"/>
                <w:color w:val="000000"/>
                <w:spacing w:val="0"/>
                <w:w w:val="100"/>
                <w:position w:val="0"/>
              </w:rPr>
              <w:t>-</w:t>
            </w:r>
            <w:r>
              <w:rPr>
                <w:color w:val="000000"/>
                <w:spacing w:val="0"/>
                <w:w w:val="100"/>
                <w:position w:val="0"/>
              </w:rPr>
              <w:t>西 司他丁、头孢哌酮</w:t>
            </w:r>
            <w:r>
              <w:rPr>
                <w:rFonts w:ascii="Times New Roman" w:eastAsia="Times New Roman" w:hAnsi="Times New Roman" w:cs="Times New Roman"/>
                <w:color w:val="000000"/>
                <w:spacing w:val="0"/>
                <w:w w:val="100"/>
                <w:position w:val="0"/>
              </w:rPr>
              <w:t>-</w:t>
            </w:r>
            <w:r>
              <w:rPr>
                <w:color w:val="000000"/>
                <w:spacing w:val="0"/>
                <w:w w:val="100"/>
                <w:position w:val="0"/>
              </w:rPr>
              <w:t>舒巴坦、哌拉西林</w:t>
            </w:r>
            <w:r>
              <w:rPr>
                <w:rFonts w:ascii="Times New Roman" w:eastAsia="Times New Roman" w:hAnsi="Times New Roman" w:cs="Times New Roman"/>
                <w:color w:val="000000"/>
                <w:spacing w:val="0"/>
                <w:w w:val="100"/>
                <w:position w:val="0"/>
              </w:rPr>
              <w:t>-</w:t>
            </w:r>
            <w:r>
              <w:rPr>
                <w:color w:val="000000"/>
                <w:spacing w:val="0"/>
                <w:w w:val="100"/>
                <w:position w:val="0"/>
              </w:rPr>
              <w:t>他唑巴坦、美罗培南、替加环素、 万古霉素、替考拉宁、达托霉素、利奈唑胺、左氧氟沙星、莫西沙星、 头孢他啶、多粘菌素</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氟康唑、伏立康唑、卡泊芬净</w:t>
            </w:r>
            <w:r>
              <w:rPr>
                <w:rFonts w:ascii="Times New Roman" w:eastAsia="Times New Roman" w:hAnsi="Times New Roman" w:cs="Times New Roman"/>
                <w:color w:val="000000"/>
                <w:spacing w:val="0"/>
                <w:w w:val="100"/>
                <w:position w:val="0"/>
              </w:rPr>
              <w:t>17</w:t>
            </w:r>
            <w:r>
              <w:rPr>
                <w:color w:val="000000"/>
                <w:spacing w:val="0"/>
                <w:w w:val="100"/>
                <w:position w:val="0"/>
              </w:rPr>
              <w:t>种抗菌药物进 行检测。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为医生制定用药处方提供参考依 据，实现个体化用药；用于诊断由 于药物剂量过高所致的药物不良反 应；防止由于药物剂量不足导致的 治疗效果不佳。</w:t>
            </w:r>
          </w:p>
        </w:tc>
      </w:tr>
    </w:tbl>
    <w:p>
      <w:pPr>
        <w:widowControl w:val="0"/>
        <w:spacing w:after="499" w:line="1" w:lineRule="exact"/>
      </w:pPr>
    </w:p>
    <w:p>
      <w:pPr>
        <w:pStyle w:val="Style17"/>
        <w:keepNext w:val="0"/>
        <w:keepLines w:val="0"/>
        <w:widowControl w:val="0"/>
        <w:shd w:val="clear" w:color="auto" w:fill="auto"/>
        <w:bidi w:val="0"/>
        <w:spacing w:before="0" w:after="120" w:line="310" w:lineRule="exact"/>
        <w:ind w:left="0" w:right="0" w:firstLine="360"/>
        <w:jc w:val="left"/>
      </w:pPr>
      <w:bookmarkStart w:id="95" w:name="bookmark95"/>
      <w:r>
        <w:rPr>
          <w:rFonts w:ascii="Times New Roman" w:eastAsia="Times New Roman" w:hAnsi="Times New Roman" w:cs="Times New Roman"/>
          <w:b/>
          <w:bCs/>
          <w:color w:val="000000"/>
          <w:spacing w:val="0"/>
          <w:w w:val="100"/>
          <w:position w:val="0"/>
        </w:rPr>
        <w:t>4</w:t>
      </w:r>
      <w:bookmarkEnd w:id="95"/>
      <w:r>
        <w:rPr>
          <w:b/>
          <w:bCs/>
          <w:color w:val="000000"/>
          <w:spacing w:val="0"/>
          <w:w w:val="100"/>
          <w:position w:val="0"/>
        </w:rPr>
        <w:t>、多组学大数据服务与合成业务</w:t>
      </w:r>
    </w:p>
    <w:p>
      <w:pPr>
        <w:pStyle w:val="Style17"/>
        <w:keepNext w:val="0"/>
        <w:keepLines w:val="0"/>
        <w:widowControl w:val="0"/>
        <w:shd w:val="clear" w:color="auto" w:fill="auto"/>
        <w:tabs>
          <w:tab w:pos="740" w:val="left"/>
        </w:tabs>
        <w:bidi w:val="0"/>
        <w:spacing w:before="0" w:after="120" w:line="310" w:lineRule="exact"/>
        <w:ind w:left="0" w:right="0" w:firstLine="36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w:t>
        <w:tab/>
        <w:t>业务概述</w:t>
      </w:r>
    </w:p>
    <w:p>
      <w:pPr>
        <w:pStyle w:val="Style17"/>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公司率先面向合作伙伴提供多组学大数据服务，致力于成为全球生命科学研究机构的卓越合作伙伴，为从事生命科学研 究的机构和企业提供高质量、行业领先的多组学大数据全流程系统解决方案。该服务面向的主要客户为以高校、研究性医院 等为代表的科研机构，以及以药企、育种公司等为代表的工业客户。多组学大数据服务业务主要包含基因测序、质谱分析、 生物数据库管理、数据云分析等标准化技术服务和全流程系统解决方案。合成类业务主要包含基因合成、</w:t>
      </w:r>
      <w:r>
        <w:rPr>
          <w:rFonts w:ascii="Times New Roman" w:eastAsia="Times New Roman" w:hAnsi="Times New Roman" w:cs="Times New Roman"/>
          <w:color w:val="000000"/>
          <w:spacing w:val="0"/>
          <w:w w:val="100"/>
          <w:position w:val="0"/>
        </w:rPr>
        <w:t>Oligo</w:t>
      </w:r>
      <w:r>
        <w:rPr>
          <w:color w:val="000000"/>
          <w:spacing w:val="0"/>
          <w:w w:val="100"/>
          <w:position w:val="0"/>
        </w:rPr>
        <w:t>合成等。其 中，基因合成业务包括合成密码子优化过的</w:t>
      </w:r>
      <w:r>
        <w:rPr>
          <w:rFonts w:ascii="Times New Roman" w:eastAsia="Times New Roman" w:hAnsi="Times New Roman" w:cs="Times New Roman"/>
          <w:color w:val="000000"/>
          <w:spacing w:val="0"/>
          <w:w w:val="100"/>
          <w:position w:val="0"/>
        </w:rPr>
        <w:t>cDNA</w:t>
      </w:r>
      <w:r>
        <w:rPr>
          <w:color w:val="000000"/>
          <w:spacing w:val="0"/>
          <w:w w:val="100"/>
          <w:position w:val="0"/>
        </w:rPr>
        <w:t>、</w:t>
      </w:r>
      <w:r>
        <w:rPr>
          <w:color w:val="000000"/>
          <w:spacing w:val="0"/>
          <w:w w:val="100"/>
          <w:position w:val="0"/>
        </w:rPr>
        <w:t>特殊位点突变的基因、人工设计的</w:t>
      </w:r>
      <w:r>
        <w:rPr>
          <w:rFonts w:ascii="Times New Roman" w:eastAsia="Times New Roman" w:hAnsi="Times New Roman" w:cs="Times New Roman"/>
          <w:color w:val="000000"/>
          <w:spacing w:val="0"/>
          <w:w w:val="100"/>
          <w:position w:val="0"/>
        </w:rPr>
        <w:t>DNA</w:t>
      </w:r>
      <w:r>
        <w:rPr>
          <w:color w:val="000000"/>
          <w:spacing w:val="0"/>
          <w:w w:val="100"/>
          <w:position w:val="0"/>
        </w:rPr>
        <w:t>序列，公司可提供包含目的基因 的质粒；</w:t>
      </w:r>
      <w:r>
        <w:rPr>
          <w:rFonts w:ascii="Times New Roman" w:eastAsia="Times New Roman" w:hAnsi="Times New Roman" w:cs="Times New Roman"/>
          <w:color w:val="000000"/>
          <w:spacing w:val="0"/>
          <w:w w:val="100"/>
          <w:position w:val="0"/>
        </w:rPr>
        <w:t>Olig</w:t>
      </w:r>
      <w:r>
        <w:rPr>
          <w:color w:val="000000"/>
          <w:spacing w:val="0"/>
          <w:w w:val="100"/>
          <w:position w:val="0"/>
        </w:rPr>
        <w:t>。</w:t>
      </w:r>
      <w:r>
        <w:rPr>
          <w:color w:val="000000"/>
          <w:spacing w:val="0"/>
          <w:w w:val="100"/>
          <w:position w:val="0"/>
        </w:rPr>
        <w:t>合成则是利用化学方法合成特定的已知序列的寡核苷酸片段，主要应用于反义寡聚核苷酸、测序与扩增的引 物、</w:t>
      </w:r>
      <w:r>
        <w:rPr>
          <w:rFonts w:ascii="Times New Roman" w:eastAsia="Times New Roman" w:hAnsi="Times New Roman" w:cs="Times New Roman"/>
          <w:color w:val="000000"/>
          <w:spacing w:val="0"/>
          <w:w w:val="100"/>
          <w:position w:val="0"/>
        </w:rPr>
        <w:t>DNA</w:t>
      </w:r>
      <w:r>
        <w:rPr>
          <w:color w:val="000000"/>
          <w:spacing w:val="0"/>
          <w:w w:val="100"/>
          <w:position w:val="0"/>
        </w:rPr>
        <w:t>杂交、探针、点突变以及全基因合成等实验中。</w:t>
      </w:r>
    </w:p>
    <w:p>
      <w:pPr>
        <w:pStyle w:val="Style17"/>
        <w:keepNext w:val="0"/>
        <w:keepLines w:val="0"/>
        <w:widowControl w:val="0"/>
        <w:shd w:val="clear" w:color="auto" w:fill="auto"/>
        <w:tabs>
          <w:tab w:pos="745" w:val="left"/>
        </w:tabs>
        <w:bidi w:val="0"/>
        <w:spacing w:before="0" w:after="200" w:line="310" w:lineRule="exact"/>
        <w:ind w:left="0" w:right="0" w:firstLine="36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2</w:t>
      </w:r>
      <w:r>
        <w:rPr>
          <w:color w:val="000000"/>
          <w:spacing w:val="0"/>
          <w:w w:val="100"/>
          <w:position w:val="0"/>
        </w:rPr>
        <w:t>）</w:t>
        <w:tab/>
        <w:t>具体产品介绍</w:t>
      </w:r>
    </w:p>
    <w:p>
      <w:pPr>
        <w:pStyle w:val="Style26"/>
        <w:keepNext w:val="0"/>
        <w:keepLines w:val="0"/>
        <w:widowControl w:val="0"/>
        <w:shd w:val="clear" w:color="auto" w:fill="auto"/>
        <w:bidi w:val="0"/>
        <w:spacing w:before="0" w:after="0" w:line="240" w:lineRule="auto"/>
        <w:ind w:left="322" w:right="0" w:firstLine="0"/>
        <w:jc w:val="left"/>
      </w:pPr>
      <w:r>
        <w:rPr>
          <w:color w:val="000000"/>
          <w:spacing w:val="0"/>
          <w:w w:val="100"/>
          <w:position w:val="0"/>
        </w:rPr>
        <w:t>①多组学大数据服务类产品介绍</w:t>
      </w:r>
    </w:p>
    <w:tbl>
      <w:tblPr>
        <w:tblOverlap w:val="never"/>
        <w:jc w:val="center"/>
        <w:tblLayout w:type="fixed"/>
      </w:tblPr>
      <w:tblGrid>
        <w:gridCol w:w="538"/>
        <w:gridCol w:w="1282"/>
        <w:gridCol w:w="5698"/>
        <w:gridCol w:w="2131"/>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主要产品名称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10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人全基因组测序</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人全基因组测序</w:t>
            </w:r>
            <w:r>
              <w:rPr>
                <w:color w:val="000000"/>
                <w:spacing w:val="0"/>
                <w:w w:val="100"/>
                <w:position w:val="0"/>
              </w:rPr>
              <w:t>（</w:t>
            </w:r>
            <w:r>
              <w:rPr>
                <w:rFonts w:ascii="Times New Roman" w:eastAsia="Times New Roman" w:hAnsi="Times New Roman" w:cs="Times New Roman"/>
                <w:color w:val="000000"/>
                <w:spacing w:val="0"/>
                <w:w w:val="100"/>
                <w:position w:val="0"/>
              </w:rPr>
              <w:t>WGS</w:t>
            </w:r>
            <w:r>
              <w:rPr>
                <w:color w:val="000000"/>
                <w:spacing w:val="0"/>
                <w:w w:val="100"/>
                <w:position w:val="0"/>
              </w:rPr>
              <w:t>，</w:t>
            </w:r>
            <w:r>
              <w:rPr>
                <w:rFonts w:ascii="Times New Roman" w:eastAsia="Times New Roman" w:hAnsi="Times New Roman" w:cs="Times New Roman"/>
                <w:color w:val="000000"/>
                <w:spacing w:val="0"/>
                <w:w w:val="100"/>
                <w:position w:val="0"/>
              </w:rPr>
              <w:t>whole genome sequencing</w:t>
            </w:r>
            <w:r>
              <w:rPr>
                <w:color w:val="000000"/>
                <w:spacing w:val="0"/>
                <w:w w:val="100"/>
                <w:position w:val="0"/>
              </w:rPr>
              <w:t>）是对人类核酸样品进 行全基因组范围的测序，并在个体或群体水平进行差异性分析的方法。相 比芯片检测，全基因组测序可以全面的挖掘基因序列差异和结构变异。华</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主要用于遗传疾病检测、药 物基因组学研究、群体进化 分析、肿瘤研究、复杂疾病</w:t>
            </w:r>
          </w:p>
        </w:tc>
      </w:tr>
    </w:tbl>
    <w:p>
      <w:pPr>
        <w:spacing w:lineRule="exact" w:line="1"/>
        <w:rPr>
          <w:sz w:val="2"/>
          <w:szCs w:val="2"/>
        </w:rPr>
      </w:pPr>
      <w:r>
        <w:br w:type="page"/>
      </w:r>
    </w:p>
    <w:tbl>
      <w:tblPr>
        <w:tblOverlap w:val="never"/>
        <w:jc w:val="center"/>
        <w:tblLayout w:type="fixed"/>
      </w:tblPr>
      <w:tblGrid>
        <w:gridCol w:w="538"/>
        <w:gridCol w:w="1282"/>
        <w:gridCol w:w="5698"/>
        <w:gridCol w:w="2131"/>
      </w:tblGrid>
      <w:tr>
        <w:trPr>
          <w:trHeight w:val="28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大基因</w:t>
            </w:r>
            <w:r>
              <w:rPr>
                <w:rFonts w:ascii="Times New Roman" w:eastAsia="Times New Roman" w:hAnsi="Times New Roman" w:cs="Times New Roman"/>
                <w:color w:val="000000"/>
                <w:spacing w:val="0"/>
                <w:w w:val="100"/>
                <w:position w:val="0"/>
              </w:rPr>
              <w:t>DNBSEQ™</w:t>
            </w:r>
            <w:r>
              <w:rPr>
                <w:color w:val="000000"/>
                <w:spacing w:val="0"/>
                <w:w w:val="100"/>
                <w:position w:val="0"/>
              </w:rPr>
              <w:t>技术测序仪产生高质量的基因组数据；结合自主研发生 物信息分析软件及</w:t>
            </w:r>
            <w:r>
              <w:rPr>
                <w:rFonts w:ascii="Times New Roman" w:eastAsia="Times New Roman" w:hAnsi="Times New Roman" w:cs="Times New Roman"/>
                <w:color w:val="000000"/>
                <w:spacing w:val="0"/>
                <w:w w:val="100"/>
                <w:position w:val="0"/>
              </w:rPr>
              <w:t>Low Pass WGS</w:t>
            </w:r>
            <w:r>
              <w:rPr>
                <w:color w:val="000000"/>
                <w:spacing w:val="0"/>
                <w:w w:val="100"/>
                <w:position w:val="0"/>
              </w:rPr>
              <w:t>分析流程，推出高深度及低深度测序分 析解决方案；基于</w:t>
            </w:r>
            <w:r>
              <w:rPr>
                <w:rFonts w:ascii="Times New Roman" w:eastAsia="Times New Roman" w:hAnsi="Times New Roman" w:cs="Times New Roman"/>
                <w:color w:val="000000"/>
                <w:spacing w:val="0"/>
                <w:w w:val="100"/>
                <w:position w:val="0"/>
              </w:rPr>
              <w:t xml:space="preserve">PacBio Sequel </w:t>
            </w:r>
            <w:r>
              <w:rPr>
                <w:rFonts w:ascii="Times New Roman" w:eastAsia="Times New Roman" w:hAnsi="Times New Roman" w:cs="Times New Roman"/>
                <w:color w:val="000000"/>
                <w:spacing w:val="0"/>
                <w:w w:val="100"/>
                <w:position w:val="0"/>
              </w:rPr>
              <w:t>II</w:t>
            </w:r>
            <w:r>
              <w:rPr>
                <w:color w:val="000000"/>
                <w:spacing w:val="0"/>
                <w:w w:val="100"/>
                <w:position w:val="0"/>
              </w:rPr>
              <w:t>和</w:t>
            </w:r>
            <w:r>
              <w:rPr>
                <w:rFonts w:ascii="Times New Roman" w:eastAsia="Times New Roman" w:hAnsi="Times New Roman" w:cs="Times New Roman"/>
                <w:color w:val="000000"/>
                <w:spacing w:val="0"/>
                <w:w w:val="100"/>
                <w:position w:val="0"/>
              </w:rPr>
              <w:t>Nanopore PromethION</w:t>
            </w:r>
            <w:r>
              <w:rPr>
                <w:color w:val="000000"/>
                <w:spacing w:val="0"/>
                <w:w w:val="100"/>
                <w:position w:val="0"/>
              </w:rPr>
              <w:t>测序平台的长 读长测序结果，优化长片段基因结构变异的检测；利用云计算平台，为海 量的基因数据提供了高效的存储、计算、管理和传输方案。在此基础上， 推出了利用自主（单管）长片段（</w:t>
            </w:r>
            <w:r>
              <w:rPr>
                <w:rFonts w:ascii="Times New Roman" w:eastAsia="Times New Roman" w:hAnsi="Times New Roman" w:cs="Times New Roman"/>
                <w:color w:val="000000"/>
                <w:spacing w:val="0"/>
                <w:w w:val="100"/>
                <w:position w:val="0"/>
              </w:rPr>
              <w:t>stLFR</w:t>
            </w:r>
            <w:r>
              <w:rPr>
                <w:color w:val="000000"/>
                <w:spacing w:val="0"/>
                <w:w w:val="100"/>
                <w:position w:val="0"/>
              </w:rPr>
              <w:t>）建库技术的</w:t>
            </w:r>
            <w:r>
              <w:rPr>
                <w:rFonts w:ascii="Times New Roman" w:eastAsia="Times New Roman" w:hAnsi="Times New Roman" w:cs="Times New Roman"/>
                <w:color w:val="000000"/>
                <w:spacing w:val="0"/>
                <w:w w:val="100"/>
                <w:position w:val="0"/>
              </w:rPr>
              <w:t>“stLFR WGS”</w:t>
            </w:r>
            <w:r>
              <w:rPr>
                <w:color w:val="000000"/>
                <w:spacing w:val="0"/>
                <w:w w:val="100"/>
                <w:position w:val="0"/>
              </w:rPr>
              <w:t>产品 和利用无扩增错误的</w:t>
            </w:r>
            <w:r>
              <w:rPr>
                <w:rFonts w:ascii="Times New Roman" w:eastAsia="Times New Roman" w:hAnsi="Times New Roman" w:cs="Times New Roman"/>
                <w:color w:val="000000"/>
                <w:spacing w:val="0"/>
                <w:w w:val="100"/>
                <w:position w:val="0"/>
              </w:rPr>
              <w:t>PCR-free</w:t>
            </w:r>
            <w:r>
              <w:rPr>
                <w:color w:val="000000"/>
                <w:spacing w:val="0"/>
                <w:w w:val="100"/>
                <w:position w:val="0"/>
              </w:rPr>
              <w:t>建库技术的</w:t>
            </w: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PCR WGS”</w:t>
            </w:r>
            <w:r>
              <w:rPr>
                <w:color w:val="000000"/>
                <w:spacing w:val="0"/>
                <w:w w:val="100"/>
                <w:position w:val="0"/>
              </w:rPr>
              <w:t>产品。前者可以实 现极低起始量的</w:t>
            </w:r>
            <w:r>
              <w:rPr>
                <w:rFonts w:ascii="Times New Roman" w:eastAsia="Times New Roman" w:hAnsi="Times New Roman" w:cs="Times New Roman"/>
                <w:color w:val="000000"/>
                <w:spacing w:val="0"/>
                <w:w w:val="100"/>
                <w:position w:val="0"/>
              </w:rPr>
              <w:t>DNA</w:t>
            </w:r>
            <w:r>
              <w:rPr>
                <w:color w:val="000000"/>
                <w:spacing w:val="0"/>
                <w:w w:val="100"/>
                <w:position w:val="0"/>
              </w:rPr>
              <w:t>就可高效地完成单倍型基因组测序；后者可以有效 避免</w:t>
            </w:r>
            <w:r>
              <w:rPr>
                <w:rFonts w:ascii="Times New Roman" w:eastAsia="Times New Roman" w:hAnsi="Times New Roman" w:cs="Times New Roman"/>
                <w:color w:val="000000"/>
                <w:spacing w:val="0"/>
                <w:w w:val="100"/>
                <w:position w:val="0"/>
              </w:rPr>
              <w:t>PCR</w:t>
            </w:r>
            <w:r>
              <w:rPr>
                <w:color w:val="000000"/>
                <w:spacing w:val="0"/>
                <w:w w:val="100"/>
                <w:position w:val="0"/>
              </w:rPr>
              <w:t>扩增引入的碱基错配和偏向性，提高变异检测能力。</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研究。</w:t>
            </w:r>
          </w:p>
        </w:tc>
      </w:tr>
      <w:tr>
        <w:trPr>
          <w:trHeight w:val="14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全外显子测序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外显子仅占全基因组序列的</w:t>
            </w:r>
            <w:r>
              <w:rPr>
                <w:rFonts w:ascii="Times New Roman" w:eastAsia="Times New Roman" w:hAnsi="Times New Roman" w:cs="Times New Roman"/>
                <w:color w:val="000000"/>
                <w:spacing w:val="0"/>
                <w:w w:val="100"/>
                <w:position w:val="0"/>
              </w:rPr>
              <w:t>1~2%</w:t>
            </w:r>
            <w:r>
              <w:rPr>
                <w:color w:val="000000"/>
                <w:spacing w:val="0"/>
                <w:w w:val="100"/>
                <w:position w:val="0"/>
              </w:rPr>
              <w:t>左右，却包括大多数与疾病相关的变异。 外显子测序不仅经济高效，数据阐释也更简单。在临床领域和肿瘤研究方 面，外显子有很多优势。</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主要用于遗传疾病检测、药 物基因组学研究、群体进化 分析、肿瘤研究、复杂疾病 研究。</w:t>
            </w:r>
          </w:p>
        </w:tc>
      </w:tr>
      <w:tr>
        <w:trPr>
          <w:trHeight w:val="29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De no^o</w:t>
            </w:r>
            <w:r>
              <w:rPr>
                <w:color w:val="000000"/>
                <w:spacing w:val="0"/>
                <w:w w:val="100"/>
                <w:position w:val="0"/>
              </w:rPr>
              <w:t>测序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i/>
                <w:iCs/>
                <w:color w:val="000000"/>
                <w:spacing w:val="0"/>
                <w:w w:val="100"/>
                <w:position w:val="0"/>
              </w:rPr>
              <w:t>De nov</w:t>
            </w:r>
            <w:r>
              <w:rPr>
                <w:i/>
                <w:iCs/>
                <w:color w:val="000000"/>
                <w:spacing w:val="0"/>
                <w:w w:val="100"/>
                <w:position w:val="0"/>
                <w:sz w:val="19"/>
                <w:szCs w:val="19"/>
              </w:rPr>
              <w:t>。</w:t>
            </w:r>
            <w:r>
              <w:rPr>
                <w:color w:val="000000"/>
                <w:spacing w:val="0"/>
                <w:w w:val="100"/>
                <w:position w:val="0"/>
              </w:rPr>
              <w:t>测序即从头测序，不需要任何参考序列信息即可对某个物种进行 测序。用生物信息学分析方法进行拼接、组装，从而获得该物种的基因组 序列图谱。华大基因基于自主</w:t>
            </w:r>
            <w:r>
              <w:rPr>
                <w:rFonts w:ascii="Times New Roman" w:eastAsia="Times New Roman" w:hAnsi="Times New Roman" w:cs="Times New Roman"/>
                <w:color w:val="000000"/>
                <w:spacing w:val="0"/>
                <w:w w:val="100"/>
                <w:position w:val="0"/>
              </w:rPr>
              <w:t>DNBSEQ™</w:t>
            </w:r>
            <w:r>
              <w:rPr>
                <w:color w:val="000000"/>
                <w:spacing w:val="0"/>
                <w:w w:val="100"/>
                <w:position w:val="0"/>
              </w:rPr>
              <w:t>技术的测序平台，结合其它先进 技术和平台（如：</w:t>
            </w:r>
            <w:r>
              <w:rPr>
                <w:rFonts w:ascii="Times New Roman" w:eastAsia="Times New Roman" w:hAnsi="Times New Roman" w:cs="Times New Roman"/>
                <w:color w:val="000000"/>
                <w:spacing w:val="0"/>
                <w:w w:val="100"/>
                <w:position w:val="0"/>
              </w:rPr>
              <w:t>stLFR</w:t>
            </w:r>
            <w:r>
              <w:rPr>
                <w:color w:val="000000"/>
                <w:spacing w:val="0"/>
                <w:w w:val="100"/>
                <w:position w:val="0"/>
              </w:rPr>
              <w:t>长片段建库技术、</w:t>
            </w:r>
            <w:r>
              <w:rPr>
                <w:rFonts w:ascii="Times New Roman" w:eastAsia="Times New Roman" w:hAnsi="Times New Roman" w:cs="Times New Roman"/>
                <w:color w:val="000000"/>
                <w:spacing w:val="0"/>
                <w:w w:val="100"/>
                <w:position w:val="0"/>
              </w:rPr>
              <w:t>PacBio Sequelll</w:t>
            </w:r>
            <w:r>
              <w:rPr>
                <w:color w:val="000000"/>
                <w:spacing w:val="0"/>
                <w:w w:val="100"/>
                <w:position w:val="0"/>
              </w:rPr>
              <w:t>和</w:t>
            </w:r>
            <w:r>
              <w:rPr>
                <w:rFonts w:ascii="Times New Roman" w:eastAsia="Times New Roman" w:hAnsi="Times New Roman" w:cs="Times New Roman"/>
                <w:color w:val="000000"/>
                <w:spacing w:val="0"/>
                <w:w w:val="100"/>
                <w:position w:val="0"/>
              </w:rPr>
              <w:t>Nanopore PromethION</w:t>
            </w:r>
            <w:r>
              <w:rPr>
                <w:color w:val="000000"/>
                <w:spacing w:val="0"/>
                <w:w w:val="100"/>
                <w:position w:val="0"/>
              </w:rPr>
              <w:t>测序平台、基于</w:t>
            </w:r>
            <w:r>
              <w:rPr>
                <w:rFonts w:ascii="Times New Roman" w:eastAsia="Times New Roman" w:hAnsi="Times New Roman" w:cs="Times New Roman"/>
                <w:color w:val="000000"/>
                <w:spacing w:val="0"/>
                <w:w w:val="100"/>
                <w:position w:val="0"/>
              </w:rPr>
              <w:t>Hi-C</w:t>
            </w:r>
            <w:r>
              <w:rPr>
                <w:color w:val="000000"/>
                <w:spacing w:val="0"/>
                <w:w w:val="100"/>
                <w:position w:val="0"/>
              </w:rPr>
              <w:t>的辅助基因组组装技术等），再利用生物 信息分析软件进行组装，从而获得高质量的全基因组序列图谱。基因组图 谱完成后，可以对基因组进行注释、研究物种起源进化历史，还可以搭建 该物种的基因组数据库，为后续的基因挖掘、功能验证等提供</w:t>
            </w:r>
            <w:r>
              <w:rPr>
                <w:rFonts w:ascii="Times New Roman" w:eastAsia="Times New Roman" w:hAnsi="Times New Roman" w:cs="Times New Roman"/>
                <w:color w:val="000000"/>
                <w:spacing w:val="0"/>
                <w:w w:val="100"/>
                <w:position w:val="0"/>
              </w:rPr>
              <w:t>DNA</w:t>
            </w:r>
            <w:r>
              <w:rPr>
                <w:color w:val="000000"/>
                <w:spacing w:val="0"/>
                <w:w w:val="100"/>
                <w:position w:val="0"/>
              </w:rPr>
              <w:t>序列 信息。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主要用于获得物种的参考 序列、研究物种起源与进化 历史、挖掘功能基因、搭建 物种数据库。</w:t>
            </w:r>
          </w:p>
        </w:tc>
      </w:tr>
      <w:tr>
        <w:trPr>
          <w:trHeight w:val="3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动植物全基因组 重测序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动植物全基因组重测序是对已知基因组序列的物种进行基因组测序，并在 此基础上完成个体或群体分析。全基因组重测序通过序列比对，可以检测 到大量变异信息，包括单核苷酸多态性位点</w:t>
            </w:r>
            <w:r>
              <w:rPr>
                <w:color w:val="000000"/>
                <w:spacing w:val="0"/>
                <w:w w:val="100"/>
                <w:position w:val="0"/>
              </w:rPr>
              <w:t>（</w:t>
            </w:r>
            <w:r>
              <w:rPr>
                <w:rFonts w:ascii="Times New Roman" w:eastAsia="Times New Roman" w:hAnsi="Times New Roman" w:cs="Times New Roman"/>
                <w:color w:val="000000"/>
                <w:spacing w:val="0"/>
                <w:w w:val="100"/>
                <w:position w:val="0"/>
              </w:rPr>
              <w:t>SNP</w:t>
            </w:r>
            <w:r>
              <w:rPr>
                <w:color w:val="000000"/>
                <w:spacing w:val="0"/>
                <w:w w:val="100"/>
                <w:position w:val="0"/>
              </w:rPr>
              <w:t>）、</w:t>
            </w:r>
            <w:r>
              <w:rPr>
                <w:color w:val="000000"/>
                <w:spacing w:val="0"/>
                <w:w w:val="100"/>
                <w:position w:val="0"/>
              </w:rPr>
              <w:t>插入缺失位点</w:t>
            </w:r>
            <w:r>
              <w:rPr>
                <w:rFonts w:ascii="Times New Roman" w:eastAsia="Times New Roman" w:hAnsi="Times New Roman" w:cs="Times New Roman"/>
                <w:color w:val="000000"/>
                <w:spacing w:val="0"/>
                <w:w w:val="100"/>
                <w:position w:val="0"/>
              </w:rPr>
              <w:t>（InDel</w:t>
            </w:r>
            <w:r>
              <w:rPr>
                <w:color w:val="000000"/>
                <w:spacing w:val="0"/>
                <w:w w:val="100"/>
                <w:position w:val="0"/>
              </w:rPr>
              <w:t xml:space="preserve">， </w:t>
            </w:r>
            <w:r>
              <w:rPr>
                <w:rFonts w:ascii="Times New Roman" w:eastAsia="Times New Roman" w:hAnsi="Times New Roman" w:cs="Times New Roman"/>
                <w:color w:val="000000"/>
                <w:spacing w:val="0"/>
                <w:w w:val="100"/>
                <w:position w:val="0"/>
              </w:rPr>
              <w:t>Insertion/Deletion</w:t>
            </w:r>
            <w:r>
              <w:rPr>
                <w:color w:val="000000"/>
                <w:spacing w:val="0"/>
                <w:w w:val="100"/>
                <w:position w:val="0"/>
              </w:rPr>
              <w:t>）</w:t>
            </w:r>
            <w:r>
              <w:rPr>
                <w:color w:val="000000"/>
                <w:spacing w:val="0"/>
                <w:w w:val="100"/>
                <w:position w:val="0"/>
              </w:rPr>
              <w:t>、结构变异位点</w:t>
            </w:r>
            <w:r>
              <w:rPr>
                <w:color w:val="000000"/>
                <w:spacing w:val="0"/>
                <w:w w:val="100"/>
                <w:position w:val="0"/>
              </w:rPr>
              <w:t>（</w:t>
            </w:r>
            <w:r>
              <w:rPr>
                <w:rFonts w:ascii="Times New Roman" w:eastAsia="Times New Roman" w:hAnsi="Times New Roman" w:cs="Times New Roman"/>
                <w:color w:val="000000"/>
                <w:spacing w:val="0"/>
                <w:w w:val="100"/>
                <w:position w:val="0"/>
              </w:rPr>
              <w:t>SV</w:t>
            </w:r>
            <w:r>
              <w:rPr>
                <w:color w:val="000000"/>
                <w:spacing w:val="0"/>
                <w:w w:val="100"/>
                <w:position w:val="0"/>
              </w:rPr>
              <w:t>，</w:t>
            </w:r>
            <w:r>
              <w:rPr>
                <w:rFonts w:ascii="Times New Roman" w:eastAsia="Times New Roman" w:hAnsi="Times New Roman" w:cs="Times New Roman"/>
                <w:color w:val="000000"/>
                <w:spacing w:val="0"/>
                <w:w w:val="100"/>
                <w:position w:val="0"/>
              </w:rPr>
              <w:t>Structure Variation</w:t>
            </w:r>
            <w:r>
              <w:rPr>
                <w:color w:val="000000"/>
                <w:spacing w:val="0"/>
                <w:w w:val="100"/>
                <w:position w:val="0"/>
              </w:rPr>
              <w:t>）</w:t>
            </w:r>
            <w:r>
              <w:rPr>
                <w:color w:val="000000"/>
                <w:spacing w:val="0"/>
                <w:w w:val="100"/>
                <w:position w:val="0"/>
              </w:rPr>
              <w:t>、拷贝数变 异位</w:t>
            </w:r>
            <w:r>
              <w:rPr>
                <w:color w:val="000000"/>
                <w:spacing w:val="0"/>
                <w:w w:val="100"/>
                <w:position w:val="0"/>
              </w:rPr>
              <w:t>（</w:t>
            </w:r>
            <w:r>
              <w:rPr>
                <w:rFonts w:ascii="Times New Roman" w:eastAsia="Times New Roman" w:hAnsi="Times New Roman" w:cs="Times New Roman"/>
                <w:color w:val="000000"/>
                <w:spacing w:val="0"/>
                <w:w w:val="100"/>
                <w:position w:val="0"/>
              </w:rPr>
              <w:t>CNV</w:t>
            </w:r>
            <w:r>
              <w:rPr>
                <w:color w:val="000000"/>
                <w:spacing w:val="0"/>
                <w:w w:val="100"/>
                <w:position w:val="0"/>
              </w:rPr>
              <w:t>，</w:t>
            </w:r>
            <w:r>
              <w:rPr>
                <w:rFonts w:ascii="Times New Roman" w:eastAsia="Times New Roman" w:hAnsi="Times New Roman" w:cs="Times New Roman"/>
                <w:color w:val="000000"/>
                <w:spacing w:val="0"/>
                <w:w w:val="100"/>
                <w:position w:val="0"/>
              </w:rPr>
              <w:t>Copy Number Variation</w:t>
            </w:r>
            <w:r>
              <w:rPr>
                <w:color w:val="000000"/>
                <w:spacing w:val="0"/>
                <w:w w:val="100"/>
                <w:position w:val="0"/>
              </w:rPr>
              <w:t>）</w:t>
            </w:r>
            <w:r>
              <w:rPr>
                <w:color w:val="000000"/>
                <w:spacing w:val="0"/>
                <w:w w:val="100"/>
                <w:position w:val="0"/>
              </w:rPr>
              <w:t>等，获得同一物种不同个体的遗传 变异图谱。基于检测到的变异能进一步的阐述该物种特有的生物学信息。 随着测序成本降低和已知基因组序列物种的增多，全基因组重测序已经成 为动植物分子育种、群体进化研究中最为迅速有效的方法之一。全基因组 重测序技术有助于快速发现与动植物重要性状相关的遗传变异，应用于分 子育种中，缩短育种周期。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主要用于群体遗传学研究、 目标性状基因挖掘、动植物 核心资源普查、物种</w:t>
            </w:r>
            <w:r>
              <w:rPr>
                <w:rFonts w:ascii="Times New Roman" w:eastAsia="Times New Roman" w:hAnsi="Times New Roman" w:cs="Times New Roman"/>
                <w:color w:val="000000"/>
                <w:spacing w:val="0"/>
                <w:w w:val="100"/>
                <w:position w:val="0"/>
              </w:rPr>
              <w:t>/</w:t>
            </w:r>
            <w:r>
              <w:rPr>
                <w:color w:val="000000"/>
                <w:spacing w:val="0"/>
                <w:w w:val="100"/>
                <w:position w:val="0"/>
              </w:rPr>
              <w:t>品种 鉴定、分子标记开发及辅助 选择育种、变异图谱构建。</w:t>
            </w:r>
          </w:p>
        </w:tc>
      </w:tr>
      <w:tr>
        <w:trPr>
          <w:trHeight w:val="20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转录组测序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转录组测序的研究对象为特定细胞在某一功能状态下所能转录出来的所 有</w:t>
            </w:r>
            <w:r>
              <w:rPr>
                <w:rFonts w:ascii="Times New Roman" w:eastAsia="Times New Roman" w:hAnsi="Times New Roman" w:cs="Times New Roman"/>
                <w:color w:val="000000"/>
                <w:spacing w:val="0"/>
                <w:w w:val="100"/>
                <w:position w:val="0"/>
              </w:rPr>
              <w:t>RNA</w:t>
            </w:r>
            <w:r>
              <w:rPr>
                <w:color w:val="000000"/>
                <w:spacing w:val="0"/>
                <w:w w:val="100"/>
                <w:position w:val="0"/>
              </w:rPr>
              <w:t>的总和，目前该测序技术主要针对具有编码基因功能的</w:t>
            </w:r>
            <w:r>
              <w:rPr>
                <w:rFonts w:ascii="Times New Roman" w:eastAsia="Times New Roman" w:hAnsi="Times New Roman" w:cs="Times New Roman"/>
                <w:color w:val="000000"/>
                <w:spacing w:val="0"/>
                <w:w w:val="100"/>
                <w:position w:val="0"/>
              </w:rPr>
              <w:t>mRNA</w:t>
            </w:r>
            <w:r>
              <w:rPr>
                <w:color w:val="000000"/>
                <w:spacing w:val="0"/>
                <w:w w:val="100"/>
                <w:position w:val="0"/>
              </w:rPr>
              <w:t>。</w:t>
            </w:r>
            <w:r>
              <w:rPr>
                <w:color w:val="000000"/>
                <w:spacing w:val="0"/>
                <w:w w:val="100"/>
                <w:position w:val="0"/>
              </w:rPr>
              <w:t xml:space="preserve">转 录组测序技术可以检测基因表达水平的变化，检测出低频转录本，精确地 识别可变剪切位点、基因融合，提供全面的转录组信息。利用基于自主 </w:t>
            </w:r>
            <w:r>
              <w:rPr>
                <w:rFonts w:ascii="Times New Roman" w:eastAsia="Times New Roman" w:hAnsi="Times New Roman" w:cs="Times New Roman"/>
                <w:color w:val="000000"/>
                <w:spacing w:val="0"/>
                <w:w w:val="100"/>
                <w:position w:val="0"/>
              </w:rPr>
              <w:t>DNBSEQ™</w:t>
            </w:r>
            <w:r>
              <w:rPr>
                <w:color w:val="000000"/>
                <w:spacing w:val="0"/>
                <w:w w:val="100"/>
                <w:position w:val="0"/>
              </w:rPr>
              <w:t>技术的测序平台、</w:t>
            </w:r>
            <w:r>
              <w:rPr>
                <w:rFonts w:ascii="Times New Roman" w:eastAsia="Times New Roman" w:hAnsi="Times New Roman" w:cs="Times New Roman"/>
                <w:color w:val="000000"/>
                <w:spacing w:val="0"/>
                <w:w w:val="100"/>
                <w:position w:val="0"/>
              </w:rPr>
              <w:t>Dr.Tom</w:t>
            </w:r>
            <w:r>
              <w:rPr>
                <w:color w:val="000000"/>
                <w:spacing w:val="0"/>
                <w:w w:val="100"/>
                <w:position w:val="0"/>
              </w:rPr>
              <w:t>多组学数据挖掘系统，华大基因可以 提供快速、简便、高效、经济的转录组测序产品。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主要用于疾病发生机制研 究、免疫应答干细胞研究、 生命调节机理研究、疾病标 志物的寻找、药物靶点研 究。</w:t>
            </w:r>
          </w:p>
        </w:tc>
      </w:tr>
      <w:tr>
        <w:trPr>
          <w:trHeight w:val="14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RNA-Seq</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RNA-Seq</w:t>
            </w:r>
            <w:r>
              <w:rPr>
                <w:color w:val="000000"/>
                <w:spacing w:val="0"/>
                <w:w w:val="100"/>
                <w:position w:val="0"/>
              </w:rPr>
              <w:t>是直接对某一物种或特定细胞在某一功能状态下产生的</w:t>
            </w:r>
            <w:r>
              <w:rPr>
                <w:rFonts w:ascii="Times New Roman" w:eastAsia="Times New Roman" w:hAnsi="Times New Roman" w:cs="Times New Roman"/>
                <w:color w:val="000000"/>
                <w:spacing w:val="0"/>
                <w:w w:val="100"/>
                <w:position w:val="0"/>
              </w:rPr>
              <w:t xml:space="preserve">mRNA </w:t>
            </w:r>
            <w:r>
              <w:rPr>
                <w:color w:val="000000"/>
                <w:spacing w:val="0"/>
                <w:w w:val="100"/>
                <w:position w:val="0"/>
              </w:rPr>
              <w:t>进行高通量测序，用来研究基因的表达差异情况，已经广泛应用于基础研 究、临床研究和药物研发等领域。相比转录组，更加侧重基因定量研究。 相比表达谱芯片，</w:t>
            </w:r>
            <w:r>
              <w:rPr>
                <w:rFonts w:ascii="Times New Roman" w:eastAsia="Times New Roman" w:hAnsi="Times New Roman" w:cs="Times New Roman"/>
                <w:color w:val="000000"/>
                <w:spacing w:val="0"/>
                <w:w w:val="100"/>
                <w:position w:val="0"/>
              </w:rPr>
              <w:t>RNA-Seq</w:t>
            </w:r>
            <w:r>
              <w:rPr>
                <w:color w:val="000000"/>
                <w:spacing w:val="0"/>
                <w:w w:val="100"/>
                <w:position w:val="0"/>
              </w:rPr>
              <w:t>的优势是使用数字化信号，无背景噪音，无交</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主要用于系统进化</w:t>
            </w:r>
            <w:r>
              <w:rPr>
                <w:rFonts w:ascii="Times New Roman" w:eastAsia="Times New Roman" w:hAnsi="Times New Roman" w:cs="Times New Roman"/>
                <w:color w:val="000000"/>
                <w:spacing w:val="0"/>
                <w:w w:val="100"/>
                <w:position w:val="0"/>
              </w:rPr>
              <w:t>/</w:t>
            </w:r>
            <w:r>
              <w:rPr>
                <w:color w:val="000000"/>
                <w:spacing w:val="0"/>
                <w:w w:val="100"/>
                <w:position w:val="0"/>
              </w:rPr>
              <w:t>物种起 源、生长发育、抗逆及致病 机理研究、生物标记（分子 育种）等研究。</w:t>
            </w:r>
          </w:p>
        </w:tc>
      </w:tr>
    </w:tbl>
    <w:p>
      <w:pPr>
        <w:spacing w:lineRule="exact" w:line="1"/>
        <w:rPr>
          <w:sz w:val="2"/>
          <w:szCs w:val="2"/>
        </w:rPr>
      </w:pPr>
      <w:r>
        <w:br w:type="page"/>
      </w:r>
    </w:p>
    <w:tbl>
      <w:tblPr>
        <w:tblOverlap w:val="never"/>
        <w:jc w:val="center"/>
        <w:tblLayout w:type="fixed"/>
      </w:tblPr>
      <w:tblGrid>
        <w:gridCol w:w="538"/>
        <w:gridCol w:w="1282"/>
        <w:gridCol w:w="5698"/>
        <w:gridCol w:w="2131"/>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叉杂交，没有物种限制，能检测出低丰度基因。</w:t>
            </w:r>
          </w:p>
        </w:tc>
        <w:tc>
          <w:tcPr>
            <w:tcBorders>
              <w:top w:val="single" w:sz="4"/>
              <w:left w:val="single" w:sz="4"/>
              <w:right w:val="single" w:sz="4"/>
            </w:tcBorders>
            <w:shd w:val="clear" w:color="auto" w:fill="FFFFFF"/>
            <w:vAlign w:val="top"/>
          </w:tcPr>
          <w:p>
            <w:pPr>
              <w:widowControl w:val="0"/>
              <w:rPr>
                <w:sz w:val="10"/>
                <w:szCs w:val="10"/>
              </w:rPr>
            </w:pPr>
          </w:p>
        </w:tc>
      </w:tr>
      <w:tr>
        <w:trPr>
          <w:trHeight w:val="20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全基因组甲基化 测序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全基因组甲基化测序</w:t>
            </w:r>
            <w:r>
              <w:rPr>
                <w:color w:val="000000"/>
                <w:spacing w:val="0"/>
                <w:w w:val="100"/>
                <w:position w:val="0"/>
              </w:rPr>
              <w:t>（</w:t>
            </w:r>
            <w:r>
              <w:rPr>
                <w:rFonts w:ascii="Times New Roman" w:eastAsia="Times New Roman" w:hAnsi="Times New Roman" w:cs="Times New Roman"/>
                <w:color w:val="000000"/>
                <w:spacing w:val="0"/>
                <w:w w:val="100"/>
                <w:position w:val="0"/>
              </w:rPr>
              <w:t>WGBS</w:t>
            </w:r>
            <w:r>
              <w:rPr>
                <w:color w:val="000000"/>
                <w:spacing w:val="0"/>
                <w:w w:val="100"/>
                <w:position w:val="0"/>
              </w:rPr>
              <w:t>，</w:t>
            </w:r>
            <w:r>
              <w:rPr>
                <w:rFonts w:ascii="Times New Roman" w:eastAsia="Times New Roman" w:hAnsi="Times New Roman" w:cs="Times New Roman"/>
                <w:color w:val="000000"/>
                <w:spacing w:val="0"/>
                <w:w w:val="100"/>
                <w:position w:val="0"/>
              </w:rPr>
              <w:t>whole genome bisulfite sequencing</w:t>
            </w:r>
            <w:r>
              <w:rPr>
                <w:color w:val="000000"/>
                <w:spacing w:val="0"/>
                <w:w w:val="100"/>
                <w:position w:val="0"/>
              </w:rPr>
              <w:t>）</w:t>
            </w:r>
            <w:r>
              <w:rPr>
                <w:color w:val="000000"/>
                <w:spacing w:val="0"/>
                <w:w w:val="100"/>
                <w:position w:val="0"/>
              </w:rPr>
              <w:t xml:space="preserve">是将重 亚硫酸盐处理与高通量测序技术相结合，能够高效准确地绘制全基因组 </w:t>
            </w:r>
            <w:r>
              <w:rPr>
                <w:rFonts w:ascii="Times New Roman" w:eastAsia="Times New Roman" w:hAnsi="Times New Roman" w:cs="Times New Roman"/>
                <w:color w:val="000000"/>
                <w:spacing w:val="0"/>
                <w:w w:val="100"/>
                <w:position w:val="0"/>
              </w:rPr>
              <w:t>DNA</w:t>
            </w:r>
            <w:r>
              <w:rPr>
                <w:color w:val="000000"/>
                <w:spacing w:val="0"/>
                <w:w w:val="100"/>
                <w:position w:val="0"/>
              </w:rPr>
              <w:t>甲基化图谱，是研究表观基因组学的重要手段。公司在利用国产自 主</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测序技术的基础上，自主开发了双链环化的文库制备新方 法，可以有效解决传统甲基化测序中碱基偏向性问题，可快速高效获取真 实的甲基化水平数据。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广泛应用于细胞分化、组织 发育等基础机制研究，以及 动植物育种、人类健康与疾 病等应用性研究。</w:t>
            </w:r>
          </w:p>
        </w:tc>
      </w:tr>
      <w:tr>
        <w:trPr>
          <w:trHeight w:val="20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宏基因组测序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宏基因组测序以环境中所有微生物基因组为研究对象，通过对环境样品中 的全基因组</w:t>
            </w:r>
            <w:r>
              <w:rPr>
                <w:rFonts w:ascii="Times New Roman" w:eastAsia="Times New Roman" w:hAnsi="Times New Roman" w:cs="Times New Roman"/>
                <w:color w:val="000000"/>
                <w:spacing w:val="0"/>
                <w:w w:val="100"/>
                <w:position w:val="0"/>
              </w:rPr>
              <w:t>DNA</w:t>
            </w:r>
            <w:r>
              <w:rPr>
                <w:color w:val="000000"/>
                <w:spacing w:val="0"/>
                <w:w w:val="100"/>
                <w:position w:val="0"/>
              </w:rPr>
              <w:t>进行高通量测序，获得单个样品的饱和数据量，进行微生 物群落结构多样性、微生物群体基因组成及功能、特定环境相关的代谢通 路等分析，从而进一步发掘和研究具有应用价值的基因及环境中微生物群 落内部、微生物与环境间的相互关系。构建的环境微生物基因集，可为环 境中微生物的研究、开发和利用提供基因资源库。</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主要用于环境微生物多样 性研究，宿主</w:t>
            </w:r>
            <w:r>
              <w:rPr>
                <w:rFonts w:ascii="Times New Roman" w:eastAsia="Times New Roman" w:hAnsi="Times New Roman" w:cs="Times New Roman"/>
                <w:color w:val="000000"/>
                <w:spacing w:val="0"/>
                <w:w w:val="100"/>
                <w:position w:val="0"/>
              </w:rPr>
              <w:t>-</w:t>
            </w:r>
            <w:r>
              <w:rPr>
                <w:color w:val="000000"/>
                <w:spacing w:val="0"/>
                <w:w w:val="100"/>
                <w:position w:val="0"/>
              </w:rPr>
              <w:t>微生物共生 研究，挖掘功能基因，疾病 关联分析，辅助医药研究， 开发天然产物新资源，工程 菌改造等。</w:t>
            </w:r>
          </w:p>
        </w:tc>
      </w:tr>
      <w:tr>
        <w:trPr>
          <w:trHeight w:val="20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蛋白质组定量</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通过数据非依赖性采集技术</w:t>
            </w:r>
            <w:r>
              <w:rPr>
                <w:color w:val="000000"/>
                <w:spacing w:val="0"/>
                <w:w w:val="100"/>
                <w:position w:val="0"/>
              </w:rPr>
              <w:t>（</w:t>
            </w:r>
            <w:r>
              <w:rPr>
                <w:rFonts w:ascii="Times New Roman" w:eastAsia="Times New Roman" w:hAnsi="Times New Roman" w:cs="Times New Roman"/>
                <w:color w:val="000000"/>
                <w:spacing w:val="0"/>
                <w:w w:val="100"/>
                <w:position w:val="0"/>
              </w:rPr>
              <w:t>DIA</w:t>
            </w:r>
            <w:r>
              <w:rPr>
                <w:color w:val="000000"/>
                <w:spacing w:val="0"/>
                <w:w w:val="100"/>
                <w:position w:val="0"/>
              </w:rPr>
              <w:t>）</w:t>
            </w:r>
            <w:r>
              <w:rPr>
                <w:color w:val="000000"/>
                <w:spacing w:val="0"/>
                <w:w w:val="100"/>
                <w:position w:val="0"/>
              </w:rPr>
              <w:t xml:space="preserve">，对蛋白质组进行定量研究。公司利 用高精度质谱平台，结合相关的分析软件及公司自建的血液样品谱图库 </w:t>
            </w:r>
            <w:r>
              <w:rPr>
                <w:color w:val="000000"/>
                <w:spacing w:val="0"/>
                <w:w w:val="100"/>
                <w:position w:val="0"/>
              </w:rPr>
              <w:t>（</w:t>
            </w:r>
            <w:r>
              <w:rPr>
                <w:rFonts w:ascii="Times New Roman" w:eastAsia="Times New Roman" w:hAnsi="Times New Roman" w:cs="Times New Roman"/>
                <w:color w:val="000000"/>
                <w:spacing w:val="0"/>
                <w:w w:val="100"/>
                <w:position w:val="0"/>
              </w:rPr>
              <w:t>BGI-BPSL</w:t>
            </w:r>
            <w:r>
              <w:rPr>
                <w:color w:val="000000"/>
                <w:spacing w:val="0"/>
                <w:w w:val="100"/>
                <w:position w:val="0"/>
              </w:rPr>
              <w:t>）</w:t>
            </w:r>
            <w:r>
              <w:rPr>
                <w:color w:val="000000"/>
                <w:spacing w:val="0"/>
                <w:w w:val="100"/>
                <w:position w:val="0"/>
              </w:rPr>
              <w:t>，大规模并行处理多样本，进行精确蛋白质组学定量研究， 可进行蛋白表达差异和功能分析，高效寻找候选标志物。该产品可达到通 量高、速度快、结果准的分析效果。</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用于蛋白质组学定量研究， 寻找候选蛋白标志物，尤适 合大样本个体化蛋白质组 学研究，为揭示生命调控机 理研究提供强有力的蛋白 质组技术挖掘工具。</w:t>
            </w:r>
          </w:p>
        </w:tc>
      </w:tr>
      <w:tr>
        <w:trPr>
          <w:trHeight w:val="17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蛋白质组定量</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IBT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IBT</w:t>
            </w:r>
            <w:r>
              <w:rPr>
                <w:color w:val="000000"/>
                <w:spacing w:val="0"/>
                <w:w w:val="100"/>
                <w:position w:val="0"/>
              </w:rPr>
              <w:t>标记试剂，通过与氨基酸</w:t>
            </w:r>
            <w:r>
              <w:rPr>
                <w:rFonts w:ascii="Times New Roman" w:eastAsia="Times New Roman" w:hAnsi="Times New Roman" w:cs="Times New Roman"/>
                <w:color w:val="000000"/>
                <w:spacing w:val="0"/>
                <w:w w:val="100"/>
                <w:position w:val="0"/>
              </w:rPr>
              <w:t>N</w:t>
            </w:r>
            <w:r>
              <w:rPr>
                <w:color w:val="000000"/>
                <w:spacing w:val="0"/>
                <w:w w:val="100"/>
                <w:position w:val="0"/>
              </w:rPr>
              <w:t>端或赖氨酸侧链基团的氨基结合，实 现肽段的标记，通过高精度质谱仪串联分析，实现多个样本之间蛋白质组 表达量差异比较。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w:t>
            </w:r>
            <w:r>
              <w:rPr>
                <w:rFonts w:ascii="Times New Roman" w:eastAsia="Times New Roman" w:hAnsi="Times New Roman" w:cs="Times New Roman"/>
                <w:color w:val="000000"/>
                <w:spacing w:val="0"/>
                <w:w w:val="100"/>
                <w:position w:val="0"/>
              </w:rPr>
              <w:t>16</w:t>
            </w:r>
            <w:r>
              <w:rPr>
                <w:color w:val="000000"/>
                <w:spacing w:val="0"/>
                <w:w w:val="100"/>
                <w:position w:val="0"/>
              </w:rPr>
              <w:t>个样品以内的标记 定量蛋白质组学研究，寻找 差异蛋白，与疾病发生机制 和植物生长发育、抗逆及致 病机理研究。</w:t>
            </w:r>
          </w:p>
        </w:tc>
      </w:tr>
      <w:tr>
        <w:trPr>
          <w:trHeight w:val="20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FFPE</w:t>
            </w:r>
            <w:r>
              <w:rPr>
                <w:color w:val="000000"/>
                <w:spacing w:val="0"/>
                <w:w w:val="100"/>
                <w:position w:val="0"/>
              </w:rPr>
              <w:t>样品蛋白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质组学定量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利用公司建立的专门针对福尔马林固定石蜡包埋（</w:t>
            </w:r>
            <w:r>
              <w:rPr>
                <w:rFonts w:ascii="Times New Roman" w:eastAsia="Times New Roman" w:hAnsi="Times New Roman" w:cs="Times New Roman"/>
                <w:color w:val="000000"/>
                <w:spacing w:val="0"/>
                <w:w w:val="100"/>
                <w:position w:val="0"/>
              </w:rPr>
              <w:t>FFPE</w:t>
            </w:r>
            <w:r>
              <w:rPr>
                <w:color w:val="000000"/>
                <w:spacing w:val="0"/>
                <w:w w:val="100"/>
                <w:position w:val="0"/>
              </w:rPr>
              <w:t>）</w:t>
            </w:r>
            <w:r>
              <w:rPr>
                <w:color w:val="000000"/>
                <w:spacing w:val="0"/>
                <w:w w:val="100"/>
                <w:position w:val="0"/>
              </w:rPr>
              <w:t>样本的蛋白质 提取方法，同时采用</w:t>
            </w:r>
            <w:r>
              <w:rPr>
                <w:rFonts w:ascii="Times New Roman" w:eastAsia="Times New Roman" w:hAnsi="Times New Roman" w:cs="Times New Roman"/>
                <w:color w:val="000000"/>
                <w:spacing w:val="0"/>
                <w:w w:val="100"/>
                <w:position w:val="0"/>
              </w:rPr>
              <w:t>DIA</w:t>
            </w:r>
            <w:r>
              <w:rPr>
                <w:color w:val="000000"/>
                <w:spacing w:val="0"/>
                <w:w w:val="100"/>
                <w:position w:val="0"/>
              </w:rPr>
              <w:t>技术路线进行全景式的数据采集，获得样本中所 有离子的全部碎片信息，最大程度鉴定样本中的低丰度蛋白。</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FFPE</w:t>
            </w:r>
            <w:r>
              <w:rPr>
                <w:color w:val="000000"/>
                <w:spacing w:val="0"/>
                <w:w w:val="100"/>
                <w:position w:val="0"/>
              </w:rPr>
              <w:t>样本开展差异蛋 白质组学研究，可以充分利 用罕见疾病或肿瘤等样本， 研究疾病发病机制，发现与 疾病诊断、分型、预后与治 疗密切相关的生物标志物。</w:t>
            </w:r>
          </w:p>
        </w:tc>
      </w:tr>
      <w:tr>
        <w:trPr>
          <w:trHeight w:val="29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i/>
                <w:iCs/>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4D-DIA</w:t>
            </w:r>
            <w:r>
              <w:rPr>
                <w:color w:val="000000"/>
                <w:spacing w:val="0"/>
                <w:w w:val="100"/>
                <w:position w:val="0"/>
              </w:rPr>
              <w:t>磷酸化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蛋白定量分析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4D-DIA</w:t>
            </w:r>
            <w:r>
              <w:rPr>
                <w:color w:val="000000"/>
                <w:spacing w:val="0"/>
                <w:w w:val="100"/>
                <w:position w:val="0"/>
              </w:rPr>
              <w:t>磷酸化在原有保留时间、质荷比和离子强度的基础上，增加了离 子淌度，在检测过程中能够进一步降低待测样本的复杂程度，更有利于对 样本进行高深度检测。</w:t>
            </w:r>
            <w:r>
              <w:rPr>
                <w:rFonts w:ascii="Times New Roman" w:eastAsia="Times New Roman" w:hAnsi="Times New Roman" w:cs="Times New Roman"/>
                <w:color w:val="000000"/>
                <w:spacing w:val="0"/>
                <w:w w:val="100"/>
                <w:position w:val="0"/>
              </w:rPr>
              <w:t>4D-DIA</w:t>
            </w:r>
            <w:r>
              <w:rPr>
                <w:color w:val="000000"/>
                <w:spacing w:val="0"/>
                <w:w w:val="100"/>
                <w:position w:val="0"/>
              </w:rPr>
              <w:t>磷酸化为实现磷酸化定量蛋白组分析的高 覆盖、高准确性和大样本的深度分析带来了更优的解决方案。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磷酸化修饰分析可应用于 动物、植物、微生物等各个 研究领域，研究细胞的增 殖、发育、分化、凋亡，细 胞骨架调控、神经活动、肌 肉收缩、新陈代谢及肿瘤发 生等</w:t>
            </w:r>
            <w:r>
              <w:rPr>
                <w:rFonts w:ascii="Times New Roman" w:eastAsia="Times New Roman" w:hAnsi="Times New Roman" w:cs="Times New Roman"/>
                <w:color w:val="000000"/>
                <w:spacing w:val="0"/>
                <w:w w:val="100"/>
                <w:position w:val="0"/>
              </w:rPr>
              <w:t>,</w:t>
            </w:r>
            <w:r>
              <w:rPr>
                <w:color w:val="000000"/>
                <w:spacing w:val="0"/>
                <w:w w:val="100"/>
                <w:position w:val="0"/>
              </w:rPr>
              <w:t>同时可关注生物的细 胞功能中</w:t>
            </w:r>
            <w:r>
              <w:rPr>
                <w:rFonts w:ascii="Times New Roman" w:eastAsia="Times New Roman" w:hAnsi="Times New Roman" w:cs="Times New Roman"/>
                <w:color w:val="000000"/>
                <w:spacing w:val="0"/>
                <w:w w:val="100"/>
                <w:position w:val="0"/>
              </w:rPr>
              <w:t>“</w:t>
            </w:r>
            <w:r>
              <w:rPr>
                <w:color w:val="000000"/>
                <w:spacing w:val="0"/>
                <w:w w:val="100"/>
                <w:position w:val="0"/>
              </w:rPr>
              <w:t>开</w:t>
            </w:r>
            <w:r>
              <w:rPr>
                <w:rFonts w:ascii="Times New Roman" w:eastAsia="Times New Roman" w:hAnsi="Times New Roman" w:cs="Times New Roman"/>
                <w:color w:val="000000"/>
                <w:spacing w:val="0"/>
                <w:w w:val="100"/>
                <w:position w:val="0"/>
              </w:rPr>
              <w:t>/</w:t>
            </w:r>
            <w:r>
              <w:rPr>
                <w:color w:val="000000"/>
                <w:spacing w:val="0"/>
                <w:w w:val="100"/>
                <w:position w:val="0"/>
              </w:rPr>
              <w:t>关</w:t>
            </w:r>
            <w:r>
              <w:rPr>
                <w:rFonts w:ascii="Times New Roman" w:eastAsia="Times New Roman" w:hAnsi="Times New Roman" w:cs="Times New Roman"/>
                <w:color w:val="000000"/>
                <w:spacing w:val="0"/>
                <w:w w:val="100"/>
                <w:position w:val="0"/>
              </w:rPr>
              <w:t>”</w:t>
            </w:r>
            <w:r>
              <w:rPr>
                <w:color w:val="000000"/>
                <w:spacing w:val="0"/>
                <w:w w:val="100"/>
                <w:position w:val="0"/>
              </w:rPr>
              <w:t>作用机制 等。</w:t>
            </w:r>
          </w:p>
        </w:tc>
      </w:tr>
      <w:tr>
        <w:trPr>
          <w:trHeight w:val="78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i/>
                <w:iCs/>
                <w:color w:val="000000"/>
                <w:spacing w:val="0"/>
                <w:w w:val="100"/>
                <w:position w:val="0"/>
              </w:rPr>
              <w:t>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神经递质靶向代 谢物检测</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通过液质联用技术，采用多反应监测</w:t>
            </w:r>
            <w:r>
              <w:rPr>
                <w:color w:val="000000"/>
                <w:spacing w:val="0"/>
                <w:w w:val="100"/>
                <w:position w:val="0"/>
              </w:rPr>
              <w:t>（</w:t>
            </w:r>
            <w:r>
              <w:rPr>
                <w:rFonts w:ascii="Times New Roman" w:eastAsia="Times New Roman" w:hAnsi="Times New Roman" w:cs="Times New Roman"/>
                <w:color w:val="000000"/>
                <w:spacing w:val="0"/>
                <w:w w:val="100"/>
                <w:position w:val="0"/>
              </w:rPr>
              <w:t>MRM</w:t>
            </w:r>
            <w:r>
              <w:rPr>
                <w:color w:val="000000"/>
                <w:spacing w:val="0"/>
                <w:w w:val="100"/>
                <w:position w:val="0"/>
              </w:rPr>
              <w:t>）</w:t>
            </w:r>
            <w:r>
              <w:rPr>
                <w:color w:val="000000"/>
                <w:spacing w:val="0"/>
                <w:w w:val="100"/>
                <w:position w:val="0"/>
              </w:rPr>
              <w:t>分析方法，一次性检测</w:t>
            </w:r>
            <w:r>
              <w:rPr>
                <w:rFonts w:ascii="Times New Roman" w:eastAsia="Times New Roman" w:hAnsi="Times New Roman" w:cs="Times New Roman"/>
                <w:color w:val="000000"/>
                <w:spacing w:val="0"/>
                <w:w w:val="100"/>
                <w:position w:val="0"/>
              </w:rPr>
              <w:t xml:space="preserve">39 </w:t>
            </w:r>
            <w:r>
              <w:rPr>
                <w:color w:val="000000"/>
                <w:spacing w:val="0"/>
                <w:w w:val="100"/>
                <w:position w:val="0"/>
              </w:rPr>
              <w:t>种神经递质或神经递质代谢产物；覆盖神经递质的典型代谢通路，包括多</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检测神经递质水平的变化，</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用于揭示神经系统类疾病</w:t>
            </w:r>
          </w:p>
        </w:tc>
      </w:tr>
    </w:tbl>
    <w:p>
      <w:pPr>
        <w:spacing w:lineRule="exact" w:line="1"/>
        <w:rPr>
          <w:sz w:val="2"/>
          <w:szCs w:val="2"/>
        </w:rPr>
      </w:pPr>
      <w:r>
        <w:br w:type="page"/>
      </w:r>
    </w:p>
    <w:tbl>
      <w:tblPr>
        <w:tblOverlap w:val="never"/>
        <w:jc w:val="center"/>
        <w:tblLayout w:type="fixed"/>
      </w:tblPr>
      <w:tblGrid>
        <w:gridCol w:w="538"/>
        <w:gridCol w:w="1282"/>
        <w:gridCol w:w="5693"/>
        <w:gridCol w:w="2136"/>
      </w:tblGrid>
      <w:tr>
        <w:trPr>
          <w:trHeight w:val="22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巴胺代谢通路、色氨酸代谢通路等，实现高准确度的定量分析。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的发病机制和诊断治疗。将 肠道微生物测序和神经递 质靶向检测的结果进行关 联分析，可以对</w:t>
            </w:r>
            <w:r>
              <w:rPr>
                <w:rFonts w:ascii="Times New Roman" w:eastAsia="Times New Roman" w:hAnsi="Times New Roman" w:cs="Times New Roman"/>
                <w:color w:val="000000"/>
                <w:spacing w:val="0"/>
                <w:w w:val="100"/>
                <w:position w:val="0"/>
              </w:rPr>
              <w:t>“</w:t>
            </w:r>
            <w:r>
              <w:rPr>
                <w:color w:val="000000"/>
                <w:spacing w:val="0"/>
                <w:w w:val="100"/>
                <w:position w:val="0"/>
              </w:rPr>
              <w:t>肠</w:t>
            </w:r>
            <w:r>
              <w:rPr>
                <w:rFonts w:ascii="Times New Roman" w:eastAsia="Times New Roman" w:hAnsi="Times New Roman" w:cs="Times New Roman"/>
                <w:color w:val="000000"/>
                <w:spacing w:val="0"/>
                <w:w w:val="100"/>
                <w:position w:val="0"/>
              </w:rPr>
              <w:t>-</w:t>
            </w:r>
            <w:r>
              <w:rPr>
                <w:color w:val="000000"/>
                <w:spacing w:val="0"/>
                <w:w w:val="100"/>
                <w:position w:val="0"/>
              </w:rPr>
              <w:t>脑轴</w:t>
            </w:r>
            <w:r>
              <w:rPr>
                <w:rFonts w:ascii="Times New Roman" w:eastAsia="Times New Roman" w:hAnsi="Times New Roman" w:cs="Times New Roman"/>
                <w:color w:val="000000"/>
                <w:spacing w:val="0"/>
                <w:w w:val="100"/>
                <w:position w:val="0"/>
              </w:rPr>
              <w:t xml:space="preserve">” </w:t>
            </w:r>
            <w:r>
              <w:rPr>
                <w:color w:val="000000"/>
                <w:spacing w:val="0"/>
                <w:w w:val="100"/>
                <w:position w:val="0"/>
              </w:rPr>
              <w:t>机制、神经系统疾病的病因 和发病机制进行更深入、全 面的研究。</w:t>
            </w:r>
          </w:p>
        </w:tc>
      </w:tr>
      <w:tr>
        <w:trPr>
          <w:trHeight w:val="23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代谢全谱分析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利用液质联用技术，对整个代谢物组进行定量研究。基于高分辨率质谱平 台，结合自主分析软件及高分辨植物代谢数据库</w:t>
            </w:r>
            <w:r>
              <w:rPr>
                <w:color w:val="000000"/>
                <w:spacing w:val="0"/>
                <w:w w:val="100"/>
                <w:position w:val="0"/>
              </w:rPr>
              <w:t>（</w:t>
            </w:r>
            <w:r>
              <w:rPr>
                <w:rFonts w:ascii="Times New Roman" w:eastAsia="Times New Roman" w:hAnsi="Times New Roman" w:cs="Times New Roman"/>
                <w:color w:val="000000"/>
                <w:spacing w:val="0"/>
                <w:w w:val="100"/>
                <w:position w:val="0"/>
              </w:rPr>
              <w:t>BGI HRAM-PMDB</w:t>
            </w:r>
            <w:r>
              <w:rPr>
                <w:color w:val="000000"/>
                <w:spacing w:val="0"/>
                <w:w w:val="100"/>
                <w:position w:val="0"/>
              </w:rPr>
              <w:t xml:space="preserve">）、 </w:t>
            </w:r>
            <w:r>
              <w:rPr>
                <w:color w:val="000000"/>
                <w:spacing w:val="0"/>
                <w:w w:val="100"/>
                <w:position w:val="0"/>
              </w:rPr>
              <w:t>脂质组数据库，分析大规模样本中的代谢物组表达情况，从大规模样本中 发现候选代谢标志物。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可用于代谢物组学定量研 究，寻找疾病发生机理的代 谢标志物，揭示疾病发生发 展机理，该技术在脑肠轴等 研究领域应用广泛。同时， 该技术可用于中草药的道 地及药效研究。</w:t>
            </w:r>
          </w:p>
        </w:tc>
      </w:tr>
      <w:tr>
        <w:trPr>
          <w:trHeight w:val="20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广泛靶向植物代 谢组定量分析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采用液质联用技术，针对植物代谢物进行广泛靶向代谢组定量分析。通过 高灵敏度质谱仪，采用</w:t>
            </w:r>
            <w:r>
              <w:rPr>
                <w:rFonts w:ascii="Times New Roman" w:eastAsia="Times New Roman" w:hAnsi="Times New Roman" w:cs="Times New Roman"/>
                <w:color w:val="000000"/>
                <w:spacing w:val="0"/>
                <w:w w:val="100"/>
                <w:position w:val="0"/>
              </w:rPr>
              <w:t>MRM （Multiple reaction monitoring,</w:t>
            </w:r>
            <w:r>
              <w:rPr>
                <w:color w:val="000000"/>
                <w:spacing w:val="0"/>
                <w:w w:val="100"/>
                <w:position w:val="0"/>
              </w:rPr>
              <w:t>多重反应监测</w:t>
            </w:r>
            <w:r>
              <w:rPr>
                <w:rFonts w:ascii="Times New Roman" w:eastAsia="Times New Roman" w:hAnsi="Times New Roman" w:cs="Times New Roman"/>
                <w:color w:val="000000"/>
                <w:spacing w:val="0"/>
                <w:w w:val="100"/>
                <w:position w:val="0"/>
              </w:rPr>
              <w:t xml:space="preserve">） </w:t>
            </w:r>
            <w:r>
              <w:rPr>
                <w:color w:val="000000"/>
                <w:spacing w:val="0"/>
                <w:w w:val="100"/>
                <w:position w:val="0"/>
              </w:rPr>
              <w:t>模式采集生物样本代谢组数据，利用</w:t>
            </w:r>
            <w:r>
              <w:rPr>
                <w:rFonts w:ascii="Times New Roman" w:eastAsia="Times New Roman" w:hAnsi="Times New Roman" w:cs="Times New Roman"/>
                <w:color w:val="000000"/>
                <w:spacing w:val="0"/>
                <w:w w:val="100"/>
                <w:position w:val="0"/>
              </w:rPr>
              <w:t>MRM</w:t>
            </w:r>
            <w:r>
              <w:rPr>
                <w:color w:val="000000"/>
                <w:spacing w:val="0"/>
                <w:w w:val="100"/>
                <w:position w:val="0"/>
              </w:rPr>
              <w:t>自动化定量软件并结合公司自 主建立的植物广泛靶向代谢标准品数据库进行代谢物的鉴定和定量分析。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用于植物的生物和非生物 逆境互作研究、植物生长发 育研究、果树花卉营养和色 泽代谢研究、农作物品质性 状与育种改良研究、药用植 物功能与活性成分研究等。</w:t>
            </w:r>
          </w:p>
        </w:tc>
      </w:tr>
      <w:tr>
        <w:trPr>
          <w:trHeight w:val="3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HM350</w:t>
            </w:r>
            <w:r>
              <w:rPr>
                <w:color w:val="000000"/>
                <w:spacing w:val="0"/>
                <w:w w:val="100"/>
                <w:position w:val="0"/>
              </w:rPr>
              <w:t>代谢组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HM350</w:t>
            </w:r>
            <w:r>
              <w:rPr>
                <w:color w:val="000000"/>
                <w:spacing w:val="0"/>
                <w:w w:val="100"/>
                <w:position w:val="0"/>
              </w:rPr>
              <w:t>代谢组通过液相色谱串联质谱</w:t>
            </w:r>
            <w:r>
              <w:rPr>
                <w:color w:val="000000"/>
                <w:spacing w:val="0"/>
                <w:w w:val="100"/>
                <w:position w:val="0"/>
              </w:rPr>
              <w:t>（</w:t>
            </w:r>
            <w:r>
              <w:rPr>
                <w:rFonts w:ascii="Times New Roman" w:eastAsia="Times New Roman" w:hAnsi="Times New Roman" w:cs="Times New Roman"/>
                <w:color w:val="000000"/>
                <w:spacing w:val="0"/>
                <w:w w:val="100"/>
                <w:position w:val="0"/>
              </w:rPr>
              <w:t>LC-MS/MS</w:t>
            </w:r>
            <w:r>
              <w:rPr>
                <w:color w:val="000000"/>
                <w:spacing w:val="0"/>
                <w:w w:val="100"/>
                <w:position w:val="0"/>
              </w:rPr>
              <w:t>）</w:t>
            </w:r>
            <w:r>
              <w:rPr>
                <w:color w:val="000000"/>
                <w:spacing w:val="0"/>
                <w:w w:val="100"/>
                <w:position w:val="0"/>
              </w:rPr>
              <w:t>技术对代谢物进行高 通量的靶向代谢组学检测分析，可以同时检测</w:t>
            </w:r>
            <w:r>
              <w:rPr>
                <w:rFonts w:ascii="Times New Roman" w:eastAsia="Times New Roman" w:hAnsi="Times New Roman" w:cs="Times New Roman"/>
                <w:color w:val="000000"/>
                <w:spacing w:val="0"/>
                <w:w w:val="100"/>
                <w:position w:val="0"/>
              </w:rPr>
              <w:t>350</w:t>
            </w:r>
            <w:r>
              <w:rPr>
                <w:color w:val="000000"/>
                <w:spacing w:val="0"/>
                <w:w w:val="100"/>
                <w:position w:val="0"/>
              </w:rPr>
              <w:t>多个代谢物，每个代谢 物均使用标准曲线进行绝对定量，并进行了方法学考察验证，覆盖各类重 要的代谢物和核心代谢通路，可充分反映代谢表型，其中</w:t>
            </w:r>
            <w:r>
              <w:rPr>
                <w:rFonts w:ascii="Times New Roman" w:eastAsia="Times New Roman" w:hAnsi="Times New Roman" w:cs="Times New Roman"/>
                <w:color w:val="000000"/>
                <w:spacing w:val="0"/>
                <w:w w:val="100"/>
                <w:position w:val="0"/>
              </w:rPr>
              <w:t>220</w:t>
            </w:r>
            <w:r>
              <w:rPr>
                <w:color w:val="000000"/>
                <w:spacing w:val="0"/>
                <w:w w:val="100"/>
                <w:position w:val="0"/>
              </w:rPr>
              <w:t>多个代谢物 为肠道菌群相关代谢物。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可用于临床疾病中生物标 志物、疾病机制、药物靶点 等研究；生物医药领域中药 物作用机制、药效评价、药 物开发等研究；表型与生理 功能领域中生理机制、分子 分型、营养运动与健康等研 究；肠道菌群相关的生物标 志物、生理病理机制、宿主 </w:t>
            </w:r>
            <w:r>
              <w:rPr>
                <w:rFonts w:ascii="Times New Roman" w:eastAsia="Times New Roman" w:hAnsi="Times New Roman" w:cs="Times New Roman"/>
                <w:color w:val="000000"/>
                <w:spacing w:val="0"/>
                <w:w w:val="100"/>
                <w:position w:val="0"/>
              </w:rPr>
              <w:t>-</w:t>
            </w:r>
            <w:r>
              <w:rPr>
                <w:color w:val="000000"/>
                <w:spacing w:val="0"/>
                <w:w w:val="100"/>
                <w:position w:val="0"/>
              </w:rPr>
              <w:t>肠道菌群共代谢等研究。</w:t>
            </w:r>
          </w:p>
        </w:tc>
      </w:tr>
      <w:tr>
        <w:trPr>
          <w:trHeight w:val="23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大分子生物药的 肽质谱指纹谱的 深度分析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通过液相色谱一级质谱联用，分析大分子药物，如蛋白，双特异性</w:t>
            </w:r>
            <w:r>
              <w:rPr>
                <w:rFonts w:ascii="Times New Roman" w:eastAsia="Times New Roman" w:hAnsi="Times New Roman" w:cs="Times New Roman"/>
                <w:color w:val="000000"/>
                <w:spacing w:val="0"/>
                <w:w w:val="100"/>
                <w:position w:val="0"/>
              </w:rPr>
              <w:t>/</w:t>
            </w:r>
            <w:r>
              <w:rPr>
                <w:color w:val="000000"/>
                <w:spacing w:val="0"/>
                <w:w w:val="100"/>
                <w:position w:val="0"/>
              </w:rPr>
              <w:t>多特异 性抗体、抗体</w:t>
            </w:r>
            <w:r>
              <w:rPr>
                <w:rFonts w:ascii="Times New Roman" w:eastAsia="Times New Roman" w:hAnsi="Times New Roman" w:cs="Times New Roman"/>
                <w:color w:val="000000"/>
                <w:spacing w:val="0"/>
                <w:w w:val="100"/>
                <w:position w:val="0"/>
              </w:rPr>
              <w:t>-</w:t>
            </w:r>
            <w:r>
              <w:rPr>
                <w:color w:val="000000"/>
                <w:spacing w:val="0"/>
                <w:w w:val="100"/>
                <w:position w:val="0"/>
              </w:rPr>
              <w:t>药物偶联物、</w:t>
            </w:r>
            <w:r>
              <w:rPr>
                <w:rFonts w:ascii="Times New Roman" w:eastAsia="Times New Roman" w:hAnsi="Times New Roman" w:cs="Times New Roman"/>
                <w:color w:val="000000"/>
                <w:spacing w:val="0"/>
                <w:w w:val="100"/>
                <w:position w:val="0"/>
              </w:rPr>
              <w:t>Fc</w:t>
            </w:r>
            <w:r>
              <w:rPr>
                <w:color w:val="000000"/>
                <w:spacing w:val="0"/>
                <w:w w:val="100"/>
                <w:position w:val="0"/>
              </w:rPr>
              <w:t>融合蛋白的表征。该产品可达到通量高、速 度快、结果准的分析效果。</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用于大分子药物的整体表 征，可以对其分子量，药物 分子负载量，非共价复合 物，电荷变体，分子量变体， 二硫键变体进行全面表征， 满足大分子药物研发的相 关需求。</w:t>
            </w:r>
          </w:p>
        </w:tc>
      </w:tr>
      <w:tr>
        <w:trPr>
          <w:trHeight w:val="172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大分子生物药的 变性和非变性质 谱的整体分子量 分析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通过液相色谱，紫外检测，一级和二级质谱分析的联用，对大分子药物的 每个氨基酸进行高精度的深度分析，提供药物分子微不均一性的数据，以 及所有相关的修饰的定性定量分析。</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用于大分子药物的氨基酸 层次的深度表征，可以对药 物的有效性，安全性，和免 疫源性进行分析考量，满足 大分子药物研发的相关需</w:t>
            </w:r>
          </w:p>
        </w:tc>
      </w:tr>
    </w:tbl>
    <w:p>
      <w:pPr>
        <w:spacing w:lineRule="exact" w:line="1"/>
        <w:rPr>
          <w:sz w:val="2"/>
          <w:szCs w:val="2"/>
        </w:rPr>
      </w:pPr>
      <w:r>
        <w:br w:type="page"/>
      </w:r>
    </w:p>
    <w:tbl>
      <w:tblPr>
        <w:tblOverlap w:val="never"/>
        <w:jc w:val="center"/>
        <w:tblLayout w:type="fixed"/>
      </w:tblPr>
      <w:tblGrid>
        <w:gridCol w:w="538"/>
        <w:gridCol w:w="1282"/>
        <w:gridCol w:w="5698"/>
        <w:gridCol w:w="2131"/>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求。</w:t>
            </w:r>
          </w:p>
        </w:tc>
      </w:tr>
      <w:tr>
        <w:trPr>
          <w:trHeight w:val="23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GeneAn</w:t>
            </w:r>
            <w:r>
              <w:rPr>
                <w:color w:val="000000"/>
                <w:spacing w:val="0"/>
                <w:w w:val="100"/>
                <w:position w:val="0"/>
              </w:rPr>
              <w:t>云计算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GeneAn</w:t>
            </w:r>
            <w:r>
              <w:rPr>
                <w:color w:val="000000"/>
                <w:spacing w:val="0"/>
                <w:w w:val="100"/>
                <w:position w:val="0"/>
              </w:rPr>
              <w:t>是以生物云计算为基础的整体解决方案，平台模块贯穿基因数据 流</w:t>
            </w:r>
            <w:r>
              <w:rPr>
                <w:rFonts w:ascii="Times New Roman" w:eastAsia="Times New Roman" w:hAnsi="Times New Roman" w:cs="Times New Roman"/>
                <w:color w:val="000000"/>
                <w:spacing w:val="0"/>
                <w:w w:val="100"/>
                <w:position w:val="0"/>
              </w:rPr>
              <w:t>“</w:t>
            </w:r>
            <w:r>
              <w:rPr>
                <w:color w:val="000000"/>
                <w:spacing w:val="0"/>
                <w:w w:val="100"/>
                <w:position w:val="0"/>
              </w:rPr>
              <w:t>存、算、传、管</w:t>
            </w:r>
            <w:r>
              <w:rPr>
                <w:rFonts w:ascii="Times New Roman" w:eastAsia="Times New Roman" w:hAnsi="Times New Roman" w:cs="Times New Roman"/>
                <w:color w:val="000000"/>
                <w:spacing w:val="0"/>
                <w:w w:val="100"/>
                <w:position w:val="0"/>
              </w:rPr>
              <w:t>”</w:t>
            </w:r>
            <w:r>
              <w:rPr>
                <w:color w:val="000000"/>
                <w:spacing w:val="0"/>
                <w:w w:val="100"/>
                <w:position w:val="0"/>
              </w:rPr>
              <w:t>各个维度。平台基于强大的云计算与海量的云存储能 力，可提供更简单、更高效的数据存储、自动化分析、数据传输、项目协 作以及生物信息工具开发等方面的解决方案。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实现海量基因数据的分析 管理，通过多云治理、数据 全生命周期管理、云资源自 动化托管、多云部署、云监 控及分析、安全合规及访问 控制等维度，实现高效、稳 定运作。</w:t>
            </w:r>
          </w:p>
        </w:tc>
      </w:tr>
      <w:tr>
        <w:trPr>
          <w:trHeight w:val="20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Dr. Tom</w:t>
            </w:r>
            <w:r>
              <w:rPr>
                <w:color w:val="000000"/>
                <w:spacing w:val="0"/>
                <w:w w:val="100"/>
                <w:position w:val="0"/>
              </w:rPr>
              <w:t>多组学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数据挖掘系统</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公司自主开发的</w:t>
            </w:r>
            <w:r>
              <w:rPr>
                <w:rFonts w:ascii="Times New Roman" w:eastAsia="Times New Roman" w:hAnsi="Times New Roman" w:cs="Times New Roman"/>
                <w:color w:val="000000"/>
                <w:spacing w:val="0"/>
                <w:w w:val="100"/>
                <w:position w:val="0"/>
              </w:rPr>
              <w:t>“Dr. Tom</w:t>
            </w:r>
            <w:r>
              <w:rPr>
                <w:color w:val="000000"/>
                <w:spacing w:val="0"/>
                <w:w w:val="100"/>
                <w:position w:val="0"/>
              </w:rPr>
              <w:t>多组学数据挖掘系统</w:t>
            </w:r>
            <w:r>
              <w:rPr>
                <w:rFonts w:ascii="Times New Roman" w:eastAsia="Times New Roman" w:hAnsi="Times New Roman" w:cs="Times New Roman"/>
                <w:color w:val="000000"/>
                <w:spacing w:val="0"/>
                <w:w w:val="100"/>
                <w:position w:val="0"/>
              </w:rPr>
              <w:t>”</w:t>
            </w:r>
            <w:r>
              <w:rPr>
                <w:color w:val="000000"/>
                <w:spacing w:val="0"/>
                <w:w w:val="100"/>
                <w:position w:val="0"/>
              </w:rPr>
              <w:t>是一款可以快速、深度地 挖掘基因、蛋白和代谢数据的系统，能够在复杂的多组学数据中快速找到 目标基因和相关基因调控通路。该系统整合了多个国际常用的基因数据库 和生物信息分析工具，并优化了数据挖掘的方式和展现形式，还结合了云 计算、人工智能和机器学习技术。通过该系统，科研用户可以方便的进行 自助式多组学数据挖掘。</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对所有具有表达特征的多 组学数据都可以进行深度 挖掘，找到目标基因。</w:t>
            </w:r>
          </w:p>
        </w:tc>
      </w:tr>
    </w:tbl>
    <w:p>
      <w:pPr>
        <w:widowControl w:val="0"/>
        <w:spacing w:after="59" w:line="1" w:lineRule="exact"/>
      </w:pPr>
    </w:p>
    <w:p>
      <w:pPr>
        <w:pStyle w:val="Style17"/>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除列表中产品外，通过先进的测序与分析平台，公司多组学大数据服务还可提供非编码</w:t>
      </w:r>
      <w:r>
        <w:rPr>
          <w:rFonts w:ascii="Times New Roman" w:eastAsia="Times New Roman" w:hAnsi="Times New Roman" w:cs="Times New Roman"/>
          <w:color w:val="000000"/>
          <w:spacing w:val="0"/>
          <w:w w:val="100"/>
          <w:position w:val="0"/>
        </w:rPr>
        <w:t>RNA</w:t>
      </w:r>
      <w:r>
        <w:rPr>
          <w:color w:val="000000"/>
          <w:spacing w:val="0"/>
          <w:w w:val="100"/>
          <w:position w:val="0"/>
        </w:rPr>
        <w:t>、</w:t>
      </w:r>
      <w:r>
        <w:rPr>
          <w:color w:val="000000"/>
          <w:spacing w:val="0"/>
          <w:w w:val="100"/>
          <w:position w:val="0"/>
        </w:rPr>
        <w:t>目标区域测序、表观基因 组、基因分型、蛋白类产品、代谢类产品、单细胞类产品、免疫组库测序、基因组学数据库等产品。通过上述技术手段的集 合，多组学大数据服务形成了一整套可贯穿的</w:t>
      </w:r>
      <w:r>
        <w:rPr>
          <w:rFonts w:ascii="Times New Roman" w:eastAsia="Times New Roman" w:hAnsi="Times New Roman" w:cs="Times New Roman"/>
          <w:color w:val="000000"/>
          <w:spacing w:val="0"/>
          <w:w w:val="100"/>
          <w:position w:val="0"/>
        </w:rPr>
        <w:t>“</w:t>
      </w:r>
      <w:r>
        <w:rPr>
          <w:color w:val="000000"/>
          <w:spacing w:val="0"/>
          <w:w w:val="100"/>
          <w:position w:val="0"/>
        </w:rPr>
        <w:t>组学</w:t>
      </w:r>
      <w:r>
        <w:rPr>
          <w:rFonts w:ascii="Times New Roman" w:eastAsia="Times New Roman" w:hAnsi="Times New Roman" w:cs="Times New Roman"/>
          <w:color w:val="000000"/>
          <w:spacing w:val="0"/>
          <w:w w:val="100"/>
          <w:position w:val="0"/>
        </w:rPr>
        <w:t>”</w:t>
      </w:r>
      <w:r>
        <w:rPr>
          <w:color w:val="000000"/>
          <w:spacing w:val="0"/>
          <w:w w:val="100"/>
          <w:position w:val="0"/>
        </w:rPr>
        <w:t>研究方法，可以为生物学研究提供全面系统的研究方案与生态链体验服 务。</w:t>
      </w:r>
    </w:p>
    <w:p>
      <w:pPr>
        <w:pStyle w:val="Style26"/>
        <w:keepNext w:val="0"/>
        <w:keepLines w:val="0"/>
        <w:widowControl w:val="0"/>
        <w:shd w:val="clear" w:color="auto" w:fill="auto"/>
        <w:bidi w:val="0"/>
        <w:spacing w:before="0" w:after="0" w:line="240" w:lineRule="auto"/>
        <w:ind w:left="322" w:right="0" w:firstLine="0"/>
        <w:jc w:val="left"/>
      </w:pPr>
      <w:r>
        <w:rPr>
          <w:color w:val="000000"/>
          <w:spacing w:val="0"/>
          <w:w w:val="100"/>
          <w:position w:val="0"/>
        </w:rPr>
        <w:t>②合成业务类产品介绍</w:t>
      </w:r>
    </w:p>
    <w:tbl>
      <w:tblPr>
        <w:tblOverlap w:val="never"/>
        <w:jc w:val="center"/>
        <w:tblLayout w:type="fixed"/>
      </w:tblPr>
      <w:tblGrid>
        <w:gridCol w:w="566"/>
        <w:gridCol w:w="1003"/>
        <w:gridCol w:w="5098"/>
        <w:gridCol w:w="295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产品名称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主要应用</w:t>
            </w:r>
          </w:p>
        </w:tc>
      </w:tr>
      <w:tr>
        <w:trPr>
          <w:trHeight w:val="23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基因合成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为解决以往从自然界获取</w:t>
            </w:r>
            <w:r>
              <w:rPr>
                <w:rFonts w:ascii="Times New Roman" w:eastAsia="Times New Roman" w:hAnsi="Times New Roman" w:cs="Times New Roman"/>
                <w:color w:val="000000"/>
                <w:spacing w:val="0"/>
                <w:w w:val="100"/>
                <w:position w:val="0"/>
              </w:rPr>
              <w:t>DNA</w:t>
            </w:r>
            <w:r>
              <w:rPr>
                <w:color w:val="000000"/>
                <w:spacing w:val="0"/>
                <w:w w:val="100"/>
                <w:position w:val="0"/>
              </w:rPr>
              <w:t>的过程较复杂的问题，更好的满足 科研工作者对基因、基因组水平</w:t>
            </w:r>
            <w:r>
              <w:rPr>
                <w:rFonts w:ascii="Times New Roman" w:eastAsia="Times New Roman" w:hAnsi="Times New Roman" w:cs="Times New Roman"/>
                <w:color w:val="000000"/>
                <w:spacing w:val="0"/>
                <w:w w:val="100"/>
                <w:position w:val="0"/>
              </w:rPr>
              <w:t>DNA</w:t>
            </w:r>
            <w:r>
              <w:rPr>
                <w:color w:val="000000"/>
                <w:spacing w:val="0"/>
                <w:w w:val="100"/>
                <w:position w:val="0"/>
              </w:rPr>
              <w:t>的高效、低成本、大规模合 成与组装的需求，通过高通量、大规模、全自动的全基因合成技 术平台，利用自主研发的世界领先的</w:t>
            </w:r>
            <w:r>
              <w:rPr>
                <w:rFonts w:ascii="Times New Roman" w:eastAsia="Times New Roman" w:hAnsi="Times New Roman" w:cs="Times New Roman"/>
                <w:color w:val="000000"/>
                <w:spacing w:val="0"/>
                <w:w w:val="100"/>
                <w:position w:val="0"/>
              </w:rPr>
              <w:t>iBEST</w:t>
            </w:r>
            <w:r>
              <w:rPr>
                <w:color w:val="000000"/>
                <w:spacing w:val="0"/>
                <w:w w:val="100"/>
                <w:position w:val="0"/>
              </w:rPr>
              <w:t>难度基因合成技术，可 提供多种复杂结构的长难度基因，包括高</w:t>
            </w:r>
            <w:r>
              <w:rPr>
                <w:rFonts w:ascii="Times New Roman" w:eastAsia="Times New Roman" w:hAnsi="Times New Roman" w:cs="Times New Roman"/>
                <w:color w:val="000000"/>
                <w:spacing w:val="0"/>
                <w:w w:val="100"/>
                <w:position w:val="0"/>
              </w:rPr>
              <w:t>GC</w:t>
            </w:r>
            <w:r>
              <w:rPr>
                <w:color w:val="000000"/>
                <w:spacing w:val="0"/>
                <w:w w:val="100"/>
                <w:position w:val="0"/>
              </w:rPr>
              <w:t>、</w:t>
            </w:r>
            <w:r>
              <w:rPr>
                <w:color w:val="000000"/>
                <w:spacing w:val="0"/>
                <w:w w:val="100"/>
                <w:position w:val="0"/>
              </w:rPr>
              <w:t>高</w:t>
            </w:r>
            <w:r>
              <w:rPr>
                <w:rFonts w:ascii="Times New Roman" w:eastAsia="Times New Roman" w:hAnsi="Times New Roman" w:cs="Times New Roman"/>
                <w:color w:val="000000"/>
                <w:spacing w:val="0"/>
                <w:w w:val="100"/>
                <w:position w:val="0"/>
              </w:rPr>
              <w:t>AT</w:t>
            </w:r>
            <w:r>
              <w:rPr>
                <w:color w:val="000000"/>
                <w:spacing w:val="0"/>
                <w:w w:val="100"/>
                <w:position w:val="0"/>
              </w:rPr>
              <w:t>、</w:t>
            </w:r>
            <w:r>
              <w:rPr>
                <w:color w:val="000000"/>
                <w:spacing w:val="0"/>
                <w:w w:val="100"/>
                <w:position w:val="0"/>
              </w:rPr>
              <w:t>单碱基及多 碱基重复、长片段</w:t>
            </w:r>
            <w:r>
              <w:rPr>
                <w:rFonts w:ascii="Times New Roman" w:eastAsia="Times New Roman" w:hAnsi="Times New Roman" w:cs="Times New Roman"/>
                <w:color w:val="000000"/>
                <w:spacing w:val="0"/>
                <w:w w:val="100"/>
                <w:position w:val="0"/>
              </w:rPr>
              <w:t>DNA</w:t>
            </w:r>
            <w:r>
              <w:rPr>
                <w:color w:val="000000"/>
                <w:spacing w:val="0"/>
                <w:w w:val="100"/>
                <w:position w:val="0"/>
              </w:rPr>
              <w:t>的合成，还可实现对多种载体的克隆，以 及提供针对不同物种合成基因密码子优化服务。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为生物医药，农业育种，环境防治，生 物能源，生物材料等领域提供人工合 成的功能基因原料，支撑这些领域的 科研及工业应用发展。</w:t>
            </w:r>
          </w:p>
        </w:tc>
      </w:tr>
      <w:tr>
        <w:trPr>
          <w:trHeight w:val="14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定点突变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为科研及工业客户提供基因定点突变改造服务；在保留原始基因 序列完整性的基础上，实现原基因模板中的任意位置突变，包括 单碱基、多碱基的突变、缺失部分碱基以及插入部分碱基等，同 时对原始模板基因突变体产物进行测序验证及克隆制备。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应用于抗体工程，酶工程，农作物性状 改良等科研及工业应用领域中的功能 基因序列修改或编辑再造。</w:t>
            </w:r>
          </w:p>
        </w:tc>
      </w:tr>
      <w:tr>
        <w:trPr>
          <w:trHeight w:val="27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PCR</w:t>
            </w:r>
            <w:r>
              <w:rPr>
                <w:color w:val="000000"/>
                <w:spacing w:val="0"/>
                <w:w w:val="100"/>
                <w:position w:val="0"/>
              </w:rPr>
              <w:t>克隆</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line="307" w:lineRule="exact"/>
              <w:ind w:left="0" w:right="0" w:firstLine="0"/>
              <w:jc w:val="both"/>
            </w:pPr>
            <w:r>
              <w:rPr>
                <w:color w:val="000000"/>
                <w:spacing w:val="0"/>
                <w:w w:val="100"/>
                <w:position w:val="0"/>
              </w:rPr>
              <w:t>为科研及工业客户提供天然物种基因组，环境宏基因组，人工合 成基因组或者质粒等已知序列</w:t>
            </w:r>
            <w:r>
              <w:rPr>
                <w:rFonts w:ascii="Times New Roman" w:eastAsia="Times New Roman" w:hAnsi="Times New Roman" w:cs="Times New Roman"/>
                <w:color w:val="000000"/>
                <w:spacing w:val="0"/>
                <w:w w:val="100"/>
                <w:position w:val="0"/>
              </w:rPr>
              <w:t>DNA</w:t>
            </w:r>
            <w:r>
              <w:rPr>
                <w:color w:val="000000"/>
                <w:spacing w:val="0"/>
                <w:w w:val="100"/>
                <w:position w:val="0"/>
              </w:rPr>
              <w:t>上的功能基因</w:t>
            </w:r>
            <w:r>
              <w:rPr>
                <w:rFonts w:ascii="Times New Roman" w:eastAsia="Times New Roman" w:hAnsi="Times New Roman" w:cs="Times New Roman"/>
                <w:color w:val="000000"/>
                <w:spacing w:val="0"/>
                <w:w w:val="100"/>
                <w:position w:val="0"/>
              </w:rPr>
              <w:t>PCR</w:t>
            </w:r>
            <w:r>
              <w:rPr>
                <w:color w:val="000000"/>
                <w:spacing w:val="0"/>
                <w:w w:val="100"/>
                <w:position w:val="0"/>
              </w:rPr>
              <w:t>克隆服务， 将基因的</w:t>
            </w:r>
            <w:r>
              <w:rPr>
                <w:rFonts w:ascii="Times New Roman" w:eastAsia="Times New Roman" w:hAnsi="Times New Roman" w:cs="Times New Roman"/>
                <w:color w:val="000000"/>
                <w:spacing w:val="0"/>
                <w:w w:val="100"/>
                <w:position w:val="0"/>
              </w:rPr>
              <w:t>PCR</w:t>
            </w:r>
            <w:r>
              <w:rPr>
                <w:color w:val="000000"/>
                <w:spacing w:val="0"/>
                <w:w w:val="100"/>
                <w:position w:val="0"/>
              </w:rPr>
              <w:t>复制产物插入到功能质粒载体，并大量的制备；</w:t>
            </w:r>
          </w:p>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同时为客户量身打造</w:t>
            </w:r>
            <w:r>
              <w:rPr>
                <w:rFonts w:ascii="Times New Roman" w:eastAsia="Times New Roman" w:hAnsi="Times New Roman" w:cs="Times New Roman"/>
                <w:color w:val="000000"/>
                <w:spacing w:val="0"/>
                <w:w w:val="100"/>
                <w:position w:val="0"/>
              </w:rPr>
              <w:t>DNA</w:t>
            </w:r>
            <w:r>
              <w:rPr>
                <w:color w:val="000000"/>
                <w:spacing w:val="0"/>
                <w:w w:val="100"/>
                <w:position w:val="0"/>
              </w:rPr>
              <w:t>克隆的个性化解决方案，如将目的序列 克隆到客户感兴趣的任何载体的任一指定位置，并且不受特定酶 切位点的限制；以及在克隆流程中的任意环节满足客户的各种需 求，包括模板的获得、</w:t>
            </w:r>
            <w:r>
              <w:rPr>
                <w:rFonts w:ascii="Times New Roman" w:eastAsia="Times New Roman" w:hAnsi="Times New Roman" w:cs="Times New Roman"/>
                <w:color w:val="000000"/>
                <w:spacing w:val="0"/>
                <w:w w:val="100"/>
                <w:position w:val="0"/>
              </w:rPr>
              <w:t>PCR</w:t>
            </w:r>
            <w:r>
              <w:rPr>
                <w:color w:val="000000"/>
                <w:spacing w:val="0"/>
                <w:w w:val="100"/>
                <w:position w:val="0"/>
              </w:rPr>
              <w:t>产物的纯化、克隆方法的选择、载体的 选择、后续的转化和质粒提取。</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用于农作物基因育种，工业微生物菌 株基因改良，酶制剂体外进化改造，抗 体工程等领域中关键基因的体外克隆 和大量制备。</w:t>
            </w:r>
          </w:p>
        </w:tc>
      </w:tr>
    </w:tbl>
    <w:p>
      <w:pPr>
        <w:spacing w:lineRule="exact" w:line="1"/>
        <w:rPr>
          <w:sz w:val="2"/>
          <w:szCs w:val="2"/>
        </w:rPr>
      </w:pPr>
      <w:r>
        <w:br w:type="page"/>
      </w:r>
    </w:p>
    <w:tbl>
      <w:tblPr>
        <w:tblOverlap w:val="never"/>
        <w:jc w:val="center"/>
        <w:tblLayout w:type="fixed"/>
      </w:tblPr>
      <w:tblGrid>
        <w:gridCol w:w="566"/>
        <w:gridCol w:w="1003"/>
        <w:gridCol w:w="5098"/>
        <w:gridCol w:w="2952"/>
      </w:tblGrid>
      <w:tr>
        <w:trPr>
          <w:trHeight w:val="20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Oligo Pools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根据客户的应用需求，针对性的设计寡核苷酸序列文库或者根据 客户提供设计完成的寡核苷酸序列文库，利用高通量的芯片合成 平台，合成对应的包含不同寡核苷酸分子的混合文库，同时对文 库进行严格的质量验证。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基于基因合成的大规模的微生物，动 物，植物细胞基因技术改良；二代基因 组测序捕获探针合成；以</w:t>
            </w:r>
            <w:r>
              <w:rPr>
                <w:rFonts w:ascii="Times New Roman" w:eastAsia="Times New Roman" w:hAnsi="Times New Roman" w:cs="Times New Roman"/>
                <w:color w:val="000000"/>
                <w:spacing w:val="0"/>
                <w:w w:val="100"/>
                <w:position w:val="0"/>
              </w:rPr>
              <w:t>DNA</w:t>
            </w:r>
            <w:r>
              <w:rPr>
                <w:color w:val="000000"/>
                <w:spacing w:val="0"/>
                <w:w w:val="100"/>
                <w:position w:val="0"/>
              </w:rPr>
              <w:t>为介质 的数据存储。为这些领域的科学及应 用研究提供关键的寡核苷酸库上游原 料。</w:t>
            </w:r>
          </w:p>
        </w:tc>
      </w:tr>
      <w:tr>
        <w:trPr>
          <w:trHeight w:val="14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常规引物合 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为科研及工业客户提供不同长度，不同量级的寡核苷酸合成服务， 同时根据客户的需求，提供</w:t>
            </w:r>
            <w:r>
              <w:rPr>
                <w:rFonts w:ascii="Times New Roman" w:eastAsia="Times New Roman" w:hAnsi="Times New Roman" w:cs="Times New Roman"/>
                <w:color w:val="000000"/>
                <w:spacing w:val="0"/>
                <w:w w:val="100"/>
                <w:position w:val="0"/>
              </w:rPr>
              <w:t>DSL</w:t>
            </w:r>
            <w:r>
              <w:rPr>
                <w:color w:val="000000"/>
                <w:spacing w:val="0"/>
                <w:w w:val="100"/>
                <w:position w:val="0"/>
              </w:rPr>
              <w:t>、</w:t>
            </w:r>
            <w:r>
              <w:rPr>
                <w:rFonts w:ascii="Times New Roman" w:eastAsia="Times New Roman" w:hAnsi="Times New Roman" w:cs="Times New Roman"/>
                <w:color w:val="000000"/>
                <w:spacing w:val="0"/>
                <w:w w:val="100"/>
                <w:position w:val="0"/>
              </w:rPr>
              <w:t>PAGE plus</w:t>
            </w:r>
            <w:r>
              <w:rPr>
                <w:color w:val="000000"/>
                <w:spacing w:val="0"/>
                <w:w w:val="100"/>
                <w:position w:val="0"/>
              </w:rPr>
              <w:t>、</w:t>
            </w:r>
            <w:r>
              <w:rPr>
                <w:rFonts w:ascii="Times New Roman" w:eastAsia="Times New Roman" w:hAnsi="Times New Roman" w:cs="Times New Roman"/>
                <w:color w:val="000000"/>
                <w:spacing w:val="0"/>
                <w:w w:val="100"/>
                <w:position w:val="0"/>
              </w:rPr>
              <w:t>PAGE</w:t>
            </w:r>
            <w:r>
              <w:rPr>
                <w:color w:val="000000"/>
                <w:spacing w:val="0"/>
                <w:w w:val="100"/>
                <w:position w:val="0"/>
              </w:rPr>
              <w:t>、</w:t>
            </w:r>
            <w:r>
              <w:rPr>
                <w:rFonts w:ascii="Times New Roman" w:eastAsia="Times New Roman" w:hAnsi="Times New Roman" w:cs="Times New Roman"/>
                <w:color w:val="000000"/>
                <w:spacing w:val="0"/>
                <w:w w:val="100"/>
                <w:position w:val="0"/>
              </w:rPr>
              <w:t>Fast-HPLC</w:t>
            </w:r>
            <w:r>
              <w:rPr>
                <w:color w:val="000000"/>
                <w:spacing w:val="0"/>
                <w:w w:val="100"/>
                <w:position w:val="0"/>
              </w:rPr>
              <w:t xml:space="preserve">、 </w:t>
            </w:r>
            <w:r>
              <w:rPr>
                <w:rFonts w:ascii="Times New Roman" w:eastAsia="Times New Roman" w:hAnsi="Times New Roman" w:cs="Times New Roman"/>
                <w:color w:val="000000"/>
                <w:spacing w:val="0"/>
                <w:w w:val="100"/>
                <w:position w:val="0"/>
              </w:rPr>
              <w:t>HPLC</w:t>
            </w:r>
            <w:r>
              <w:rPr>
                <w:color w:val="000000"/>
                <w:spacing w:val="0"/>
                <w:w w:val="100"/>
                <w:position w:val="0"/>
              </w:rPr>
              <w:t>等多种纯化方式获得的不同纯度级别的引物；同时为客户提 供个性化的寡核苷酸合成解决方案。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为基因克隆，医学检测，基因测序，寡 核苷酸药物，</w:t>
            </w:r>
            <w:r>
              <w:rPr>
                <w:rFonts w:ascii="Times New Roman" w:eastAsia="Times New Roman" w:hAnsi="Times New Roman" w:cs="Times New Roman"/>
                <w:color w:val="000000"/>
                <w:spacing w:val="0"/>
                <w:w w:val="100"/>
                <w:position w:val="0"/>
              </w:rPr>
              <w:t>DNA</w:t>
            </w:r>
            <w:r>
              <w:rPr>
                <w:color w:val="000000"/>
                <w:spacing w:val="0"/>
                <w:w w:val="100"/>
                <w:position w:val="0"/>
              </w:rPr>
              <w:t>新材料研究及应用 提供关键的寡核苷酸原料。</w:t>
            </w:r>
          </w:p>
        </w:tc>
      </w:tr>
      <w:tr>
        <w:trPr>
          <w:trHeight w:val="17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修饰引物合 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为科研及工业客户提供多种类型的高纯度修饰</w:t>
            </w:r>
            <w:r>
              <w:rPr>
                <w:rFonts w:ascii="Times New Roman" w:eastAsia="Times New Roman" w:hAnsi="Times New Roman" w:cs="Times New Roman"/>
                <w:color w:val="000000"/>
                <w:spacing w:val="0"/>
                <w:w w:val="100"/>
                <w:position w:val="0"/>
              </w:rPr>
              <w:t>/</w:t>
            </w:r>
            <w:r>
              <w:rPr>
                <w:color w:val="000000"/>
                <w:spacing w:val="0"/>
                <w:w w:val="100"/>
                <w:position w:val="0"/>
              </w:rPr>
              <w:t>标记寡核苷酸，包 括磷酸化、氨基、巯基及各种</w:t>
            </w:r>
            <w:r>
              <w:rPr>
                <w:rFonts w:ascii="Times New Roman" w:eastAsia="Times New Roman" w:hAnsi="Times New Roman" w:cs="Times New Roman"/>
                <w:color w:val="000000"/>
                <w:spacing w:val="0"/>
                <w:w w:val="100"/>
                <w:position w:val="0"/>
              </w:rPr>
              <w:t>Spacers</w:t>
            </w:r>
            <w:r>
              <w:rPr>
                <w:color w:val="000000"/>
                <w:spacing w:val="0"/>
                <w:w w:val="100"/>
                <w:position w:val="0"/>
              </w:rPr>
              <w:t>修饰、生物素、地高辛、荧 光及碱基修饰、双标荧光探针、分子信标等。同时，修饰寡核苷酸 通过</w:t>
            </w:r>
            <w:r>
              <w:rPr>
                <w:rFonts w:ascii="Times New Roman" w:eastAsia="Times New Roman" w:hAnsi="Times New Roman" w:cs="Times New Roman"/>
                <w:color w:val="000000"/>
                <w:spacing w:val="0"/>
                <w:w w:val="100"/>
                <w:position w:val="0"/>
              </w:rPr>
              <w:t>HPLC</w:t>
            </w:r>
            <w:r>
              <w:rPr>
                <w:color w:val="000000"/>
                <w:spacing w:val="0"/>
                <w:w w:val="100"/>
                <w:position w:val="0"/>
              </w:rPr>
              <w:t>等技术实现高质量的纯化及长度和完整度验证。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应用于体外诊断，法医检测，二代测 序，生物标记等领域中修饰探针及标 记寡核苷酸合成，为医学检测及生物 诊断等领域的科研及应用提供关键技 术材料。</w:t>
            </w:r>
          </w:p>
        </w:tc>
      </w:tr>
      <w:tr>
        <w:trPr>
          <w:trHeight w:val="234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体外超长基 因</w:t>
            </w:r>
            <w:r>
              <w:rPr>
                <w:rFonts w:ascii="Times New Roman" w:eastAsia="Times New Roman" w:hAnsi="Times New Roman" w:cs="Times New Roman"/>
                <w:color w:val="000000"/>
                <w:spacing w:val="0"/>
                <w:w w:val="100"/>
                <w:position w:val="0"/>
              </w:rPr>
              <w:t>/</w:t>
            </w:r>
            <w:r>
              <w:rPr>
                <w:color w:val="000000"/>
                <w:spacing w:val="0"/>
                <w:w w:val="100"/>
                <w:position w:val="0"/>
              </w:rPr>
              <w:t>基因组合 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不借助细胞的重组能力，合成自由度高，不受宿主干扰，以优于 现有超长</w:t>
            </w:r>
            <w:r>
              <w:rPr>
                <w:rFonts w:ascii="Times New Roman" w:eastAsia="Times New Roman" w:hAnsi="Times New Roman" w:cs="Times New Roman"/>
                <w:color w:val="000000"/>
                <w:spacing w:val="0"/>
                <w:w w:val="100"/>
                <w:position w:val="0"/>
              </w:rPr>
              <w:t xml:space="preserve">DNA </w:t>
            </w:r>
            <w:r>
              <w:rPr>
                <w:color w:val="000000"/>
                <w:spacing w:val="0"/>
                <w:w w:val="100"/>
                <w:position w:val="0"/>
              </w:rPr>
              <w:t>(如染色体)主要依赖体外拼接与体内同源重组相 结合的组装技术的方法，通过具有自主知识产权的</w:t>
            </w:r>
            <w:r>
              <w:rPr>
                <w:rFonts w:ascii="Times New Roman" w:eastAsia="Times New Roman" w:hAnsi="Times New Roman" w:cs="Times New Roman"/>
                <w:color w:val="000000"/>
                <w:spacing w:val="0"/>
                <w:w w:val="100"/>
                <w:position w:val="0"/>
              </w:rPr>
              <w:t>“DNA</w:t>
            </w:r>
            <w:r>
              <w:rPr>
                <w:color w:val="000000"/>
                <w:spacing w:val="0"/>
                <w:w w:val="100"/>
                <w:position w:val="0"/>
              </w:rPr>
              <w:t>末端操纵 技术</w:t>
            </w:r>
            <w:r>
              <w:rPr>
                <w:rFonts w:ascii="Times New Roman" w:eastAsia="Times New Roman" w:hAnsi="Times New Roman" w:cs="Times New Roman"/>
                <w:color w:val="000000"/>
                <w:spacing w:val="0"/>
                <w:w w:val="100"/>
                <w:position w:val="0"/>
              </w:rPr>
              <w:t>”</w:t>
            </w:r>
            <w:r>
              <w:rPr>
                <w:color w:val="000000"/>
                <w:spacing w:val="0"/>
                <w:w w:val="100"/>
                <w:position w:val="0"/>
              </w:rPr>
              <w:t>，以体外合成的方式提供更快速度，更高精度的</w:t>
            </w:r>
            <w:r>
              <w:rPr>
                <w:rFonts w:ascii="Times New Roman" w:eastAsia="Times New Roman" w:hAnsi="Times New Roman" w:cs="Times New Roman"/>
                <w:color w:val="000000"/>
                <w:spacing w:val="0"/>
                <w:w w:val="100"/>
                <w:position w:val="0"/>
              </w:rPr>
              <w:t>10kb-200kb</w:t>
            </w:r>
            <w:r>
              <w:rPr>
                <w:color w:val="000000"/>
                <w:spacing w:val="0"/>
                <w:w w:val="100"/>
                <w:position w:val="0"/>
              </w:rPr>
              <w:t xml:space="preserve">， </w:t>
            </w:r>
            <w:r>
              <w:rPr>
                <w:color w:val="000000"/>
                <w:spacing w:val="0"/>
                <w:w w:val="100"/>
                <w:position w:val="0"/>
              </w:rPr>
              <w:t>甚至更长的基因组合成服务。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满足长链</w:t>
            </w:r>
            <w:r>
              <w:rPr>
                <w:rFonts w:ascii="Times New Roman" w:eastAsia="Times New Roman" w:hAnsi="Times New Roman" w:cs="Times New Roman"/>
                <w:color w:val="000000"/>
                <w:spacing w:val="0"/>
                <w:w w:val="100"/>
                <w:position w:val="0"/>
              </w:rPr>
              <w:t>DNA</w:t>
            </w:r>
            <w:r>
              <w:rPr>
                <w:color w:val="000000"/>
                <w:spacing w:val="0"/>
                <w:w w:val="100"/>
                <w:position w:val="0"/>
              </w:rPr>
              <w:t>序列基因组的重新设计 与合成的需求，作为基因组合成高效 可靠的合成工具，赋能以合成生物学 为基础的绿色制造、碳能源可持续转 化、环境污染的生物治理、检测有毒化 学物质的生物传感器等领域的不断发 展。</w:t>
            </w:r>
          </w:p>
        </w:tc>
      </w:tr>
    </w:tbl>
    <w:p>
      <w:pPr>
        <w:pStyle w:val="Style26"/>
        <w:keepNext w:val="0"/>
        <w:keepLines w:val="0"/>
        <w:widowControl w:val="0"/>
        <w:shd w:val="clear" w:color="auto" w:fill="auto"/>
        <w:bidi w:val="0"/>
        <w:spacing w:before="0" w:after="0" w:line="240" w:lineRule="auto"/>
        <w:ind w:left="322"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、精准医学检测综合解决方案</w:t>
      </w:r>
    </w:p>
    <w:p>
      <w:pPr>
        <w:widowControl w:val="0"/>
        <w:spacing w:after="99" w:line="1" w:lineRule="exact"/>
      </w:pPr>
    </w:p>
    <w:p>
      <w:pPr>
        <w:pStyle w:val="Style17"/>
        <w:keepNext w:val="0"/>
        <w:keepLines w:val="0"/>
        <w:widowControl w:val="0"/>
        <w:shd w:val="clear" w:color="auto" w:fill="auto"/>
        <w:bidi w:val="0"/>
        <w:spacing w:before="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)业务概述</w:t>
      </w:r>
    </w:p>
    <w:p>
      <w:pPr>
        <w:pStyle w:val="Style17"/>
        <w:keepNext w:val="0"/>
        <w:keepLines w:val="0"/>
        <w:widowControl w:val="0"/>
        <w:shd w:val="clear" w:color="auto" w:fill="auto"/>
        <w:bidi w:val="0"/>
        <w:spacing w:before="0" w:line="311" w:lineRule="exact"/>
        <w:ind w:left="0" w:right="0" w:firstLine="440"/>
        <w:jc w:val="both"/>
      </w:pPr>
      <w:r>
        <w:rPr>
          <w:color w:val="000000"/>
          <w:spacing w:val="0"/>
          <w:w w:val="100"/>
          <w:position w:val="0"/>
        </w:rPr>
        <w:t>公司在精准医学领域坚持</w:t>
      </w:r>
      <w:r>
        <w:rPr>
          <w:rFonts w:ascii="Times New Roman" w:eastAsia="Times New Roman" w:hAnsi="Times New Roman" w:cs="Times New Roman"/>
          <w:color w:val="000000"/>
          <w:spacing w:val="0"/>
          <w:w w:val="100"/>
          <w:position w:val="0"/>
        </w:rPr>
        <w:t>“</w:t>
      </w:r>
      <w:r>
        <w:rPr>
          <w:color w:val="000000"/>
          <w:spacing w:val="0"/>
          <w:w w:val="100"/>
          <w:position w:val="0"/>
        </w:rPr>
        <w:t>自主研发为主、生态合作为辅</w:t>
      </w:r>
      <w:r>
        <w:rPr>
          <w:rFonts w:ascii="Times New Roman" w:eastAsia="Times New Roman" w:hAnsi="Times New Roman" w:cs="Times New Roman"/>
          <w:color w:val="000000"/>
          <w:spacing w:val="0"/>
          <w:w w:val="100"/>
          <w:position w:val="0"/>
        </w:rPr>
        <w:t>”</w:t>
      </w:r>
      <w:r>
        <w:rPr>
          <w:color w:val="000000"/>
          <w:spacing w:val="0"/>
          <w:w w:val="100"/>
          <w:position w:val="0"/>
        </w:rPr>
        <w:t>的战略，凭借强大的研发能力、丰富的临床转化能力及高性 能的自主平台，公司已经建立了以高通量测序平台、高分辨质谱平台为基础，传统检验平台为辅助，生命大数据为核心的精 准医学综合解决方案。针对综合实力强、业务量大的医疗机构，公司可提供经国家药监局批准可用于临床应用的高通量基因 测序仪以及配套检测试剂盒、高分辨质谱仪以及配套试剂盒、高性能大数据分析及储存平台，协助建立以测序技术和质谱技 术为基础，以多组学大数据为核心的精准医学检测平台，实现科研、临床的一体化，加速新技术在临床应用的转化。</w:t>
      </w:r>
    </w:p>
    <w:p>
      <w:pPr>
        <w:pStyle w:val="Style17"/>
        <w:keepNext w:val="0"/>
        <w:keepLines w:val="0"/>
        <w:widowControl w:val="0"/>
        <w:shd w:val="clear" w:color="auto" w:fill="auto"/>
        <w:bidi w:val="0"/>
        <w:spacing w:before="0" w:line="314" w:lineRule="exact"/>
        <w:ind w:left="0" w:right="0"/>
        <w:jc w:val="both"/>
      </w:pPr>
      <w:r>
        <w:rPr>
          <w:color w:val="000000"/>
          <w:spacing w:val="0"/>
          <w:w w:val="100"/>
          <w:position w:val="0"/>
        </w:rPr>
        <w:t>公司在科研和产业化过程中形成了庞大的数据积累，在生物样本和表型数据的基础上，采用测序、质谱、</w:t>
      </w:r>
      <w:r>
        <w:rPr>
          <w:rFonts w:ascii="Times New Roman" w:eastAsia="Times New Roman" w:hAnsi="Times New Roman" w:cs="Times New Roman"/>
          <w:color w:val="000000"/>
          <w:spacing w:val="0"/>
          <w:w w:val="100"/>
          <w:position w:val="0"/>
        </w:rPr>
        <w:t>PCR</w:t>
      </w:r>
      <w:r>
        <w:rPr>
          <w:color w:val="000000"/>
          <w:spacing w:val="0"/>
          <w:w w:val="100"/>
          <w:position w:val="0"/>
        </w:rPr>
        <w:t>等多维度 技术对生物样本进行多组学的数据化，利用智能化技术、数据挖掘系统和生物信息学分析工具对海量数据进行充分整合和分 析，提高医疗健康行业对疾病的发生、发展、终结以及复发全过程的全面认知。精准医学检测整合了前沿科学技术与传统医 学方法，为健康中国实现提供了贯穿全生命周期的新型医学综合解决方案，未来将有望赋能全球生命健康产业。</w:t>
      </w:r>
    </w:p>
    <w:p>
      <w:pPr>
        <w:pStyle w:val="Style17"/>
        <w:keepNext w:val="0"/>
        <w:keepLines w:val="0"/>
        <w:widowControl w:val="0"/>
        <w:shd w:val="clear" w:color="auto" w:fill="auto"/>
        <w:bidi w:val="0"/>
        <w:spacing w:before="0" w:line="313"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年新冠疫情在全球范围内爆发，为解决各地区新冠病毒检测通量不足的问题，公司推出了</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实验室一体化综合 解决方案，为落地</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实验室的地区输出检测技术和设备，并为当地实验室人员提供培训和技术支持等服务，</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 室在全球各地批量建成并高效助力各国疫情防控工作。此外，为解决跨境人员快速检测的服务需求，公司率先推出了机场</w:t>
      </w:r>
      <w:r>
        <w:rPr>
          <w:rFonts w:ascii="Times New Roman" w:eastAsia="Times New Roman" w:hAnsi="Times New Roman" w:cs="Times New Roman"/>
          <w:color w:val="000000"/>
          <w:spacing w:val="0"/>
          <w:w w:val="100"/>
          <w:position w:val="0"/>
        </w:rPr>
        <w:t>“</w:t>
      </w:r>
      <w:r>
        <w:rPr>
          <w:color w:val="000000"/>
          <w:spacing w:val="0"/>
          <w:w w:val="100"/>
          <w:position w:val="0"/>
        </w:rPr>
        <w:t>火 眼</w:t>
      </w:r>
      <w:r>
        <w:rPr>
          <w:rFonts w:ascii="Times New Roman" w:eastAsia="Times New Roman" w:hAnsi="Times New Roman" w:cs="Times New Roman"/>
          <w:color w:val="000000"/>
          <w:spacing w:val="0"/>
          <w:w w:val="100"/>
          <w:position w:val="0"/>
        </w:rPr>
        <w:t>”</w:t>
      </w:r>
      <w:r>
        <w:rPr>
          <w:color w:val="000000"/>
          <w:spacing w:val="0"/>
          <w:w w:val="100"/>
          <w:position w:val="0"/>
        </w:rPr>
        <w:t>实验室解决方案，除目前已经运行的香港、阿曼机场</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实验室外，报告期内在埃塞俄比亚落地了非洲机场</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 验室。</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公司多元化的新冠检测综合解决方案，尤其是移动版</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实验室在极致化交付方面具有显著优势。报告期内，针对国 内部分地区疫情散发、国际疫情突发的情况，公司充分发挥气膜</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 xml:space="preserve">实验室通量高、建设速度快的优势，助力全球抗疫， </w:t>
      </w:r>
      <w:r>
        <w:rPr>
          <w:color w:val="000000"/>
          <w:spacing w:val="0"/>
          <w:w w:val="100"/>
          <w:position w:val="0"/>
        </w:rPr>
        <w:t>分别在支援石家庄、广州、佛山等国内城市和巴布亚新几内亚、文莱等国家的散发、突发疫情防控中发挥了重要作用。</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)具体产品介绍</w:t>
      </w:r>
    </w:p>
    <w:tbl>
      <w:tblPr>
        <w:tblOverlap w:val="never"/>
        <w:jc w:val="center"/>
        <w:tblLayout w:type="fixed"/>
      </w:tblPr>
      <w:tblGrid>
        <w:gridCol w:w="1426"/>
        <w:gridCol w:w="5813"/>
        <w:gridCol w:w="2237"/>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产品用途</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生育健康临床综 合解决方案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为医疗机构、第三方检验公司制定实验室建设方案，提供实验室设计及其 所需的仪器设备、试剂、分析软件、技术转移、人员培训、数据库建设及使 用、信息分析及报告解读等综合支撑其提供妇幼健康相关检测服务的一体 化解决方案。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主要应用于实现多组学技术 为基础的妇幼健康相关业务 的本地化检测。</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肿瘤精准防控综 合解决方案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为医疗机构、第三方检验公司制定实验室建设方案，提供实验室设计及其 所需的仪器设备、试剂、分析软件、技术转移、人员培训、数据库建设及使 用、信息分析及报告解读等综合支撑其提供肿瘤精准防控相关检测服务的 一体化解决方案。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主要应用于实现多组学技术 为基础的肿瘤精准防控相关 业务的本地化检测。</w:t>
            </w:r>
          </w:p>
        </w:tc>
      </w:tr>
      <w:tr>
        <w:trPr>
          <w:trHeight w:val="129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感染防控综合解 决方案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为医疗机构、第三方检验公司制定实验室建设方案，提供实验室设计及其 所需的仪器设备、试剂、分析软件、技术转移、人员培训、数据库建设及使 用、信息分析及报告解读等综合支撑其提供感染防控相关检测服务的一体 化解决方案。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主要应用于实现多组学技术 为基础的感染防控相关业务 的本地化检测。</w:t>
            </w:r>
          </w:p>
        </w:tc>
      </w:tr>
    </w:tbl>
    <w:p>
      <w:pPr>
        <w:widowControl w:val="0"/>
        <w:spacing w:after="159" w:line="1" w:lineRule="exact"/>
      </w:pPr>
    </w:p>
    <w:p>
      <w:pPr>
        <w:pStyle w:val="Style17"/>
        <w:keepNext w:val="0"/>
        <w:keepLines w:val="0"/>
        <w:widowControl w:val="0"/>
        <w:numPr>
          <w:ilvl w:val="0"/>
          <w:numId w:val="3"/>
        </w:numPr>
        <w:shd w:val="clear" w:color="auto" w:fill="auto"/>
        <w:bidi w:val="0"/>
        <w:spacing w:before="0" w:after="220" w:line="240" w:lineRule="auto"/>
        <w:ind w:left="0" w:right="0" w:firstLine="200"/>
        <w:jc w:val="both"/>
      </w:pPr>
      <w:bookmarkStart w:id="98" w:name="bookmark98"/>
      <w:bookmarkEnd w:id="98"/>
      <w:r>
        <w:rPr>
          <w:b/>
          <w:bCs/>
          <w:color w:val="000000"/>
          <w:spacing w:val="0"/>
          <w:w w:val="100"/>
          <w:position w:val="0"/>
        </w:rPr>
        <w:t>主要经营模式</w:t>
      </w:r>
    </w:p>
    <w:p>
      <w:pPr>
        <w:pStyle w:val="Style17"/>
        <w:keepNext w:val="0"/>
        <w:keepLines w:val="0"/>
        <w:widowControl w:val="0"/>
        <w:shd w:val="clear" w:color="auto" w:fill="auto"/>
        <w:bidi w:val="0"/>
        <w:spacing w:before="0" w:after="40" w:line="240" w:lineRule="auto"/>
        <w:ind w:left="0" w:right="0"/>
        <w:jc w:val="both"/>
      </w:pPr>
      <w:bookmarkStart w:id="99" w:name="bookmark99"/>
      <w:r>
        <w:rPr>
          <w:rFonts w:ascii="Times New Roman" w:eastAsia="Times New Roman" w:hAnsi="Times New Roman" w:cs="Times New Roman"/>
          <w:b/>
          <w:bCs/>
          <w:color w:val="000000"/>
          <w:spacing w:val="0"/>
          <w:w w:val="100"/>
          <w:position w:val="0"/>
        </w:rPr>
        <w:t>1</w:t>
      </w:r>
      <w:bookmarkEnd w:id="99"/>
      <w:r>
        <w:rPr>
          <w:b/>
          <w:bCs/>
          <w:color w:val="000000"/>
          <w:spacing w:val="0"/>
          <w:w w:val="100"/>
          <w:position w:val="0"/>
        </w:rPr>
        <w:t>、采购模式</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公司非常重视互利共赢的供需关系，一直致力于在质量保证、成本可控和价值创造等方面实现双赢乃至多赢。公司制定 了完善的供应商准入和考核制度，根据采购需求寻找高性价比的合作供应商。公司在导入新的供应商时，会从技术、质量、 服务、交付、成本等多角度进行准入评审；对供应商相关资质文件进行初审，随后通过调研和考察供应商、检测和试用样品 的方式，完成供应商调查评审，将符合要求的供应商列入《合格供应商名录》。同时会持续对供应商进行绩效评定考核和管 理，确保采购供应的产品和服务满足公司质量需求。</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公司采购品项及种类较多，采购方式主要分为直接采购、定制采购及外协采购。针对成熟产品市场，公司采取直接采购 模式，通过供应商绩效管理，建立与供应商连续稳定的合作关系；针对非成熟产品市场，公司会通过调研考核供应商相关产 品研发能力，采用定制采购模式，协同供应商研发生产及应用，形成战略合作；对于已形成完善产业链的非核心原材料和服 务，考虑产能、成本、生产效率等因素，公司提供方案或原材料等，选择合格的外协厂商进行生产供应，并支付加工费。在 此模式下，公司对外协加工厂商建立严格的准入制度，并实施动态的质量监控措施，以保证通过外协加工的产品和服务满足 公司质量要求。</w:t>
      </w:r>
    </w:p>
    <w:p>
      <w:pPr>
        <w:pStyle w:val="Style17"/>
        <w:keepNext w:val="0"/>
        <w:keepLines w:val="0"/>
        <w:widowControl w:val="0"/>
        <w:shd w:val="clear" w:color="auto" w:fill="auto"/>
        <w:bidi w:val="0"/>
        <w:spacing w:before="0" w:after="0"/>
        <w:ind w:left="0" w:right="0"/>
        <w:jc w:val="both"/>
      </w:pPr>
      <w:bookmarkStart w:id="100" w:name="bookmark100"/>
      <w:r>
        <w:rPr>
          <w:rFonts w:ascii="Times New Roman" w:eastAsia="Times New Roman" w:hAnsi="Times New Roman" w:cs="Times New Roman"/>
          <w:b/>
          <w:bCs/>
          <w:color w:val="000000"/>
          <w:spacing w:val="0"/>
          <w:w w:val="100"/>
          <w:position w:val="0"/>
        </w:rPr>
        <w:t>2</w:t>
      </w:r>
      <w:bookmarkEnd w:id="100"/>
      <w:r>
        <w:rPr>
          <w:b/>
          <w:bCs/>
          <w:color w:val="000000"/>
          <w:spacing w:val="0"/>
          <w:w w:val="100"/>
          <w:position w:val="0"/>
        </w:rPr>
        <w:t>、生产模式</w:t>
      </w:r>
    </w:p>
    <w:p>
      <w:pPr>
        <w:pStyle w:val="Style17"/>
        <w:keepNext w:val="0"/>
        <w:keepLines w:val="0"/>
        <w:widowControl w:val="0"/>
        <w:shd w:val="clear" w:color="auto" w:fill="auto"/>
        <w:bidi w:val="0"/>
        <w:spacing w:before="0" w:line="322" w:lineRule="exact"/>
        <w:ind w:left="0" w:right="0"/>
        <w:jc w:val="both"/>
      </w:pPr>
      <w:r>
        <w:rPr>
          <w:color w:val="000000"/>
          <w:spacing w:val="0"/>
          <w:w w:val="100"/>
          <w:position w:val="0"/>
        </w:rPr>
        <w:t>公司的生产模式主要分两种类型：一种为临床开发与应用类，主要包括生育健康类、肿瘤防控及转化医学类和感染防控 类服务；一种为多组学大数据服务与合成类业务。</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临床开发与应用类采取流程式生产的生产方式，根据历史任务量情况分析结果及市场趋势分析制定可行的生产计划，发 放至各中心参考；各中心再根据实际任务接收情况制定生产计划，发放至各产线执行。执行过程中采取流程式作业，各产线 的流程式作业配有详细的</w:t>
      </w:r>
      <w:r>
        <w:rPr>
          <w:rFonts w:ascii="Times New Roman" w:eastAsia="Times New Roman" w:hAnsi="Times New Roman" w:cs="Times New Roman"/>
          <w:color w:val="000000"/>
          <w:spacing w:val="0"/>
          <w:w w:val="100"/>
          <w:position w:val="0"/>
        </w:rPr>
        <w:t>SOP</w:t>
      </w:r>
      <w:r>
        <w:rPr>
          <w:color w:val="000000"/>
          <w:spacing w:val="0"/>
          <w:w w:val="100"/>
          <w:position w:val="0"/>
        </w:rPr>
        <w:t>进行规范和指导，同时参与操作的实验人员具有对应的上岗证以及相应的资质证书。在各流程 式作业的关键节点设置质控操作，确保产品数据可靠性和质量稳定性。</w:t>
      </w:r>
    </w:p>
    <w:p>
      <w:pPr>
        <w:pStyle w:val="Style17"/>
        <w:keepNext w:val="0"/>
        <w:keepLines w:val="0"/>
        <w:widowControl w:val="0"/>
        <w:shd w:val="clear" w:color="auto" w:fill="auto"/>
        <w:bidi w:val="0"/>
        <w:spacing w:before="0" w:line="314" w:lineRule="exact"/>
        <w:ind w:left="0" w:right="0"/>
        <w:jc w:val="both"/>
      </w:pPr>
      <w:r>
        <w:rPr>
          <w:color w:val="000000"/>
          <w:spacing w:val="0"/>
          <w:w w:val="100"/>
          <w:position w:val="0"/>
        </w:rPr>
        <w:t>多组学大数据服务与合成类业务采取订单型、小批量的生产模式，以订单或项目形式接入生产任务，根据历史项目或任 务量数据分析结果及市场趋势制定可行的生产计划，发放至各产线参考；根据订单或项目接入情况制定短期内的小批量生产 计划，发放至各产线执行。</w:t>
      </w:r>
    </w:p>
    <w:p>
      <w:pPr>
        <w:pStyle w:val="Style17"/>
        <w:keepNext w:val="0"/>
        <w:keepLines w:val="0"/>
        <w:widowControl w:val="0"/>
        <w:shd w:val="clear" w:color="auto" w:fill="auto"/>
        <w:bidi w:val="0"/>
        <w:spacing w:before="0" w:after="140" w:line="317" w:lineRule="exact"/>
        <w:ind w:left="0" w:right="0"/>
        <w:jc w:val="both"/>
      </w:pPr>
      <w:r>
        <w:rPr>
          <w:color w:val="000000"/>
          <w:spacing w:val="0"/>
          <w:w w:val="100"/>
          <w:position w:val="0"/>
        </w:rPr>
        <w:t>公司一贯重视产品质量，建立了严格的质量控制流程，包括原材料的检测、实验室环境的监测、各类设备的定期校准、 生产关键节点的质控、数据的质控等。通过对生产环节的严格控制，确保产出结果的准确性。</w:t>
      </w:r>
    </w:p>
    <w:p>
      <w:pPr>
        <w:pStyle w:val="Style17"/>
        <w:keepNext w:val="0"/>
        <w:keepLines w:val="0"/>
        <w:widowControl w:val="0"/>
        <w:shd w:val="clear" w:color="auto" w:fill="auto"/>
        <w:bidi w:val="0"/>
        <w:spacing w:before="0" w:line="312" w:lineRule="exact"/>
        <w:ind w:left="0" w:right="0" w:firstLine="360"/>
        <w:jc w:val="left"/>
      </w:pPr>
      <w:bookmarkStart w:id="101" w:name="bookmark101"/>
      <w:r>
        <w:rPr>
          <w:rFonts w:ascii="Times New Roman" w:eastAsia="Times New Roman" w:hAnsi="Times New Roman" w:cs="Times New Roman"/>
          <w:b/>
          <w:bCs/>
          <w:color w:val="000000"/>
          <w:spacing w:val="0"/>
          <w:w w:val="100"/>
          <w:position w:val="0"/>
        </w:rPr>
        <w:t>3</w:t>
      </w:r>
      <w:bookmarkEnd w:id="101"/>
      <w:r>
        <w:rPr>
          <w:b/>
          <w:bCs/>
          <w:color w:val="000000"/>
          <w:spacing w:val="0"/>
          <w:w w:val="100"/>
          <w:position w:val="0"/>
        </w:rPr>
        <w:t>、营销模式</w:t>
      </w:r>
    </w:p>
    <w:p>
      <w:pPr>
        <w:pStyle w:val="Style17"/>
        <w:keepNext w:val="0"/>
        <w:keepLines w:val="0"/>
        <w:widowControl w:val="0"/>
        <w:shd w:val="clear" w:color="auto" w:fill="auto"/>
        <w:bidi w:val="0"/>
        <w:spacing w:before="0" w:line="312"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）销售模式</w:t>
      </w:r>
    </w:p>
    <w:p>
      <w:pPr>
        <w:pStyle w:val="Style17"/>
        <w:keepNext w:val="0"/>
        <w:keepLines w:val="0"/>
        <w:widowControl w:val="0"/>
        <w:shd w:val="clear" w:color="auto" w:fill="auto"/>
        <w:bidi w:val="0"/>
        <w:spacing w:before="0" w:line="313" w:lineRule="exact"/>
        <w:ind w:left="0" w:right="0" w:firstLine="360"/>
        <w:jc w:val="left"/>
      </w:pPr>
      <w:r>
        <w:rPr>
          <w:color w:val="000000"/>
          <w:spacing w:val="0"/>
          <w:w w:val="100"/>
          <w:position w:val="0"/>
        </w:rPr>
        <w:t>公司总部位于中国深圳，在北京、天津、上海、武汉、重庆、长沙、广州等国内主要城市设有分支机构和医学检验所， 并在欧洲、美洲、亚太等地区设有海外中心和核心实验室，已形成服务覆盖全球</w:t>
      </w:r>
      <w:r>
        <w:rPr>
          <w:rFonts w:ascii="Times New Roman" w:eastAsia="Times New Roman" w:hAnsi="Times New Roman" w:cs="Times New Roman"/>
          <w:color w:val="000000"/>
          <w:spacing w:val="0"/>
          <w:w w:val="100"/>
          <w:position w:val="0"/>
        </w:rPr>
        <w:t>100</w:t>
      </w:r>
      <w:r>
        <w:rPr>
          <w:color w:val="000000"/>
          <w:spacing w:val="0"/>
          <w:w w:val="100"/>
          <w:position w:val="0"/>
        </w:rPr>
        <w:t>多个国家和地区的营销网络。公司在市 场推广过程中不断探索符合行业特点及自身经营特色的营销模式，通过科普启发市场需求、产品销售推动、企业品牌建设相 结合的方式，以实现对销售市场要素的有效掌控为目的的全方位、多层次整体营销模式。公司通过建立上述营销网络并提供 技术咨询服务、推行知识营销策略的方式来保证公司销售收入的快速增长，通过专业团队科普提升大众对于基因科技的行业 认知，公司营销团队通过专业的学术推广、产品技术培训或产品支持服务推动产品及服务的销售，同时，公司致力于不断升 级自身产品及服务，以促进公司销售收入的快速增长。</w:t>
      </w:r>
    </w:p>
    <w:p>
      <w:pPr>
        <w:pStyle w:val="Style17"/>
        <w:keepNext w:val="0"/>
        <w:keepLines w:val="0"/>
        <w:widowControl w:val="0"/>
        <w:shd w:val="clear" w:color="auto" w:fill="auto"/>
        <w:bidi w:val="0"/>
        <w:spacing w:before="0" w:line="312" w:lineRule="exact"/>
        <w:ind w:left="0" w:right="0" w:firstLine="360"/>
        <w:jc w:val="left"/>
      </w:pPr>
      <w:r>
        <w:rPr>
          <w:color w:val="000000"/>
          <w:spacing w:val="0"/>
          <w:w w:val="100"/>
          <w:position w:val="0"/>
        </w:rPr>
        <w:t>根据销售渠道和客户类型的不同特点，公司实行直销和代理的销售模式。对于公司内部销售资源可实现覆盖的区域，采 用直销的销售模式；针对国内外现有销售渠道难以有效覆盖的区域，公司根据服务或产品的特点，借助代理机构、医疗器械 经营机构的现有渠道和资源快速开展业务。</w:t>
      </w:r>
    </w:p>
    <w:p>
      <w:pPr>
        <w:pStyle w:val="Style17"/>
        <w:keepNext w:val="0"/>
        <w:keepLines w:val="0"/>
        <w:widowControl w:val="0"/>
        <w:shd w:val="clear" w:color="auto" w:fill="auto"/>
        <w:bidi w:val="0"/>
        <w:spacing w:before="0" w:line="308" w:lineRule="exact"/>
        <w:ind w:left="0" w:right="0" w:firstLine="360"/>
        <w:jc w:val="left"/>
      </w:pPr>
      <w:r>
        <w:rPr>
          <w:color w:val="000000"/>
          <w:spacing w:val="0"/>
          <w:w w:val="100"/>
          <w:position w:val="0"/>
        </w:rPr>
        <w:t>公司针对不同的产品类型，销售模式侧重度也不同。对于多组学大数据服务与合成业务，公司主要采用直销模式；对于 临床应用开发类服务，公司主要实行直销和代理模式。近年来，一方面公司加快销售渠道布局，形成医院等卫生机构、科研 院所、独立实验室及生物制品所等客户群体，不断扩大和优化客户结构。在参与全国各地的出生缺陷和重大疾病的综合防控 方面，公司通过政府采购方式来开展惠及百姓的基因检测筛查服务，采购方式包括但不限于公开招标、邀请招标、竞争性磋 商等方式；另一方面逐步向终端</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端）下沉，搭建客户满意度评价体系，持续提升客户体验。</w:t>
      </w:r>
    </w:p>
    <w:p>
      <w:pPr>
        <w:pStyle w:val="Style17"/>
        <w:keepNext w:val="0"/>
        <w:keepLines w:val="0"/>
        <w:widowControl w:val="0"/>
        <w:shd w:val="clear" w:color="auto" w:fill="auto"/>
        <w:bidi w:val="0"/>
        <w:spacing w:before="0" w:line="312" w:lineRule="exact"/>
        <w:ind w:left="0" w:right="0" w:firstLine="360"/>
        <w:jc w:val="left"/>
      </w:pPr>
      <w:r>
        <w:rPr>
          <w:color w:val="000000"/>
          <w:spacing w:val="0"/>
          <w:w w:val="100"/>
          <w:position w:val="0"/>
        </w:rPr>
        <w:t>公司提供的精准医学检测综合解决方案，包含仪器、试剂及服务方案，主要以直销和代理的销售模式为主。公司在武汉、 天津、上海、南京、深圳、贵州、青岛、重庆建立医疗器械经营中心，覆盖全国各省市的医疗器械的贮存、质检、配送及售 后工作。同时，公司充分利用全国各地医学检验所的资源建立了全面综合、响应及时的临床应用技术支持的服务体系。</w:t>
      </w:r>
    </w:p>
    <w:p>
      <w:pPr>
        <w:pStyle w:val="Style17"/>
        <w:keepNext w:val="0"/>
        <w:keepLines w:val="0"/>
        <w:widowControl w:val="0"/>
        <w:shd w:val="clear" w:color="auto" w:fill="auto"/>
        <w:bidi w:val="0"/>
        <w:spacing w:before="0" w:after="200" w:line="317" w:lineRule="exact"/>
        <w:ind w:left="0" w:right="0" w:firstLine="360"/>
        <w:jc w:val="left"/>
      </w:pPr>
      <w:r>
        <w:rPr>
          <w:color w:val="000000"/>
          <w:spacing w:val="0"/>
          <w:w w:val="100"/>
          <w:position w:val="0"/>
        </w:rPr>
        <w:t>受全球新冠病毒肺炎疫情的影响，市场对新冠病毒检测试剂盒的需求大幅增长，公司感染防控业务和精准医学综合解决 方案业务在疫情期间与多国政府、跨国公司、基金会、非政府组织等建立直接合作关系，更高效地实现产品销售和交付。</w:t>
      </w:r>
    </w:p>
    <w:p>
      <w:pPr>
        <w:pStyle w:val="Style26"/>
        <w:keepNext w:val="0"/>
        <w:keepLines w:val="0"/>
        <w:widowControl w:val="0"/>
        <w:shd w:val="clear" w:color="auto" w:fill="auto"/>
        <w:bidi w:val="0"/>
        <w:spacing w:before="0" w:after="0" w:line="240" w:lineRule="auto"/>
        <w:ind w:left="33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）盈利模式</w:t>
      </w:r>
    </w:p>
    <w:tbl>
      <w:tblPr>
        <w:tblOverlap w:val="never"/>
        <w:jc w:val="center"/>
        <w:tblLayout w:type="fixed"/>
      </w:tblPr>
      <w:tblGrid>
        <w:gridCol w:w="984"/>
        <w:gridCol w:w="2923"/>
        <w:gridCol w:w="1598"/>
        <w:gridCol w:w="1608"/>
        <w:gridCol w:w="2515"/>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主要客户群体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主要销售模式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获取合同</w:t>
            </w:r>
            <w:r>
              <w:rPr>
                <w:rFonts w:ascii="Times New Roman" w:eastAsia="Times New Roman" w:hAnsi="Times New Roman" w:cs="Times New Roman"/>
                <w:b/>
                <w:bCs/>
                <w:color w:val="000000"/>
                <w:spacing w:val="0"/>
                <w:w w:val="100"/>
                <w:position w:val="0"/>
              </w:rPr>
              <w:t>/</w:t>
            </w:r>
            <w:r>
              <w:rPr>
                <w:b/>
                <w:bCs/>
                <w:color w:val="000000"/>
                <w:spacing w:val="0"/>
                <w:w w:val="100"/>
                <w:position w:val="0"/>
              </w:rPr>
              <w:t>订单方式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出售产品</w:t>
            </w:r>
            <w:r>
              <w:rPr>
                <w:rFonts w:ascii="Times New Roman" w:eastAsia="Times New Roman" w:hAnsi="Times New Roman" w:cs="Times New Roman"/>
                <w:b/>
                <w:bCs/>
                <w:color w:val="000000"/>
                <w:spacing w:val="0"/>
                <w:w w:val="100"/>
                <w:position w:val="0"/>
              </w:rPr>
              <w:t>/</w:t>
            </w:r>
            <w:r>
              <w:rPr>
                <w:b/>
                <w:bCs/>
                <w:color w:val="000000"/>
                <w:spacing w:val="0"/>
                <w:w w:val="100"/>
                <w:position w:val="0"/>
              </w:rPr>
              <w:t>服务的表现形式</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生育健康类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国内外的各级医院、体检机构、独立 实验室等医疗卫生机构和大众客户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直销、代理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商业谈判</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招投标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主要为检测报告、相关分析数据 等</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肿瘤防控及</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转化医学类</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国内外的各级医院、体检机构等医疗 卫生机构和大众客户；国内外的科研 院校、研究所、独立实验室、制药公司 等机构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直销、代理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商业谈判</w:t>
            </w:r>
            <w:r>
              <w:rPr>
                <w:rFonts w:ascii="Times New Roman" w:eastAsia="Times New Roman" w:hAnsi="Times New Roman" w:cs="Times New Roman"/>
                <w:color w:val="000000"/>
                <w:spacing w:val="0"/>
                <w:w w:val="100"/>
                <w:position w:val="0"/>
              </w:rPr>
              <w:t>/</w:t>
            </w:r>
            <w:r>
              <w:rPr>
                <w:color w:val="000000"/>
                <w:spacing w:val="0"/>
                <w:w w:val="100"/>
                <w:position w:val="0"/>
              </w:rPr>
              <w:t>招投标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主要为检测报告或结题报告、相 关分析数据等</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感染防控类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国内外的各级医院、体检机构等医疗 卫生机构和大众客户；国内外的科研 院校、研究所、独立实验室、生物制品 公司等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直销、代理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商业谈判</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招投标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主要为检测报告或结题报告、相 关分析数据等</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多组学大数 据服务与合 成业务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国内外的科研院校、研究所、独立实 验室、制药公司等机构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商业谈判</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招投标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主要为检测报告、项目结题报 告、相关组学分析数据等</w:t>
            </w:r>
          </w:p>
        </w:tc>
      </w:tr>
      <w:tr>
        <w:trPr>
          <w:trHeight w:val="9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精准医学检 测综合解决</w:t>
            </w:r>
          </w:p>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方案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国内外的各级医院、体检机构、第三 方医学检验实验室等医疗机构，政府 集中采购平台、各省市疫病防控机构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直销、代理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商业谈判</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招投标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主要为针对特定疾病检测（生 育、肿瘤、感染防控等）的综合 解决方案，即包含实验室设计、</w:t>
            </w:r>
          </w:p>
        </w:tc>
      </w:tr>
    </w:tbl>
    <w:tbl>
      <w:tblPr>
        <w:tblOverlap w:val="never"/>
        <w:jc w:val="center"/>
        <w:tblLayout w:type="fixed"/>
      </w:tblPr>
      <w:tblGrid>
        <w:gridCol w:w="984"/>
        <w:gridCol w:w="2923"/>
        <w:gridCol w:w="1598"/>
        <w:gridCol w:w="1608"/>
        <w:gridCol w:w="2515"/>
      </w:tblGrid>
      <w:tr>
        <w:trPr>
          <w:trHeight w:val="130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仪器设备、试剂耗材、分析软件、 技术转移、人员培训、数据库建 设及使用、信息分析及检测报告 解读等全流程解决方案。</w:t>
            </w:r>
          </w:p>
        </w:tc>
      </w:tr>
    </w:tbl>
    <w:p>
      <w:pPr>
        <w:widowControl w:val="0"/>
        <w:spacing w:after="99" w:line="1" w:lineRule="exact"/>
      </w:pPr>
    </w:p>
    <w:p>
      <w:pPr>
        <w:pStyle w:val="Style17"/>
        <w:keepNext w:val="0"/>
        <w:keepLines w:val="0"/>
        <w:widowControl w:val="0"/>
        <w:shd w:val="clear" w:color="auto" w:fill="auto"/>
        <w:bidi w:val="0"/>
        <w:spacing w:before="0" w:after="24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)定价模式</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公司综合考虑多种因素，包括但不限于政府指导价格、服务或产品成本、市场竞争水平、政策法规、销售渠道费用及竞 争策略，制定相应的服务及产品价格。</w:t>
      </w:r>
    </w:p>
    <w:p>
      <w:pPr>
        <w:pStyle w:val="Style17"/>
        <w:keepNext w:val="0"/>
        <w:keepLines w:val="0"/>
        <w:widowControl w:val="0"/>
        <w:numPr>
          <w:ilvl w:val="0"/>
          <w:numId w:val="3"/>
        </w:numPr>
        <w:shd w:val="clear" w:color="auto" w:fill="auto"/>
        <w:bidi w:val="0"/>
        <w:spacing w:before="0" w:after="140" w:line="313" w:lineRule="exact"/>
        <w:ind w:left="0" w:right="0" w:firstLine="200"/>
        <w:jc w:val="both"/>
      </w:pPr>
      <w:bookmarkStart w:id="102" w:name="bookmark102"/>
      <w:bookmarkEnd w:id="102"/>
      <w:r>
        <w:rPr>
          <w:b/>
          <w:bCs/>
          <w:color w:val="000000"/>
          <w:spacing w:val="0"/>
          <w:w w:val="100"/>
          <w:position w:val="0"/>
        </w:rPr>
        <w:t>主要的业绩驱动因素</w:t>
      </w:r>
    </w:p>
    <w:p>
      <w:pPr>
        <w:pStyle w:val="Style17"/>
        <w:keepNext w:val="0"/>
        <w:keepLines w:val="0"/>
        <w:widowControl w:val="0"/>
        <w:shd w:val="clear" w:color="auto" w:fill="auto"/>
        <w:bidi w:val="0"/>
        <w:spacing w:before="0" w:line="313" w:lineRule="exact"/>
        <w:ind w:left="0" w:right="0"/>
        <w:jc w:val="both"/>
      </w:pPr>
      <w:bookmarkStart w:id="103" w:name="bookmark103"/>
      <w:r>
        <w:rPr>
          <w:rFonts w:ascii="Times New Roman" w:eastAsia="Times New Roman" w:hAnsi="Times New Roman" w:cs="Times New Roman"/>
          <w:b/>
          <w:bCs/>
          <w:color w:val="000000"/>
          <w:spacing w:val="0"/>
          <w:w w:val="100"/>
          <w:position w:val="0"/>
        </w:rPr>
        <w:t>1</w:t>
      </w:r>
      <w:bookmarkEnd w:id="103"/>
      <w:r>
        <w:rPr>
          <w:b/>
          <w:bCs/>
          <w:color w:val="000000"/>
          <w:spacing w:val="0"/>
          <w:w w:val="100"/>
          <w:position w:val="0"/>
        </w:rPr>
        <w:t>、人民健康需求增长，产业发展空间巨大</w:t>
      </w:r>
    </w:p>
    <w:p>
      <w:pPr>
        <w:pStyle w:val="Style17"/>
        <w:keepNext w:val="0"/>
        <w:keepLines w:val="0"/>
        <w:widowControl w:val="0"/>
        <w:shd w:val="clear" w:color="auto" w:fill="auto"/>
        <w:bidi w:val="0"/>
        <w:spacing w:before="0" w:after="140" w:line="310" w:lineRule="exact"/>
        <w:ind w:left="0" w:right="0"/>
        <w:jc w:val="both"/>
      </w:pPr>
      <w:r>
        <w:rPr>
          <w:color w:val="000000"/>
          <w:spacing w:val="0"/>
          <w:w w:val="100"/>
          <w:position w:val="0"/>
        </w:rPr>
        <w:t>随着基因组学为代表的多组学技术的高速发展，临床诊断、药物、个体化治疗、农业等领域发生了巨大的变革，社会各 界对多组学应用行业的关注度越来越高，各领域基于多组学应用的需求也越来越大。各国对公共卫生领域建设以及分子诊断 需求的加大，对整体</w:t>
      </w:r>
      <w:r>
        <w:rPr>
          <w:rFonts w:ascii="Times New Roman" w:eastAsia="Times New Roman" w:hAnsi="Times New Roman" w:cs="Times New Roman"/>
          <w:color w:val="000000"/>
          <w:spacing w:val="0"/>
          <w:w w:val="100"/>
          <w:position w:val="0"/>
        </w:rPr>
        <w:t>IVD</w:t>
      </w:r>
      <w:r>
        <w:rPr>
          <w:color w:val="000000"/>
          <w:spacing w:val="0"/>
          <w:w w:val="100"/>
          <w:position w:val="0"/>
        </w:rPr>
        <w:t>行业有积极影响。</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新冠疫情在全球范围内爆发，高通量基因测序已被证明是让病原体</w:t>
      </w:r>
      <w:r>
        <w:rPr>
          <w:rFonts w:ascii="Times New Roman" w:eastAsia="Times New Roman" w:hAnsi="Times New Roman" w:cs="Times New Roman"/>
          <w:color w:val="000000"/>
          <w:spacing w:val="0"/>
          <w:w w:val="100"/>
          <w:position w:val="0"/>
        </w:rPr>
        <w:t>“</w:t>
      </w:r>
      <w:r>
        <w:rPr>
          <w:color w:val="000000"/>
          <w:spacing w:val="0"/>
          <w:w w:val="100"/>
          <w:position w:val="0"/>
        </w:rPr>
        <w:t>现出原形</w:t>
      </w:r>
      <w:r>
        <w:rPr>
          <w:rFonts w:ascii="Times New Roman" w:eastAsia="Times New Roman" w:hAnsi="Times New Roman" w:cs="Times New Roman"/>
          <w:color w:val="000000"/>
          <w:spacing w:val="0"/>
          <w:w w:val="100"/>
          <w:position w:val="0"/>
        </w:rPr>
        <w:t>”</w:t>
      </w:r>
      <w:r>
        <w:rPr>
          <w:color w:val="000000"/>
          <w:spacing w:val="0"/>
          <w:w w:val="100"/>
          <w:position w:val="0"/>
        </w:rPr>
        <w:t>的可靠方法，也是动态跟踪病原体变异的 有效方法。精准的病毒核酸检测在患者应收尽收、应治尽治的工作中起到至关重要的决策性作用，也是接触者解除隔离的判 断依据。</w:t>
      </w:r>
      <w:r>
        <w:rPr>
          <w:rFonts w:ascii="Times New Roman" w:eastAsia="Times New Roman" w:hAnsi="Times New Roman" w:cs="Times New Roman"/>
          <w:color w:val="000000"/>
          <w:spacing w:val="0"/>
          <w:w w:val="100"/>
          <w:position w:val="0"/>
        </w:rPr>
        <w:t>“</w:t>
      </w:r>
      <w:r>
        <w:rPr>
          <w:color w:val="000000"/>
          <w:spacing w:val="0"/>
          <w:w w:val="100"/>
          <w:position w:val="0"/>
        </w:rPr>
        <w:t>预防为主</w:t>
      </w:r>
      <w:r>
        <w:rPr>
          <w:rFonts w:ascii="Times New Roman" w:eastAsia="Times New Roman" w:hAnsi="Times New Roman" w:cs="Times New Roman"/>
          <w:color w:val="000000"/>
          <w:spacing w:val="0"/>
          <w:w w:val="100"/>
          <w:position w:val="0"/>
        </w:rPr>
        <w:t>”</w:t>
      </w:r>
      <w:r>
        <w:rPr>
          <w:color w:val="000000"/>
          <w:spacing w:val="0"/>
          <w:w w:val="100"/>
          <w:position w:val="0"/>
        </w:rPr>
        <w:t>的公共卫生新基建模式在中国逐渐形成，经全球疫情防控实践检验并可大规模推广和应用。作为</w:t>
      </w:r>
      <w:r>
        <w:rPr>
          <w:rFonts w:ascii="Times New Roman" w:eastAsia="Times New Roman" w:hAnsi="Times New Roman" w:cs="Times New Roman"/>
          <w:color w:val="000000"/>
          <w:spacing w:val="0"/>
          <w:w w:val="100"/>
          <w:position w:val="0"/>
        </w:rPr>
        <w:t>“</w:t>
      </w:r>
      <w:r>
        <w:rPr>
          <w:color w:val="000000"/>
          <w:spacing w:val="0"/>
          <w:w w:val="100"/>
          <w:position w:val="0"/>
        </w:rPr>
        <w:t>预防 为主</w:t>
      </w:r>
      <w:r>
        <w:rPr>
          <w:rFonts w:ascii="Times New Roman" w:eastAsia="Times New Roman" w:hAnsi="Times New Roman" w:cs="Times New Roman"/>
          <w:color w:val="000000"/>
          <w:spacing w:val="0"/>
          <w:w w:val="100"/>
          <w:position w:val="0"/>
        </w:rPr>
        <w:t>”</w:t>
      </w:r>
      <w:r>
        <w:rPr>
          <w:color w:val="000000"/>
          <w:spacing w:val="0"/>
          <w:w w:val="100"/>
          <w:position w:val="0"/>
        </w:rPr>
        <w:t>公卫理念的践行者和行业领先企业，公司积极总结经验，为公共卫生事业发展和精准医学行业发展积极贡献民营企业 力量。</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生育健康类服务方面，根据国家卫健委</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月印发《关于印发全国出生缺陷综合防治方案的通知》(国卫办妇幼发 </w:t>
      </w:r>
      <w:r>
        <w:rPr>
          <w:rFonts w:ascii="Times New Roman" w:eastAsia="Times New Roman" w:hAnsi="Times New Roman" w:cs="Times New Roman"/>
          <w:color w:val="000000"/>
          <w:spacing w:val="0"/>
          <w:w w:val="100"/>
          <w:position w:val="0"/>
        </w:rPr>
        <w:t>[2018]19</w:t>
      </w:r>
      <w:r>
        <w:rPr>
          <w:color w:val="000000"/>
          <w:spacing w:val="0"/>
          <w:w w:val="100"/>
          <w:position w:val="0"/>
        </w:rPr>
        <w:t>号)数据显示，全国出生缺陷防控的具体目标为：到</w:t>
      </w:r>
      <w:r>
        <w:rPr>
          <w:rFonts w:ascii="Times New Roman" w:eastAsia="Times New Roman" w:hAnsi="Times New Roman" w:cs="Times New Roman"/>
          <w:color w:val="000000"/>
          <w:spacing w:val="0"/>
          <w:w w:val="100"/>
          <w:position w:val="0"/>
        </w:rPr>
        <w:t>2022</w:t>
      </w:r>
      <w:r>
        <w:rPr>
          <w:color w:val="000000"/>
          <w:spacing w:val="0"/>
          <w:w w:val="100"/>
          <w:position w:val="0"/>
        </w:rPr>
        <w:t>年，婚前医学检查率达到</w:t>
      </w:r>
      <w:r>
        <w:rPr>
          <w:rFonts w:ascii="Times New Roman" w:eastAsia="Times New Roman" w:hAnsi="Times New Roman" w:cs="Times New Roman"/>
          <w:color w:val="000000"/>
          <w:spacing w:val="0"/>
          <w:w w:val="100"/>
          <w:position w:val="0"/>
        </w:rPr>
        <w:t>65</w:t>
      </w:r>
      <w:r>
        <w:rPr>
          <w:color w:val="000000"/>
          <w:spacing w:val="0"/>
          <w:w w:val="100"/>
          <w:position w:val="0"/>
        </w:rPr>
        <w:t xml:space="preserve">%，孕前优生健康检查率达到 </w:t>
      </w:r>
      <w:r>
        <w:rPr>
          <w:rFonts w:ascii="Times New Roman" w:eastAsia="Times New Roman" w:hAnsi="Times New Roman" w:cs="Times New Roman"/>
          <w:color w:val="000000"/>
          <w:spacing w:val="0"/>
          <w:w w:val="100"/>
          <w:position w:val="0"/>
        </w:rPr>
        <w:t>80</w:t>
      </w:r>
      <w:r>
        <w:rPr>
          <w:color w:val="000000"/>
          <w:spacing w:val="0"/>
          <w:w w:val="100"/>
          <w:position w:val="0"/>
        </w:rPr>
        <w:t>%，产前筛查率达到</w:t>
      </w:r>
      <w:r>
        <w:rPr>
          <w:rFonts w:ascii="Times New Roman" w:eastAsia="Times New Roman" w:hAnsi="Times New Roman" w:cs="Times New Roman"/>
          <w:color w:val="000000"/>
          <w:spacing w:val="0"/>
          <w:w w:val="100"/>
          <w:position w:val="0"/>
        </w:rPr>
        <w:t>70</w:t>
      </w:r>
      <w:r>
        <w:rPr>
          <w:color w:val="000000"/>
          <w:spacing w:val="0"/>
          <w:w w:val="100"/>
          <w:position w:val="0"/>
        </w:rPr>
        <w:t>%；新生儿遗传代谢性疾病筛查率达到</w:t>
      </w:r>
      <w:r>
        <w:rPr>
          <w:rFonts w:ascii="Times New Roman" w:eastAsia="Times New Roman" w:hAnsi="Times New Roman" w:cs="Times New Roman"/>
          <w:color w:val="000000"/>
          <w:spacing w:val="0"/>
          <w:w w:val="100"/>
          <w:position w:val="0"/>
        </w:rPr>
        <w:t>98</w:t>
      </w:r>
      <w:r>
        <w:rPr>
          <w:color w:val="000000"/>
          <w:spacing w:val="0"/>
          <w:w w:val="100"/>
          <w:position w:val="0"/>
        </w:rPr>
        <w:t>%，新生儿听力筛查率达到</w:t>
      </w:r>
      <w:r>
        <w:rPr>
          <w:rFonts w:ascii="Times New Roman" w:eastAsia="Times New Roman" w:hAnsi="Times New Roman" w:cs="Times New Roman"/>
          <w:color w:val="000000"/>
          <w:spacing w:val="0"/>
          <w:w w:val="100"/>
          <w:position w:val="0"/>
        </w:rPr>
        <w:t>90</w:t>
      </w:r>
      <w:r>
        <w:rPr>
          <w:color w:val="000000"/>
          <w:spacing w:val="0"/>
          <w:w w:val="100"/>
          <w:position w:val="0"/>
        </w:rPr>
        <w:t xml:space="preserve">%；确诊病例治疗率达到 </w:t>
      </w:r>
      <w:r>
        <w:rPr>
          <w:rFonts w:ascii="Times New Roman" w:eastAsia="Times New Roman" w:hAnsi="Times New Roman" w:cs="Times New Roman"/>
          <w:color w:val="000000"/>
          <w:spacing w:val="0"/>
          <w:w w:val="100"/>
          <w:position w:val="0"/>
        </w:rPr>
        <w:t>80</w:t>
      </w:r>
      <w:r>
        <w:rPr>
          <w:color w:val="000000"/>
          <w:spacing w:val="0"/>
          <w:w w:val="100"/>
          <w:position w:val="0"/>
        </w:rPr>
        <w:t>%。先天性心脏病、唐氏综合征、耳聋、神经管缺陷、地中海贫血等严重出生缺陷得到有效控制。随着国家《全国出生缺 陷综合防治方案》的发布和实施，妇幼健康管理、疾病预防的需求有望继续加大。</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肿瘤防控类服务方面，中国癌症防控形势依然严峻，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月世界卫生组织国际癌症研究机构</w:t>
      </w:r>
      <w:r>
        <w:rPr>
          <w:color w:val="000000"/>
          <w:spacing w:val="0"/>
          <w:w w:val="100"/>
          <w:position w:val="0"/>
        </w:rPr>
        <w:t>(</w:t>
      </w:r>
      <w:r>
        <w:rPr>
          <w:rFonts w:ascii="Times New Roman" w:eastAsia="Times New Roman" w:hAnsi="Times New Roman" w:cs="Times New Roman"/>
          <w:color w:val="000000"/>
          <w:spacing w:val="0"/>
          <w:w w:val="100"/>
          <w:position w:val="0"/>
        </w:rPr>
        <w:t>IARC</w:t>
      </w:r>
      <w:r>
        <w:rPr>
          <w:color w:val="000000"/>
          <w:spacing w:val="0"/>
          <w:w w:val="100"/>
          <w:position w:val="0"/>
        </w:rPr>
        <w:t>)</w:t>
      </w:r>
      <w:r>
        <w:rPr>
          <w:color w:val="000000"/>
          <w:spacing w:val="0"/>
          <w:w w:val="100"/>
          <w:position w:val="0"/>
        </w:rPr>
        <w:t>等发布的《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年全球癌症数据》显示，</w:t>
      </w:r>
      <w:r>
        <w:rPr>
          <w:rFonts w:ascii="Times New Roman" w:eastAsia="Times New Roman" w:hAnsi="Times New Roman" w:cs="Times New Roman"/>
          <w:color w:val="000000"/>
          <w:spacing w:val="0"/>
          <w:w w:val="100"/>
          <w:position w:val="0"/>
        </w:rPr>
        <w:t>2020</w:t>
      </w:r>
      <w:r>
        <w:rPr>
          <w:color w:val="000000"/>
          <w:spacing w:val="0"/>
          <w:w w:val="100"/>
          <w:position w:val="0"/>
        </w:rPr>
        <w:t>年，中国新发恶性肿瘤病例约</w:t>
      </w:r>
      <w:r>
        <w:rPr>
          <w:rFonts w:ascii="Times New Roman" w:eastAsia="Times New Roman" w:hAnsi="Times New Roman" w:cs="Times New Roman"/>
          <w:color w:val="000000"/>
          <w:spacing w:val="0"/>
          <w:w w:val="100"/>
          <w:position w:val="0"/>
        </w:rPr>
        <w:t>457</w:t>
      </w:r>
      <w:r>
        <w:rPr>
          <w:color w:val="000000"/>
          <w:spacing w:val="0"/>
          <w:w w:val="100"/>
          <w:position w:val="0"/>
        </w:rPr>
        <w:t>万例，恶性肿瘤死亡病例约</w:t>
      </w:r>
      <w:r>
        <w:rPr>
          <w:rFonts w:ascii="Times New Roman" w:eastAsia="Times New Roman" w:hAnsi="Times New Roman" w:cs="Times New Roman"/>
          <w:color w:val="000000"/>
          <w:spacing w:val="0"/>
          <w:w w:val="100"/>
          <w:position w:val="0"/>
        </w:rPr>
        <w:t>300</w:t>
      </w:r>
      <w:r>
        <w:rPr>
          <w:color w:val="000000"/>
          <w:spacing w:val="0"/>
          <w:w w:val="100"/>
          <w:position w:val="0"/>
        </w:rPr>
        <w:t>万例，均位居全球第一。近十 多年来，恶性肿瘤发病率每年保持约</w:t>
      </w:r>
      <w:r>
        <w:rPr>
          <w:rFonts w:ascii="Times New Roman" w:eastAsia="Times New Roman" w:hAnsi="Times New Roman" w:cs="Times New Roman"/>
          <w:color w:val="000000"/>
          <w:spacing w:val="0"/>
          <w:w w:val="100"/>
          <w:position w:val="0"/>
        </w:rPr>
        <w:t>3.9</w:t>
      </w:r>
      <w:r>
        <w:rPr>
          <w:color w:val="000000"/>
          <w:spacing w:val="0"/>
          <w:w w:val="100"/>
          <w:position w:val="0"/>
        </w:rPr>
        <w:t>%的增幅，死亡率每年保持约</w:t>
      </w:r>
      <w:r>
        <w:rPr>
          <w:rFonts w:ascii="Times New Roman" w:eastAsia="Times New Roman" w:hAnsi="Times New Roman" w:cs="Times New Roman"/>
          <w:color w:val="000000"/>
          <w:spacing w:val="0"/>
          <w:w w:val="100"/>
          <w:position w:val="0"/>
        </w:rPr>
        <w:t>2.5</w:t>
      </w:r>
      <w:r>
        <w:rPr>
          <w:color w:val="000000"/>
          <w:spacing w:val="0"/>
          <w:w w:val="100"/>
          <w:position w:val="0"/>
        </w:rPr>
        <w:t>%的增幅，</w:t>
      </w:r>
      <w:r>
        <w:rPr>
          <w:rFonts w:ascii="Times New Roman" w:eastAsia="Times New Roman" w:hAnsi="Times New Roman" w:cs="Times New Roman"/>
          <w:color w:val="000000"/>
          <w:spacing w:val="0"/>
          <w:w w:val="100"/>
          <w:position w:val="0"/>
        </w:rPr>
        <w:t>5</w:t>
      </w:r>
      <w:r>
        <w:rPr>
          <w:color w:val="000000"/>
          <w:spacing w:val="0"/>
          <w:w w:val="100"/>
          <w:position w:val="0"/>
        </w:rPr>
        <w:t>年生存率提升至</w:t>
      </w:r>
      <w:r>
        <w:rPr>
          <w:rFonts w:ascii="Times New Roman" w:eastAsia="Times New Roman" w:hAnsi="Times New Roman" w:cs="Times New Roman"/>
          <w:color w:val="000000"/>
          <w:spacing w:val="0"/>
          <w:w w:val="100"/>
          <w:position w:val="0"/>
        </w:rPr>
        <w:t>40.5%</w:t>
      </w:r>
      <w:r>
        <w:rPr>
          <w:color w:val="000000"/>
          <w:spacing w:val="0"/>
          <w:w w:val="100"/>
          <w:position w:val="0"/>
        </w:rPr>
        <w:t>，肿瘤患者人数 呈上升趋势，每年恶性肿瘤所致的医疗花费超过</w:t>
      </w:r>
      <w:r>
        <w:rPr>
          <w:rFonts w:ascii="Times New Roman" w:eastAsia="Times New Roman" w:hAnsi="Times New Roman" w:cs="Times New Roman"/>
          <w:color w:val="000000"/>
          <w:spacing w:val="0"/>
          <w:w w:val="100"/>
          <w:position w:val="0"/>
        </w:rPr>
        <w:t>2,200</w:t>
      </w:r>
      <w:r>
        <w:rPr>
          <w:color w:val="000000"/>
          <w:spacing w:val="0"/>
          <w:w w:val="100"/>
          <w:position w:val="0"/>
        </w:rPr>
        <w:t>亿元。</w:t>
      </w:r>
      <w:r>
        <w:rPr>
          <w:color w:val="333333"/>
          <w:spacing w:val="0"/>
          <w:w w:val="100"/>
          <w:position w:val="0"/>
        </w:rPr>
        <w:t>国家卫生健康委办公厅</w:t>
      </w:r>
      <w:r>
        <w:rPr>
          <w:rFonts w:ascii="Times New Roman" w:eastAsia="Times New Roman" w:hAnsi="Times New Roman" w:cs="Times New Roman"/>
          <w:color w:val="333333"/>
          <w:spacing w:val="0"/>
          <w:w w:val="100"/>
          <w:position w:val="0"/>
        </w:rPr>
        <w:t>2021</w:t>
      </w:r>
      <w:r>
        <w:rPr>
          <w:color w:val="333333"/>
          <w:spacing w:val="0"/>
          <w:w w:val="100"/>
          <w:position w:val="0"/>
        </w:rPr>
        <w:t>年底发布的《关于印发宫颈癌筛查 工作方案和乳腺癌筛查工作方案的通知》指出，到</w:t>
      </w:r>
      <w:r>
        <w:rPr>
          <w:rFonts w:ascii="Times New Roman" w:eastAsia="Times New Roman" w:hAnsi="Times New Roman" w:cs="Times New Roman"/>
          <w:color w:val="333333"/>
          <w:spacing w:val="0"/>
          <w:w w:val="100"/>
          <w:position w:val="0"/>
        </w:rPr>
        <w:t>2025</w:t>
      </w:r>
      <w:r>
        <w:rPr>
          <w:color w:val="333333"/>
          <w:spacing w:val="0"/>
          <w:w w:val="100"/>
          <w:position w:val="0"/>
        </w:rPr>
        <w:t>年底，逐步提高宫颈癌筛查覆盖率，适龄妇女宫颈癌筛查率达到</w:t>
      </w:r>
      <w:r>
        <w:rPr>
          <w:rFonts w:ascii="Times New Roman" w:eastAsia="Times New Roman" w:hAnsi="Times New Roman" w:cs="Times New Roman"/>
          <w:color w:val="333333"/>
          <w:spacing w:val="0"/>
          <w:w w:val="100"/>
          <w:position w:val="0"/>
        </w:rPr>
        <w:t xml:space="preserve">50% </w:t>
      </w:r>
      <w:r>
        <w:rPr>
          <w:color w:val="333333"/>
          <w:spacing w:val="0"/>
          <w:w w:val="100"/>
          <w:position w:val="0"/>
        </w:rPr>
        <w:t>以上，未来宫颈癌筛查</w:t>
      </w:r>
      <w:r>
        <w:rPr>
          <w:rFonts w:ascii="Times New Roman" w:eastAsia="Times New Roman" w:hAnsi="Times New Roman" w:cs="Times New Roman"/>
          <w:color w:val="333333"/>
          <w:spacing w:val="0"/>
          <w:w w:val="100"/>
          <w:position w:val="0"/>
        </w:rPr>
        <w:t>HPV</w:t>
      </w:r>
      <w:r>
        <w:rPr>
          <w:color w:val="333333"/>
          <w:spacing w:val="0"/>
          <w:w w:val="100"/>
          <w:position w:val="0"/>
        </w:rPr>
        <w:t>的检测需求有望大幅增加。</w:t>
      </w:r>
      <w:r>
        <w:rPr>
          <w:color w:val="000000"/>
          <w:spacing w:val="0"/>
          <w:w w:val="100"/>
          <w:position w:val="0"/>
        </w:rPr>
        <w:t>基因测序与传统检测手段结合，可更早发现肿瘤并根据患者个体差异 高效筛选出合适药物，最终提高治疗的安全性和有效性，有效减少医疗支出。随着基因检测技术的不断完善，液体活检等产 品检测效率和便捷性快速提升，检测成本不断下降，同时诊疗法规上的支持加大，对于明确靶点的药物须遵循基因检测后方 可使用的原则，抗肿瘤药物和相关检测的医保报销覆盖范围扩大，基于高通量测序技术的基因检测在肿瘤方向的应用将会大 大增加。随着健康中国癌症防治专项行动等国家政策的加速推出，肿瘤防控的关口前移，肿瘤</w:t>
      </w:r>
      <w:r>
        <w:rPr>
          <w:rFonts w:ascii="Times New Roman" w:eastAsia="Times New Roman" w:hAnsi="Times New Roman" w:cs="Times New Roman"/>
          <w:color w:val="000000"/>
          <w:spacing w:val="0"/>
          <w:w w:val="100"/>
          <w:position w:val="0"/>
        </w:rPr>
        <w:t>“</w:t>
      </w:r>
      <w:r>
        <w:rPr>
          <w:color w:val="000000"/>
          <w:spacing w:val="0"/>
          <w:w w:val="100"/>
          <w:position w:val="0"/>
        </w:rPr>
        <w:t>防大于治</w:t>
      </w:r>
      <w:r>
        <w:rPr>
          <w:rFonts w:ascii="Times New Roman" w:eastAsia="Times New Roman" w:hAnsi="Times New Roman" w:cs="Times New Roman"/>
          <w:color w:val="000000"/>
          <w:spacing w:val="0"/>
          <w:w w:val="100"/>
          <w:position w:val="0"/>
        </w:rPr>
        <w:t>”</w:t>
      </w:r>
      <w:r>
        <w:rPr>
          <w:color w:val="000000"/>
          <w:spacing w:val="0"/>
          <w:w w:val="100"/>
          <w:position w:val="0"/>
        </w:rPr>
        <w:t>的整体认知度正逐 渐提高，肿瘤预防与筛查领域的市场空间有望相应提升，基因检测技术在肿瘤早期筛查的应用有望迎来快速发展。</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感染防控类服务方面，近年来新发病原的出现以及耐药病原的增多，在一定程度上加大了诊断和治疗难度。感染性疾病 尤其是疑难危重感染的精准检测病原学诊断的需求较为紧迫，也是临床的一大重点及难题。与此同时，新发病原体的不断涌 现，以及耐药问题的亟待解决，都会催生出病原体检测的市场需求。相较于传统的病原微生物检测方法如形态学检测、培养 分离、生化检测、免疫学及核酸检测，以基因测序产品为代表的新型分子诊断技术在诊断敏感性、特异性、时效性、信息量 等方面，尤其对于未知或者罕见的病原微生物识别具有较明显的优势，弥补了传统病原微生物检测阳性率较低的技术短板， 打破了传统微生物检验的局限性，代表了未来行业发展的趋势。新冠疫情爆发以来，以核酸检测技术为主的新冠病毒检测试 剂盒在病例诊断、与其他流感样疾病的区分、病例解除隔离出院等方面起到了重要的作用。国家卫健委发文要求各地要结合 新冠肺炎疫情防控，进一步加强临床检验实验室建设，快速、准确、全面的病原学检测已经逐渐成为临床的刚需。随着国内 新冠肺炎疫情防控转为常态化，国家正在进一步加大公共卫生体系建设的力度，深化推进健康中国战略。同时，人民群众对 </w:t>
      </w:r>
      <w:r>
        <w:rPr>
          <w:color w:val="000000"/>
          <w:spacing w:val="0"/>
          <w:w w:val="100"/>
          <w:position w:val="0"/>
        </w:rPr>
        <w:t>健康的需求以及临床对个性化和精准化医疗需求的逐步凸显，医疗资源高质量的持续供给以及一系列医改政策的深入推行， 加快了行业变革，使精准医学检测、病原学诊断、全病程病原监测等项目成为新的热点，为公司感染防控业务带来新的发展 机遇。</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多组学大数据服务方面，近年来，随着由国产自主测序平台引领的测序成本的不断降低，新的实验技术、高效的云计算 和云存储技术以及人工智能的快速发展，利用多组学大数据精准指导人类医学、健康研究和动植物育种，了解地球生物多样 性等应用进入前所未有的快速发展通道。各国政府、科研机构和企业都对基因大数据加大了投入，同时各国加快大群体大队 列研究助力精准医学快速发展。</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合成业务方面，合成生物学作为一门新兴交叉融合性学科，它不仅用于分子水平上的基因（组）合成与编辑、元件开发 与基因线路设计，而且其已经扩展至生物医药、天然产物合成、新能源生产及</w:t>
      </w:r>
      <w:r>
        <w:rPr>
          <w:rFonts w:ascii="Times New Roman" w:eastAsia="Times New Roman" w:hAnsi="Times New Roman" w:cs="Times New Roman"/>
          <w:color w:val="000000"/>
          <w:spacing w:val="0"/>
          <w:w w:val="100"/>
          <w:position w:val="0"/>
        </w:rPr>
        <w:t>DNA</w:t>
      </w:r>
      <w:r>
        <w:rPr>
          <w:color w:val="000000"/>
          <w:spacing w:val="0"/>
          <w:w w:val="100"/>
          <w:position w:val="0"/>
        </w:rPr>
        <w:t>存储等诸多领域。在全球新冠疫情检测等 方面，合成生物学发挥了重要作用，市场对于寡核苷酸合成、基因合成需求也随之大幅增加。随着合成生物学应用领域不断 增加，市场涌现出越来越多的合成生物学初创公司，资本投入亦大幅增长。未来对于基因乃至基因组改造、合成的需求将保 持良好的增长趋势，公司作为合成业务领域的技术赋能型企业，率先在基因组合成技术方面取得的战略布局和技术突破，未 来有望较好地服务于产业增长需求，形成新的业绩增量。</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精准医学的核心，是建立以基因组学为基础，包含蛋白质组学、代谢组学、脂质组学、糖组学、金属组学等为一体的多 组学大数据平台，通过整合数据智能分析，以辅助甚至指导临床的预防、诊断、治疗和监控。在国家战略政策的引领下，国 内外各类科研及临床机构竞相建立以基因检测为基础的多组学精准医学中心。截至目前，国内与公司合作的医院超过</w:t>
      </w:r>
      <w:r>
        <w:rPr>
          <w:rFonts w:ascii="Times New Roman" w:eastAsia="Times New Roman" w:hAnsi="Times New Roman" w:cs="Times New Roman"/>
          <w:color w:val="000000"/>
          <w:spacing w:val="0"/>
          <w:w w:val="100"/>
          <w:position w:val="0"/>
        </w:rPr>
        <w:t>280</w:t>
      </w:r>
      <w:r>
        <w:rPr>
          <w:color w:val="000000"/>
          <w:spacing w:val="0"/>
          <w:w w:val="100"/>
          <w:position w:val="0"/>
        </w:rPr>
        <w:t>家， 配置近</w:t>
      </w:r>
      <w:r>
        <w:rPr>
          <w:rFonts w:ascii="Times New Roman" w:eastAsia="Times New Roman" w:hAnsi="Times New Roman" w:cs="Times New Roman"/>
          <w:color w:val="000000"/>
          <w:spacing w:val="0"/>
          <w:w w:val="100"/>
          <w:position w:val="0"/>
        </w:rPr>
        <w:t>500</w:t>
      </w:r>
      <w:r>
        <w:rPr>
          <w:color w:val="000000"/>
          <w:spacing w:val="0"/>
          <w:w w:val="100"/>
          <w:position w:val="0"/>
        </w:rPr>
        <w:t>台国产自主测序平台。在海外，国产自主测序平台已经在多个国家和地区运行。近年来随着</w:t>
      </w:r>
      <w:r>
        <w:rPr>
          <w:rFonts w:ascii="Times New Roman" w:eastAsia="Times New Roman" w:hAnsi="Times New Roman" w:cs="Times New Roman"/>
          <w:color w:val="000000"/>
          <w:spacing w:val="0"/>
          <w:w w:val="100"/>
          <w:position w:val="0"/>
        </w:rPr>
        <w:t>“</w:t>
      </w:r>
      <w:r>
        <w:rPr>
          <w:color w:val="000000"/>
          <w:spacing w:val="0"/>
          <w:w w:val="100"/>
          <w:position w:val="0"/>
        </w:rPr>
        <w:t>取消公立医疗机构医 用耗材加成</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改革完善医用耗材（含体外诊断试剂）采购政策</w:t>
      </w:r>
      <w:r>
        <w:rPr>
          <w:rFonts w:ascii="Times New Roman" w:eastAsia="Times New Roman" w:hAnsi="Times New Roman" w:cs="Times New Roman"/>
          <w:color w:val="000000"/>
          <w:spacing w:val="0"/>
          <w:w w:val="100"/>
          <w:position w:val="0"/>
        </w:rPr>
        <w:t>”</w:t>
      </w:r>
      <w:r>
        <w:rPr>
          <w:color w:val="000000"/>
          <w:spacing w:val="0"/>
          <w:w w:val="100"/>
          <w:position w:val="0"/>
        </w:rPr>
        <w:t>等相关行业政策的颁布和实施，技术自主可控、质量优、 成本可控的医疗设备及试剂市场有望迎来更广阔的发展空间。</w:t>
      </w:r>
    </w:p>
    <w:p>
      <w:pPr>
        <w:pStyle w:val="Style17"/>
        <w:keepNext w:val="0"/>
        <w:keepLines w:val="0"/>
        <w:widowControl w:val="0"/>
        <w:shd w:val="clear" w:color="auto" w:fill="auto"/>
        <w:bidi w:val="0"/>
        <w:spacing w:before="0" w:after="0"/>
        <w:ind w:left="0" w:right="0"/>
        <w:jc w:val="both"/>
      </w:pPr>
      <w:bookmarkStart w:id="104" w:name="bookmark104"/>
      <w:r>
        <w:rPr>
          <w:rFonts w:ascii="Times New Roman" w:eastAsia="Times New Roman" w:hAnsi="Times New Roman" w:cs="Times New Roman"/>
          <w:b/>
          <w:bCs/>
          <w:color w:val="000000"/>
          <w:spacing w:val="0"/>
          <w:w w:val="100"/>
          <w:position w:val="0"/>
        </w:rPr>
        <w:t>2</w:t>
      </w:r>
      <w:bookmarkEnd w:id="104"/>
      <w:r>
        <w:rPr>
          <w:b/>
          <w:bCs/>
          <w:color w:val="000000"/>
          <w:spacing w:val="0"/>
          <w:w w:val="100"/>
          <w:position w:val="0"/>
        </w:rPr>
        <w:t>、技术创新驱动产业进步，工程化模式提速发展</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基因测序等新型高通量技术的高速发展，是基因组学应用行业发展的重要驱动力。自</w:t>
      </w:r>
      <w:r>
        <w:rPr>
          <w:rFonts w:ascii="Times New Roman" w:eastAsia="Times New Roman" w:hAnsi="Times New Roman" w:cs="Times New Roman"/>
          <w:color w:val="000000"/>
          <w:spacing w:val="0"/>
          <w:w w:val="100"/>
          <w:position w:val="0"/>
        </w:rPr>
        <w:t>2003</w:t>
      </w:r>
      <w:r>
        <w:rPr>
          <w:color w:val="000000"/>
          <w:spacing w:val="0"/>
          <w:w w:val="100"/>
          <w:position w:val="0"/>
        </w:rPr>
        <w:t>年人类基因组计划完成以来， 以基因组研究和基因测序为主的相关应用开始兴起。随着高通量测序技术的成熟应用，测序成本大幅度下降，基因测序在全 球范围进一步普及，越来越多的人类基因组和物种基因组解密完成。</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Illumina</w:t>
      </w:r>
      <w:r>
        <w:rPr>
          <w:color w:val="000000"/>
          <w:spacing w:val="0"/>
          <w:w w:val="100"/>
          <w:position w:val="0"/>
        </w:rPr>
        <w:t xml:space="preserve">公司首次将人全基因组测序价格降至 </w:t>
      </w:r>
      <w:r>
        <w:rPr>
          <w:rFonts w:ascii="Times New Roman" w:eastAsia="Times New Roman" w:hAnsi="Times New Roman" w:cs="Times New Roman"/>
          <w:color w:val="000000"/>
          <w:spacing w:val="0"/>
          <w:w w:val="100"/>
          <w:position w:val="0"/>
        </w:rPr>
        <w:t>1,000</w:t>
      </w:r>
      <w:r>
        <w:rPr>
          <w:color w:val="000000"/>
          <w:spacing w:val="0"/>
          <w:w w:val="100"/>
          <w:position w:val="0"/>
        </w:rPr>
        <w:t>美金，</w:t>
      </w:r>
      <w:r>
        <w:rPr>
          <w:rFonts w:ascii="Times New Roman" w:eastAsia="Times New Roman" w:hAnsi="Times New Roman" w:cs="Times New Roman"/>
          <w:color w:val="000000"/>
          <w:spacing w:val="0"/>
          <w:w w:val="100"/>
          <w:position w:val="0"/>
        </w:rPr>
        <w:t>2018</w:t>
      </w:r>
      <w:r>
        <w:rPr>
          <w:color w:val="000000"/>
          <w:spacing w:val="0"/>
          <w:w w:val="100"/>
          <w:position w:val="0"/>
        </w:rPr>
        <w:t>年，华大基因率先将人全基因组测序价格下降至</w:t>
      </w:r>
      <w:r>
        <w:rPr>
          <w:rFonts w:ascii="Times New Roman" w:eastAsia="Times New Roman" w:hAnsi="Times New Roman" w:cs="Times New Roman"/>
          <w:color w:val="000000"/>
          <w:spacing w:val="0"/>
          <w:w w:val="100"/>
          <w:position w:val="0"/>
        </w:rPr>
        <w:t>600</w:t>
      </w:r>
      <w:r>
        <w:rPr>
          <w:color w:val="000000"/>
          <w:spacing w:val="0"/>
          <w:w w:val="100"/>
          <w:position w:val="0"/>
        </w:rPr>
        <w:t>美金。成本的持续下降促使了基因数据的井喷产出，进 而助力参考物种基因组研究、大群体大队列基因组研究、大规模转录组研究、表观遗传学研究、宏基因组研究等领域飞速发 展。而以测序技术为代表的基因组技术的发展也大大加速了其他生命科学技术的发展，包括以质谱技术为核心支撑的蛋白质 组学、代谢组学、脂质组学、糖组学、金属组学等组学技术发展，和基因组学一起从多个维度不断推动生命科学的系统性进 展；同时单细胞测序技术的迅猛发展，在一定程度上推动生命科学的精细化研究和探索。空间多组学被列入</w:t>
      </w:r>
      <w:r>
        <w:rPr>
          <w:rFonts w:ascii="Times New Roman" w:eastAsia="Times New Roman" w:hAnsi="Times New Roman" w:cs="Times New Roman"/>
          <w:color w:val="000000"/>
          <w:spacing w:val="0"/>
          <w:w w:val="100"/>
          <w:position w:val="0"/>
        </w:rPr>
        <w:t>Nature</w:t>
      </w:r>
      <w:r>
        <w:rPr>
          <w:color w:val="000000"/>
          <w:spacing w:val="0"/>
          <w:w w:val="100"/>
          <w:position w:val="0"/>
        </w:rPr>
        <w:t>发布的</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年值得关注的七大前沿技术，文中提到了空间多组学技术，尤其提到空间蛋白质组的兴起，对空间组学研究有重要影响。与 此同时，呈几何级数增长的基因大数据产出也派生出对信息科技的强大需求，融合派生出如生物信息学、生物超级计算和云 计算、生物大数据、合成生物学智能设计、</w:t>
      </w:r>
      <w:r>
        <w:rPr>
          <w:rFonts w:ascii="Times New Roman" w:eastAsia="Times New Roman" w:hAnsi="Times New Roman" w:cs="Times New Roman"/>
          <w:color w:val="000000"/>
          <w:spacing w:val="0"/>
          <w:w w:val="100"/>
          <w:position w:val="0"/>
        </w:rPr>
        <w:t>DNA</w:t>
      </w:r>
      <w:r>
        <w:rPr>
          <w:color w:val="000000"/>
          <w:spacing w:val="0"/>
          <w:w w:val="100"/>
          <w:position w:val="0"/>
        </w:rPr>
        <w:t>生物存储等一系列跨学科应用。</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基因科技在科研领域的不断突破，带动了生命科学和生物技术产业应用的全面兴起，如生物医学、生物材料、生物制造、 生物农业、生物环保。特别是以基因检测作为核心技术支撑的精准医学更是成为其中的焦点，其代表性应用包括以无创产前 基因检测、基因遗传病检测为代表的生育健康方向、以遗传风险评估、伴随诊断、预测早筛、复发监测为代表的肿瘤防控方 向和以宏基因组学的方式进行传染感染疾病的精准诊断方向。这些典型的应用不但在准确率、安全性、适用范围、可扩展性 上相较于传统诊断方法有明显的优势，且随着检测成本的进一步下降而不断普及。</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基因测序技术在具备相对成本优势的前提下，有望逐步替代传统的检测技术。国产自主平台基因测序仪具备快速、灵活、 超高通量的特点，结合日益扩大的基因组数据库平台作为支撑，使得公司在测序领域能够实现成本可控，进而带来整体检测 的渗透率不断提升，覆盖更多的受益人群。目前公司已有多个可用于医学检测的测序平台和自动化样本处理设备以及</w:t>
      </w:r>
      <w:r>
        <w:rPr>
          <w:rFonts w:ascii="Times New Roman" w:eastAsia="Times New Roman" w:hAnsi="Times New Roman" w:cs="Times New Roman"/>
          <w:color w:val="000000"/>
          <w:spacing w:val="0"/>
          <w:w w:val="100"/>
          <w:position w:val="0"/>
        </w:rPr>
        <w:t xml:space="preserve">HALOS </w:t>
      </w:r>
      <w:r>
        <w:rPr>
          <w:color w:val="000000"/>
          <w:spacing w:val="0"/>
          <w:w w:val="100"/>
          <w:position w:val="0"/>
        </w:rPr>
        <w:t>分析解读一体机平台等，可根据不同测序仪的性能进行有针对性的产品迭代，以不同的测序仪匹配不同的临床应用场景，形 成多平台、多产品的梯次化布局，满足临床的多样化需求。为满足样本量不断增长的需求，公司列装了自主研发核心硬件以 及控制系统的百万级检测通量全自动化平台，实现大样本量的自动化、智能化检测。公司在临床应用产品迭代和储备方面积 极进行前瞻性布局，不断升级无创产前基因检测、遗传病基因检测、</w:t>
      </w:r>
      <w:r>
        <w:rPr>
          <w:rFonts w:ascii="Times New Roman" w:eastAsia="Times New Roman" w:hAnsi="Times New Roman" w:cs="Times New Roman"/>
          <w:color w:val="000000"/>
          <w:spacing w:val="0"/>
          <w:w w:val="100"/>
          <w:position w:val="0"/>
        </w:rPr>
        <w:t>CNV-seq</w:t>
      </w:r>
      <w:r>
        <w:rPr>
          <w:color w:val="000000"/>
          <w:spacing w:val="0"/>
          <w:w w:val="100"/>
          <w:position w:val="0"/>
        </w:rPr>
        <w:t>染色体检测、遗传性耳聋基因检测、辅助生殖 基因检测、</w:t>
      </w:r>
      <w:r>
        <w:rPr>
          <w:rFonts w:ascii="Times New Roman" w:eastAsia="Times New Roman" w:hAnsi="Times New Roman" w:cs="Times New Roman"/>
          <w:color w:val="000000"/>
          <w:spacing w:val="0"/>
          <w:w w:val="100"/>
          <w:position w:val="0"/>
        </w:rPr>
        <w:t>HPV</w:t>
      </w:r>
      <w:r>
        <w:rPr>
          <w:color w:val="000000"/>
          <w:spacing w:val="0"/>
          <w:w w:val="100"/>
          <w:position w:val="0"/>
        </w:rPr>
        <w:t xml:space="preserve">分型基因检测、无创癌症基因检测、遗传性肿瘤基因检测、肿瘤个体化诊疗和用药指导基因检测、肿瘤微小 </w:t>
      </w:r>
      <w:r>
        <w:rPr>
          <w:color w:val="000000"/>
          <w:spacing w:val="0"/>
          <w:w w:val="100"/>
          <w:position w:val="0"/>
        </w:rPr>
        <w:t>残留病灶</w:t>
      </w:r>
      <w:r>
        <w:rPr>
          <w:color w:val="000000"/>
          <w:spacing w:val="0"/>
          <w:w w:val="100"/>
          <w:position w:val="0"/>
        </w:rPr>
        <w:t>(</w:t>
      </w:r>
      <w:r>
        <w:rPr>
          <w:rFonts w:ascii="Times New Roman" w:eastAsia="Times New Roman" w:hAnsi="Times New Roman" w:cs="Times New Roman"/>
          <w:color w:val="000000"/>
          <w:spacing w:val="0"/>
          <w:w w:val="100"/>
          <w:position w:val="0"/>
        </w:rPr>
        <w:t>MRD</w:t>
      </w:r>
      <w:r>
        <w:rPr>
          <w:color w:val="000000"/>
          <w:spacing w:val="0"/>
          <w:w w:val="100"/>
          <w:position w:val="0"/>
        </w:rPr>
        <w:t>)</w:t>
      </w:r>
      <w:r>
        <w:rPr>
          <w:color w:val="000000"/>
          <w:spacing w:val="0"/>
          <w:w w:val="100"/>
          <w:position w:val="0"/>
        </w:rPr>
        <w:t>定制化检测及病原微生物感染基因检测，快速推进基于核心专利技术及人群大数据的生育健康、肿瘤筛 查和感染防控等产品研发。报告期内，华常康</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无创肠癌基因检测依托国产自主可控的自动化样本处理平台实现了样本分杯、 提取及</w:t>
      </w:r>
      <w:r>
        <w:rPr>
          <w:rFonts w:ascii="Times New Roman" w:eastAsia="Times New Roman" w:hAnsi="Times New Roman" w:cs="Times New Roman"/>
          <w:color w:val="000000"/>
          <w:spacing w:val="0"/>
          <w:w w:val="100"/>
          <w:position w:val="0"/>
        </w:rPr>
        <w:t>DNA</w:t>
      </w:r>
      <w:r>
        <w:rPr>
          <w:color w:val="000000"/>
          <w:spacing w:val="0"/>
          <w:w w:val="100"/>
          <w:position w:val="0"/>
        </w:rPr>
        <w:t xml:space="preserve">前处理流程自动化，大规模提升了检测通量，可为普惠民生大健康场景下的肿瘤防控需求提供更优质的服务。 </w:t>
      </w:r>
      <w:r>
        <w:rPr>
          <w:rFonts w:ascii="Times New Roman" w:eastAsia="Times New Roman" w:hAnsi="Times New Roman" w:cs="Times New Roman"/>
          <w:color w:val="000000"/>
          <w:spacing w:val="0"/>
          <w:w w:val="100"/>
          <w:position w:val="0"/>
        </w:rPr>
        <w:t>2020</w:t>
      </w:r>
      <w:r>
        <w:rPr>
          <w:color w:val="000000"/>
          <w:spacing w:val="0"/>
          <w:w w:val="100"/>
          <w:position w:val="0"/>
        </w:rPr>
        <w:t>年，为解决各地区新冠检测通量不足的问题，公司推出了</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实验室一体化综合解决方案服务，</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实验室在全球 各地批量建成并高效协助各国疫情防控。为快速解决多国生物安全实验室不足的问题，公司参与设计了符合</w:t>
      </w:r>
      <w:r>
        <w:rPr>
          <w:rFonts w:ascii="Times New Roman" w:eastAsia="Times New Roman" w:hAnsi="Times New Roman" w:cs="Times New Roman"/>
          <w:color w:val="000000"/>
          <w:spacing w:val="0"/>
          <w:w w:val="100"/>
          <w:position w:val="0"/>
        </w:rPr>
        <w:t>P2</w:t>
      </w:r>
      <w:r>
        <w:rPr>
          <w:color w:val="000000"/>
          <w:spacing w:val="0"/>
          <w:w w:val="100"/>
          <w:position w:val="0"/>
        </w:rPr>
        <w:t>生物安全实验 室标准的新型气膜版</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实验室，采用封闭气膜建筑模式，具备快速建造、快速布局的优势，应用于各国应急抗疫场景。</w:t>
      </w:r>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公司建立了高性能计算、云计算、一体机等多种形式的数据分析平台。其中，自建大型计算集群并开发出相应的基因数 据分析软件，基因测序平台、蛋白质谱平台数字化能力在行业中处于领先水平，已建成基于本地化基因检测分析解决方案的 一体机</w:t>
      </w:r>
      <w:r>
        <w:rPr>
          <w:rFonts w:ascii="Times New Roman" w:eastAsia="Times New Roman" w:hAnsi="Times New Roman" w:cs="Times New Roman"/>
          <w:color w:val="000000"/>
          <w:spacing w:val="0"/>
          <w:w w:val="100"/>
          <w:position w:val="0"/>
        </w:rPr>
        <w:t>HALOS</w:t>
      </w:r>
      <w:r>
        <w:rPr>
          <w:color w:val="000000"/>
          <w:spacing w:val="0"/>
          <w:w w:val="100"/>
          <w:position w:val="0"/>
        </w:rPr>
        <w:t>和基因云计算平台</w:t>
      </w:r>
      <w:r>
        <w:rPr>
          <w:rFonts w:ascii="Times New Roman" w:eastAsia="Times New Roman" w:hAnsi="Times New Roman" w:cs="Times New Roman"/>
          <w:color w:val="000000"/>
          <w:spacing w:val="0"/>
          <w:w w:val="100"/>
          <w:position w:val="0"/>
        </w:rPr>
        <w:t>GeneAn</w:t>
      </w:r>
      <w:r>
        <w:rPr>
          <w:color w:val="000000"/>
          <w:spacing w:val="0"/>
          <w:w w:val="100"/>
          <w:position w:val="0"/>
        </w:rPr>
        <w:t>，</w:t>
      </w:r>
      <w:r>
        <w:rPr>
          <w:color w:val="000000"/>
          <w:spacing w:val="0"/>
          <w:w w:val="100"/>
          <w:position w:val="0"/>
        </w:rPr>
        <w:t>开发出百万级通量的自动化分析平台、遗传变异解读平台、数据库管理平台，提 供更简单、更高效的数据存储、自动化分析、数据传输、项目协作以及生物信息工具开发等方面的解决方案。通过多组学数 据挖掘系统</w:t>
      </w:r>
      <w:r>
        <w:rPr>
          <w:rFonts w:ascii="Times New Roman" w:eastAsia="Times New Roman" w:hAnsi="Times New Roman" w:cs="Times New Roman"/>
          <w:color w:val="000000"/>
          <w:spacing w:val="0"/>
          <w:w w:val="100"/>
          <w:position w:val="0"/>
        </w:rPr>
        <w:t>Dr.Tom</w:t>
      </w:r>
      <w:r>
        <w:rPr>
          <w:color w:val="000000"/>
          <w:spacing w:val="0"/>
          <w:w w:val="100"/>
          <w:position w:val="0"/>
        </w:rPr>
        <w:t>，</w:t>
      </w:r>
      <w:r>
        <w:rPr>
          <w:color w:val="000000"/>
          <w:spacing w:val="0"/>
          <w:w w:val="100"/>
          <w:position w:val="0"/>
        </w:rPr>
        <w:t>提供个性化分析，打造数据、平台、传输、管理的一体化闭环管理体系；通过整合基因组、转录组、群 体数据等多组学数据，为实验室搭建多组学数据库，在数据库中可实现对数据的获取、挖掘、管理等，公司已与多家研究单 位合作搭建了包括玉米、棉花等多组学数据库，有效提高数据利用率，缩短动植物育种周期。</w:t>
      </w:r>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串联质谱技术(液相色谱串联质谱</w:t>
      </w:r>
      <w:r>
        <w:rPr>
          <w:rFonts w:ascii="Times New Roman" w:eastAsia="Times New Roman" w:hAnsi="Times New Roman" w:cs="Times New Roman"/>
          <w:color w:val="000000"/>
          <w:spacing w:val="0"/>
          <w:w w:val="100"/>
          <w:position w:val="0"/>
        </w:rPr>
        <w:t>(LC-MS/MS</w:t>
      </w:r>
      <w:r>
        <w:rPr>
          <w:rFonts w:ascii="Times New Roman" w:eastAsia="Times New Roman" w:hAnsi="Times New Roman" w:cs="Times New Roman"/>
          <w:color w:val="000000"/>
          <w:spacing w:val="0"/>
          <w:w w:val="100"/>
          <w:position w:val="0"/>
        </w:rPr>
        <w:t>)</w:t>
      </w:r>
      <w:r>
        <w:rPr>
          <w:color w:val="000000"/>
          <w:spacing w:val="0"/>
          <w:w w:val="100"/>
          <w:position w:val="0"/>
        </w:rPr>
        <w:t>或气相色谱串联质谱</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GC-MS/MS)</w:t>
      </w:r>
      <w:r>
        <w:rPr>
          <w:rFonts w:ascii="Times New Roman" w:eastAsia="Times New Roman" w:hAnsi="Times New Roman" w:cs="Times New Roman"/>
          <w:color w:val="000000"/>
          <w:spacing w:val="0"/>
          <w:w w:val="100"/>
          <w:position w:val="0"/>
        </w:rPr>
        <w:t>)</w:t>
      </w:r>
      <w:r>
        <w:rPr>
          <w:color w:val="000000"/>
          <w:spacing w:val="0"/>
          <w:w w:val="100"/>
          <w:position w:val="0"/>
        </w:rPr>
        <w:t>和飞行时间质谱技术</w:t>
      </w:r>
      <w:r>
        <w:rPr>
          <w:color w:val="000000"/>
          <w:spacing w:val="0"/>
          <w:w w:val="100"/>
          <w:position w:val="0"/>
        </w:rPr>
        <w:t>(</w:t>
      </w:r>
      <w:r>
        <w:rPr>
          <w:rFonts w:ascii="Times New Roman" w:eastAsia="Times New Roman" w:hAnsi="Times New Roman" w:cs="Times New Roman"/>
          <w:color w:val="000000"/>
          <w:spacing w:val="0"/>
          <w:w w:val="100"/>
          <w:position w:val="0"/>
        </w:rPr>
        <w:t>MALDI-TOF MS</w:t>
      </w:r>
      <w:r>
        <w:rPr>
          <w:color w:val="000000"/>
          <w:spacing w:val="0"/>
          <w:w w:val="100"/>
          <w:position w:val="0"/>
        </w:rPr>
        <w:t xml:space="preserve">) </w:t>
      </w:r>
      <w:r>
        <w:rPr>
          <w:color w:val="000000"/>
          <w:spacing w:val="0"/>
          <w:w w:val="100"/>
          <w:position w:val="0"/>
        </w:rPr>
        <w:t>已经成为研究生物体蛋白质组、代谢组和基因组的重要工具。质谱技术因其具有高选择性、高灵敏度和通用性的特点，已成 为多个检测项目的金标准。华大基因的质谱平台与测序平台共同构成从基因组到蛋白质组、代谢组的大数据核心采集平台。 目前公司质谱平台已配备全系列可用于蛋白质组、代谢组和基因组研究的国际先进的轨道离子阱质谱仪及飞行时间质谱仪， 拥有高通量靶向蛋白质、代谢物定量分析的各类型液相色谱三重四级杆质谱联用仪，以及电感耦合等离子体质谱、气相色谱 质谱联用仪等其他类型质谱。公司的飞行时间质谱</w:t>
      </w:r>
      <w:r>
        <w:rPr>
          <w:color w:val="000000"/>
          <w:spacing w:val="0"/>
          <w:w w:val="100"/>
          <w:position w:val="0"/>
        </w:rPr>
        <w:t>(</w:t>
      </w:r>
      <w:r>
        <w:rPr>
          <w:rFonts w:ascii="Times New Roman" w:eastAsia="Times New Roman" w:hAnsi="Times New Roman" w:cs="Times New Roman"/>
          <w:color w:val="000000"/>
          <w:spacing w:val="0"/>
          <w:w w:val="100"/>
          <w:position w:val="0"/>
        </w:rPr>
        <w:t>MALDI-TOF MS</w:t>
      </w:r>
      <w:r>
        <w:rPr>
          <w:color w:val="000000"/>
          <w:spacing w:val="0"/>
          <w:w w:val="100"/>
          <w:position w:val="0"/>
        </w:rPr>
        <w:t>)</w:t>
      </w:r>
      <w:r>
        <w:rPr>
          <w:color w:val="000000"/>
          <w:spacing w:val="0"/>
          <w:w w:val="100"/>
          <w:position w:val="0"/>
        </w:rPr>
        <w:t>技术是基于多重</w:t>
      </w:r>
      <w:r>
        <w:rPr>
          <w:rFonts w:ascii="Times New Roman" w:eastAsia="Times New Roman" w:hAnsi="Times New Roman" w:cs="Times New Roman"/>
          <w:color w:val="000000"/>
          <w:spacing w:val="0"/>
          <w:w w:val="100"/>
          <w:position w:val="0"/>
        </w:rPr>
        <w:t>PCR</w:t>
      </w:r>
      <w:r>
        <w:rPr>
          <w:color w:val="000000"/>
          <w:spacing w:val="0"/>
          <w:w w:val="100"/>
          <w:position w:val="0"/>
        </w:rPr>
        <w:t>与基质辅助激光解吸电离飞行时 间质谱(</w:t>
      </w:r>
      <w:r>
        <w:rPr>
          <w:rFonts w:ascii="Times New Roman" w:eastAsia="Times New Roman" w:hAnsi="Times New Roman" w:cs="Times New Roman"/>
          <w:color w:val="000000"/>
          <w:spacing w:val="0"/>
          <w:w w:val="100"/>
          <w:position w:val="0"/>
        </w:rPr>
        <w:t>MALDI-TOF MS</w:t>
      </w:r>
      <w:r>
        <w:rPr>
          <w:color w:val="000000"/>
          <w:spacing w:val="0"/>
          <w:w w:val="100"/>
          <w:position w:val="0"/>
        </w:rPr>
        <w:t>)</w:t>
      </w:r>
      <w:r>
        <w:rPr>
          <w:color w:val="000000"/>
          <w:spacing w:val="0"/>
          <w:w w:val="100"/>
          <w:position w:val="0"/>
        </w:rPr>
        <w:t>联用核酸检测方法，通过多重</w:t>
      </w:r>
      <w:r>
        <w:rPr>
          <w:rFonts w:ascii="Times New Roman" w:eastAsia="Times New Roman" w:hAnsi="Times New Roman" w:cs="Times New Roman"/>
          <w:color w:val="000000"/>
          <w:spacing w:val="0"/>
          <w:w w:val="100"/>
          <w:position w:val="0"/>
        </w:rPr>
        <w:t>PCR</w:t>
      </w:r>
      <w:r>
        <w:rPr>
          <w:color w:val="000000"/>
          <w:spacing w:val="0"/>
          <w:w w:val="100"/>
          <w:position w:val="0"/>
        </w:rPr>
        <w:t>对待测样本进行多位点扩增，并利用</w:t>
      </w:r>
      <w:r>
        <w:rPr>
          <w:rFonts w:ascii="Times New Roman" w:eastAsia="Times New Roman" w:hAnsi="Times New Roman" w:cs="Times New Roman"/>
          <w:color w:val="000000"/>
          <w:spacing w:val="0"/>
          <w:w w:val="100"/>
          <w:position w:val="0"/>
        </w:rPr>
        <w:t>MALDI-TOF MS</w:t>
      </w:r>
      <w:r>
        <w:rPr>
          <w:color w:val="000000"/>
          <w:spacing w:val="0"/>
          <w:w w:val="100"/>
          <w:position w:val="0"/>
        </w:rPr>
        <w:t>对扩增 位点进行多靶向检测，实现了对于单核苷酸的多态性良好的检出能力，为科研和临床对于基因分型和变异检测、药物代谢基 因检测、</w:t>
      </w:r>
      <w:r>
        <w:rPr>
          <w:rFonts w:ascii="Times New Roman" w:eastAsia="Times New Roman" w:hAnsi="Times New Roman" w:cs="Times New Roman"/>
          <w:color w:val="000000"/>
          <w:spacing w:val="0"/>
          <w:w w:val="100"/>
          <w:position w:val="0"/>
        </w:rPr>
        <w:t>DNA</w:t>
      </w:r>
      <w:r>
        <w:rPr>
          <w:color w:val="000000"/>
          <w:spacing w:val="0"/>
          <w:w w:val="100"/>
          <w:position w:val="0"/>
        </w:rPr>
        <w:t>甲基化分析和病原体检测及分子分型提供强有力的手段。依托于全面、先进的质谱平台优势，公司积极开发出 了一系列质谱体外诊断试剂盒、新生儿疾病筛查管理系统，并参与临床质谱相关领域的行业标准制定，布局临床质谱医学检 验实验室</w:t>
      </w:r>
      <w:r>
        <w:rPr>
          <w:rFonts w:ascii="Times New Roman" w:eastAsia="Times New Roman" w:hAnsi="Times New Roman" w:cs="Times New Roman"/>
          <w:color w:val="000000"/>
          <w:spacing w:val="0"/>
          <w:w w:val="100"/>
          <w:position w:val="0"/>
        </w:rPr>
        <w:t>“</w:t>
      </w:r>
      <w:r>
        <w:rPr>
          <w:color w:val="000000"/>
          <w:spacing w:val="0"/>
          <w:w w:val="100"/>
          <w:position w:val="0"/>
        </w:rPr>
        <w:t>仪器、试剂、自动化前处理设备、软件、服务</w:t>
      </w:r>
      <w:r>
        <w:rPr>
          <w:rFonts w:ascii="Times New Roman" w:eastAsia="Times New Roman" w:hAnsi="Times New Roman" w:cs="Times New Roman"/>
          <w:color w:val="000000"/>
          <w:spacing w:val="0"/>
          <w:w w:val="100"/>
          <w:position w:val="0"/>
        </w:rPr>
        <w:t>”</w:t>
      </w:r>
      <w:r>
        <w:rPr>
          <w:color w:val="000000"/>
          <w:spacing w:val="0"/>
          <w:w w:val="100"/>
          <w:position w:val="0"/>
        </w:rPr>
        <w:t>的全套解决方案。华大吉比爱已列为中国食品药品检定研究院新生 儿代谢疾病筛查标准干血片的委托生产企业。</w:t>
      </w:r>
    </w:p>
    <w:p>
      <w:pPr>
        <w:pStyle w:val="Style17"/>
        <w:keepNext w:val="0"/>
        <w:keepLines w:val="0"/>
        <w:widowControl w:val="0"/>
        <w:shd w:val="clear" w:color="auto" w:fill="auto"/>
        <w:bidi w:val="0"/>
        <w:spacing w:before="0" w:line="313" w:lineRule="exact"/>
        <w:ind w:left="0" w:right="0"/>
        <w:jc w:val="left"/>
      </w:pPr>
      <w:r>
        <w:rPr>
          <w:color w:val="000000"/>
          <w:spacing w:val="0"/>
          <w:w w:val="100"/>
          <w:position w:val="0"/>
        </w:rPr>
        <w:t>合成平台方面，在基因克隆技术领域，公司通过完成可控的、同步的末端消化，只需一种酶即可完成高效的同源重组， 不但可用于极短序列</w:t>
      </w:r>
      <w:r>
        <w:rPr>
          <w:rFonts w:ascii="Times New Roman" w:eastAsia="Times New Roman" w:hAnsi="Times New Roman" w:cs="Times New Roman"/>
          <w:color w:val="000000"/>
          <w:spacing w:val="0"/>
          <w:w w:val="100"/>
          <w:position w:val="0"/>
        </w:rPr>
        <w:t>(&gt;10bp</w:t>
      </w:r>
      <w:r>
        <w:rPr>
          <w:rFonts w:ascii="Times New Roman" w:eastAsia="Times New Roman" w:hAnsi="Times New Roman" w:cs="Times New Roman"/>
          <w:color w:val="000000"/>
          <w:spacing w:val="0"/>
          <w:w w:val="100"/>
          <w:position w:val="0"/>
        </w:rPr>
        <w:t>)</w:t>
      </w:r>
      <w:r>
        <w:rPr>
          <w:color w:val="000000"/>
          <w:spacing w:val="0"/>
          <w:w w:val="100"/>
          <w:position w:val="0"/>
        </w:rPr>
        <w:t>的克隆，还适用于长片段或长载体</w:t>
      </w:r>
      <w:r>
        <w:rPr>
          <w:rFonts w:ascii="Times New Roman" w:eastAsia="Times New Roman" w:hAnsi="Times New Roman" w:cs="Times New Roman"/>
          <w:color w:val="000000"/>
          <w:spacing w:val="0"/>
          <w:w w:val="100"/>
          <w:position w:val="0"/>
        </w:rPr>
        <w:t>(20kb</w:t>
      </w:r>
      <w:r>
        <w:rPr>
          <w:rFonts w:ascii="Times New Roman" w:eastAsia="Times New Roman" w:hAnsi="Times New Roman" w:cs="Times New Roman"/>
          <w:color w:val="000000"/>
          <w:spacing w:val="0"/>
          <w:w w:val="100"/>
          <w:position w:val="0"/>
        </w:rPr>
        <w:t>)</w:t>
      </w:r>
      <w:r>
        <w:rPr>
          <w:color w:val="000000"/>
          <w:spacing w:val="0"/>
          <w:w w:val="100"/>
          <w:position w:val="0"/>
        </w:rPr>
        <w:t>的克隆，有效提升克隆成功率。目前该方法已在基因合 成平台广泛应用，为基因快速交付提供保障。在超长基因及基因组体外拼接技术领域，公司成功将体外合成长度提升至</w:t>
      </w:r>
      <w:r>
        <w:rPr>
          <w:rFonts w:ascii="Times New Roman" w:eastAsia="Times New Roman" w:hAnsi="Times New Roman" w:cs="Times New Roman"/>
          <w:color w:val="000000"/>
          <w:spacing w:val="0"/>
          <w:w w:val="100"/>
          <w:position w:val="0"/>
        </w:rPr>
        <w:t xml:space="preserve">200kb </w:t>
      </w:r>
      <w:r>
        <w:rPr>
          <w:color w:val="000000"/>
          <w:spacing w:val="0"/>
          <w:w w:val="100"/>
          <w:position w:val="0"/>
        </w:rPr>
        <w:t>水平。体外基因组合成技术，不依赖于宿主细胞的重组能力，通过体外拼接的方式实现基因组的组装，使得合成序列不受宿 主细胞的干扰，让基因(组)设计改造更加自由；同时解决了体内拼接耗时长、保真度低的问题，合成速度从数年缩短至数 月，甚至更短，合成精度大大提高。作为强大的基因组合成工具，体外基因组合成技术将在合成生物学市场中获得更多的竞 争优势，为合成生物学的研究和产业应用赋能。</w:t>
      </w:r>
    </w:p>
    <w:p>
      <w:pPr>
        <w:pStyle w:val="Style17"/>
        <w:keepNext w:val="0"/>
        <w:keepLines w:val="0"/>
        <w:widowControl w:val="0"/>
        <w:shd w:val="clear" w:color="auto" w:fill="auto"/>
        <w:bidi w:val="0"/>
        <w:spacing w:before="0" w:line="317" w:lineRule="exact"/>
        <w:ind w:left="0" w:right="0"/>
        <w:jc w:val="left"/>
      </w:pPr>
      <w:r>
        <w:rPr>
          <w:color w:val="000000"/>
          <w:spacing w:val="0"/>
          <w:w w:val="100"/>
          <w:position w:val="0"/>
        </w:rPr>
        <w:t>公共卫生和公众健康对技术的需求相通。公司以工程化模式建设规模化、标准化、信息化、自动化的新型技术平台，可 开展生育健康、肿瘤防控、传感染疾病防控等多领域相关检测，实现全方位全周期的健康维护。公司已成功探索百万</w:t>
      </w:r>
      <w:r>
        <w:rPr>
          <w:rFonts w:ascii="Times New Roman" w:eastAsia="Times New Roman" w:hAnsi="Times New Roman" w:cs="Times New Roman"/>
          <w:color w:val="000000"/>
          <w:spacing w:val="0"/>
          <w:w w:val="100"/>
          <w:position w:val="0"/>
        </w:rPr>
        <w:t>/</w:t>
      </w:r>
      <w:r>
        <w:rPr>
          <w:color w:val="000000"/>
          <w:spacing w:val="0"/>
          <w:w w:val="100"/>
          <w:position w:val="0"/>
        </w:rPr>
        <w:t>千万 级城市的健康惠民民生工程应用场景范式，将领先基因科技能力与国情及制度优势结合，聚焦</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的重大攻坚目标， 实现民生福祉、前沿科技、产业发展三联互动。</w:t>
      </w:r>
    </w:p>
    <w:p>
      <w:pPr>
        <w:pStyle w:val="Style17"/>
        <w:keepNext w:val="0"/>
        <w:keepLines w:val="0"/>
        <w:widowControl w:val="0"/>
        <w:shd w:val="clear" w:color="auto" w:fill="auto"/>
        <w:bidi w:val="0"/>
        <w:spacing w:before="0" w:line="313" w:lineRule="exact"/>
        <w:ind w:left="0" w:right="0"/>
        <w:jc w:val="left"/>
      </w:pPr>
      <w:r>
        <w:rPr>
          <w:color w:val="000000"/>
          <w:spacing w:val="0"/>
          <w:w w:val="100"/>
          <w:position w:val="0"/>
        </w:rPr>
        <w:t>报告期内，公司持续响应疫情防控号召，持续以创新科技</w:t>
      </w:r>
      <w:r>
        <w:rPr>
          <w:rFonts w:ascii="Times New Roman" w:eastAsia="Times New Roman" w:hAnsi="Times New Roman" w:cs="Times New Roman"/>
          <w:color w:val="000000"/>
          <w:spacing w:val="0"/>
          <w:w w:val="100"/>
          <w:position w:val="0"/>
        </w:rPr>
        <w:t>“</w:t>
      </w:r>
      <w:r>
        <w:rPr>
          <w:color w:val="000000"/>
          <w:spacing w:val="0"/>
          <w:w w:val="100"/>
          <w:position w:val="0"/>
        </w:rPr>
        <w:t>纾临床诊断之困、解社会恐慌之压、破封城之局、助复工之 势</w:t>
      </w:r>
      <w:r>
        <w:rPr>
          <w:rFonts w:ascii="Times New Roman" w:eastAsia="Times New Roman" w:hAnsi="Times New Roman" w:cs="Times New Roman"/>
          <w:color w:val="000000"/>
          <w:spacing w:val="0"/>
          <w:w w:val="100"/>
          <w:position w:val="0"/>
        </w:rPr>
        <w:t>”</w:t>
      </w:r>
      <w:r>
        <w:rPr>
          <w:color w:val="000000"/>
          <w:spacing w:val="0"/>
          <w:w w:val="100"/>
          <w:position w:val="0"/>
        </w:rPr>
        <w:t>。以久经考验的科技队伍和先进技术平台，结合</w:t>
      </w:r>
      <w:r>
        <w:rPr>
          <w:rFonts w:ascii="Times New Roman" w:eastAsia="Times New Roman" w:hAnsi="Times New Roman" w:cs="Times New Roman"/>
          <w:color w:val="000000"/>
          <w:spacing w:val="0"/>
          <w:w w:val="100"/>
          <w:position w:val="0"/>
        </w:rPr>
        <w:t>2003</w:t>
      </w:r>
      <w:r>
        <w:rPr>
          <w:color w:val="000000"/>
          <w:spacing w:val="0"/>
          <w:w w:val="100"/>
          <w:position w:val="0"/>
        </w:rPr>
        <w:t>年非典疫情防控战役以及</w:t>
      </w:r>
      <w:r>
        <w:rPr>
          <w:rFonts w:ascii="Times New Roman" w:eastAsia="Times New Roman" w:hAnsi="Times New Roman" w:cs="Times New Roman"/>
          <w:color w:val="000000"/>
          <w:spacing w:val="0"/>
          <w:w w:val="100"/>
          <w:position w:val="0"/>
        </w:rPr>
        <w:t>2020</w:t>
      </w:r>
      <w:r>
        <w:rPr>
          <w:color w:val="000000"/>
          <w:spacing w:val="0"/>
          <w:w w:val="100"/>
          <w:position w:val="0"/>
        </w:rPr>
        <w:t>年与新型冠状病毒斗争中积累的丰富 经验，创造了</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实验室一体化综合解决方案并根据疫情形势变化而快速迭代升级。该解决方案应用自主研制试剂，可在 短时间内快速建成灵活通量的新型冠状病毒检测实验室，亦可为现有实验室快速升级检测能力，为发热病人的确诊、疑似病 例的甄别、高危人群的排查、阳性感染者尽早隔离治疗、保障阴性人群正常生活及经济社会秩序恢复和疫情常态化防控提供 了重要的科学依据和科技保障。</w:t>
      </w:r>
    </w:p>
    <w:p>
      <w:pPr>
        <w:pStyle w:val="Style17"/>
        <w:keepNext w:val="0"/>
        <w:keepLines w:val="0"/>
        <w:widowControl w:val="0"/>
        <w:shd w:val="clear" w:color="auto" w:fill="auto"/>
        <w:bidi w:val="0"/>
        <w:spacing w:before="0" w:line="313" w:lineRule="exact"/>
        <w:ind w:left="0" w:right="0"/>
        <w:jc w:val="left"/>
      </w:pPr>
      <w:r>
        <w:rPr>
          <w:color w:val="000000"/>
          <w:spacing w:val="0"/>
          <w:w w:val="100"/>
          <w:position w:val="0"/>
        </w:rPr>
        <w:t>针对</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项目制定可快速导入的</w:t>
      </w:r>
      <w:r>
        <w:rPr>
          <w:rFonts w:ascii="Times New Roman" w:eastAsia="Times New Roman" w:hAnsi="Times New Roman" w:cs="Times New Roman"/>
          <w:color w:val="000000"/>
          <w:spacing w:val="0"/>
          <w:w w:val="100"/>
          <w:position w:val="0"/>
        </w:rPr>
        <w:t>BGI-CSP</w:t>
      </w:r>
      <w:r>
        <w:rPr>
          <w:color w:val="000000"/>
          <w:spacing w:val="0"/>
          <w:w w:val="100"/>
          <w:position w:val="0"/>
        </w:rPr>
        <w:t xml:space="preserve">质量管理体系认证，不仅适用于疫情防控时期快速建立的实验室质量保障需 </w:t>
      </w:r>
      <w:r>
        <w:rPr>
          <w:color w:val="000000"/>
          <w:spacing w:val="0"/>
          <w:w w:val="100"/>
          <w:position w:val="0"/>
        </w:rPr>
        <w:t>求，也可借鉴于常规分子诊断医学实验室质量保证体系的建立。因其关键性能要素对于分子诊断实验室的更加具化描述，使 其与国际标准相比更具有针对性，更具有行业参考性。</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实验室所涉及的试剂、实验室建设材料、技术程序均自主可控， 是资质齐全，标准化、自动化、信息化、规模化和工程化的</w:t>
      </w:r>
      <w:r>
        <w:rPr>
          <w:rFonts w:ascii="Times New Roman" w:eastAsia="Times New Roman" w:hAnsi="Times New Roman" w:cs="Times New Roman"/>
          <w:color w:val="000000"/>
          <w:spacing w:val="0"/>
          <w:w w:val="100"/>
          <w:position w:val="0"/>
        </w:rPr>
        <w:t>“</w:t>
      </w:r>
      <w:r>
        <w:rPr>
          <w:color w:val="000000"/>
          <w:spacing w:val="0"/>
          <w:w w:val="100"/>
          <w:position w:val="0"/>
        </w:rPr>
        <w:t>平疫结合</w:t>
      </w:r>
      <w:r>
        <w:rPr>
          <w:rFonts w:ascii="Times New Roman" w:eastAsia="Times New Roman" w:hAnsi="Times New Roman" w:cs="Times New Roman"/>
          <w:color w:val="000000"/>
          <w:spacing w:val="0"/>
          <w:w w:val="100"/>
          <w:position w:val="0"/>
        </w:rPr>
        <w:t>”</w:t>
      </w:r>
      <w:r>
        <w:rPr>
          <w:color w:val="000000"/>
          <w:spacing w:val="0"/>
          <w:w w:val="100"/>
          <w:position w:val="0"/>
        </w:rPr>
        <w:t>新型技术平台，能够在</w:t>
      </w:r>
      <w:r>
        <w:rPr>
          <w:rFonts w:ascii="Times New Roman" w:eastAsia="Times New Roman" w:hAnsi="Times New Roman" w:cs="Times New Roman"/>
          <w:color w:val="000000"/>
          <w:spacing w:val="0"/>
          <w:w w:val="100"/>
          <w:position w:val="0"/>
        </w:rPr>
        <w:t>“</w:t>
      </w:r>
      <w:r>
        <w:rPr>
          <w:color w:val="000000"/>
          <w:spacing w:val="0"/>
          <w:w w:val="100"/>
          <w:position w:val="0"/>
        </w:rPr>
        <w:t>平时</w:t>
      </w:r>
      <w:r>
        <w:rPr>
          <w:rFonts w:ascii="Times New Roman" w:eastAsia="Times New Roman" w:hAnsi="Times New Roman" w:cs="Times New Roman"/>
          <w:color w:val="000000"/>
          <w:spacing w:val="0"/>
          <w:w w:val="100"/>
          <w:position w:val="0"/>
        </w:rPr>
        <w:t>”</w:t>
      </w:r>
      <w:r>
        <w:rPr>
          <w:color w:val="000000"/>
          <w:spacing w:val="0"/>
          <w:w w:val="100"/>
          <w:position w:val="0"/>
        </w:rPr>
        <w:t>为日常化应用和科研服 务，在</w:t>
      </w:r>
      <w:r>
        <w:rPr>
          <w:rFonts w:ascii="Times New Roman" w:eastAsia="Times New Roman" w:hAnsi="Times New Roman" w:cs="Times New Roman"/>
          <w:color w:val="000000"/>
          <w:spacing w:val="0"/>
          <w:w w:val="100"/>
          <w:position w:val="0"/>
        </w:rPr>
        <w:t>“</w:t>
      </w:r>
      <w:r>
        <w:rPr>
          <w:color w:val="000000"/>
          <w:spacing w:val="0"/>
          <w:w w:val="100"/>
          <w:position w:val="0"/>
        </w:rPr>
        <w:t>疫时</w:t>
      </w:r>
      <w:r>
        <w:rPr>
          <w:rFonts w:ascii="Times New Roman" w:eastAsia="Times New Roman" w:hAnsi="Times New Roman" w:cs="Times New Roman"/>
          <w:color w:val="000000"/>
          <w:spacing w:val="0"/>
          <w:w w:val="100"/>
          <w:position w:val="0"/>
        </w:rPr>
        <w:t>”</w:t>
      </w:r>
      <w:r>
        <w:rPr>
          <w:color w:val="000000"/>
          <w:spacing w:val="0"/>
          <w:w w:val="100"/>
          <w:position w:val="0"/>
        </w:rPr>
        <w:t>快速响应应急检测和科研攻关需求，是重塑公共卫生应急体系和防疫基础设施的新基建。</w:t>
      </w:r>
    </w:p>
    <w:p>
      <w:pPr>
        <w:pStyle w:val="Style17"/>
        <w:keepNext w:val="0"/>
        <w:keepLines w:val="0"/>
        <w:widowControl w:val="0"/>
        <w:shd w:val="clear" w:color="auto" w:fill="auto"/>
        <w:bidi w:val="0"/>
        <w:spacing w:before="0" w:line="312" w:lineRule="exact"/>
        <w:ind w:left="0" w:right="0" w:firstLine="200"/>
        <w:jc w:val="left"/>
      </w:pPr>
      <w:bookmarkStart w:id="105" w:name="bookmark105"/>
      <w:r>
        <w:rPr>
          <w:b/>
          <w:bCs/>
          <w:color w:val="000000"/>
          <w:spacing w:val="0"/>
          <w:w w:val="100"/>
          <w:position w:val="0"/>
        </w:rPr>
        <w:t>（</w:t>
      </w:r>
      <w:bookmarkEnd w:id="105"/>
      <w:r>
        <w:rPr>
          <w:b/>
          <w:bCs/>
          <w:color w:val="000000"/>
          <w:spacing w:val="0"/>
          <w:w w:val="100"/>
          <w:position w:val="0"/>
        </w:rPr>
        <w:t>四）报告期内经营情况概述</w:t>
      </w:r>
    </w:p>
    <w:p>
      <w:pPr>
        <w:pStyle w:val="Style17"/>
        <w:keepNext w:val="0"/>
        <w:keepLines w:val="0"/>
        <w:widowControl w:val="0"/>
        <w:shd w:val="clear" w:color="auto" w:fill="auto"/>
        <w:bidi w:val="0"/>
        <w:spacing w:before="0" w:after="240" w:line="312" w:lineRule="exact"/>
        <w:ind w:left="0" w:right="0"/>
        <w:jc w:val="left"/>
      </w:pPr>
      <w:r>
        <w:rPr>
          <w:color w:val="000000"/>
          <w:spacing w:val="0"/>
          <w:w w:val="100"/>
          <w:position w:val="0"/>
        </w:rPr>
        <w:t>报告期内，公司秉承</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大目标，坚持</w:t>
      </w:r>
      <w:r>
        <w:rPr>
          <w:rFonts w:ascii="Times New Roman" w:eastAsia="Times New Roman" w:hAnsi="Times New Roman" w:cs="Times New Roman"/>
          <w:color w:val="000000"/>
          <w:spacing w:val="0"/>
          <w:w w:val="100"/>
          <w:position w:val="0"/>
        </w:rPr>
        <w:t>“</w:t>
      </w:r>
      <w:r>
        <w:rPr>
          <w:color w:val="000000"/>
          <w:spacing w:val="0"/>
          <w:w w:val="100"/>
          <w:position w:val="0"/>
        </w:rPr>
        <w:t>防大于治、人人可及</w:t>
      </w:r>
      <w:r>
        <w:rPr>
          <w:rFonts w:ascii="Times New Roman" w:eastAsia="Times New Roman" w:hAnsi="Times New Roman" w:cs="Times New Roman"/>
          <w:color w:val="000000"/>
          <w:spacing w:val="0"/>
          <w:w w:val="100"/>
          <w:position w:val="0"/>
        </w:rPr>
        <w:t>”</w:t>
      </w:r>
      <w:r>
        <w:rPr>
          <w:color w:val="000000"/>
          <w:spacing w:val="0"/>
          <w:w w:val="100"/>
          <w:position w:val="0"/>
        </w:rPr>
        <w:t>的公共卫生普惠精准防控理念，主动战 略性调整新冠相关产品结构与供应链策略，继续聚焦主营业务，持续加大研发投入，加速提升全球市场份额，公司整体营 业收入较上年同期新冠疫情突发大幅增长的基数基础上有所下降，剔除新冠业务变化情况，公司常规业务保持了稳健发展 态势。报告期内，公司实现营业收入</w:t>
      </w:r>
      <w:r>
        <w:rPr>
          <w:rFonts w:ascii="Times New Roman" w:eastAsia="Times New Roman" w:hAnsi="Times New Roman" w:cs="Times New Roman"/>
          <w:color w:val="000000"/>
          <w:spacing w:val="0"/>
          <w:w w:val="100"/>
          <w:position w:val="0"/>
        </w:rPr>
        <w:t>676,613.73</w:t>
      </w:r>
      <w:r>
        <w:rPr>
          <w:color w:val="000000"/>
          <w:spacing w:val="0"/>
          <w:w w:val="100"/>
          <w:position w:val="0"/>
        </w:rPr>
        <w:t>万元，同比下降</w:t>
      </w:r>
      <w:r>
        <w:rPr>
          <w:rFonts w:ascii="Times New Roman" w:eastAsia="Times New Roman" w:hAnsi="Times New Roman" w:cs="Times New Roman"/>
          <w:color w:val="000000"/>
          <w:spacing w:val="0"/>
          <w:w w:val="100"/>
          <w:position w:val="0"/>
        </w:rPr>
        <w:t>19.42%</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146,153.63</w:t>
      </w:r>
      <w:r>
        <w:rPr>
          <w:color w:val="000000"/>
          <w:spacing w:val="0"/>
          <w:w w:val="100"/>
          <w:position w:val="0"/>
        </w:rPr>
        <w:t>万元， 同比下降</w:t>
      </w:r>
      <w:r>
        <w:rPr>
          <w:rFonts w:ascii="Times New Roman" w:eastAsia="Times New Roman" w:hAnsi="Times New Roman" w:cs="Times New Roman"/>
          <w:color w:val="000000"/>
          <w:spacing w:val="0"/>
          <w:w w:val="100"/>
          <w:position w:val="0"/>
        </w:rPr>
        <w:t>30.08%</w:t>
      </w:r>
      <w:r>
        <w:rPr>
          <w:color w:val="000000"/>
          <w:spacing w:val="0"/>
          <w:w w:val="100"/>
          <w:position w:val="0"/>
        </w:rPr>
        <w:t>。报告期内，公司继续加大研发投入力度，研发投入总金额为</w:t>
      </w:r>
      <w:r>
        <w:rPr>
          <w:rFonts w:ascii="Times New Roman" w:eastAsia="Times New Roman" w:hAnsi="Times New Roman" w:cs="Times New Roman"/>
          <w:color w:val="000000"/>
          <w:spacing w:val="0"/>
          <w:w w:val="100"/>
          <w:position w:val="0"/>
        </w:rPr>
        <w:t>54,219.02</w:t>
      </w:r>
      <w:r>
        <w:rPr>
          <w:color w:val="000000"/>
          <w:spacing w:val="0"/>
          <w:w w:val="100"/>
          <w:position w:val="0"/>
        </w:rPr>
        <w:t>万元，占同期营业收入比例为</w:t>
      </w:r>
      <w:r>
        <w:rPr>
          <w:rFonts w:ascii="Times New Roman" w:eastAsia="Times New Roman" w:hAnsi="Times New Roman" w:cs="Times New Roman"/>
          <w:color w:val="000000"/>
          <w:spacing w:val="0"/>
          <w:w w:val="100"/>
          <w:position w:val="0"/>
        </w:rPr>
        <w:t>8.01%</w:t>
      </w:r>
      <w:r>
        <w:rPr>
          <w:color w:val="000000"/>
          <w:spacing w:val="0"/>
          <w:w w:val="100"/>
          <w:position w:val="0"/>
        </w:rPr>
        <w:t>。 报告期内主要经营成果如下：</w:t>
      </w:r>
    </w:p>
    <w:p>
      <w:pPr>
        <w:pStyle w:val="Style17"/>
        <w:keepNext w:val="0"/>
        <w:keepLines w:val="0"/>
        <w:widowControl w:val="0"/>
        <w:shd w:val="clear" w:color="auto" w:fill="auto"/>
        <w:tabs>
          <w:tab w:pos="659" w:val="left"/>
        </w:tabs>
        <w:bidi w:val="0"/>
        <w:spacing w:before="0" w:after="0"/>
        <w:ind w:left="0" w:right="0"/>
        <w:jc w:val="left"/>
      </w:pPr>
      <w:bookmarkStart w:id="106" w:name="bookmark106"/>
      <w:r>
        <w:rPr>
          <w:rFonts w:ascii="Times New Roman" w:eastAsia="Times New Roman" w:hAnsi="Times New Roman" w:cs="Times New Roman"/>
          <w:b/>
          <w:bCs/>
          <w:color w:val="000000"/>
          <w:spacing w:val="0"/>
          <w:w w:val="100"/>
          <w:position w:val="0"/>
        </w:rPr>
        <w:t>1</w:t>
      </w:r>
      <w:bookmarkEnd w:id="106"/>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火眼实验室</w:t>
      </w:r>
      <w:r>
        <w:rPr>
          <w:rFonts w:ascii="Times New Roman" w:eastAsia="Times New Roman" w:hAnsi="Times New Roman" w:cs="Times New Roman"/>
          <w:b/>
          <w:bCs/>
          <w:color w:val="000000"/>
          <w:spacing w:val="0"/>
          <w:w w:val="100"/>
          <w:position w:val="0"/>
        </w:rPr>
        <w:t>”</w:t>
      </w:r>
      <w:r>
        <w:rPr>
          <w:b/>
          <w:bCs/>
          <w:color w:val="000000"/>
          <w:spacing w:val="0"/>
          <w:w w:val="100"/>
          <w:position w:val="0"/>
        </w:rPr>
        <w:t>渠道优势显著，深化海外业务可持续发展</w:t>
      </w:r>
    </w:p>
    <w:p>
      <w:pPr>
        <w:pStyle w:val="Style17"/>
        <w:keepNext w:val="0"/>
        <w:keepLines w:val="0"/>
        <w:widowControl w:val="0"/>
        <w:shd w:val="clear" w:color="auto" w:fill="auto"/>
        <w:bidi w:val="0"/>
        <w:spacing w:before="0" w:line="312" w:lineRule="exact"/>
        <w:ind w:left="0" w:right="0"/>
        <w:jc w:val="left"/>
      </w:pPr>
      <w:r>
        <w:rPr>
          <w:color w:val="000000"/>
          <w:spacing w:val="0"/>
          <w:w w:val="100"/>
          <w:position w:val="0"/>
        </w:rPr>
        <w:t>自新冠疫情发生以来，公司在丰富检测产品矩阵和多场景化综合解决方案服务方面，不断研发创新，全力满足全球疫 情防控的动态化市场需求，充分检验了公司的综合技术实力和运营管理能力。在新冠产品研发布局方面，报告期内，公司 针对多联检检测、核酸快速检测、不同变异株检测、抗原自测等市场需求，加大研发资源及国际资质申报的投入，相关检 测试剂盒均已获得欧盟</w:t>
      </w:r>
      <w:r>
        <w:rPr>
          <w:rFonts w:ascii="Times New Roman" w:eastAsia="Times New Roman" w:hAnsi="Times New Roman" w:cs="Times New Roman"/>
          <w:color w:val="000000"/>
          <w:spacing w:val="0"/>
          <w:w w:val="100"/>
          <w:position w:val="0"/>
        </w:rPr>
        <w:t>CE</w:t>
      </w:r>
      <w:r>
        <w:rPr>
          <w:color w:val="000000"/>
          <w:spacing w:val="0"/>
          <w:w w:val="100"/>
          <w:position w:val="0"/>
        </w:rPr>
        <w:t>准入资质。目前，公司已形成病毒测序、核酸检测、核酸快检、抗原快检、抗原自测、抗体快 检、中和抗体检测等多产品覆盖体系。在抗疫综合解决方案服务方面，报告期内，公司在埃塞俄比亚和沙特阿拉伯分别落 地了机场</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w:t>
      </w:r>
      <w:r>
        <w:rPr>
          <w:color w:val="000000"/>
          <w:spacing w:val="0"/>
          <w:w w:val="100"/>
          <w:position w:val="0"/>
        </w:rPr>
        <w:t>，</w:t>
      </w:r>
      <w:r>
        <w:rPr>
          <w:color w:val="000000"/>
          <w:spacing w:val="0"/>
          <w:w w:val="100"/>
          <w:position w:val="0"/>
        </w:rPr>
        <w:t>解决跨境人员快速检测的服务需求。截至报告期末，借助长期积累的全球销售渠道，公司新冠检 测产品已经覆盖全球超过</w:t>
      </w:r>
      <w:r>
        <w:rPr>
          <w:rFonts w:ascii="Times New Roman" w:eastAsia="Times New Roman" w:hAnsi="Times New Roman" w:cs="Times New Roman"/>
          <w:color w:val="000000"/>
          <w:spacing w:val="0"/>
          <w:w w:val="100"/>
          <w:position w:val="0"/>
        </w:rPr>
        <w:t>180</w:t>
      </w:r>
      <w:r>
        <w:rPr>
          <w:color w:val="000000"/>
          <w:spacing w:val="0"/>
          <w:w w:val="100"/>
          <w:position w:val="0"/>
        </w:rPr>
        <w:t>个国家和地区，海外累计启动</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实验室近</w:t>
      </w:r>
      <w:r>
        <w:rPr>
          <w:rFonts w:ascii="Times New Roman" w:eastAsia="Times New Roman" w:hAnsi="Times New Roman" w:cs="Times New Roman"/>
          <w:color w:val="000000"/>
          <w:spacing w:val="0"/>
          <w:w w:val="100"/>
          <w:position w:val="0"/>
        </w:rPr>
        <w:t>100</w:t>
      </w:r>
      <w:r>
        <w:rPr>
          <w:color w:val="000000"/>
          <w:spacing w:val="0"/>
          <w:w w:val="100"/>
          <w:position w:val="0"/>
        </w:rPr>
        <w:t>个，分布在全球</w:t>
      </w:r>
      <w:r>
        <w:rPr>
          <w:rFonts w:ascii="Times New Roman" w:eastAsia="Times New Roman" w:hAnsi="Times New Roman" w:cs="Times New Roman"/>
          <w:color w:val="000000"/>
          <w:spacing w:val="0"/>
          <w:w w:val="100"/>
          <w:position w:val="0"/>
        </w:rPr>
        <w:t>30</w:t>
      </w:r>
      <w:r>
        <w:rPr>
          <w:color w:val="000000"/>
          <w:spacing w:val="0"/>
          <w:w w:val="100"/>
          <w:position w:val="0"/>
        </w:rPr>
        <w:t>余个国家和地区，致力于 为各个国家和地区的公众健康作出积极贡献。</w:t>
      </w:r>
    </w:p>
    <w:p>
      <w:pPr>
        <w:pStyle w:val="Style17"/>
        <w:keepNext w:val="0"/>
        <w:keepLines w:val="0"/>
        <w:widowControl w:val="0"/>
        <w:shd w:val="clear" w:color="auto" w:fill="auto"/>
        <w:bidi w:val="0"/>
        <w:spacing w:before="0" w:line="312" w:lineRule="exact"/>
        <w:ind w:left="0" w:right="0"/>
        <w:jc w:val="left"/>
      </w:pPr>
      <w:r>
        <w:rPr>
          <w:color w:val="000000"/>
          <w:spacing w:val="0"/>
          <w:w w:val="100"/>
          <w:position w:val="0"/>
        </w:rPr>
        <w:t>公司紧抓后疫情时代全球精准医学服务体系建设扩容的契机，在产品资质、本地化战略规划、质量体系等多个维度， 全面深化国际业务拓展。在产品资质方面，报告期内，公司针对多联检检测、核酸快速检测、不同变异株检测的市场需求 所研发的相关检测试剂盒，核酸多重检测试剂产品、地中海贫血基因检测试剂盒、镰刀型细胞贫血病基因检测试剂盒、肠 癌辅助诊断检测试剂盒、肺癌</w:t>
      </w:r>
      <w:r>
        <w:rPr>
          <w:rFonts w:ascii="Times New Roman" w:eastAsia="Times New Roman" w:hAnsi="Times New Roman" w:cs="Times New Roman"/>
          <w:color w:val="000000"/>
          <w:spacing w:val="0"/>
          <w:w w:val="100"/>
          <w:position w:val="0"/>
        </w:rPr>
        <w:t>ctDNA</w:t>
      </w:r>
      <w:r>
        <w:rPr>
          <w:color w:val="000000"/>
          <w:spacing w:val="0"/>
          <w:w w:val="100"/>
          <w:position w:val="0"/>
        </w:rPr>
        <w:t>检测试剂盒、实体肿瘤多基因联合检测试剂盒等产品均获得了欧盟</w:t>
      </w:r>
      <w:r>
        <w:rPr>
          <w:rFonts w:ascii="Times New Roman" w:eastAsia="Times New Roman" w:hAnsi="Times New Roman" w:cs="Times New Roman"/>
          <w:color w:val="000000"/>
          <w:spacing w:val="0"/>
          <w:w w:val="100"/>
          <w:position w:val="0"/>
        </w:rPr>
        <w:t>CE</w:t>
      </w:r>
      <w:r>
        <w:rPr>
          <w:color w:val="000000"/>
          <w:spacing w:val="0"/>
          <w:w w:val="100"/>
          <w:position w:val="0"/>
        </w:rPr>
        <w:t>准入资质， 无创产前基因检测产品获印度准入资质，未来有望依托</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实验室平台，为公司海外业务的可持续发展提供重要支持。 此外，截至目前，公司地中海贫血基因检测产品、肠癌辅助诊断检测产品、肺癌基因检测产品和新生儿遗传代谢筛查产品 已经获得沙特阿拉伯食品药品管理局批准上市，为中东地区业务的长期本地化发展与合作奠定基础；全自动</w:t>
      </w:r>
      <w:r>
        <w:rPr>
          <w:rFonts w:ascii="Times New Roman" w:eastAsia="Times New Roman" w:hAnsi="Times New Roman" w:cs="Times New Roman"/>
          <w:color w:val="000000"/>
          <w:spacing w:val="0"/>
          <w:w w:val="100"/>
          <w:position w:val="0"/>
        </w:rPr>
        <w:t>PCR</w:t>
      </w:r>
      <w:r>
        <w:rPr>
          <w:color w:val="000000"/>
          <w:spacing w:val="0"/>
          <w:w w:val="100"/>
          <w:position w:val="0"/>
        </w:rPr>
        <w:t xml:space="preserve">分析系统 </w:t>
      </w:r>
      <w:r>
        <w:rPr>
          <w:rFonts w:ascii="Times New Roman" w:eastAsia="Times New Roman" w:hAnsi="Times New Roman" w:cs="Times New Roman"/>
          <w:color w:val="000000"/>
          <w:spacing w:val="0"/>
          <w:w w:val="100"/>
          <w:position w:val="0"/>
        </w:rPr>
        <w:t>PM Easy Lab</w:t>
      </w:r>
      <w:r>
        <w:rPr>
          <w:color w:val="000000"/>
          <w:spacing w:val="0"/>
          <w:w w:val="100"/>
          <w:position w:val="0"/>
        </w:rPr>
        <w:t>及其配套的中枢神经系统感染病原体核酸多重检测试剂盒、细菌耐药基因多重检测试剂盒均已获得欧盟</w:t>
      </w:r>
      <w:r>
        <w:rPr>
          <w:rFonts w:ascii="Times New Roman" w:eastAsia="Times New Roman" w:hAnsi="Times New Roman" w:cs="Times New Roman"/>
          <w:color w:val="000000"/>
          <w:spacing w:val="0"/>
          <w:w w:val="100"/>
          <w:position w:val="0"/>
        </w:rPr>
        <w:t>CE</w:t>
      </w:r>
      <w:r>
        <w:rPr>
          <w:color w:val="000000"/>
          <w:spacing w:val="0"/>
          <w:w w:val="100"/>
          <w:position w:val="0"/>
        </w:rPr>
        <w:t>准 入资质，该中通量检测产品可助力病原体检测下沉至更多应用场景。在海外业务本地化发展规划方面，公司利用自身技术 优势和工程化能力，开展</w:t>
      </w:r>
      <w:r>
        <w:rPr>
          <w:rFonts w:ascii="Times New Roman" w:eastAsia="Times New Roman" w:hAnsi="Times New Roman" w:cs="Times New Roman"/>
          <w:color w:val="000000"/>
          <w:spacing w:val="0"/>
          <w:w w:val="100"/>
          <w:position w:val="0"/>
        </w:rPr>
        <w:t>“</w:t>
      </w:r>
      <w:r>
        <w:rPr>
          <w:color w:val="000000"/>
          <w:spacing w:val="0"/>
          <w:w w:val="100"/>
          <w:position w:val="0"/>
        </w:rPr>
        <w:t>前店后厂</w:t>
      </w:r>
      <w:r>
        <w:rPr>
          <w:rFonts w:ascii="Times New Roman" w:eastAsia="Times New Roman" w:hAnsi="Times New Roman" w:cs="Times New Roman"/>
          <w:color w:val="000000"/>
          <w:spacing w:val="0"/>
          <w:w w:val="100"/>
          <w:position w:val="0"/>
        </w:rPr>
        <w:t>”</w:t>
      </w:r>
      <w:r>
        <w:rPr>
          <w:color w:val="000000"/>
          <w:spacing w:val="0"/>
          <w:w w:val="100"/>
          <w:position w:val="0"/>
        </w:rPr>
        <w:t>战略规划，推进</w:t>
      </w:r>
      <w:r>
        <w:rPr>
          <w:rFonts w:ascii="Times New Roman" w:eastAsia="Times New Roman" w:hAnsi="Times New Roman" w:cs="Times New Roman"/>
          <w:color w:val="000000"/>
          <w:spacing w:val="0"/>
          <w:w w:val="100"/>
          <w:position w:val="0"/>
        </w:rPr>
        <w:t>IVD</w:t>
      </w:r>
      <w:r>
        <w:rPr>
          <w:color w:val="000000"/>
          <w:spacing w:val="0"/>
          <w:w w:val="100"/>
          <w:position w:val="0"/>
        </w:rPr>
        <w:t>工厂建设。公司在非洲埃塞俄比亚建立的</w:t>
      </w:r>
      <w:r>
        <w:rPr>
          <w:rFonts w:ascii="Times New Roman" w:eastAsia="Times New Roman" w:hAnsi="Times New Roman" w:cs="Times New Roman"/>
          <w:color w:val="000000"/>
          <w:spacing w:val="0"/>
          <w:w w:val="100"/>
          <w:position w:val="0"/>
        </w:rPr>
        <w:t>IVD</w:t>
      </w:r>
      <w:r>
        <w:rPr>
          <w:color w:val="000000"/>
          <w:spacing w:val="0"/>
          <w:w w:val="100"/>
          <w:position w:val="0"/>
        </w:rPr>
        <w:t>工厂，于报告期内 获得了</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w:t>
      </w:r>
      <w:r>
        <w:rPr>
          <w:color w:val="000000"/>
          <w:spacing w:val="0"/>
          <w:w w:val="100"/>
          <w:position w:val="0"/>
        </w:rPr>
        <w:t>体系认证，为埃塞俄比亚首家获得此类认证的</w:t>
      </w:r>
      <w:r>
        <w:rPr>
          <w:rFonts w:ascii="Times New Roman" w:eastAsia="Times New Roman" w:hAnsi="Times New Roman" w:cs="Times New Roman"/>
          <w:color w:val="000000"/>
          <w:spacing w:val="0"/>
          <w:w w:val="100"/>
          <w:position w:val="0"/>
        </w:rPr>
        <w:t>IVD</w:t>
      </w:r>
      <w:r>
        <w:rPr>
          <w:color w:val="000000"/>
          <w:spacing w:val="0"/>
          <w:w w:val="100"/>
          <w:position w:val="0"/>
        </w:rPr>
        <w:t>企业，这对于公司立足于埃塞俄比亚，并辐射非洲其他 国家奠定了良好的基础；沙特子公司</w:t>
      </w:r>
      <w:r>
        <w:rPr>
          <w:rFonts w:ascii="Times New Roman" w:eastAsia="Times New Roman" w:hAnsi="Times New Roman" w:cs="Times New Roman"/>
          <w:color w:val="000000"/>
          <w:spacing w:val="0"/>
          <w:w w:val="100"/>
          <w:position w:val="0"/>
        </w:rPr>
        <w:t>IVD</w:t>
      </w:r>
      <w:r>
        <w:rPr>
          <w:color w:val="000000"/>
          <w:spacing w:val="0"/>
          <w:w w:val="100"/>
          <w:position w:val="0"/>
        </w:rPr>
        <w:t>工厂已在筹建中，并与沙特阿拉伯国家工业发展中心主席签署谅解备忘录以加强 本地化合作。在质量体系方面，截至报告期末，公司全资子公司香港医学作为香港首家</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w:t>
      </w:r>
      <w:r>
        <w:rPr>
          <w:color w:val="000000"/>
          <w:spacing w:val="0"/>
          <w:w w:val="100"/>
          <w:position w:val="0"/>
        </w:rPr>
        <w:t>工厂正式获得香港卫生 署授予的本地负责人的表列证书</w:t>
      </w:r>
      <w:r>
        <w:rPr>
          <w:color w:val="000000"/>
          <w:spacing w:val="0"/>
          <w:w w:val="100"/>
          <w:position w:val="0"/>
        </w:rPr>
        <w:t>（</w:t>
      </w:r>
      <w:r>
        <w:rPr>
          <w:rFonts w:ascii="Times New Roman" w:eastAsia="Times New Roman" w:hAnsi="Times New Roman" w:cs="Times New Roman"/>
          <w:color w:val="000000"/>
          <w:spacing w:val="0"/>
          <w:w w:val="100"/>
          <w:position w:val="0"/>
        </w:rPr>
        <w:t>LRP</w:t>
      </w:r>
      <w:r>
        <w:rPr>
          <w:color w:val="000000"/>
          <w:spacing w:val="0"/>
          <w:w w:val="100"/>
          <w:position w:val="0"/>
        </w:rPr>
        <w:t>）</w:t>
      </w:r>
      <w:r>
        <w:rPr>
          <w:color w:val="000000"/>
          <w:spacing w:val="0"/>
          <w:w w:val="100"/>
          <w:position w:val="0"/>
        </w:rPr>
        <w:t>，其双靶标新冠检测试剂盒也正式获得在医疗仪器行政管理制度下的表列证书， 对于未来医疗器械在香港本地的资质申报具有示范性意义。</w:t>
      </w:r>
    </w:p>
    <w:p>
      <w:pPr>
        <w:pStyle w:val="Style17"/>
        <w:keepNext w:val="0"/>
        <w:keepLines w:val="0"/>
        <w:widowControl w:val="0"/>
        <w:shd w:val="clear" w:color="auto" w:fill="auto"/>
        <w:bidi w:val="0"/>
        <w:spacing w:before="0" w:after="240" w:line="312" w:lineRule="exact"/>
        <w:ind w:left="0" w:right="0"/>
        <w:jc w:val="left"/>
      </w:pPr>
      <w:r>
        <w:rPr>
          <w:color w:val="000000"/>
          <w:spacing w:val="0"/>
          <w:w w:val="100"/>
          <w:position w:val="0"/>
        </w:rPr>
        <w:t>新冠疫情对于全球各国公共卫生防控而言都具有警示作用，通过这次疫情，更多国家及地区意识到公共卫生本地化能 力建设和本地的产业生态发展，是关系国计民生的一个重要支柱。华大基因基于产品与服务的</w:t>
      </w:r>
      <w:r>
        <w:rPr>
          <w:rFonts w:ascii="Times New Roman" w:eastAsia="Times New Roman" w:hAnsi="Times New Roman" w:cs="Times New Roman"/>
          <w:color w:val="000000"/>
          <w:spacing w:val="0"/>
          <w:w w:val="100"/>
          <w:position w:val="0"/>
        </w:rPr>
        <w:t>“</w:t>
      </w:r>
      <w:r>
        <w:rPr>
          <w:color w:val="000000"/>
          <w:spacing w:val="0"/>
          <w:w w:val="100"/>
          <w:position w:val="0"/>
        </w:rPr>
        <w:t>双线布局</w:t>
      </w:r>
      <w:r>
        <w:rPr>
          <w:rFonts w:ascii="Times New Roman" w:eastAsia="Times New Roman" w:hAnsi="Times New Roman" w:cs="Times New Roman"/>
          <w:color w:val="000000"/>
          <w:spacing w:val="0"/>
          <w:w w:val="100"/>
          <w:position w:val="0"/>
        </w:rPr>
        <w:t>”</w:t>
      </w:r>
      <w:r>
        <w:rPr>
          <w:color w:val="000000"/>
          <w:spacing w:val="0"/>
          <w:w w:val="100"/>
          <w:position w:val="0"/>
        </w:rPr>
        <w:t>，将公共卫生防 控的一体化解决方案输出至海外，并把中国的技术通过工程化赋能的方式进行全球拓展，助力深入拓展国际市场布局，实 现海外业务可持续发展。</w:t>
      </w:r>
    </w:p>
    <w:p>
      <w:pPr>
        <w:pStyle w:val="Style17"/>
        <w:keepNext w:val="0"/>
        <w:keepLines w:val="0"/>
        <w:widowControl w:val="0"/>
        <w:shd w:val="clear" w:color="auto" w:fill="auto"/>
        <w:tabs>
          <w:tab w:pos="674" w:val="left"/>
        </w:tabs>
        <w:bidi w:val="0"/>
        <w:spacing w:before="0" w:after="0"/>
        <w:ind w:left="0" w:right="0"/>
        <w:jc w:val="left"/>
      </w:pPr>
      <w:bookmarkStart w:id="107" w:name="bookmark107"/>
      <w:r>
        <w:rPr>
          <w:rFonts w:ascii="Times New Roman" w:eastAsia="Times New Roman" w:hAnsi="Times New Roman" w:cs="Times New Roman"/>
          <w:b/>
          <w:bCs/>
          <w:color w:val="000000"/>
          <w:spacing w:val="0"/>
          <w:w w:val="100"/>
          <w:position w:val="0"/>
        </w:rPr>
        <w:t>2</w:t>
      </w:r>
      <w:bookmarkEnd w:id="107"/>
      <w:r>
        <w:rPr>
          <w:b/>
          <w:bCs/>
          <w:color w:val="000000"/>
          <w:spacing w:val="0"/>
          <w:w w:val="100"/>
          <w:position w:val="0"/>
        </w:rPr>
        <w:t>、</w:t>
        <w:tab/>
        <w:t>顺应全球出生缺陷防治政策，扩大出生缺陷防控优势</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截至报告期末，公司生育产品临床检测累计服务超过</w:t>
      </w:r>
      <w:r>
        <w:rPr>
          <w:rFonts w:ascii="Times New Roman" w:eastAsia="Times New Roman" w:hAnsi="Times New Roman" w:cs="Times New Roman"/>
          <w:color w:val="000000"/>
          <w:spacing w:val="0"/>
          <w:w w:val="100"/>
          <w:position w:val="0"/>
        </w:rPr>
        <w:t>1,883</w:t>
      </w:r>
      <w:r>
        <w:rPr>
          <w:color w:val="000000"/>
          <w:spacing w:val="0"/>
          <w:w w:val="100"/>
          <w:position w:val="0"/>
        </w:rPr>
        <w:t>万人次，已为超过</w:t>
      </w:r>
      <w:r>
        <w:rPr>
          <w:rFonts w:ascii="Times New Roman" w:eastAsia="Times New Roman" w:hAnsi="Times New Roman" w:cs="Times New Roman"/>
          <w:color w:val="000000"/>
          <w:spacing w:val="0"/>
          <w:w w:val="100"/>
          <w:position w:val="0"/>
        </w:rPr>
        <w:t>1,042</w:t>
      </w:r>
      <w:r>
        <w:rPr>
          <w:color w:val="000000"/>
          <w:spacing w:val="0"/>
          <w:w w:val="100"/>
          <w:position w:val="0"/>
        </w:rPr>
        <w:t>万人提供无创产前基因检测；超过</w:t>
      </w:r>
      <w:r>
        <w:rPr>
          <w:rFonts w:ascii="Times New Roman" w:eastAsia="Times New Roman" w:hAnsi="Times New Roman" w:cs="Times New Roman"/>
          <w:color w:val="000000"/>
          <w:spacing w:val="0"/>
          <w:w w:val="100"/>
          <w:position w:val="0"/>
        </w:rPr>
        <w:t xml:space="preserve">494 </w:t>
      </w:r>
      <w:r>
        <w:rPr>
          <w:color w:val="000000"/>
          <w:spacing w:val="0"/>
          <w:w w:val="100"/>
          <w:position w:val="0"/>
        </w:rPr>
        <w:t>万名新生儿和成人接受了遗传性耳聋基因筛查的检测服务，发现数千名先天性耳聋及迟发性耳聋受累者，为这些聋儿和迟发 性耳聋受累者提供了早发现早治疗的机会；发现约</w:t>
      </w:r>
      <w:r>
        <w:rPr>
          <w:rFonts w:ascii="Times New Roman" w:eastAsia="Times New Roman" w:hAnsi="Times New Roman" w:cs="Times New Roman"/>
          <w:color w:val="000000"/>
          <w:spacing w:val="0"/>
          <w:w w:val="100"/>
          <w:position w:val="0"/>
        </w:rPr>
        <w:t>25</w:t>
      </w:r>
      <w:r>
        <w:rPr>
          <w:color w:val="000000"/>
          <w:spacing w:val="0"/>
          <w:w w:val="100"/>
          <w:position w:val="0"/>
        </w:rPr>
        <w:t>万人携带常见耳聋基因突变，为精准防聋控聋提供解决方案，有效控制 耳聋的发生发展；已为超过</w:t>
      </w:r>
      <w:r>
        <w:rPr>
          <w:rFonts w:ascii="Times New Roman" w:eastAsia="Times New Roman" w:hAnsi="Times New Roman" w:cs="Times New Roman"/>
          <w:color w:val="000000"/>
          <w:spacing w:val="0"/>
          <w:w w:val="100"/>
          <w:position w:val="0"/>
        </w:rPr>
        <w:t>10 2</w:t>
      </w:r>
      <w:r>
        <w:rPr>
          <w:color w:val="000000"/>
          <w:spacing w:val="0"/>
          <w:w w:val="100"/>
          <w:position w:val="0"/>
        </w:rPr>
        <w:t>万人提供了地中海贫血基因检测，助力地中海贫血产前诊断及干预，防控重度地中海贫血； 已为超过</w:t>
      </w:r>
      <w:r>
        <w:rPr>
          <w:rFonts w:ascii="Times New Roman" w:eastAsia="Times New Roman" w:hAnsi="Times New Roman" w:cs="Times New Roman"/>
          <w:color w:val="000000"/>
          <w:spacing w:val="0"/>
          <w:w w:val="100"/>
          <w:position w:val="0"/>
        </w:rPr>
        <w:t>145</w:t>
      </w:r>
      <w:r>
        <w:rPr>
          <w:color w:val="000000"/>
          <w:spacing w:val="0"/>
          <w:w w:val="100"/>
          <w:position w:val="0"/>
        </w:rPr>
        <w:t>万名新生儿进行遗传代谢病检测，同时提供基因检测辅助高危疑似患儿尽早进行疾病确诊，争取做到</w:t>
      </w:r>
      <w:r>
        <w:rPr>
          <w:rFonts w:ascii="Times New Roman" w:eastAsia="Times New Roman" w:hAnsi="Times New Roman" w:cs="Times New Roman"/>
          <w:color w:val="000000"/>
          <w:spacing w:val="0"/>
          <w:w w:val="100"/>
          <w:position w:val="0"/>
        </w:rPr>
        <w:t>“</w:t>
      </w:r>
      <w:r>
        <w:rPr>
          <w:color w:val="000000"/>
          <w:spacing w:val="0"/>
          <w:w w:val="100"/>
          <w:position w:val="0"/>
        </w:rPr>
        <w:t>早筛查、 早诊断、早治疗</w:t>
      </w:r>
      <w:r>
        <w:rPr>
          <w:rFonts w:ascii="Times New Roman" w:eastAsia="Times New Roman" w:hAnsi="Times New Roman" w:cs="Times New Roman"/>
          <w:color w:val="000000"/>
          <w:spacing w:val="0"/>
          <w:w w:val="100"/>
          <w:position w:val="0"/>
        </w:rPr>
        <w:t>”</w:t>
      </w:r>
      <w:r>
        <w:rPr>
          <w:color w:val="000000"/>
          <w:spacing w:val="0"/>
          <w:w w:val="100"/>
          <w:position w:val="0"/>
        </w:rPr>
        <w:t>，对提高人口质量具有重大意义；公司继续深耕单基因遗传病检测领域，公司已经为全球超过</w:t>
      </w:r>
      <w:r>
        <w:rPr>
          <w:rFonts w:ascii="Times New Roman" w:eastAsia="Times New Roman" w:hAnsi="Times New Roman" w:cs="Times New Roman"/>
          <w:color w:val="000000"/>
          <w:spacing w:val="0"/>
          <w:w w:val="100"/>
          <w:position w:val="0"/>
        </w:rPr>
        <w:t>95,000</w:t>
      </w:r>
      <w:r>
        <w:rPr>
          <w:color w:val="000000"/>
          <w:spacing w:val="0"/>
          <w:w w:val="100"/>
          <w:position w:val="0"/>
        </w:rPr>
        <w:t>名患者 提供单基因遗传病基因检测，为超过</w:t>
      </w:r>
      <w:r>
        <w:rPr>
          <w:rFonts w:ascii="Times New Roman" w:eastAsia="Times New Roman" w:hAnsi="Times New Roman" w:cs="Times New Roman"/>
          <w:color w:val="000000"/>
          <w:spacing w:val="0"/>
          <w:w w:val="100"/>
          <w:position w:val="0"/>
        </w:rPr>
        <w:t>33,000</w:t>
      </w:r>
      <w:r>
        <w:rPr>
          <w:color w:val="000000"/>
          <w:spacing w:val="0"/>
          <w:w w:val="100"/>
          <w:position w:val="0"/>
        </w:rPr>
        <w:t>名患者找到致病</w:t>
      </w:r>
      <w:r>
        <w:rPr>
          <w:rFonts w:ascii="Times New Roman" w:eastAsia="Times New Roman" w:hAnsi="Times New Roman" w:cs="Times New Roman"/>
          <w:color w:val="000000"/>
          <w:spacing w:val="0"/>
          <w:w w:val="100"/>
          <w:position w:val="0"/>
        </w:rPr>
        <w:t>/</w:t>
      </w:r>
      <w:r>
        <w:rPr>
          <w:color w:val="000000"/>
          <w:spacing w:val="0"/>
          <w:w w:val="100"/>
          <w:position w:val="0"/>
        </w:rPr>
        <w:t>疑似致病变异。</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月，公司参与了由上海交通大学医学院 附属新华医院牵头的</w:t>
      </w:r>
      <w:r>
        <w:rPr>
          <w:rFonts w:ascii="Times New Roman" w:eastAsia="Times New Roman" w:hAnsi="Times New Roman" w:cs="Times New Roman"/>
          <w:color w:val="000000"/>
          <w:spacing w:val="0"/>
          <w:w w:val="100"/>
          <w:position w:val="0"/>
        </w:rPr>
        <w:t>“</w:t>
      </w:r>
      <w:r>
        <w:rPr>
          <w:color w:val="000000"/>
          <w:spacing w:val="0"/>
          <w:w w:val="100"/>
          <w:position w:val="0"/>
        </w:rPr>
        <w:t>中国多中心新生儿遗传病基因筛查研究</w:t>
      </w:r>
      <w:r>
        <w:rPr>
          <w:rFonts w:ascii="Times New Roman" w:eastAsia="Times New Roman" w:hAnsi="Times New Roman" w:cs="Times New Roman"/>
          <w:color w:val="000000"/>
          <w:spacing w:val="0"/>
          <w:w w:val="100"/>
          <w:position w:val="0"/>
        </w:rPr>
        <w:t>”</w:t>
      </w:r>
      <w:r>
        <w:rPr>
          <w:color w:val="000000"/>
          <w:spacing w:val="0"/>
          <w:w w:val="100"/>
          <w:position w:val="0"/>
        </w:rPr>
        <w:t>项目，作为技术实施单位助力项目顺利开展。该项目计划通过 芯片捕获高通量测序技术对</w:t>
      </w:r>
      <w:r>
        <w:rPr>
          <w:rFonts w:ascii="Times New Roman" w:eastAsia="Times New Roman" w:hAnsi="Times New Roman" w:cs="Times New Roman"/>
          <w:color w:val="000000"/>
          <w:spacing w:val="0"/>
          <w:w w:val="100"/>
          <w:position w:val="0"/>
        </w:rPr>
        <w:t>3</w:t>
      </w:r>
      <w:r>
        <w:rPr>
          <w:color w:val="000000"/>
          <w:spacing w:val="0"/>
          <w:w w:val="100"/>
          <w:position w:val="0"/>
        </w:rPr>
        <w:t>万例新生儿进行</w:t>
      </w:r>
      <w:r>
        <w:rPr>
          <w:rFonts w:ascii="Times New Roman" w:eastAsia="Times New Roman" w:hAnsi="Times New Roman" w:cs="Times New Roman"/>
          <w:color w:val="000000"/>
          <w:spacing w:val="0"/>
          <w:w w:val="100"/>
          <w:position w:val="0"/>
        </w:rPr>
        <w:t>156</w:t>
      </w:r>
      <w:r>
        <w:rPr>
          <w:color w:val="000000"/>
          <w:spacing w:val="0"/>
          <w:w w:val="100"/>
          <w:position w:val="0"/>
        </w:rPr>
        <w:t>种遗传病</w:t>
      </w:r>
      <w:r>
        <w:rPr>
          <w:rFonts w:ascii="Times New Roman" w:eastAsia="Times New Roman" w:hAnsi="Times New Roman" w:cs="Times New Roman"/>
          <w:color w:val="000000"/>
          <w:spacing w:val="0"/>
          <w:w w:val="100"/>
          <w:position w:val="0"/>
        </w:rPr>
        <w:t>159</w:t>
      </w:r>
      <w:r>
        <w:rPr>
          <w:color w:val="000000"/>
          <w:spacing w:val="0"/>
          <w:w w:val="100"/>
          <w:position w:val="0"/>
        </w:rPr>
        <w:t>个基因的筛查，为筛查阳性患儿提供进一步临床检查以确诊或 排除疾病，并对确诊患者给予相应的治疗及随访，建立新生儿遗传病基因筛查系统。截至报告期末，上述新生儿遗传病基因 筛查多中心项目已完成</w:t>
      </w:r>
      <w:r>
        <w:rPr>
          <w:rFonts w:ascii="Times New Roman" w:eastAsia="Times New Roman" w:hAnsi="Times New Roman" w:cs="Times New Roman"/>
          <w:color w:val="000000"/>
          <w:spacing w:val="0"/>
          <w:w w:val="100"/>
          <w:position w:val="0"/>
        </w:rPr>
        <w:t>3</w:t>
      </w:r>
      <w:r>
        <w:rPr>
          <w:color w:val="000000"/>
          <w:spacing w:val="0"/>
          <w:w w:val="100"/>
          <w:position w:val="0"/>
        </w:rPr>
        <w:t>万例样本的检测。妇幼健康司于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月发布的《中国妇幼健康事业发展报告（</w:t>
      </w:r>
      <w:r>
        <w:rPr>
          <w:rFonts w:ascii="Times New Roman" w:eastAsia="Times New Roman" w:hAnsi="Times New Roman" w:cs="Times New Roman"/>
          <w:color w:val="000000"/>
          <w:spacing w:val="0"/>
          <w:w w:val="100"/>
          <w:position w:val="0"/>
        </w:rPr>
        <w:t>2019</w:t>
      </w:r>
      <w:r>
        <w:rPr>
          <w:color w:val="000000"/>
          <w:spacing w:val="0"/>
          <w:w w:val="100"/>
          <w:position w:val="0"/>
        </w:rPr>
        <w:t>）》中提到截 至</w:t>
      </w:r>
      <w:r>
        <w:rPr>
          <w:rFonts w:ascii="Times New Roman" w:eastAsia="Times New Roman" w:hAnsi="Times New Roman" w:cs="Times New Roman"/>
          <w:color w:val="000000"/>
          <w:spacing w:val="0"/>
          <w:w w:val="100"/>
          <w:position w:val="0"/>
        </w:rPr>
        <w:t>2018</w:t>
      </w:r>
      <w:r>
        <w:rPr>
          <w:color w:val="000000"/>
          <w:spacing w:val="0"/>
          <w:w w:val="100"/>
          <w:position w:val="0"/>
        </w:rPr>
        <w:t>年底，全国产前筛查机构</w:t>
      </w:r>
      <w:r>
        <w:rPr>
          <w:rFonts w:ascii="Times New Roman" w:eastAsia="Times New Roman" w:hAnsi="Times New Roman" w:cs="Times New Roman"/>
          <w:color w:val="000000"/>
          <w:spacing w:val="0"/>
          <w:w w:val="100"/>
          <w:position w:val="0"/>
        </w:rPr>
        <w:t>1,000</w:t>
      </w:r>
      <w:r>
        <w:rPr>
          <w:color w:val="000000"/>
          <w:spacing w:val="0"/>
          <w:w w:val="100"/>
          <w:position w:val="0"/>
        </w:rPr>
        <w:t>多家，经审批开展产前诊断技术服务的医疗机构</w:t>
      </w:r>
      <w:r>
        <w:rPr>
          <w:rFonts w:ascii="Times New Roman" w:eastAsia="Times New Roman" w:hAnsi="Times New Roman" w:cs="Times New Roman"/>
          <w:color w:val="000000"/>
          <w:spacing w:val="0"/>
          <w:w w:val="100"/>
          <w:position w:val="0"/>
        </w:rPr>
        <w:t>371</w:t>
      </w:r>
      <w:r>
        <w:rPr>
          <w:color w:val="000000"/>
          <w:spacing w:val="0"/>
          <w:w w:val="100"/>
          <w:position w:val="0"/>
        </w:rPr>
        <w:t>家，截至报告期末，公司生育健康 领域已与其中超过</w:t>
      </w:r>
      <w:r>
        <w:rPr>
          <w:rFonts w:ascii="Times New Roman" w:eastAsia="Times New Roman" w:hAnsi="Times New Roman" w:cs="Times New Roman"/>
          <w:color w:val="000000"/>
          <w:spacing w:val="0"/>
          <w:w w:val="100"/>
          <w:position w:val="0"/>
        </w:rPr>
        <w:t>190</w:t>
      </w:r>
      <w:r>
        <w:rPr>
          <w:color w:val="000000"/>
          <w:spacing w:val="0"/>
          <w:w w:val="100"/>
          <w:position w:val="0"/>
        </w:rPr>
        <w:t>家产前诊断中心建立合作关系。自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月具有自主知识产权的桌面型测序仪</w:t>
      </w:r>
      <w:r>
        <w:rPr>
          <w:rFonts w:ascii="Times New Roman" w:eastAsia="Times New Roman" w:hAnsi="Times New Roman" w:cs="Times New Roman"/>
          <w:color w:val="000000"/>
          <w:spacing w:val="0"/>
          <w:w w:val="100"/>
          <w:position w:val="0"/>
        </w:rPr>
        <w:t>BGISEQ-50</w:t>
      </w:r>
      <w:r>
        <w:rPr>
          <w:rFonts w:ascii="Times New Roman" w:eastAsia="Times New Roman" w:hAnsi="Times New Roman" w:cs="Times New Roman"/>
          <w:color w:val="000000"/>
          <w:spacing w:val="0"/>
          <w:w w:val="100"/>
          <w:position w:val="0"/>
        </w:rPr>
        <w:t>0</w:t>
      </w:r>
      <w:r>
        <w:rPr>
          <w:color w:val="000000"/>
          <w:spacing w:val="0"/>
          <w:w w:val="100"/>
          <w:position w:val="0"/>
        </w:rPr>
        <w:t xml:space="preserve">获得 </w:t>
      </w:r>
      <w:r>
        <w:rPr>
          <w:rFonts w:ascii="Times New Roman" w:eastAsia="Times New Roman" w:hAnsi="Times New Roman" w:cs="Times New Roman"/>
          <w:color w:val="000000"/>
          <w:spacing w:val="0"/>
          <w:w w:val="100"/>
          <w:position w:val="0"/>
        </w:rPr>
        <w:t>NMPA</w:t>
      </w:r>
      <w:r>
        <w:rPr>
          <w:color w:val="000000"/>
          <w:spacing w:val="0"/>
          <w:w w:val="100"/>
          <w:position w:val="0"/>
        </w:rPr>
        <w:t>注册证以来，国产自主平台测序仪已进入全国超过</w:t>
      </w:r>
      <w:r>
        <w:rPr>
          <w:rFonts w:ascii="Times New Roman" w:eastAsia="Times New Roman" w:hAnsi="Times New Roman" w:cs="Times New Roman"/>
          <w:color w:val="000000"/>
          <w:spacing w:val="0"/>
          <w:w w:val="100"/>
          <w:position w:val="0"/>
        </w:rPr>
        <w:t>130</w:t>
      </w:r>
      <w:r>
        <w:rPr>
          <w:color w:val="000000"/>
          <w:spacing w:val="0"/>
          <w:w w:val="100"/>
          <w:position w:val="0"/>
        </w:rPr>
        <w:t>家产前诊断中心，总计超过</w:t>
      </w:r>
      <w:r>
        <w:rPr>
          <w:rFonts w:ascii="Times New Roman" w:eastAsia="Times New Roman" w:hAnsi="Times New Roman" w:cs="Times New Roman"/>
          <w:color w:val="000000"/>
          <w:spacing w:val="0"/>
          <w:w w:val="100"/>
          <w:position w:val="0"/>
        </w:rPr>
        <w:t>200</w:t>
      </w:r>
      <w:r>
        <w:rPr>
          <w:color w:val="000000"/>
          <w:spacing w:val="0"/>
          <w:w w:val="100"/>
          <w:position w:val="0"/>
        </w:rPr>
        <w:t>台。</w:t>
      </w:r>
    </w:p>
    <w:p>
      <w:pPr>
        <w:pStyle w:val="Style17"/>
        <w:keepNext w:val="0"/>
        <w:keepLines w:val="0"/>
        <w:widowControl w:val="0"/>
        <w:shd w:val="clear" w:color="auto" w:fill="auto"/>
        <w:bidi w:val="0"/>
        <w:spacing w:before="0" w:after="240" w:line="311"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持续低价惠民</w:t>
      </w:r>
      <w:r>
        <w:rPr>
          <w:rFonts w:ascii="Times New Roman" w:eastAsia="Times New Roman" w:hAnsi="Times New Roman" w:cs="Times New Roman"/>
          <w:color w:val="000000"/>
          <w:spacing w:val="0"/>
          <w:w w:val="100"/>
          <w:position w:val="0"/>
        </w:rPr>
        <w:t>”</w:t>
      </w:r>
      <w:r>
        <w:rPr>
          <w:color w:val="000000"/>
          <w:spacing w:val="0"/>
          <w:w w:val="100"/>
          <w:position w:val="0"/>
        </w:rPr>
        <w:t>原则，率先拓展基因健康筛查应用于大样本量的民生项目。截至报告期末，公司与河北省、湖 北省武汉市、山东省青岛市、湖南省长沙市、江西省吉安市、湖南省益阳市、广东省韶关市等多地政府开展民生合作，在当 地政府的支持下开展民生工程。公司大力推进出生缺陷防控民生项目的实施，其中河北省作为全国第一个全面采用无创产前 基因检测技术进行免费产前筛查的省份，初步实现了对超过</w:t>
      </w:r>
      <w:r>
        <w:rPr>
          <w:rFonts w:ascii="Times New Roman" w:eastAsia="Times New Roman" w:hAnsi="Times New Roman" w:cs="Times New Roman"/>
          <w:color w:val="000000"/>
          <w:spacing w:val="0"/>
          <w:w w:val="100"/>
          <w:position w:val="0"/>
        </w:rPr>
        <w:t>7,000</w:t>
      </w:r>
      <w:r>
        <w:rPr>
          <w:color w:val="000000"/>
          <w:spacing w:val="0"/>
          <w:w w:val="100"/>
          <w:position w:val="0"/>
        </w:rPr>
        <w:t>万人口区域的染色体三体类出生缺陷的全面防控。基于国 产自主测序平台的技术优势和大样本量检测的规模效应，公司通过优化产品成本、营销费用等方式，在严守质量关和保持合 理利润水平的前提下，较大幅的降低了检测服务费用，解决了检测可及性问题。不仅如此，河北省正将出生缺陷的防控范围 进一步扩展到遗传性听力障碍。公司全资子公司深圳医检陆续中标河北民生筛查项目一孕妇耳聋基因检测服务和孕妇无 创产前基因检测服务，该项目的顺利实施将为公司后续推广贯穿生命全周期的健康民生实施方案提供更多的实践经验，让精 准医学检测惠及更多家庭。截至报告期末，全河北省累计进行无创产前检测</w:t>
      </w:r>
      <w:r>
        <w:rPr>
          <w:rFonts w:ascii="Times New Roman" w:eastAsia="Times New Roman" w:hAnsi="Times New Roman" w:cs="Times New Roman"/>
          <w:color w:val="000000"/>
          <w:spacing w:val="0"/>
          <w:w w:val="100"/>
          <w:position w:val="0"/>
        </w:rPr>
        <w:t>101</w:t>
      </w:r>
      <w:r>
        <w:rPr>
          <w:color w:val="000000"/>
          <w:spacing w:val="0"/>
          <w:w w:val="100"/>
          <w:position w:val="0"/>
        </w:rPr>
        <w:t>万例，耳聋基因检测</w:t>
      </w:r>
      <w:r>
        <w:rPr>
          <w:rFonts w:ascii="Times New Roman" w:eastAsia="Times New Roman" w:hAnsi="Times New Roman" w:cs="Times New Roman"/>
          <w:color w:val="000000"/>
          <w:spacing w:val="0"/>
          <w:w w:val="100"/>
          <w:position w:val="0"/>
        </w:rPr>
        <w:t>87</w:t>
      </w:r>
      <w:r>
        <w:rPr>
          <w:color w:val="000000"/>
          <w:spacing w:val="0"/>
          <w:w w:val="100"/>
          <w:position w:val="0"/>
        </w:rPr>
        <w:t>万例，真正实现了科 技惠民。报告期内，公司中标了益阳市健康民生服务项目，服务内容包含生育健康相关的多项检测，进一步拓展了妇幼健康 民生项目的产品服务范围。</w:t>
      </w:r>
    </w:p>
    <w:p>
      <w:pPr>
        <w:pStyle w:val="Style17"/>
        <w:keepNext w:val="0"/>
        <w:keepLines w:val="0"/>
        <w:widowControl w:val="0"/>
        <w:shd w:val="clear" w:color="auto" w:fill="auto"/>
        <w:bidi w:val="0"/>
        <w:spacing w:before="0" w:after="0"/>
        <w:ind w:left="0" w:right="0"/>
        <w:jc w:val="both"/>
      </w:pPr>
      <w:bookmarkStart w:id="108" w:name="bookmark108"/>
      <w:r>
        <w:rPr>
          <w:rFonts w:ascii="Times New Roman" w:eastAsia="Times New Roman" w:hAnsi="Times New Roman" w:cs="Times New Roman"/>
          <w:b/>
          <w:bCs/>
          <w:color w:val="000000"/>
          <w:spacing w:val="0"/>
          <w:w w:val="100"/>
          <w:position w:val="0"/>
        </w:rPr>
        <w:t>3</w:t>
      </w:r>
      <w:bookmarkEnd w:id="108"/>
      <w:r>
        <w:rPr>
          <w:b/>
          <w:bCs/>
          <w:color w:val="000000"/>
          <w:spacing w:val="0"/>
          <w:w w:val="100"/>
          <w:position w:val="0"/>
        </w:rPr>
        <w:t>、落实肿瘤精准防控路线，完善肿瘤防控服务体系</w:t>
      </w:r>
    </w:p>
    <w:p>
      <w:pPr>
        <w:pStyle w:val="Style17"/>
        <w:keepNext w:val="0"/>
        <w:keepLines w:val="0"/>
        <w:widowControl w:val="0"/>
        <w:shd w:val="clear" w:color="auto" w:fill="auto"/>
        <w:bidi w:val="0"/>
        <w:spacing w:before="0" w:after="120" w:line="313" w:lineRule="exact"/>
        <w:ind w:left="0" w:right="0"/>
        <w:jc w:val="both"/>
      </w:pPr>
      <w:r>
        <w:rPr>
          <w:color w:val="000000"/>
          <w:spacing w:val="0"/>
          <w:w w:val="100"/>
          <w:position w:val="0"/>
        </w:rPr>
        <w:t>公司充分利用自主平台和生物信息大数据优势，围绕多类肿瘤进行精准防治，综合检测样本量处于行业领先地位。截至 报告期末，公司在肿瘤临床业务方面与中国医学科学院北京协和医院、复旦大学附属中山医院等超过</w:t>
      </w:r>
      <w:r>
        <w:rPr>
          <w:rFonts w:ascii="Times New Roman" w:eastAsia="Times New Roman" w:hAnsi="Times New Roman" w:cs="Times New Roman"/>
          <w:color w:val="000000"/>
          <w:spacing w:val="0"/>
          <w:w w:val="100"/>
          <w:position w:val="0"/>
        </w:rPr>
        <w:t>500</w:t>
      </w:r>
      <w:r>
        <w:rPr>
          <w:color w:val="000000"/>
          <w:spacing w:val="0"/>
          <w:w w:val="100"/>
          <w:position w:val="0"/>
        </w:rPr>
        <w:t>家三甲医院建立业 务合作关系，并成功测试运行了多家肿瘤高通量测序实验室，累计为超过</w:t>
      </w:r>
      <w:r>
        <w:rPr>
          <w:rFonts w:ascii="Times New Roman" w:eastAsia="Times New Roman" w:hAnsi="Times New Roman" w:cs="Times New Roman"/>
          <w:color w:val="000000"/>
          <w:spacing w:val="0"/>
          <w:w w:val="100"/>
          <w:position w:val="0"/>
        </w:rPr>
        <w:t>15</w:t>
      </w:r>
      <w:r>
        <w:rPr>
          <w:color w:val="000000"/>
          <w:spacing w:val="0"/>
          <w:w w:val="100"/>
          <w:position w:val="0"/>
        </w:rPr>
        <w:t>万名受检者提供肿瘤相关基因检测。在癌症筛查 方面，基于</w:t>
      </w:r>
      <w:r>
        <w:rPr>
          <w:rFonts w:ascii="Times New Roman" w:eastAsia="Times New Roman" w:hAnsi="Times New Roman" w:cs="Times New Roman"/>
          <w:color w:val="000000"/>
          <w:spacing w:val="0"/>
          <w:w w:val="100"/>
          <w:position w:val="0"/>
        </w:rPr>
        <w:t>“</w:t>
      </w:r>
      <w:r>
        <w:rPr>
          <w:color w:val="000000"/>
          <w:spacing w:val="0"/>
          <w:w w:val="100"/>
          <w:position w:val="0"/>
        </w:rPr>
        <w:t>防大于治</w:t>
      </w:r>
      <w:r>
        <w:rPr>
          <w:rFonts w:ascii="Times New Roman" w:eastAsia="Times New Roman" w:hAnsi="Times New Roman" w:cs="Times New Roman"/>
          <w:color w:val="000000"/>
          <w:spacing w:val="0"/>
          <w:w w:val="100"/>
          <w:position w:val="0"/>
        </w:rPr>
        <w:t>”</w:t>
      </w:r>
      <w:r>
        <w:rPr>
          <w:color w:val="000000"/>
          <w:spacing w:val="0"/>
          <w:w w:val="100"/>
          <w:position w:val="0"/>
        </w:rPr>
        <w:t>的肿瘤防控方针，公司积极推动宫颈癌和肠癌检测服务。无创肠癌基因检测业务已覆盖全国</w:t>
      </w:r>
      <w:r>
        <w:rPr>
          <w:rFonts w:ascii="Times New Roman" w:eastAsia="Times New Roman" w:hAnsi="Times New Roman" w:cs="Times New Roman"/>
          <w:color w:val="000000"/>
          <w:spacing w:val="0"/>
          <w:w w:val="100"/>
          <w:position w:val="0"/>
        </w:rPr>
        <w:t>26</w:t>
      </w:r>
      <w:r>
        <w:rPr>
          <w:color w:val="000000"/>
          <w:spacing w:val="0"/>
          <w:w w:val="100"/>
          <w:position w:val="0"/>
        </w:rPr>
        <w:t>省</w:t>
      </w:r>
      <w:r>
        <w:rPr>
          <w:rFonts w:ascii="Times New Roman" w:eastAsia="Times New Roman" w:hAnsi="Times New Roman" w:cs="Times New Roman"/>
          <w:color w:val="000000"/>
          <w:spacing w:val="0"/>
          <w:w w:val="100"/>
          <w:position w:val="0"/>
        </w:rPr>
        <w:t>40</w:t>
      </w:r>
      <w:r>
        <w:rPr>
          <w:color w:val="000000"/>
          <w:spacing w:val="0"/>
          <w:w w:val="100"/>
          <w:position w:val="0"/>
        </w:rPr>
        <w:t>多 个地市，同时继续积极探索线上线下商业渠道，报告期内与京东健康、阿里健康、百度健康、未来医生以及多家大型保险公 司等平台开展合作，挖掘基因检测与互联网医疗、保险等行业的业务结合点，通过居家检测发展大众健康新业态。截至报告 期末，公司累计完成超过</w:t>
      </w:r>
      <w:r>
        <w:rPr>
          <w:rFonts w:ascii="Times New Roman" w:eastAsia="Times New Roman" w:hAnsi="Times New Roman" w:cs="Times New Roman"/>
          <w:color w:val="000000"/>
          <w:spacing w:val="0"/>
          <w:w w:val="100"/>
          <w:position w:val="0"/>
        </w:rPr>
        <w:t>26</w:t>
      </w:r>
      <w:r>
        <w:rPr>
          <w:color w:val="000000"/>
          <w:spacing w:val="0"/>
          <w:w w:val="100"/>
          <w:position w:val="0"/>
        </w:rPr>
        <w:t>万例肠癌检测。宫颈癌筛查业务已覆盖全国</w:t>
      </w:r>
      <w:r>
        <w:rPr>
          <w:rFonts w:ascii="Times New Roman" w:eastAsia="Times New Roman" w:hAnsi="Times New Roman" w:cs="Times New Roman"/>
          <w:color w:val="000000"/>
          <w:spacing w:val="0"/>
          <w:w w:val="100"/>
          <w:position w:val="0"/>
        </w:rPr>
        <w:t>31</w:t>
      </w:r>
      <w:r>
        <w:rPr>
          <w:color w:val="000000"/>
          <w:spacing w:val="0"/>
          <w:w w:val="100"/>
          <w:position w:val="0"/>
        </w:rPr>
        <w:t>省</w:t>
      </w:r>
      <w:r>
        <w:rPr>
          <w:rFonts w:ascii="Times New Roman" w:eastAsia="Times New Roman" w:hAnsi="Times New Roman" w:cs="Times New Roman"/>
          <w:color w:val="000000"/>
          <w:spacing w:val="0"/>
          <w:w w:val="100"/>
          <w:position w:val="0"/>
        </w:rPr>
        <w:t>130</w:t>
      </w:r>
      <w:r>
        <w:rPr>
          <w:color w:val="000000"/>
          <w:spacing w:val="0"/>
          <w:w w:val="100"/>
          <w:position w:val="0"/>
        </w:rPr>
        <w:t>地市累计为近</w:t>
      </w:r>
      <w:r>
        <w:rPr>
          <w:rFonts w:ascii="Times New Roman" w:eastAsia="Times New Roman" w:hAnsi="Times New Roman" w:cs="Times New Roman"/>
          <w:color w:val="000000"/>
          <w:spacing w:val="0"/>
          <w:w w:val="100"/>
          <w:position w:val="0"/>
        </w:rPr>
        <w:t>620</w:t>
      </w:r>
      <w:r>
        <w:rPr>
          <w:color w:val="000000"/>
          <w:spacing w:val="0"/>
          <w:w w:val="100"/>
          <w:position w:val="0"/>
        </w:rPr>
        <w:t>万人提供</w:t>
      </w:r>
      <w:r>
        <w:rPr>
          <w:rFonts w:ascii="Times New Roman" w:eastAsia="Times New Roman" w:hAnsi="Times New Roman" w:cs="Times New Roman"/>
          <w:color w:val="000000"/>
          <w:spacing w:val="0"/>
          <w:w w:val="100"/>
          <w:position w:val="0"/>
        </w:rPr>
        <w:t>HPV</w:t>
      </w:r>
      <w:r>
        <w:rPr>
          <w:color w:val="000000"/>
          <w:spacing w:val="0"/>
          <w:w w:val="100"/>
          <w:position w:val="0"/>
        </w:rPr>
        <w:t>检测，通过及 时进行临床确诊或干预治疗，有效预防了宫颈癌的发生。</w:t>
      </w:r>
      <w:r>
        <w:rPr>
          <w:rFonts w:ascii="Times New Roman" w:eastAsia="Times New Roman" w:hAnsi="Times New Roman" w:cs="Times New Roman"/>
          <w:color w:val="000000"/>
          <w:spacing w:val="0"/>
          <w:w w:val="100"/>
          <w:position w:val="0"/>
        </w:rPr>
        <w:t>HPV</w:t>
      </w:r>
      <w:r>
        <w:rPr>
          <w:color w:val="000000"/>
          <w:spacing w:val="0"/>
          <w:w w:val="100"/>
          <w:position w:val="0"/>
        </w:rPr>
        <w:t>分型基因检测和无创肠癌基因检测已成为服务于百姓的惠民检 测项目，大人群民生项目模式已经初见成效。</w:t>
      </w:r>
    </w:p>
    <w:p>
      <w:pPr>
        <w:pStyle w:val="Style17"/>
        <w:keepNext w:val="0"/>
        <w:keepLines w:val="0"/>
        <w:widowControl w:val="0"/>
        <w:shd w:val="clear" w:color="auto" w:fill="auto"/>
        <w:bidi w:val="0"/>
        <w:spacing w:before="0" w:after="220" w:line="310" w:lineRule="exact"/>
        <w:ind w:left="0" w:right="0"/>
        <w:jc w:val="both"/>
      </w:pPr>
      <w:r>
        <w:rPr>
          <w:color w:val="000000"/>
          <w:spacing w:val="0"/>
          <w:w w:val="100"/>
          <w:position w:val="0"/>
        </w:rPr>
        <w:t>公司持续丰富和完善预防、早筛、用药指导、复发监测等肿瘤防控体系检测服务。在肿瘤早筛方面，公司下属子公司华 大数极进一步完善了肠癌筛查一站式闭环解决方案。同时，在</w:t>
      </w:r>
      <w:r>
        <w:rPr>
          <w:rFonts w:ascii="Times New Roman" w:eastAsia="Times New Roman" w:hAnsi="Times New Roman" w:cs="Times New Roman"/>
          <w:color w:val="000000"/>
          <w:spacing w:val="0"/>
          <w:w w:val="100"/>
          <w:position w:val="0"/>
        </w:rPr>
        <w:t>2020</w:t>
      </w:r>
      <w:r>
        <w:rPr>
          <w:color w:val="000000"/>
          <w:spacing w:val="0"/>
          <w:w w:val="100"/>
          <w:position w:val="0"/>
        </w:rPr>
        <w:t>年发布的基于甲基化快速靶向测序的</w:t>
      </w:r>
      <w:r>
        <w:rPr>
          <w:rFonts w:ascii="Times New Roman" w:eastAsia="Times New Roman" w:hAnsi="Times New Roman" w:cs="Times New Roman"/>
          <w:color w:val="000000"/>
          <w:spacing w:val="0"/>
          <w:w w:val="100"/>
          <w:position w:val="0"/>
        </w:rPr>
        <w:t>EpiPlex™</w:t>
      </w:r>
      <w:r>
        <w:rPr>
          <w:color w:val="000000"/>
          <w:spacing w:val="0"/>
          <w:w w:val="100"/>
          <w:position w:val="0"/>
        </w:rPr>
        <w:t>肝癌早筛 技术基础上，公司进一步扩大临床验证规模与技术迭代，有望进一步提高检测性能及降低检测成本。在资质申报上，肠癌辅 助诊断产品检测全流程相关试剂盒均已取得</w:t>
      </w:r>
      <w:r>
        <w:rPr>
          <w:rFonts w:ascii="Times New Roman" w:eastAsia="Times New Roman" w:hAnsi="Times New Roman" w:cs="Times New Roman"/>
          <w:color w:val="000000"/>
          <w:spacing w:val="0"/>
          <w:w w:val="100"/>
          <w:position w:val="0"/>
        </w:rPr>
        <w:t>CE</w:t>
      </w:r>
      <w:r>
        <w:rPr>
          <w:color w:val="000000"/>
          <w:spacing w:val="0"/>
          <w:w w:val="100"/>
          <w:position w:val="0"/>
        </w:rPr>
        <w:t>资质和英国</w:t>
      </w:r>
      <w:r>
        <w:rPr>
          <w:rFonts w:ascii="Times New Roman" w:eastAsia="Times New Roman" w:hAnsi="Times New Roman" w:cs="Times New Roman"/>
          <w:color w:val="000000"/>
          <w:spacing w:val="0"/>
          <w:w w:val="100"/>
          <w:position w:val="0"/>
        </w:rPr>
        <w:t>MHRA</w:t>
      </w:r>
      <w:r>
        <w:rPr>
          <w:color w:val="000000"/>
          <w:spacing w:val="0"/>
          <w:w w:val="100"/>
          <w:position w:val="0"/>
        </w:rPr>
        <w:t>准入资质。在肿瘤用药指导方面，公司一直深耕</w:t>
      </w:r>
      <w:r>
        <w:rPr>
          <w:rFonts w:ascii="Times New Roman" w:eastAsia="Times New Roman" w:hAnsi="Times New Roman" w:cs="Times New Roman"/>
          <w:color w:val="000000"/>
          <w:spacing w:val="0"/>
          <w:w w:val="100"/>
          <w:position w:val="0"/>
        </w:rPr>
        <w:t>PARP</w:t>
      </w:r>
      <w:r>
        <w:rPr>
          <w:color w:val="000000"/>
          <w:spacing w:val="0"/>
          <w:w w:val="100"/>
          <w:position w:val="0"/>
        </w:rPr>
        <w:t>抑制 剂伴随诊断的相关检测，持续推动相关分子标记物</w:t>
      </w:r>
      <w:r>
        <w:rPr>
          <w:rFonts w:ascii="Times New Roman" w:eastAsia="Times New Roman" w:hAnsi="Times New Roman" w:cs="Times New Roman"/>
          <w:color w:val="000000"/>
          <w:spacing w:val="0"/>
          <w:w w:val="100"/>
          <w:position w:val="0"/>
        </w:rPr>
        <w:t xml:space="preserve">BRCA-HRR </w:t>
      </w:r>
      <w:r>
        <w:rPr>
          <w:color w:val="000000"/>
          <w:spacing w:val="0"/>
          <w:w w:val="100"/>
          <w:position w:val="0"/>
        </w:rPr>
        <w:t>（同源重组修复）</w:t>
      </w:r>
      <w:r>
        <w:rPr>
          <w:rFonts w:ascii="Times New Roman" w:eastAsia="Times New Roman" w:hAnsi="Times New Roman" w:cs="Times New Roman"/>
          <w:color w:val="000000"/>
          <w:spacing w:val="0"/>
          <w:w w:val="100"/>
          <w:position w:val="0"/>
        </w:rPr>
        <w:t xml:space="preserve">-HRD </w:t>
      </w:r>
      <w:r>
        <w:rPr>
          <w:color w:val="000000"/>
          <w:spacing w:val="0"/>
          <w:w w:val="100"/>
          <w:position w:val="0"/>
        </w:rPr>
        <w:t>（同源重组缺陷）的产品市场准入及 推广。公司自主研发的</w:t>
      </w:r>
      <w:r>
        <w:rPr>
          <w:rFonts w:ascii="Times New Roman" w:eastAsia="Times New Roman" w:hAnsi="Times New Roman" w:cs="Times New Roman"/>
          <w:color w:val="000000"/>
          <w:spacing w:val="0"/>
          <w:w w:val="100"/>
          <w:position w:val="0"/>
        </w:rPr>
        <w:t>BRCA1/2</w:t>
      </w:r>
      <w:r>
        <w:rPr>
          <w:color w:val="000000"/>
          <w:spacing w:val="0"/>
          <w:w w:val="100"/>
          <w:position w:val="0"/>
        </w:rPr>
        <w:t>基因突变检测的配套提取试剂和软件均已获得</w:t>
      </w:r>
      <w:r>
        <w:rPr>
          <w:rFonts w:ascii="Times New Roman" w:eastAsia="Times New Roman" w:hAnsi="Times New Roman" w:cs="Times New Roman"/>
          <w:color w:val="000000"/>
          <w:spacing w:val="0"/>
          <w:w w:val="100"/>
          <w:position w:val="0"/>
        </w:rPr>
        <w:t>CE</w:t>
      </w:r>
      <w:r>
        <w:rPr>
          <w:color w:val="000000"/>
          <w:spacing w:val="0"/>
          <w:w w:val="100"/>
          <w:position w:val="0"/>
        </w:rPr>
        <w:t>证书及准入资质，结合</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年已获批欧盟 </w:t>
      </w:r>
      <w:r>
        <w:rPr>
          <w:rFonts w:ascii="Times New Roman" w:eastAsia="Times New Roman" w:hAnsi="Times New Roman" w:cs="Times New Roman"/>
          <w:color w:val="000000"/>
          <w:spacing w:val="0"/>
          <w:w w:val="100"/>
          <w:position w:val="0"/>
        </w:rPr>
        <w:t>CE</w:t>
      </w:r>
      <w:r>
        <w:rPr>
          <w:color w:val="000000"/>
          <w:spacing w:val="0"/>
          <w:w w:val="100"/>
          <w:position w:val="0"/>
        </w:rPr>
        <w:t>资质的</w:t>
      </w:r>
      <w:r>
        <w:rPr>
          <w:rFonts w:ascii="Times New Roman" w:eastAsia="Times New Roman" w:hAnsi="Times New Roman" w:cs="Times New Roman"/>
          <w:color w:val="000000"/>
          <w:spacing w:val="0"/>
          <w:w w:val="100"/>
          <w:position w:val="0"/>
        </w:rPr>
        <w:t>BRCA1/</w:t>
      </w:r>
      <w:r>
        <w:rPr>
          <w:rFonts w:ascii="Times New Roman" w:eastAsia="Times New Roman" w:hAnsi="Times New Roman" w:cs="Times New Roman"/>
          <w:color w:val="000000"/>
          <w:spacing w:val="0"/>
          <w:w w:val="100"/>
          <w:position w:val="0"/>
        </w:rPr>
        <w:t>2</w:t>
      </w:r>
      <w:r>
        <w:rPr>
          <w:color w:val="000000"/>
          <w:spacing w:val="0"/>
          <w:w w:val="100"/>
          <w:position w:val="0"/>
        </w:rPr>
        <w:t>基因突变检测试剂盒，实现了</w:t>
      </w:r>
      <w:r>
        <w:rPr>
          <w:rFonts w:ascii="Times New Roman" w:eastAsia="Times New Roman" w:hAnsi="Times New Roman" w:cs="Times New Roman"/>
          <w:color w:val="000000"/>
          <w:spacing w:val="0"/>
          <w:w w:val="100"/>
          <w:position w:val="0"/>
        </w:rPr>
        <w:t>BRCA</w:t>
      </w:r>
      <w:r>
        <w:rPr>
          <w:color w:val="000000"/>
          <w:spacing w:val="0"/>
          <w:w w:val="100"/>
          <w:position w:val="0"/>
        </w:rPr>
        <w:t>检测全流程欧盟</w:t>
      </w:r>
      <w:r>
        <w:rPr>
          <w:rFonts w:ascii="Times New Roman" w:eastAsia="Times New Roman" w:hAnsi="Times New Roman" w:cs="Times New Roman"/>
          <w:color w:val="000000"/>
          <w:spacing w:val="0"/>
          <w:w w:val="100"/>
          <w:position w:val="0"/>
        </w:rPr>
        <w:t>CE</w:t>
      </w:r>
      <w:r>
        <w:rPr>
          <w:color w:val="000000"/>
          <w:spacing w:val="0"/>
          <w:w w:val="100"/>
          <w:position w:val="0"/>
        </w:rPr>
        <w:t>资质保障。公司于</w:t>
      </w:r>
      <w:r>
        <w:rPr>
          <w:rFonts w:ascii="Times New Roman" w:eastAsia="Times New Roman" w:hAnsi="Times New Roman" w:cs="Times New Roman"/>
          <w:color w:val="000000"/>
          <w:spacing w:val="0"/>
          <w:w w:val="100"/>
          <w:position w:val="0"/>
        </w:rPr>
        <w:t>2020</w:t>
      </w:r>
      <w:r>
        <w:rPr>
          <w:color w:val="000000"/>
          <w:spacing w:val="0"/>
          <w:w w:val="100"/>
          <w:position w:val="0"/>
        </w:rPr>
        <w:t>年率先推出华然迪</w:t>
      </w:r>
      <w:r>
        <w:rPr>
          <w:rFonts w:ascii="Times New Roman" w:eastAsia="Times New Roman" w:hAnsi="Times New Roman" w:cs="Times New Roman"/>
          <w:color w:val="000000"/>
          <w:spacing w:val="0"/>
          <w:w w:val="100"/>
          <w:position w:val="0"/>
        </w:rPr>
        <w:t>™</w:t>
      </w:r>
      <w:r>
        <w:rPr>
          <w:color w:val="000000"/>
          <w:spacing w:val="0"/>
          <w:w w:val="100"/>
          <w:position w:val="0"/>
        </w:rPr>
        <w:t>同源 重组缺陷评分检测产品，相较于</w:t>
      </w:r>
      <w:r>
        <w:rPr>
          <w:rFonts w:ascii="Times New Roman" w:eastAsia="Times New Roman" w:hAnsi="Times New Roman" w:cs="Times New Roman"/>
          <w:color w:val="000000"/>
          <w:spacing w:val="0"/>
          <w:w w:val="100"/>
          <w:position w:val="0"/>
        </w:rPr>
        <w:t>BRCA</w:t>
      </w:r>
      <w:r>
        <w:rPr>
          <w:color w:val="000000"/>
          <w:spacing w:val="0"/>
          <w:w w:val="100"/>
          <w:position w:val="0"/>
        </w:rPr>
        <w:t>基因检测可有效筛选出更大的</w:t>
      </w:r>
      <w:r>
        <w:rPr>
          <w:rFonts w:ascii="Times New Roman" w:eastAsia="Times New Roman" w:hAnsi="Times New Roman" w:cs="Times New Roman"/>
          <w:color w:val="000000"/>
          <w:spacing w:val="0"/>
          <w:w w:val="100"/>
          <w:position w:val="0"/>
        </w:rPr>
        <w:t>PARP</w:t>
      </w:r>
      <w:r>
        <w:rPr>
          <w:color w:val="000000"/>
          <w:spacing w:val="0"/>
          <w:w w:val="100"/>
          <w:position w:val="0"/>
        </w:rPr>
        <w:t>抑制剂潜在获益人群。</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月，公司与阿斯利 康就奥拉帕利在</w:t>
      </w:r>
      <w:r>
        <w:rPr>
          <w:rFonts w:ascii="Times New Roman" w:eastAsia="Times New Roman" w:hAnsi="Times New Roman" w:cs="Times New Roman"/>
          <w:color w:val="000000"/>
          <w:spacing w:val="0"/>
          <w:w w:val="100"/>
          <w:position w:val="0"/>
        </w:rPr>
        <w:t>HRD</w:t>
      </w:r>
      <w:r>
        <w:rPr>
          <w:color w:val="000000"/>
          <w:spacing w:val="0"/>
          <w:w w:val="100"/>
          <w:position w:val="0"/>
        </w:rPr>
        <w:t>伴随诊断试剂盒上市及推广方面开展合作，推进</w:t>
      </w:r>
      <w:r>
        <w:rPr>
          <w:rFonts w:ascii="Times New Roman" w:eastAsia="Times New Roman" w:hAnsi="Times New Roman" w:cs="Times New Roman"/>
          <w:color w:val="000000"/>
          <w:spacing w:val="0"/>
          <w:w w:val="100"/>
          <w:position w:val="0"/>
        </w:rPr>
        <w:t>HRD</w:t>
      </w:r>
      <w:r>
        <w:rPr>
          <w:color w:val="000000"/>
          <w:spacing w:val="0"/>
          <w:w w:val="100"/>
          <w:position w:val="0"/>
        </w:rPr>
        <w:t xml:space="preserve">检测在国内的普及度。目前公司已同国内多家大 </w:t>
      </w:r>
      <w:r>
        <w:rPr>
          <w:color w:val="000000"/>
          <w:spacing w:val="0"/>
          <w:w w:val="100"/>
          <w:position w:val="0"/>
        </w:rPr>
        <w:t>型三甲医院和药企进行科研合作和临床试验合作，有望在国内卵巢癌、乳腺癌、胰腺癌、前列腺癌等癌症的</w:t>
      </w:r>
      <w:r>
        <w:rPr>
          <w:rFonts w:ascii="Times New Roman" w:eastAsia="Times New Roman" w:hAnsi="Times New Roman" w:cs="Times New Roman"/>
          <w:color w:val="000000"/>
          <w:spacing w:val="0"/>
          <w:w w:val="100"/>
          <w:position w:val="0"/>
        </w:rPr>
        <w:t>HRD</w:t>
      </w:r>
      <w:r>
        <w:rPr>
          <w:color w:val="000000"/>
          <w:spacing w:val="0"/>
          <w:w w:val="100"/>
          <w:position w:val="0"/>
        </w:rPr>
        <w:t>检测研究方 面取得重要进展。公司在报告期内推出华妍安</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子宫内膜癌分子分型检测和华雪安</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白血病基因检测，在现有伴随诊断产品 的基础上进一步拓展妇科肿瘤及血液肿瘤诊疗方面的产品管线。</w:t>
      </w:r>
      <w:r>
        <w:rPr>
          <w:rFonts w:ascii="Times New Roman" w:eastAsia="Times New Roman" w:hAnsi="Times New Roman" w:cs="Times New Roman"/>
          <w:color w:val="000000"/>
          <w:spacing w:val="0"/>
          <w:w w:val="100"/>
          <w:position w:val="0"/>
        </w:rPr>
        <w:t>2021</w:t>
      </w:r>
      <w:r>
        <w:rPr>
          <w:color w:val="000000"/>
          <w:spacing w:val="0"/>
          <w:w w:val="100"/>
          <w:position w:val="0"/>
        </w:rPr>
        <w:t>年，公司先后与优迅医疗器械、再鼎医药、武田制药开 展合作，共建生物医药生态圈，促进中国肿瘤精准诊疗发展。在肿瘤监测方面，公司与美国</w:t>
      </w:r>
      <w:r>
        <w:rPr>
          <w:rFonts w:ascii="Times New Roman" w:eastAsia="Times New Roman" w:hAnsi="Times New Roman" w:cs="Times New Roman"/>
          <w:color w:val="000000"/>
          <w:spacing w:val="0"/>
          <w:w w:val="100"/>
          <w:position w:val="0"/>
        </w:rPr>
        <w:t>Natera</w:t>
      </w:r>
      <w:r>
        <w:rPr>
          <w:color w:val="000000"/>
          <w:spacing w:val="0"/>
          <w:w w:val="100"/>
          <w:position w:val="0"/>
        </w:rPr>
        <w:t>公司从</w:t>
      </w:r>
      <w:r>
        <w:rPr>
          <w:rFonts w:ascii="Times New Roman" w:eastAsia="Times New Roman" w:hAnsi="Times New Roman" w:cs="Times New Roman"/>
          <w:color w:val="000000"/>
          <w:spacing w:val="0"/>
          <w:w w:val="100"/>
          <w:position w:val="0"/>
        </w:rPr>
        <w:t>2017</w:t>
      </w:r>
      <w:r>
        <w:rPr>
          <w:color w:val="000000"/>
          <w:spacing w:val="0"/>
          <w:w w:val="100"/>
          <w:position w:val="0"/>
        </w:rPr>
        <w:t>年开始洽谈合 作，联合研发基于</w:t>
      </w:r>
      <w:r>
        <w:rPr>
          <w:rFonts w:ascii="Times New Roman" w:eastAsia="Times New Roman" w:hAnsi="Times New Roman" w:cs="Times New Roman"/>
          <w:color w:val="000000"/>
          <w:spacing w:val="0"/>
          <w:w w:val="100"/>
          <w:position w:val="0"/>
        </w:rPr>
        <w:t>DNBSEQ™</w:t>
      </w:r>
      <w:r>
        <w:rPr>
          <w:color w:val="000000"/>
          <w:spacing w:val="0"/>
          <w:w w:val="100"/>
          <w:position w:val="0"/>
        </w:rPr>
        <w:t>测序技术、针对实体瘤患者定制化监测的</w:t>
      </w:r>
      <w:r>
        <w:rPr>
          <w:rFonts w:ascii="Times New Roman" w:eastAsia="Times New Roman" w:hAnsi="Times New Roman" w:cs="Times New Roman"/>
          <w:color w:val="000000"/>
          <w:spacing w:val="0"/>
          <w:w w:val="100"/>
          <w:position w:val="0"/>
        </w:rPr>
        <w:t>Signatera™MRD</w:t>
      </w:r>
      <w:r>
        <w:rPr>
          <w:color w:val="000000"/>
          <w:spacing w:val="0"/>
          <w:w w:val="100"/>
          <w:position w:val="0"/>
        </w:rPr>
        <w:t>检测技术，目前公司已完成该技术结 合国产测序平台的技术转移，于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月在中国市场正式推出华见微</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肿瘤</w:t>
      </w:r>
      <w:r>
        <w:rPr>
          <w:rFonts w:ascii="Times New Roman" w:eastAsia="Times New Roman" w:hAnsi="Times New Roman" w:cs="Times New Roman"/>
          <w:color w:val="000000"/>
          <w:spacing w:val="0"/>
          <w:w w:val="100"/>
          <w:position w:val="0"/>
        </w:rPr>
        <w:t>MRD</w:t>
      </w:r>
      <w:r>
        <w:rPr>
          <w:color w:val="000000"/>
          <w:spacing w:val="0"/>
          <w:w w:val="100"/>
          <w:position w:val="0"/>
        </w:rPr>
        <w:t>定制化检测产品。</w:t>
      </w:r>
    </w:p>
    <w:p>
      <w:pPr>
        <w:pStyle w:val="Style17"/>
        <w:keepNext w:val="0"/>
        <w:keepLines w:val="0"/>
        <w:widowControl w:val="0"/>
        <w:shd w:val="clear" w:color="auto" w:fill="auto"/>
        <w:tabs>
          <w:tab w:pos="669" w:val="left"/>
        </w:tabs>
        <w:bidi w:val="0"/>
        <w:spacing w:before="0" w:after="0"/>
        <w:ind w:left="0" w:right="0"/>
        <w:jc w:val="both"/>
      </w:pPr>
      <w:bookmarkStart w:id="109" w:name="bookmark109"/>
      <w:r>
        <w:rPr>
          <w:rFonts w:ascii="Times New Roman" w:eastAsia="Times New Roman" w:hAnsi="Times New Roman" w:cs="Times New Roman"/>
          <w:b/>
          <w:bCs/>
          <w:color w:val="000000"/>
          <w:spacing w:val="0"/>
          <w:w w:val="100"/>
          <w:position w:val="0"/>
        </w:rPr>
        <w:t>4</w:t>
      </w:r>
      <w:bookmarkEnd w:id="109"/>
      <w:r>
        <w:rPr>
          <w:b/>
          <w:bCs/>
          <w:color w:val="000000"/>
          <w:spacing w:val="0"/>
          <w:w w:val="100"/>
          <w:position w:val="0"/>
        </w:rPr>
        <w:t>、</w:t>
        <w:tab/>
        <w:t>深入布局疑难危重感染，促进感染防控业务跨越式发展</w:t>
      </w:r>
    </w:p>
    <w:p>
      <w:pPr>
        <w:pStyle w:val="Style17"/>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感染防控业务方面，</w:t>
      </w:r>
      <w:r>
        <w:rPr>
          <w:rFonts w:ascii="Times New Roman" w:eastAsia="Times New Roman" w:hAnsi="Times New Roman" w:cs="Times New Roman"/>
          <w:color w:val="000000"/>
          <w:spacing w:val="0"/>
          <w:w w:val="100"/>
          <w:position w:val="0"/>
        </w:rPr>
        <w:t>PMseq®</w:t>
      </w:r>
      <w:r>
        <w:rPr>
          <w:color w:val="000000"/>
          <w:spacing w:val="0"/>
          <w:w w:val="100"/>
          <w:position w:val="0"/>
        </w:rPr>
        <w:t>病原微生物高通量基因检测作为核心产品，旨在解决临床疑难危重感染性疾病病原检测困 难、阳性率低、检测周期长的难题，以实现感染病原的快速精准诊断。报告期内，公司发布</w:t>
      </w:r>
      <w:r>
        <w:rPr>
          <w:rFonts w:ascii="Times New Roman" w:eastAsia="Times New Roman" w:hAnsi="Times New Roman" w:cs="Times New Roman"/>
          <w:color w:val="000000"/>
          <w:spacing w:val="0"/>
          <w:w w:val="100"/>
          <w:position w:val="0"/>
        </w:rPr>
        <w:t>PM Easy Lab</w:t>
      </w:r>
      <w:r>
        <w:rPr>
          <w:color w:val="000000"/>
          <w:spacing w:val="0"/>
          <w:w w:val="100"/>
          <w:position w:val="0"/>
        </w:rPr>
        <w:t>全自动核酸分析仪 产品，并基于此平台完成了中枢神经系统感染病原体核酸多重检测、呼吸道病原体核酸多重检测产品的开发，为中枢神经系 统感染和呼吸道感染患者提供快速的病原学检测结果。同时也对细菌耐药基因多重检测产品进行了全新升级并获得海外</w:t>
      </w:r>
      <w:r>
        <w:rPr>
          <w:rFonts w:ascii="Times New Roman" w:eastAsia="Times New Roman" w:hAnsi="Times New Roman" w:cs="Times New Roman"/>
          <w:color w:val="000000"/>
          <w:spacing w:val="0"/>
          <w:w w:val="100"/>
          <w:position w:val="0"/>
        </w:rPr>
        <w:t xml:space="preserve">CE </w:t>
      </w:r>
      <w:r>
        <w:rPr>
          <w:color w:val="000000"/>
          <w:spacing w:val="0"/>
          <w:w w:val="100"/>
          <w:position w:val="0"/>
        </w:rPr>
        <w:t>准入资质，可检测</w:t>
      </w:r>
      <w:r>
        <w:rPr>
          <w:rFonts w:ascii="Times New Roman" w:eastAsia="Times New Roman" w:hAnsi="Times New Roman" w:cs="Times New Roman"/>
          <w:color w:val="000000"/>
          <w:spacing w:val="0"/>
          <w:w w:val="100"/>
          <w:position w:val="0"/>
        </w:rPr>
        <w:t>5</w:t>
      </w:r>
      <w:r>
        <w:rPr>
          <w:color w:val="000000"/>
          <w:spacing w:val="0"/>
          <w:w w:val="100"/>
          <w:position w:val="0"/>
        </w:rPr>
        <w:t>种常见病原微生物和导致细菌耐药相关的</w:t>
      </w:r>
      <w:r>
        <w:rPr>
          <w:rFonts w:ascii="Times New Roman" w:eastAsia="Times New Roman" w:hAnsi="Times New Roman" w:cs="Times New Roman"/>
          <w:color w:val="000000"/>
          <w:spacing w:val="0"/>
          <w:w w:val="100"/>
          <w:position w:val="0"/>
        </w:rPr>
        <w:t>9</w:t>
      </w:r>
      <w:r>
        <w:rPr>
          <w:color w:val="000000"/>
          <w:spacing w:val="0"/>
          <w:w w:val="100"/>
          <w:position w:val="0"/>
        </w:rPr>
        <w:t>个蛋白酶基因，检测范围更加广泛，为疑难危重感染提供快速 精准诊疗依据，以及细菌耐药患者的诊治提供科学辅助指导，促进抗生素合理应用。报告期内，公司有多款检测试剂盒获得 海外</w:t>
      </w:r>
      <w:r>
        <w:rPr>
          <w:rFonts w:ascii="Times New Roman" w:eastAsia="Times New Roman" w:hAnsi="Times New Roman" w:cs="Times New Roman"/>
          <w:color w:val="000000"/>
          <w:spacing w:val="0"/>
          <w:w w:val="100"/>
          <w:position w:val="0"/>
        </w:rPr>
        <w:t>CE</w:t>
      </w:r>
      <w:r>
        <w:rPr>
          <w:color w:val="000000"/>
          <w:spacing w:val="0"/>
          <w:w w:val="100"/>
          <w:position w:val="0"/>
        </w:rPr>
        <w:t>准入资质，包括新冠变异株检测、中和抗体检测、抗原检测等多款新型冠状病毒检测试剂盒，以及碳青霉烯耐药基 因多重检测试剂盒，在新冠检测产品方面，公司已形成病毒测序、核酸检测、核酸快检、抗原快检、抗体快检、中和抗体检 测等多产品覆盖体系。截至报告期末，感染防控业务覆盖国内省市自治区及直辖市约</w:t>
      </w:r>
      <w:r>
        <w:rPr>
          <w:rFonts w:ascii="Times New Roman" w:eastAsia="Times New Roman" w:hAnsi="Times New Roman" w:cs="Times New Roman"/>
          <w:color w:val="000000"/>
          <w:spacing w:val="0"/>
          <w:w w:val="100"/>
          <w:position w:val="0"/>
        </w:rPr>
        <w:t>31</w:t>
      </w:r>
      <w:r>
        <w:rPr>
          <w:color w:val="000000"/>
          <w:spacing w:val="0"/>
          <w:w w:val="100"/>
          <w:position w:val="0"/>
        </w:rPr>
        <w:t>个，合作科研机构</w:t>
      </w:r>
      <w:r>
        <w:rPr>
          <w:rFonts w:ascii="Times New Roman" w:eastAsia="Times New Roman" w:hAnsi="Times New Roman" w:cs="Times New Roman"/>
          <w:color w:val="000000"/>
          <w:spacing w:val="0"/>
          <w:w w:val="100"/>
          <w:position w:val="0"/>
        </w:rPr>
        <w:t>9</w:t>
      </w:r>
      <w:r>
        <w:rPr>
          <w:color w:val="000000"/>
          <w:spacing w:val="0"/>
          <w:w w:val="100"/>
          <w:position w:val="0"/>
        </w:rPr>
        <w:t xml:space="preserve">家，医疗机构约 </w:t>
      </w:r>
      <w:r>
        <w:rPr>
          <w:rFonts w:ascii="Times New Roman" w:eastAsia="Times New Roman" w:hAnsi="Times New Roman" w:cs="Times New Roman"/>
          <w:color w:val="000000"/>
          <w:spacing w:val="0"/>
          <w:w w:val="100"/>
          <w:position w:val="0"/>
        </w:rPr>
        <w:t>1,000</w:t>
      </w:r>
      <w:r>
        <w:rPr>
          <w:color w:val="000000"/>
          <w:spacing w:val="0"/>
          <w:w w:val="100"/>
          <w:position w:val="0"/>
        </w:rPr>
        <w:t xml:space="preserve">家，主要客户群体包括研究所、医院重症医学科、呼吸科、感染科等科室的疑似感染患者，尤其是疑难、危重感染患 者，涉及不明原因发热、血流感染、脑炎脑膜炎症候群、呼吸道感染等各种感染性相关疾病。依托各医检所中心实验室， </w:t>
      </w:r>
      <w:r>
        <w:rPr>
          <w:rFonts w:ascii="Times New Roman" w:eastAsia="Times New Roman" w:hAnsi="Times New Roman" w:cs="Times New Roman"/>
          <w:color w:val="000000"/>
          <w:spacing w:val="0"/>
          <w:w w:val="100"/>
          <w:position w:val="0"/>
        </w:rPr>
        <w:t>PMseq®</w:t>
      </w:r>
      <w:r>
        <w:rPr>
          <w:color w:val="000000"/>
          <w:spacing w:val="0"/>
          <w:w w:val="100"/>
          <w:position w:val="0"/>
        </w:rPr>
        <w:t>检测样本量呈现快速增长趋势。截至报告期末，</w:t>
      </w:r>
      <w:r>
        <w:rPr>
          <w:rFonts w:ascii="Times New Roman" w:eastAsia="Times New Roman" w:hAnsi="Times New Roman" w:cs="Times New Roman"/>
          <w:color w:val="000000"/>
          <w:spacing w:val="0"/>
          <w:w w:val="100"/>
          <w:position w:val="0"/>
        </w:rPr>
        <w:t>PMseq®</w:t>
      </w:r>
      <w:r>
        <w:rPr>
          <w:color w:val="000000"/>
          <w:spacing w:val="0"/>
          <w:w w:val="100"/>
          <w:position w:val="0"/>
        </w:rPr>
        <w:t>系列产品累计为近</w:t>
      </w:r>
      <w:r>
        <w:rPr>
          <w:rFonts w:ascii="Times New Roman" w:eastAsia="Times New Roman" w:hAnsi="Times New Roman" w:cs="Times New Roman"/>
          <w:color w:val="000000"/>
          <w:spacing w:val="0"/>
          <w:w w:val="100"/>
          <w:position w:val="0"/>
        </w:rPr>
        <w:t>20</w:t>
      </w:r>
      <w:r>
        <w:rPr>
          <w:color w:val="000000"/>
          <w:spacing w:val="0"/>
          <w:w w:val="100"/>
          <w:position w:val="0"/>
        </w:rPr>
        <w:t>万人提供检测。在基于宏基因组技术优 势加速入院转化方面，新推出了基于并行计算加速的质控和比对算法，具有独立知识产权的</w:t>
      </w:r>
      <w:r>
        <w:rPr>
          <w:rFonts w:ascii="Times New Roman" w:eastAsia="Times New Roman" w:hAnsi="Times New Roman" w:cs="Times New Roman"/>
          <w:color w:val="000000"/>
          <w:spacing w:val="0"/>
          <w:w w:val="100"/>
          <w:position w:val="0"/>
        </w:rPr>
        <w:t>PMseq Datician</w:t>
      </w:r>
      <w:r>
        <w:rPr>
          <w:color w:val="000000"/>
          <w:spacing w:val="0"/>
          <w:w w:val="100"/>
          <w:position w:val="0"/>
        </w:rPr>
        <w:t>病原专家分析 系统，有效提高了分析的时效性与准确性，可帮助医院实现本地化智能生信分析，真正让宏基因组检测产品落地医院。报告 期内，公司发布</w:t>
      </w:r>
      <w:r>
        <w:rPr>
          <w:rFonts w:ascii="Times New Roman" w:eastAsia="Times New Roman" w:hAnsi="Times New Roman" w:cs="Times New Roman"/>
          <w:color w:val="000000"/>
          <w:spacing w:val="0"/>
          <w:w w:val="100"/>
          <w:position w:val="0"/>
        </w:rPr>
        <w:t>PM Easy Doctor</w:t>
      </w:r>
      <w:r>
        <w:rPr>
          <w:color w:val="000000"/>
          <w:spacing w:val="0"/>
          <w:w w:val="100"/>
          <w:position w:val="0"/>
        </w:rPr>
        <w:t>病原组学大数据分析系统，可实现线上数据管理、检测报告智能生成和科研数据分析三大功 能，使</w:t>
      </w:r>
      <w:r>
        <w:rPr>
          <w:rFonts w:ascii="Times New Roman" w:eastAsia="Times New Roman" w:hAnsi="Times New Roman" w:cs="Times New Roman"/>
          <w:color w:val="000000"/>
          <w:spacing w:val="0"/>
          <w:w w:val="100"/>
          <w:position w:val="0"/>
        </w:rPr>
        <w:t>PMseq</w:t>
      </w:r>
      <w:r>
        <w:rPr>
          <w:color w:val="000000"/>
          <w:spacing w:val="0"/>
          <w:w w:val="100"/>
          <w:position w:val="0"/>
        </w:rPr>
        <w:t>组学大数据分析简单易用，成为医生的智能助手。</w:t>
      </w:r>
    </w:p>
    <w:p>
      <w:pPr>
        <w:pStyle w:val="Style17"/>
        <w:keepNext w:val="0"/>
        <w:keepLines w:val="0"/>
        <w:widowControl w:val="0"/>
        <w:shd w:val="clear" w:color="auto" w:fill="auto"/>
        <w:tabs>
          <w:tab w:pos="669" w:val="left"/>
        </w:tabs>
        <w:bidi w:val="0"/>
        <w:spacing w:before="0" w:after="0"/>
        <w:ind w:left="0" w:right="0"/>
        <w:jc w:val="both"/>
      </w:pPr>
      <w:bookmarkStart w:id="110" w:name="bookmark110"/>
      <w:r>
        <w:rPr>
          <w:rFonts w:ascii="Times New Roman" w:eastAsia="Times New Roman" w:hAnsi="Times New Roman" w:cs="Times New Roman"/>
          <w:b/>
          <w:bCs/>
          <w:color w:val="000000"/>
          <w:spacing w:val="0"/>
          <w:w w:val="100"/>
          <w:position w:val="0"/>
        </w:rPr>
        <w:t>5</w:t>
      </w:r>
      <w:bookmarkEnd w:id="110"/>
      <w:r>
        <w:rPr>
          <w:b/>
          <w:bCs/>
          <w:color w:val="000000"/>
          <w:spacing w:val="0"/>
          <w:w w:val="100"/>
          <w:position w:val="0"/>
        </w:rPr>
        <w:t>、</w:t>
        <w:tab/>
        <w:t>推广国产测序平台，发展多组学大数据业务</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公司的多组学大数据服务从临床科研、药物研发等维度着手，为科研用户提供了全方位个性化解决方案。报告期内，公 司在大群体大队列基因组研究及应用方面取得重要突破，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月，公司中标了四川大学华西医院十万例罕见病患者全基 因组测序计划采购项目，截至报告期末，该项目已正式启动并有序推进中，有助于推动基因科技支持临床科研的发展，支撑 全球生命科学研究进展。</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月，公司在美洲建立的圣何塞质谱实验室宣布与</w:t>
      </w:r>
      <w:r>
        <w:rPr>
          <w:rFonts w:ascii="Times New Roman" w:eastAsia="Times New Roman" w:hAnsi="Times New Roman" w:cs="Times New Roman"/>
          <w:color w:val="000000"/>
          <w:spacing w:val="0"/>
          <w:w w:val="100"/>
          <w:position w:val="0"/>
        </w:rPr>
        <w:t>CRO</w:t>
      </w:r>
      <w:r>
        <w:rPr>
          <w:color w:val="000000"/>
          <w:spacing w:val="0"/>
          <w:w w:val="100"/>
          <w:position w:val="0"/>
        </w:rPr>
        <w:t>公司</w:t>
      </w:r>
      <w:r>
        <w:rPr>
          <w:rFonts w:ascii="Times New Roman" w:eastAsia="Times New Roman" w:hAnsi="Times New Roman" w:cs="Times New Roman"/>
          <w:color w:val="000000"/>
          <w:spacing w:val="0"/>
          <w:w w:val="100"/>
          <w:position w:val="0"/>
        </w:rPr>
        <w:t>Champions Oncology</w:t>
      </w:r>
      <w:r>
        <w:rPr>
          <w:color w:val="000000"/>
          <w:spacing w:val="0"/>
          <w:w w:val="100"/>
          <w:position w:val="0"/>
        </w:rPr>
        <w:t>开展战略合 作，共同对</w:t>
      </w:r>
      <w:r>
        <w:rPr>
          <w:rFonts w:ascii="Times New Roman" w:eastAsia="Times New Roman" w:hAnsi="Times New Roman" w:cs="Times New Roman"/>
          <w:color w:val="000000"/>
          <w:spacing w:val="0"/>
          <w:w w:val="100"/>
          <w:position w:val="0"/>
        </w:rPr>
        <w:t>Champions Oncology</w:t>
      </w:r>
      <w:r>
        <w:rPr>
          <w:color w:val="000000"/>
          <w:spacing w:val="0"/>
          <w:w w:val="100"/>
          <w:position w:val="0"/>
        </w:rPr>
        <w:t>的人源性组织异种移植模型</w:t>
      </w:r>
      <w:r>
        <w:rPr>
          <w:color w:val="000000"/>
          <w:spacing w:val="0"/>
          <w:w w:val="100"/>
          <w:position w:val="0"/>
        </w:rPr>
        <w:t>（</w:t>
      </w:r>
      <w:r>
        <w:rPr>
          <w:rFonts w:ascii="Times New Roman" w:eastAsia="Times New Roman" w:hAnsi="Times New Roman" w:cs="Times New Roman"/>
          <w:color w:val="000000"/>
          <w:spacing w:val="0"/>
          <w:w w:val="100"/>
          <w:position w:val="0"/>
        </w:rPr>
        <w:t>PDX model</w:t>
      </w:r>
      <w:r>
        <w:rPr>
          <w:color w:val="000000"/>
          <w:spacing w:val="0"/>
          <w:w w:val="100"/>
          <w:position w:val="0"/>
        </w:rPr>
        <w:t>）进行蛋白分析，满足肿瘤药物研发的市场需求。 该质谱实验室以蛋白质组学、代谢组学和抗体药物表征等质谱技术服务为核心，整合样本处理、</w:t>
      </w:r>
      <w:r>
        <w:rPr>
          <w:rFonts w:ascii="Times New Roman" w:eastAsia="Times New Roman" w:hAnsi="Times New Roman" w:cs="Times New Roman"/>
          <w:color w:val="000000"/>
          <w:spacing w:val="0"/>
          <w:w w:val="100"/>
          <w:position w:val="0"/>
        </w:rPr>
        <w:t>NGS</w:t>
      </w:r>
      <w:r>
        <w:rPr>
          <w:color w:val="000000"/>
          <w:spacing w:val="0"/>
          <w:w w:val="100"/>
          <w:position w:val="0"/>
        </w:rPr>
        <w:t>分析的流程，为客户提 供基于大数据的多组学联动和跨组学联合分析，全面带动多组学技术和产业的发展。公司多年来通过深度合作完成了一系列 大型基因组科研计划和国际多边合作项目，截至报告期末，自主平台数据产出量占比超过</w:t>
      </w:r>
      <w:r>
        <w:rPr>
          <w:rFonts w:ascii="Times New Roman" w:eastAsia="Times New Roman" w:hAnsi="Times New Roman" w:cs="Times New Roman"/>
          <w:color w:val="000000"/>
          <w:spacing w:val="0"/>
          <w:w w:val="100"/>
          <w:position w:val="0"/>
        </w:rPr>
        <w:t>95%</w:t>
      </w:r>
      <w:r>
        <w:rPr>
          <w:color w:val="000000"/>
          <w:spacing w:val="0"/>
          <w:w w:val="100"/>
          <w:position w:val="0"/>
        </w:rPr>
        <w:t>。各种类型的</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测序 技术的数据发表于知名杂志上，包括全基因组重测序</w:t>
      </w:r>
      <w:r>
        <w:rPr>
          <w:color w:val="000000"/>
          <w:spacing w:val="0"/>
          <w:w w:val="100"/>
          <w:position w:val="0"/>
        </w:rPr>
        <w:t>（</w:t>
      </w:r>
      <w:r>
        <w:rPr>
          <w:rFonts w:ascii="Times New Roman" w:eastAsia="Times New Roman" w:hAnsi="Times New Roman" w:cs="Times New Roman"/>
          <w:color w:val="000000"/>
          <w:spacing w:val="0"/>
          <w:w w:val="100"/>
          <w:position w:val="0"/>
        </w:rPr>
        <w:t>WGS</w:t>
      </w:r>
      <w:r>
        <w:rPr>
          <w:color w:val="000000"/>
          <w:spacing w:val="0"/>
          <w:w w:val="100"/>
          <w:position w:val="0"/>
        </w:rPr>
        <w:t>）</w:t>
      </w:r>
      <w:r>
        <w:rPr>
          <w:color w:val="000000"/>
          <w:spacing w:val="0"/>
          <w:w w:val="100"/>
          <w:position w:val="0"/>
        </w:rPr>
        <w:t>、外显子测序</w:t>
      </w:r>
      <w:r>
        <w:rPr>
          <w:color w:val="000000"/>
          <w:spacing w:val="0"/>
          <w:w w:val="100"/>
          <w:position w:val="0"/>
        </w:rPr>
        <w:t>（</w:t>
      </w:r>
      <w:r>
        <w:rPr>
          <w:rFonts w:ascii="Times New Roman" w:eastAsia="Times New Roman" w:hAnsi="Times New Roman" w:cs="Times New Roman"/>
          <w:color w:val="000000"/>
          <w:spacing w:val="0"/>
          <w:w w:val="100"/>
          <w:position w:val="0"/>
        </w:rPr>
        <w:t>WES</w:t>
      </w:r>
      <w:r>
        <w:rPr>
          <w:color w:val="000000"/>
          <w:spacing w:val="0"/>
          <w:w w:val="100"/>
          <w:position w:val="0"/>
        </w:rPr>
        <w:t>）</w:t>
      </w:r>
      <w:r>
        <w:rPr>
          <w:color w:val="000000"/>
          <w:spacing w:val="0"/>
          <w:w w:val="100"/>
          <w:position w:val="0"/>
        </w:rPr>
        <w:t>、全基因组甲基化测序</w:t>
      </w:r>
      <w:r>
        <w:rPr>
          <w:color w:val="000000"/>
          <w:spacing w:val="0"/>
          <w:w w:val="100"/>
          <w:position w:val="0"/>
        </w:rPr>
        <w:t>（</w:t>
      </w:r>
      <w:r>
        <w:rPr>
          <w:rFonts w:ascii="Times New Roman" w:eastAsia="Times New Roman" w:hAnsi="Times New Roman" w:cs="Times New Roman"/>
          <w:color w:val="000000"/>
          <w:spacing w:val="0"/>
          <w:w w:val="100"/>
          <w:position w:val="0"/>
        </w:rPr>
        <w:t>WGBS</w:t>
      </w:r>
      <w:r>
        <w:rPr>
          <w:color w:val="000000"/>
          <w:spacing w:val="0"/>
          <w:w w:val="100"/>
          <w:position w:val="0"/>
        </w:rPr>
        <w:t>）</w:t>
      </w:r>
      <w:r>
        <w:rPr>
          <w:color w:val="000000"/>
          <w:spacing w:val="0"/>
          <w:w w:val="100"/>
          <w:position w:val="0"/>
        </w:rPr>
        <w:t>、转 录组测序</w:t>
      </w:r>
      <w:r>
        <w:rPr>
          <w:color w:val="000000"/>
          <w:spacing w:val="0"/>
          <w:w w:val="100"/>
          <w:position w:val="0"/>
        </w:rPr>
        <w:t>（</w:t>
      </w:r>
      <w:r>
        <w:rPr>
          <w:rFonts w:ascii="Times New Roman" w:eastAsia="Times New Roman" w:hAnsi="Times New Roman" w:cs="Times New Roman"/>
          <w:color w:val="000000"/>
          <w:spacing w:val="0"/>
          <w:w w:val="100"/>
          <w:position w:val="0"/>
        </w:rPr>
        <w:t>RNA-Seq</w:t>
      </w:r>
      <w:r>
        <w:rPr>
          <w:color w:val="000000"/>
          <w:spacing w:val="0"/>
          <w:w w:val="100"/>
          <w:position w:val="0"/>
        </w:rPr>
        <w:t>）、小</w:t>
      </w:r>
      <w:r>
        <w:rPr>
          <w:rFonts w:ascii="Times New Roman" w:eastAsia="Times New Roman" w:hAnsi="Times New Roman" w:cs="Times New Roman"/>
          <w:color w:val="000000"/>
          <w:spacing w:val="0"/>
          <w:w w:val="100"/>
          <w:position w:val="0"/>
        </w:rPr>
        <w:t>RNA</w:t>
      </w:r>
      <w:r>
        <w:rPr>
          <w:color w:val="000000"/>
          <w:spacing w:val="0"/>
          <w:w w:val="100"/>
          <w:position w:val="0"/>
        </w:rPr>
        <w:t>测序等。截至报告期末，客户利用</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测序技术发表的学术论文超过</w:t>
      </w:r>
      <w:r>
        <w:rPr>
          <w:rFonts w:ascii="Times New Roman" w:eastAsia="Times New Roman" w:hAnsi="Times New Roman" w:cs="Times New Roman"/>
          <w:color w:val="000000"/>
          <w:spacing w:val="0"/>
          <w:w w:val="100"/>
          <w:position w:val="0"/>
        </w:rPr>
        <w:t>2,800</w:t>
      </w:r>
      <w:r>
        <w:rPr>
          <w:color w:val="000000"/>
          <w:spacing w:val="0"/>
          <w:w w:val="100"/>
          <w:position w:val="0"/>
        </w:rPr>
        <w:t>篇，</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月，助力中山大学公共卫生学院（深圳）在</w:t>
      </w:r>
      <w:r>
        <w:rPr>
          <w:rFonts w:ascii="Times New Roman" w:eastAsia="Times New Roman" w:hAnsi="Times New Roman" w:cs="Times New Roman"/>
          <w:color w:val="000000"/>
          <w:spacing w:val="0"/>
          <w:w w:val="100"/>
          <w:position w:val="0"/>
        </w:rPr>
        <w:t>Science</w:t>
      </w:r>
      <w:r>
        <w:rPr>
          <w:color w:val="000000"/>
          <w:spacing w:val="0"/>
          <w:w w:val="100"/>
          <w:position w:val="0"/>
        </w:rPr>
        <w:t>发表</w:t>
      </w:r>
      <w:r>
        <w:rPr>
          <w:rFonts w:ascii="Times New Roman" w:eastAsia="Times New Roman" w:hAnsi="Times New Roman" w:cs="Times New Roman"/>
          <w:color w:val="000000"/>
          <w:spacing w:val="0"/>
          <w:w w:val="100"/>
          <w:position w:val="0"/>
        </w:rPr>
        <w:t>H7N9</w:t>
      </w:r>
      <w:r>
        <w:rPr>
          <w:color w:val="000000"/>
          <w:spacing w:val="0"/>
          <w:w w:val="100"/>
          <w:position w:val="0"/>
        </w:rPr>
        <w:t>禽流感研究新成果；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i/>
          <w:iCs/>
          <w:color w:val="000000"/>
          <w:spacing w:val="0"/>
          <w:w w:val="100"/>
          <w:position w:val="0"/>
        </w:rPr>
        <w:t>Nature Biotechnology</w:t>
      </w:r>
      <w:r>
        <w:rPr>
          <w:i/>
          <w:iCs/>
          <w:color w:val="000000"/>
          <w:spacing w:val="0"/>
          <w:w w:val="100"/>
          <w:position w:val="0"/>
        </w:rPr>
        <w:t>发</w:t>
      </w:r>
      <w:r>
        <w:rPr>
          <w:color w:val="000000"/>
          <w:spacing w:val="0"/>
          <w:w w:val="100"/>
          <w:position w:val="0"/>
        </w:rPr>
        <w:t>布多 款测序平台性能评估成果，国产自主测序仪可提供高质量</w:t>
      </w:r>
      <w:r>
        <w:rPr>
          <w:rFonts w:ascii="Times New Roman" w:eastAsia="Times New Roman" w:hAnsi="Times New Roman" w:cs="Times New Roman"/>
          <w:color w:val="000000"/>
          <w:spacing w:val="0"/>
          <w:w w:val="100"/>
          <w:position w:val="0"/>
        </w:rPr>
        <w:t>WGS</w:t>
      </w:r>
      <w:r>
        <w:rPr>
          <w:color w:val="000000"/>
          <w:spacing w:val="0"/>
          <w:w w:val="100"/>
          <w:position w:val="0"/>
        </w:rPr>
        <w:t>。</w:t>
      </w:r>
      <w:r>
        <w:rPr>
          <w:color w:val="000000"/>
          <w:spacing w:val="0"/>
          <w:w w:val="100"/>
          <w:position w:val="0"/>
        </w:rPr>
        <w:t>报告期内，公司践行</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的愿景与使命，充 分发挥国产测序仪成本可控、技术先进的优势，以更加普惠的价格助力全球生命科学发展，相关市场推广活动获得了超过数 千家学术、临床及企业客户的认可，进一步促进了大样本测序数据化；公司纯测序业务的极致交付也极大提升了客户服务体 验；公司基于单细胞多平台服务模式，主推</w:t>
      </w:r>
      <w:r>
        <w:rPr>
          <w:rFonts w:ascii="Times New Roman" w:eastAsia="Times New Roman" w:hAnsi="Times New Roman" w:cs="Times New Roman"/>
          <w:color w:val="000000"/>
          <w:spacing w:val="0"/>
          <w:w w:val="100"/>
          <w:position w:val="0"/>
        </w:rPr>
        <w:t>DNBeLabC4 RNA-Seq</w:t>
      </w:r>
      <w:r>
        <w:rPr>
          <w:color w:val="000000"/>
          <w:spacing w:val="0"/>
          <w:w w:val="100"/>
          <w:position w:val="0"/>
        </w:rPr>
        <w:t>、</w:t>
      </w:r>
      <w:r>
        <w:rPr>
          <w:rFonts w:ascii="Times New Roman" w:eastAsia="Times New Roman" w:hAnsi="Times New Roman" w:cs="Times New Roman"/>
          <w:color w:val="000000"/>
          <w:spacing w:val="0"/>
          <w:w w:val="100"/>
          <w:position w:val="0"/>
        </w:rPr>
        <w:t>BD Rhapsody RNA-Seq</w:t>
      </w:r>
      <w:r>
        <w:rPr>
          <w:color w:val="000000"/>
          <w:spacing w:val="0"/>
          <w:w w:val="100"/>
          <w:position w:val="0"/>
        </w:rPr>
        <w:t>和</w:t>
      </w:r>
      <w:r>
        <w:rPr>
          <w:rFonts w:ascii="Times New Roman" w:eastAsia="Times New Roman" w:hAnsi="Times New Roman" w:cs="Times New Roman"/>
          <w:color w:val="000000"/>
          <w:spacing w:val="0"/>
          <w:w w:val="100"/>
          <w:position w:val="0"/>
        </w:rPr>
        <w:t>10X Genomics RNA-Seq</w:t>
      </w:r>
      <w:r>
        <w:rPr>
          <w:color w:val="000000"/>
          <w:spacing w:val="0"/>
          <w:w w:val="100"/>
          <w:position w:val="0"/>
        </w:rPr>
        <w:t>三类单 细胞平台产品，多平台的推出，可以满足不同客户单细胞样本制备需求，为大学、研究所等科研用户提供多个维度单细胞水 平研究的服务支持；同时也新推出空间转录组产品，从空间角度定位组织类型中细胞表达，实现更加精细化单细胞研究。</w:t>
      </w:r>
      <w:r>
        <w:rPr>
          <w:rFonts w:ascii="Times New Roman" w:eastAsia="Times New Roman" w:hAnsi="Times New Roman" w:cs="Times New Roman"/>
          <w:color w:val="000000"/>
          <w:spacing w:val="0"/>
          <w:w w:val="100"/>
          <w:position w:val="0"/>
        </w:rPr>
        <w:t>Dr. Tom</w:t>
      </w:r>
      <w:r>
        <w:rPr>
          <w:color w:val="000000"/>
          <w:spacing w:val="0"/>
          <w:w w:val="100"/>
          <w:position w:val="0"/>
        </w:rPr>
        <w:t>多组学数据挖掘系统三期交付并投入使用，除</w:t>
      </w:r>
      <w:r>
        <w:rPr>
          <w:rFonts w:ascii="Times New Roman" w:eastAsia="Times New Roman" w:hAnsi="Times New Roman" w:cs="Times New Roman"/>
          <w:color w:val="000000"/>
          <w:spacing w:val="0"/>
          <w:w w:val="100"/>
          <w:position w:val="0"/>
        </w:rPr>
        <w:t>RNA</w:t>
      </w:r>
      <w:r>
        <w:rPr>
          <w:color w:val="000000"/>
          <w:spacing w:val="0"/>
          <w:w w:val="100"/>
          <w:position w:val="0"/>
        </w:rPr>
        <w:t>组学，蛋白质组学、甲基化组学，还上线了高通量单细胞组学相关内 容；打造行业标准水平的</w:t>
      </w:r>
      <w:r>
        <w:rPr>
          <w:rFonts w:ascii="Times New Roman" w:eastAsia="Times New Roman" w:hAnsi="Times New Roman" w:cs="Times New Roman"/>
          <w:color w:val="000000"/>
          <w:spacing w:val="0"/>
          <w:w w:val="100"/>
          <w:position w:val="0"/>
        </w:rPr>
        <w:t>WGS</w:t>
      </w:r>
      <w:r>
        <w:rPr>
          <w:color w:val="000000"/>
          <w:spacing w:val="0"/>
          <w:w w:val="100"/>
          <w:position w:val="0"/>
        </w:rPr>
        <w:t>产品完整解决方案，推出大型队列解决方案、</w:t>
      </w:r>
      <w:r>
        <w:rPr>
          <w:rFonts w:ascii="Times New Roman" w:eastAsia="Times New Roman" w:hAnsi="Times New Roman" w:cs="Times New Roman"/>
          <w:color w:val="000000"/>
          <w:spacing w:val="0"/>
          <w:w w:val="100"/>
          <w:position w:val="0"/>
        </w:rPr>
        <w:t>Low Pass WGS</w:t>
      </w:r>
      <w:r>
        <w:rPr>
          <w:color w:val="000000"/>
          <w:spacing w:val="0"/>
          <w:w w:val="100"/>
          <w:position w:val="0"/>
        </w:rPr>
        <w:t>和长读长</w:t>
      </w:r>
      <w:r>
        <w:rPr>
          <w:rFonts w:ascii="Times New Roman" w:eastAsia="Times New Roman" w:hAnsi="Times New Roman" w:cs="Times New Roman"/>
          <w:color w:val="000000"/>
          <w:spacing w:val="0"/>
          <w:w w:val="100"/>
          <w:position w:val="0"/>
        </w:rPr>
        <w:t>WGS</w:t>
      </w:r>
      <w:r>
        <w:rPr>
          <w:color w:val="000000"/>
          <w:spacing w:val="0"/>
          <w:w w:val="100"/>
          <w:position w:val="0"/>
        </w:rPr>
        <w:t xml:space="preserve">应用，用于加速 </w:t>
      </w:r>
      <w:r>
        <w:rPr>
          <w:color w:val="000000"/>
          <w:spacing w:val="0"/>
          <w:w w:val="100"/>
          <w:position w:val="0"/>
        </w:rPr>
        <w:t>人群队列研究，帮助复杂疾病病因、预后等研究的开展。</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为进一步加强公司多组学联动业务的优势。公司联合国内机构自主研发的国产标记定量试剂盒</w:t>
      </w:r>
      <w:r>
        <w:rPr>
          <w:color w:val="000000"/>
          <w:spacing w:val="0"/>
          <w:w w:val="100"/>
          <w:position w:val="0"/>
        </w:rPr>
        <w:t>一一</w:t>
      </w:r>
      <w:r>
        <w:rPr>
          <w:rFonts w:ascii="Times New Roman" w:eastAsia="Times New Roman" w:hAnsi="Times New Roman" w:cs="Times New Roman"/>
          <w:color w:val="000000"/>
          <w:spacing w:val="0"/>
          <w:w w:val="100"/>
          <w:position w:val="0"/>
        </w:rPr>
        <w:t>16</w:t>
      </w:r>
      <w:r>
        <w:rPr>
          <w:color w:val="000000"/>
          <w:spacing w:val="0"/>
          <w:w w:val="100"/>
          <w:position w:val="0"/>
        </w:rPr>
        <w:t>标</w:t>
      </w:r>
      <w:r>
        <w:rPr>
          <w:rFonts w:ascii="Times New Roman" w:eastAsia="Times New Roman" w:hAnsi="Times New Roman" w:cs="Times New Roman"/>
          <w:color w:val="000000"/>
          <w:spacing w:val="0"/>
          <w:w w:val="100"/>
          <w:position w:val="0"/>
        </w:rPr>
        <w:t>IBT</w:t>
      </w:r>
      <w:r>
        <w:rPr>
          <w:color w:val="000000"/>
          <w:spacing w:val="0"/>
          <w:w w:val="100"/>
          <w:position w:val="0"/>
        </w:rPr>
        <w:t>(</w:t>
      </w:r>
      <w:r>
        <w:rPr>
          <w:rFonts w:ascii="Times New Roman" w:eastAsia="Times New Roman" w:hAnsi="Times New Roman" w:cs="Times New Roman"/>
          <w:color w:val="000000"/>
          <w:spacing w:val="0"/>
          <w:w w:val="100"/>
          <w:position w:val="0"/>
        </w:rPr>
        <w:t>isobaric tags</w:t>
      </w:r>
      <w:r>
        <w:rPr>
          <w:color w:val="000000"/>
          <w:spacing w:val="0"/>
          <w:w w:val="100"/>
          <w:position w:val="0"/>
        </w:rPr>
        <w:t>)</w:t>
      </w:r>
      <w:r>
        <w:rPr>
          <w:color w:val="000000"/>
          <w:spacing w:val="0"/>
          <w:w w:val="100"/>
          <w:position w:val="0"/>
        </w:rPr>
        <w:t>蛋白质组定量，打破了该领域完全依靠进口试剂盒进行标记定量蛋白组研究的限制。公司已于</w:t>
      </w:r>
      <w:r>
        <w:rPr>
          <w:rFonts w:ascii="Times New Roman" w:eastAsia="Times New Roman" w:hAnsi="Times New Roman" w:cs="Times New Roman"/>
          <w:color w:val="000000"/>
          <w:spacing w:val="0"/>
          <w:w w:val="100"/>
          <w:position w:val="0"/>
        </w:rPr>
        <w:t>2020</w:t>
      </w:r>
      <w:r>
        <w:rPr>
          <w:color w:val="000000"/>
          <w:spacing w:val="0"/>
          <w:w w:val="100"/>
          <w:position w:val="0"/>
        </w:rPr>
        <w:t>年建立并首发</w:t>
      </w:r>
      <w:r>
        <w:rPr>
          <w:rFonts w:ascii="Times New Roman" w:eastAsia="Times New Roman" w:hAnsi="Times New Roman" w:cs="Times New Roman"/>
          <w:color w:val="000000"/>
          <w:spacing w:val="0"/>
          <w:w w:val="100"/>
          <w:position w:val="0"/>
        </w:rPr>
        <w:t>“</w:t>
      </w:r>
      <w:r>
        <w:rPr>
          <w:color w:val="000000"/>
          <w:spacing w:val="0"/>
          <w:w w:val="100"/>
          <w:position w:val="0"/>
        </w:rPr>
        <w:t>血液 样品谱图库</w:t>
      </w:r>
      <w:r>
        <w:rPr>
          <w:color w:val="000000"/>
          <w:spacing w:val="0"/>
          <w:w w:val="100"/>
          <w:position w:val="0"/>
        </w:rPr>
        <w:t>(</w:t>
      </w:r>
      <w:r>
        <w:rPr>
          <w:rFonts w:ascii="Times New Roman" w:eastAsia="Times New Roman" w:hAnsi="Times New Roman" w:cs="Times New Roman"/>
          <w:color w:val="000000"/>
          <w:spacing w:val="0"/>
          <w:w w:val="100"/>
          <w:position w:val="0"/>
        </w:rPr>
        <w:t>BGI-BPSL</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华大高分辨植物代谢数据库</w:t>
      </w:r>
      <w:r>
        <w:rPr>
          <w:color w:val="000000"/>
          <w:spacing w:val="0"/>
          <w:w w:val="100"/>
          <w:position w:val="0"/>
        </w:rPr>
        <w:t>(</w:t>
      </w:r>
      <w:r>
        <w:rPr>
          <w:rFonts w:ascii="Times New Roman" w:eastAsia="Times New Roman" w:hAnsi="Times New Roman" w:cs="Times New Roman"/>
          <w:color w:val="000000"/>
          <w:spacing w:val="0"/>
          <w:w w:val="100"/>
          <w:position w:val="0"/>
        </w:rPr>
        <w:t>BGI HRAM-PMDB</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，并在</w:t>
      </w:r>
      <w:r>
        <w:rPr>
          <w:rFonts w:ascii="Times New Roman" w:eastAsia="Times New Roman" w:hAnsi="Times New Roman" w:cs="Times New Roman"/>
          <w:color w:val="000000"/>
          <w:spacing w:val="0"/>
          <w:w w:val="100"/>
          <w:position w:val="0"/>
        </w:rPr>
        <w:t>2021</w:t>
      </w:r>
      <w:r>
        <w:rPr>
          <w:color w:val="000000"/>
          <w:spacing w:val="0"/>
          <w:w w:val="100"/>
          <w:position w:val="0"/>
        </w:rPr>
        <w:t>年大幅扩充了库容量，前者将 为临床大队列样品提供</w:t>
      </w:r>
      <w:r>
        <w:rPr>
          <w:rFonts w:ascii="Times New Roman" w:eastAsia="Times New Roman" w:hAnsi="Times New Roman" w:cs="Times New Roman"/>
          <w:color w:val="000000"/>
          <w:spacing w:val="0"/>
          <w:w w:val="100"/>
          <w:position w:val="0"/>
        </w:rPr>
        <w:t>“</w:t>
      </w:r>
      <w:r>
        <w:rPr>
          <w:color w:val="000000"/>
          <w:spacing w:val="0"/>
          <w:w w:val="100"/>
          <w:position w:val="0"/>
        </w:rPr>
        <w:t>基因组</w:t>
      </w:r>
      <w:r>
        <w:rPr>
          <w:rFonts w:ascii="Times New Roman" w:eastAsia="Times New Roman" w:hAnsi="Times New Roman" w:cs="Times New Roman"/>
          <w:color w:val="000000"/>
          <w:spacing w:val="0"/>
          <w:w w:val="100"/>
          <w:position w:val="0"/>
        </w:rPr>
        <w:t>+</w:t>
      </w:r>
      <w:r>
        <w:rPr>
          <w:color w:val="000000"/>
          <w:spacing w:val="0"/>
          <w:w w:val="100"/>
          <w:position w:val="0"/>
        </w:rPr>
        <w:t>蛋白质组</w:t>
      </w:r>
      <w:r>
        <w:rPr>
          <w:rFonts w:ascii="Times New Roman" w:eastAsia="Times New Roman" w:hAnsi="Times New Roman" w:cs="Times New Roman"/>
          <w:color w:val="000000"/>
          <w:spacing w:val="0"/>
          <w:w w:val="100"/>
          <w:position w:val="0"/>
        </w:rPr>
        <w:t>”</w:t>
      </w:r>
      <w:r>
        <w:rPr>
          <w:color w:val="000000"/>
          <w:spacing w:val="0"/>
          <w:w w:val="100"/>
          <w:position w:val="0"/>
        </w:rPr>
        <w:t>贯穿组学整体解决方案，后者将为植物研究领域尤其是中草药方向提供更高分辨 率和更完善的代谢组学服务。质谱科研服务的全面拓展，结合国产自主测序平台，推出转录组</w:t>
      </w:r>
      <w:r>
        <w:rPr>
          <w:rFonts w:ascii="Times New Roman" w:eastAsia="Times New Roman" w:hAnsi="Times New Roman" w:cs="Times New Roman"/>
          <w:color w:val="000000"/>
          <w:spacing w:val="0"/>
          <w:w w:val="100"/>
          <w:position w:val="0"/>
        </w:rPr>
        <w:t>+</w:t>
      </w:r>
      <w:r>
        <w:rPr>
          <w:color w:val="000000"/>
          <w:spacing w:val="0"/>
          <w:w w:val="100"/>
          <w:position w:val="0"/>
        </w:rPr>
        <w:t>蛋白组、转录组</w:t>
      </w:r>
      <w:r>
        <w:rPr>
          <w:rFonts w:ascii="Times New Roman" w:eastAsia="Times New Roman" w:hAnsi="Times New Roman" w:cs="Times New Roman"/>
          <w:color w:val="000000"/>
          <w:spacing w:val="0"/>
          <w:w w:val="100"/>
          <w:position w:val="0"/>
        </w:rPr>
        <w:t>+</w:t>
      </w:r>
      <w:r>
        <w:rPr>
          <w:color w:val="000000"/>
          <w:spacing w:val="0"/>
          <w:w w:val="100"/>
          <w:position w:val="0"/>
        </w:rPr>
        <w:t>代谢组、宏 基因组和代谢组、扩增子和代谢组、蛋白组和代谢组等多组学联合分析解决方案，为客户提供基于大数据的多组学联动和跨 组学联合分析，全面带动多组学技术和产业的发展。</w:t>
      </w:r>
    </w:p>
    <w:p>
      <w:pPr>
        <w:pStyle w:val="Style17"/>
        <w:keepNext w:val="0"/>
        <w:keepLines w:val="0"/>
        <w:widowControl w:val="0"/>
        <w:shd w:val="clear" w:color="auto" w:fill="auto"/>
        <w:bidi w:val="0"/>
        <w:spacing w:before="0" w:after="22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年，公司合成业务在原有基础上继续扩大平台规模，不断升级寡核苷酸生产平台，进一步提高合成自动化水平，建 成的寡核苷酸产线已开始用于市场订单承接，对接工业引物的高质量需求，以满足核酸检测、高通量测序等市场应用。基因 合成产线不断积累实践经验，在克隆方法、长难度基因合成方面已经探索出成熟的解决方案，一次合成成功率提升到新的水 平，交付质量及交付速度亦处于行业领先水平。合成业务除覆盖国内市场外，公司还积极布局海外市场，为后续业务拓展打 下基础。</w:t>
      </w:r>
    </w:p>
    <w:p>
      <w:pPr>
        <w:pStyle w:val="Style17"/>
        <w:keepNext w:val="0"/>
        <w:keepLines w:val="0"/>
        <w:widowControl w:val="0"/>
        <w:shd w:val="clear" w:color="auto" w:fill="auto"/>
        <w:tabs>
          <w:tab w:pos="669" w:val="left"/>
        </w:tabs>
        <w:bidi w:val="0"/>
        <w:spacing w:before="0" w:after="0"/>
        <w:ind w:left="0" w:right="0"/>
        <w:jc w:val="both"/>
      </w:pPr>
      <w:bookmarkStart w:id="111" w:name="bookmark111"/>
      <w:r>
        <w:rPr>
          <w:rFonts w:ascii="Times New Roman" w:eastAsia="Times New Roman" w:hAnsi="Times New Roman" w:cs="Times New Roman"/>
          <w:b/>
          <w:bCs/>
          <w:color w:val="000000"/>
          <w:spacing w:val="0"/>
          <w:w w:val="100"/>
          <w:position w:val="0"/>
        </w:rPr>
        <w:t>6</w:t>
      </w:r>
      <w:bookmarkEnd w:id="111"/>
      <w:r>
        <w:rPr>
          <w:b/>
          <w:bCs/>
          <w:color w:val="000000"/>
          <w:spacing w:val="0"/>
          <w:w w:val="100"/>
          <w:position w:val="0"/>
        </w:rPr>
        <w:t>、</w:t>
        <w:tab/>
        <w:t>持续拓展科技惠民路线，助力</w:t>
      </w:r>
      <w:r>
        <w:rPr>
          <w:rFonts w:ascii="Times New Roman" w:eastAsia="Times New Roman" w:hAnsi="Times New Roman" w:cs="Times New Roman"/>
          <w:b/>
          <w:bCs/>
          <w:color w:val="000000"/>
          <w:spacing w:val="0"/>
          <w:w w:val="100"/>
          <w:position w:val="0"/>
        </w:rPr>
        <w:t>“</w:t>
      </w:r>
      <w:r>
        <w:rPr>
          <w:b/>
          <w:bCs/>
          <w:color w:val="000000"/>
          <w:spacing w:val="0"/>
          <w:w w:val="100"/>
          <w:position w:val="0"/>
        </w:rPr>
        <w:t>健康中国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国家战略</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持续低价惠民</w:t>
      </w:r>
      <w:r>
        <w:rPr>
          <w:rFonts w:ascii="Times New Roman" w:eastAsia="Times New Roman" w:hAnsi="Times New Roman" w:cs="Times New Roman"/>
          <w:color w:val="000000"/>
          <w:spacing w:val="0"/>
          <w:w w:val="100"/>
          <w:position w:val="0"/>
        </w:rPr>
        <w:t>”</w:t>
      </w:r>
      <w:r>
        <w:rPr>
          <w:color w:val="000000"/>
          <w:spacing w:val="0"/>
          <w:w w:val="100"/>
          <w:position w:val="0"/>
        </w:rPr>
        <w:t>原则，在全国各地继续开拓新的基因健康筛查民生项目，减少遗传病患儿的出生，及早发现肿 瘤和感染病例，从预防入手可有效降低发病几率，减轻家庭负担。截至报告期末，公司已开展的民生项目覆盖了全国</w:t>
      </w:r>
      <w:r>
        <w:rPr>
          <w:rFonts w:ascii="Times New Roman" w:eastAsia="Times New Roman" w:hAnsi="Times New Roman" w:cs="Times New Roman"/>
          <w:color w:val="000000"/>
          <w:spacing w:val="0"/>
          <w:w w:val="100"/>
          <w:position w:val="0"/>
        </w:rPr>
        <w:t>20</w:t>
      </w:r>
      <w:r>
        <w:rPr>
          <w:color w:val="000000"/>
          <w:spacing w:val="0"/>
          <w:w w:val="100"/>
          <w:position w:val="0"/>
        </w:rPr>
        <w:t>余个 省、自治区和直辖市，民生项目筛查人次已累计达到</w:t>
      </w:r>
      <w:r>
        <w:rPr>
          <w:rFonts w:ascii="Times New Roman" w:eastAsia="Times New Roman" w:hAnsi="Times New Roman" w:cs="Times New Roman"/>
          <w:color w:val="000000"/>
          <w:spacing w:val="0"/>
          <w:w w:val="100"/>
          <w:position w:val="0"/>
        </w:rPr>
        <w:t>1,300</w:t>
      </w:r>
      <w:r>
        <w:rPr>
          <w:color w:val="000000"/>
          <w:spacing w:val="0"/>
          <w:w w:val="100"/>
          <w:position w:val="0"/>
        </w:rPr>
        <w:t>余万次。</w:t>
      </w:r>
    </w:p>
    <w:p>
      <w:pPr>
        <w:pStyle w:val="Style17"/>
        <w:keepNext w:val="0"/>
        <w:keepLines w:val="0"/>
        <w:widowControl w:val="0"/>
        <w:shd w:val="clear" w:color="auto" w:fill="auto"/>
        <w:bidi w:val="0"/>
        <w:spacing w:before="0" w:after="120" w:line="313" w:lineRule="exact"/>
        <w:ind w:left="0" w:right="0"/>
        <w:jc w:val="both"/>
      </w:pPr>
      <w:r>
        <w:rPr>
          <w:color w:val="000000"/>
          <w:spacing w:val="0"/>
          <w:w w:val="100"/>
          <w:position w:val="0"/>
        </w:rPr>
        <w:t xml:space="preserve">妇幼健康的全生命周期的管理主要由三大细分业务领域构成：出生缺陷防控为孕妇提供无创产前基因检测、耳聋筛查等 出生缺陷检测管理；宫颈癌与乳腺癌筛查功能为适龄妇女两癌筛查提供信息化管理支撑；妇幼健康管理功能为适龄女性和 </w:t>
      </w:r>
      <w:r>
        <w:rPr>
          <w:rFonts w:ascii="Times New Roman" w:eastAsia="Times New Roman" w:hAnsi="Times New Roman" w:cs="Times New Roman"/>
          <w:color w:val="000000"/>
          <w:spacing w:val="0"/>
          <w:w w:val="100"/>
          <w:position w:val="0"/>
        </w:rPr>
        <w:t>0~7</w:t>
      </w:r>
      <w:r>
        <w:rPr>
          <w:color w:val="000000"/>
          <w:spacing w:val="0"/>
          <w:w w:val="100"/>
          <w:position w:val="0"/>
        </w:rPr>
        <w:t xml:space="preserve">岁儿童的健康进行全流程管理。民生妇幼信息化平台逐步形成了以出生缺陷防控信息管理、智慧妇幼管理、疾病筛查管 理、药具管理为核心的四大功能模块，分别支持提供孕产妇及新生儿出生缺陷筛查业务全流程，孕妇从备孕到分娩、儿童从 </w:t>
      </w:r>
      <w:r>
        <w:rPr>
          <w:rFonts w:ascii="Times New Roman" w:eastAsia="Times New Roman" w:hAnsi="Times New Roman" w:cs="Times New Roman"/>
          <w:color w:val="000000"/>
          <w:spacing w:val="0"/>
          <w:w w:val="100"/>
          <w:position w:val="0"/>
        </w:rPr>
        <w:t>0</w:t>
      </w:r>
      <w:r>
        <w:rPr>
          <w:color w:val="000000"/>
          <w:spacing w:val="0"/>
          <w:w w:val="100"/>
          <w:position w:val="0"/>
        </w:rPr>
        <w:t>到</w:t>
      </w:r>
      <w:r>
        <w:rPr>
          <w:rFonts w:ascii="Times New Roman" w:eastAsia="Times New Roman" w:hAnsi="Times New Roman" w:cs="Times New Roman"/>
          <w:color w:val="000000"/>
          <w:spacing w:val="0"/>
          <w:w w:val="100"/>
          <w:position w:val="0"/>
        </w:rPr>
        <w:t>7</w:t>
      </w:r>
      <w:r>
        <w:rPr>
          <w:color w:val="000000"/>
          <w:spacing w:val="0"/>
          <w:w w:val="100"/>
          <w:position w:val="0"/>
        </w:rPr>
        <w:t>岁的全流程，两癌筛查、新生儿耳聋筛查，计生药具和叶酸发放的信息化管理。通过上述四大系统功能模块有序运行形 成了妇幼健康的全生命周期管理。</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在肿瘤防控民生实践上，华大基因致力于提供贯穿癌症全生命周期的</w:t>
      </w:r>
      <w:r>
        <w:rPr>
          <w:rFonts w:ascii="Times New Roman" w:eastAsia="Times New Roman" w:hAnsi="Times New Roman" w:cs="Times New Roman"/>
          <w:color w:val="000000"/>
          <w:spacing w:val="0"/>
          <w:w w:val="100"/>
          <w:position w:val="0"/>
        </w:rPr>
        <w:t>“</w:t>
      </w:r>
      <w:r>
        <w:rPr>
          <w:color w:val="000000"/>
          <w:spacing w:val="0"/>
          <w:w w:val="100"/>
          <w:position w:val="0"/>
        </w:rPr>
        <w:t>筛、诊、保、疗、监</w:t>
      </w:r>
      <w:r>
        <w:rPr>
          <w:rFonts w:ascii="Times New Roman" w:eastAsia="Times New Roman" w:hAnsi="Times New Roman" w:cs="Times New Roman"/>
          <w:color w:val="000000"/>
          <w:spacing w:val="0"/>
          <w:w w:val="100"/>
          <w:position w:val="0"/>
        </w:rPr>
        <w:t>”</w:t>
      </w:r>
      <w:r>
        <w:rPr>
          <w:color w:val="000000"/>
          <w:spacing w:val="0"/>
          <w:w w:val="100"/>
          <w:position w:val="0"/>
        </w:rPr>
        <w:t>的综合解决方案。公司开发 的民生肿瘤防控信息化平台有效提升受检群众肿瘤预防知识的知晓率、覆盖率，助力大规模人群筛查高效有序开展，帮助各 地医疗系统掌握重点人群的治疗率、随访率等。通过高效的配合，各地癌症早筛随访率高于全国平均水平，基于无创癌症基 因检测技术的阳性检出率高于传统检测水平，同时通过对于癌前病变的有效干预，可以有效降低筛查阳性人群的患癌风险。</w:t>
      </w:r>
    </w:p>
    <w:p>
      <w:pPr>
        <w:pStyle w:val="Style17"/>
        <w:keepNext w:val="0"/>
        <w:keepLines w:val="0"/>
        <w:widowControl w:val="0"/>
        <w:shd w:val="clear" w:color="auto" w:fill="auto"/>
        <w:bidi w:val="0"/>
        <w:spacing w:before="0" w:after="220" w:line="313" w:lineRule="exact"/>
        <w:ind w:left="0" w:right="0"/>
        <w:jc w:val="both"/>
      </w:pPr>
      <w:r>
        <w:rPr>
          <w:color w:val="000000"/>
          <w:spacing w:val="0"/>
          <w:w w:val="100"/>
          <w:position w:val="0"/>
        </w:rPr>
        <w:t>在民生项目开展实施过程中，公司持续推动精准医学技术及检测平台的本地化。长沙市健康民生项目于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月启动， 在民生项目开展过程中公司协助建设了长沙民生妇幼信息化系统，民生信息化平台启动以来，陆续在湖南省、河北省、江西 省、山东省、西藏自治区、浙江省、内蒙古自治区、广东省、贵州省贵阳市等地开展，已覆盖了全国</w:t>
      </w:r>
      <w:r>
        <w:rPr>
          <w:rFonts w:ascii="Times New Roman" w:eastAsia="Times New Roman" w:hAnsi="Times New Roman" w:cs="Times New Roman"/>
          <w:color w:val="000000"/>
          <w:spacing w:val="0"/>
          <w:w w:val="100"/>
          <w:position w:val="0"/>
        </w:rPr>
        <w:t>13</w:t>
      </w:r>
      <w:r>
        <w:rPr>
          <w:color w:val="000000"/>
          <w:spacing w:val="0"/>
          <w:w w:val="100"/>
          <w:position w:val="0"/>
        </w:rPr>
        <w:t>个省、自治区、直辖 市总共</w:t>
      </w:r>
      <w:r>
        <w:rPr>
          <w:rFonts w:ascii="Times New Roman" w:eastAsia="Times New Roman" w:hAnsi="Times New Roman" w:cs="Times New Roman"/>
          <w:color w:val="000000"/>
          <w:spacing w:val="0"/>
          <w:w w:val="100"/>
          <w:position w:val="0"/>
        </w:rPr>
        <w:t>36</w:t>
      </w:r>
      <w:r>
        <w:rPr>
          <w:color w:val="000000"/>
          <w:spacing w:val="0"/>
          <w:w w:val="100"/>
          <w:position w:val="0"/>
        </w:rPr>
        <w:t>个区域，共计服务约</w:t>
      </w:r>
      <w:r>
        <w:rPr>
          <w:rFonts w:ascii="Times New Roman" w:eastAsia="Times New Roman" w:hAnsi="Times New Roman" w:cs="Times New Roman"/>
          <w:color w:val="000000"/>
          <w:spacing w:val="0"/>
          <w:w w:val="100"/>
          <w:position w:val="0"/>
        </w:rPr>
        <w:t>450</w:t>
      </w:r>
      <w:r>
        <w:rPr>
          <w:color w:val="000000"/>
          <w:spacing w:val="0"/>
          <w:w w:val="100"/>
          <w:position w:val="0"/>
        </w:rPr>
        <w:t>万人次；通过民生信息化平台，助力各地医疗系统逐步形成精准医学网络，并促进健康服 务体系的完善和基本医疗卫生服务的普及，为政府发展基于互联网的健康服务、培育健康服务新业态打下良好基础。公司未 来将不断升级，助力构建本地化的民生大样本中心、大健康数据产业体系。此外，公司结合在全国开展民生项目的经验及出 生缺陷三级防控要求，开发推出了出生缺陷防控系统，该系统集服务、管理于一体，贴合国内三级出生缺陷防控服务体系， 可实现跨区域、跨终端、跨系统数据互联互通信息安全共享，满足产诊产筛网络的业务管理与协同办公，为母婴健康服务提 供安全、高效、智慧的信息化管理方案。</w:t>
      </w:r>
    </w:p>
    <w:p>
      <w:pPr>
        <w:pStyle w:val="Style17"/>
        <w:keepNext w:val="0"/>
        <w:keepLines w:val="0"/>
        <w:widowControl w:val="0"/>
        <w:shd w:val="clear" w:color="auto" w:fill="auto"/>
        <w:tabs>
          <w:tab w:pos="669" w:val="left"/>
        </w:tabs>
        <w:bidi w:val="0"/>
        <w:spacing w:before="0" w:after="0"/>
        <w:ind w:left="0" w:right="0"/>
        <w:jc w:val="both"/>
      </w:pPr>
      <w:bookmarkStart w:id="112" w:name="bookmark112"/>
      <w:r>
        <w:rPr>
          <w:rFonts w:ascii="Times New Roman" w:eastAsia="Times New Roman" w:hAnsi="Times New Roman" w:cs="Times New Roman"/>
          <w:b/>
          <w:bCs/>
          <w:color w:val="000000"/>
          <w:spacing w:val="0"/>
          <w:w w:val="100"/>
          <w:position w:val="0"/>
        </w:rPr>
        <w:t>7</w:t>
      </w:r>
      <w:bookmarkEnd w:id="112"/>
      <w:r>
        <w:rPr>
          <w:b/>
          <w:bCs/>
          <w:color w:val="000000"/>
          <w:spacing w:val="0"/>
          <w:w w:val="100"/>
          <w:position w:val="0"/>
        </w:rPr>
        <w:t>、</w:t>
        <w:tab/>
        <w:t>完善</w:t>
      </w:r>
      <w:r>
        <w:rPr>
          <w:rFonts w:ascii="Times New Roman" w:eastAsia="Times New Roman" w:hAnsi="Times New Roman" w:cs="Times New Roman"/>
          <w:b/>
          <w:bCs/>
          <w:color w:val="000000"/>
          <w:spacing w:val="0"/>
          <w:w w:val="100"/>
          <w:position w:val="0"/>
        </w:rPr>
        <w:t>“</w:t>
      </w:r>
      <w:r>
        <w:rPr>
          <w:b/>
          <w:bCs/>
          <w:color w:val="000000"/>
          <w:spacing w:val="0"/>
          <w:w w:val="100"/>
          <w:position w:val="0"/>
        </w:rPr>
        <w:t>生育肿瘤感染</w:t>
      </w:r>
      <w:r>
        <w:rPr>
          <w:rFonts w:ascii="Times New Roman" w:eastAsia="Times New Roman" w:hAnsi="Times New Roman" w:cs="Times New Roman"/>
          <w:b/>
          <w:bCs/>
          <w:color w:val="000000"/>
          <w:spacing w:val="0"/>
          <w:w w:val="100"/>
          <w:position w:val="0"/>
        </w:rPr>
        <w:t>”</w:t>
      </w:r>
      <w:r>
        <w:rPr>
          <w:b/>
          <w:bCs/>
          <w:color w:val="000000"/>
          <w:spacing w:val="0"/>
          <w:w w:val="100"/>
          <w:position w:val="0"/>
        </w:rPr>
        <w:t>系列产品梯队、强化产品资质</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报告期内，公司继续推进妇幼健康、肿瘤、感染、质谱、多组学大数据等系列重点产品建设，持续加大重点产品资质申 报投入力度，加强系统与数据库建设，并积极探索建立行业标准与规范。新冠肺炎疫情期间，公司始终保持高度的社会责任 感，快速响应国家民生需求，全力投入检测技术和试剂盒研发及资质申报工作。</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在妇幼健康方面，持续围绕妇幼健康和出生缺陷三级预防体系进行新技术和新产品研发，重点布局在新产品开发与迭 </w:t>
      </w:r>
      <w:r>
        <w:rPr>
          <w:color w:val="000000"/>
          <w:spacing w:val="0"/>
          <w:w w:val="100"/>
          <w:position w:val="0"/>
        </w:rPr>
        <w:t>代优化、数据库和系统开发等方向。报告期内重点完成和开展的研发项目包括：开展全球血红蛋白病防控研发专项，构建高 中低配血红蛋白病检测产品，满足血红蛋白病不同场景的检测需求。公司在</w:t>
      </w:r>
      <w:r>
        <w:rPr>
          <w:rFonts w:ascii="Times New Roman" w:eastAsia="Times New Roman" w:hAnsi="Times New Roman" w:cs="Times New Roman"/>
          <w:color w:val="000000"/>
          <w:spacing w:val="0"/>
          <w:w w:val="100"/>
          <w:position w:val="0"/>
        </w:rPr>
        <w:t>PCR</w:t>
      </w:r>
      <w:r>
        <w:rPr>
          <w:color w:val="000000"/>
          <w:spacing w:val="0"/>
          <w:w w:val="100"/>
          <w:position w:val="0"/>
        </w:rPr>
        <w:t>平台开发了两款镰刀型细胞贫血基因检测试 剂盒，并获得欧盟市场准入资质，可用于镰贫高发国家地区的筛查和辅助诊断检测；为实现镰贫检测整体方案的闭环，开发 无创产前镰刀型细胞贫血病基因检测技术，为全球血红蛋白病防控项目做好储备，赋能全球生命健康产业。孕前方向，对携 带者筛查产品持续进行优化迭代，通过芯片升级和算法优化，进一步拓展筛查疾病种类，打造差异化产品，持续提高细分领 域内产品综合竞争力。产前筛查方向，持续对</w:t>
      </w:r>
      <w:r>
        <w:rPr>
          <w:rFonts w:ascii="Times New Roman" w:eastAsia="Times New Roman" w:hAnsi="Times New Roman" w:cs="Times New Roman"/>
          <w:color w:val="000000"/>
          <w:spacing w:val="0"/>
          <w:w w:val="100"/>
          <w:position w:val="0"/>
        </w:rPr>
        <w:t>NIFTY</w:t>
      </w:r>
      <w:r>
        <w:rPr>
          <w:color w:val="000000"/>
          <w:spacing w:val="0"/>
          <w:w w:val="100"/>
          <w:position w:val="0"/>
        </w:rPr>
        <w:t>及全因系列产品优化升级，通过实验技术优化迭代、数据分析算法和报 告逻辑优化等方式，综合提升</w:t>
      </w:r>
      <w:r>
        <w:rPr>
          <w:rFonts w:ascii="Times New Roman" w:eastAsia="Times New Roman" w:hAnsi="Times New Roman" w:cs="Times New Roman"/>
          <w:color w:val="000000"/>
          <w:spacing w:val="0"/>
          <w:w w:val="100"/>
          <w:position w:val="0"/>
        </w:rPr>
        <w:t>NIFTY</w:t>
      </w:r>
      <w:r>
        <w:rPr>
          <w:color w:val="000000"/>
          <w:spacing w:val="0"/>
          <w:w w:val="100"/>
          <w:position w:val="0"/>
        </w:rPr>
        <w:t>及全因系列产品的整体检测性能。</w:t>
      </w:r>
      <w:r>
        <w:rPr>
          <w:rFonts w:ascii="Times New Roman" w:eastAsia="Times New Roman" w:hAnsi="Times New Roman" w:cs="Times New Roman"/>
          <w:color w:val="000000"/>
          <w:spacing w:val="0"/>
          <w:w w:val="100"/>
          <w:position w:val="0"/>
        </w:rPr>
        <w:t>CNVseq-</w:t>
      </w:r>
      <w:r>
        <w:rPr>
          <w:color w:val="000000"/>
          <w:spacing w:val="0"/>
          <w:w w:val="100"/>
          <w:position w:val="0"/>
        </w:rPr>
        <w:t>染色体变异检测方向，稳步推进产品升级迭 代，实现升级产品的本地化交付；同时推出云端分析平台，为客户提供更多可选择的交付模式。在辅助生殖方向，完成现有 胚胎植入前非整倍体</w:t>
      </w:r>
      <w:r>
        <w:rPr>
          <w:rFonts w:ascii="Times New Roman" w:eastAsia="Times New Roman" w:hAnsi="Times New Roman" w:cs="Times New Roman"/>
          <w:color w:val="000000"/>
          <w:spacing w:val="0"/>
          <w:w w:val="100"/>
          <w:position w:val="0"/>
        </w:rPr>
        <w:t>/</w:t>
      </w:r>
      <w:r>
        <w:rPr>
          <w:color w:val="000000"/>
          <w:spacing w:val="0"/>
          <w:w w:val="100"/>
          <w:position w:val="0"/>
        </w:rPr>
        <w:t>遗传病检测的产品优化升级，开发</w:t>
      </w:r>
      <w:r>
        <w:rPr>
          <w:rFonts w:ascii="Times New Roman" w:eastAsia="Times New Roman" w:hAnsi="Times New Roman" w:cs="Times New Roman"/>
          <w:color w:val="000000"/>
          <w:spacing w:val="0"/>
          <w:w w:val="100"/>
          <w:position w:val="0"/>
        </w:rPr>
        <w:t>PGT-A</w:t>
      </w:r>
      <w:r>
        <w:rPr>
          <w:color w:val="000000"/>
          <w:spacing w:val="0"/>
          <w:w w:val="100"/>
          <w:position w:val="0"/>
        </w:rPr>
        <w:t>适配不同测序机型一体机，以满足海内外生殖中心</w:t>
      </w:r>
      <w:r>
        <w:rPr>
          <w:rFonts w:ascii="Times New Roman" w:eastAsia="Times New Roman" w:hAnsi="Times New Roman" w:cs="Times New Roman"/>
          <w:color w:val="000000"/>
          <w:spacing w:val="0"/>
          <w:w w:val="100"/>
          <w:position w:val="0"/>
        </w:rPr>
        <w:t>PGT-A</w:t>
      </w:r>
      <w:r>
        <w:rPr>
          <w:color w:val="000000"/>
          <w:spacing w:val="0"/>
          <w:w w:val="100"/>
          <w:position w:val="0"/>
        </w:rPr>
        <w:t>本 地化的需求；完成极速</w:t>
      </w:r>
      <w:r>
        <w:rPr>
          <w:rFonts w:ascii="Times New Roman" w:eastAsia="Times New Roman" w:hAnsi="Times New Roman" w:cs="Times New Roman"/>
          <w:color w:val="000000"/>
          <w:spacing w:val="0"/>
          <w:w w:val="100"/>
          <w:position w:val="0"/>
        </w:rPr>
        <w:t>PGT-A</w:t>
      </w:r>
      <w:r>
        <w:rPr>
          <w:color w:val="000000"/>
          <w:spacing w:val="0"/>
          <w:w w:val="100"/>
          <w:position w:val="0"/>
        </w:rPr>
        <w:t>产品的研发，</w:t>
      </w:r>
      <w:r>
        <w:rPr>
          <w:rFonts w:ascii="Times New Roman" w:eastAsia="Times New Roman" w:hAnsi="Times New Roman" w:cs="Times New Roman"/>
          <w:color w:val="000000"/>
          <w:spacing w:val="0"/>
          <w:w w:val="100"/>
          <w:position w:val="0"/>
        </w:rPr>
        <w:t>24h</w:t>
      </w:r>
      <w:r>
        <w:rPr>
          <w:color w:val="000000"/>
          <w:spacing w:val="0"/>
          <w:w w:val="100"/>
          <w:position w:val="0"/>
        </w:rPr>
        <w:t>以内可出具</w:t>
      </w:r>
      <w:r>
        <w:rPr>
          <w:rFonts w:ascii="Times New Roman" w:eastAsia="Times New Roman" w:hAnsi="Times New Roman" w:cs="Times New Roman"/>
          <w:color w:val="000000"/>
          <w:spacing w:val="0"/>
          <w:w w:val="100"/>
          <w:position w:val="0"/>
        </w:rPr>
        <w:t>PGT-A</w:t>
      </w:r>
      <w:r>
        <w:rPr>
          <w:color w:val="000000"/>
          <w:spacing w:val="0"/>
          <w:w w:val="100"/>
          <w:position w:val="0"/>
        </w:rPr>
        <w:t>检测报告，以适配海内外有鲜胚移植需求的生殖中心；开 发基于全基因组测序的</w:t>
      </w:r>
      <w:r>
        <w:rPr>
          <w:rFonts w:ascii="Times New Roman" w:eastAsia="Times New Roman" w:hAnsi="Times New Roman" w:cs="Times New Roman"/>
          <w:color w:val="000000"/>
          <w:spacing w:val="0"/>
          <w:w w:val="100"/>
          <w:position w:val="0"/>
        </w:rPr>
        <w:t>PGT-M</w:t>
      </w:r>
      <w:r>
        <w:rPr>
          <w:color w:val="000000"/>
          <w:spacing w:val="0"/>
          <w:w w:val="100"/>
          <w:position w:val="0"/>
        </w:rPr>
        <w:t>的一体化解决方案，可同时检测</w:t>
      </w:r>
      <w:r>
        <w:rPr>
          <w:rFonts w:ascii="Times New Roman" w:eastAsia="Times New Roman" w:hAnsi="Times New Roman" w:cs="Times New Roman"/>
          <w:color w:val="000000"/>
          <w:spacing w:val="0"/>
          <w:w w:val="100"/>
          <w:position w:val="0"/>
        </w:rPr>
        <w:t>PGT-M</w:t>
      </w:r>
      <w:r>
        <w:rPr>
          <w:color w:val="000000"/>
          <w:spacing w:val="0"/>
          <w:w w:val="100"/>
          <w:position w:val="0"/>
        </w:rPr>
        <w:t>、</w:t>
      </w:r>
      <w:r>
        <w:rPr>
          <w:rFonts w:ascii="Times New Roman" w:eastAsia="Times New Roman" w:hAnsi="Times New Roman" w:cs="Times New Roman"/>
          <w:color w:val="000000"/>
          <w:spacing w:val="0"/>
          <w:w w:val="100"/>
          <w:position w:val="0"/>
        </w:rPr>
        <w:t>PGT-A</w:t>
      </w:r>
      <w:r>
        <w:rPr>
          <w:color w:val="000000"/>
          <w:spacing w:val="0"/>
          <w:w w:val="100"/>
          <w:position w:val="0"/>
        </w:rPr>
        <w:t>和</w:t>
      </w:r>
      <w:r>
        <w:rPr>
          <w:rFonts w:ascii="Times New Roman" w:eastAsia="Times New Roman" w:hAnsi="Times New Roman" w:cs="Times New Roman"/>
          <w:color w:val="000000"/>
          <w:spacing w:val="0"/>
          <w:w w:val="100"/>
          <w:position w:val="0"/>
        </w:rPr>
        <w:t>PGT-SR</w:t>
      </w:r>
      <w:r>
        <w:rPr>
          <w:color w:val="000000"/>
          <w:spacing w:val="0"/>
          <w:w w:val="100"/>
          <w:position w:val="0"/>
        </w:rPr>
        <w:t>，</w:t>
      </w:r>
      <w:r>
        <w:rPr>
          <w:color w:val="000000"/>
          <w:spacing w:val="0"/>
          <w:w w:val="100"/>
          <w:position w:val="0"/>
        </w:rPr>
        <w:t>不仅拓展检测疾病种类，还可以 实现无需先证者</w:t>
      </w:r>
      <w:r>
        <w:rPr>
          <w:rFonts w:ascii="Times New Roman" w:eastAsia="Times New Roman" w:hAnsi="Times New Roman" w:cs="Times New Roman"/>
          <w:color w:val="000000"/>
          <w:spacing w:val="0"/>
          <w:w w:val="100"/>
          <w:position w:val="0"/>
        </w:rPr>
        <w:t>/</w:t>
      </w:r>
      <w:r>
        <w:rPr>
          <w:color w:val="000000"/>
          <w:spacing w:val="0"/>
          <w:w w:val="100"/>
          <w:position w:val="0"/>
        </w:rPr>
        <w:t xml:space="preserve">家系成员直接构建单倍体型，以适应当前携带者筛查的需求，包括受检人群增加和病种增加，检出的碰对 高风险夫妻的辅助生殖需求，形成闭环；同时开发基于胚胎培养液的植入前非整倍体检测技术，为下一代植入前胚胎遗传学 检测储备技术。在新生儿方向，公司开展中国多中心新生儿遗传病基因筛查研究项目，通过高通量测序方法，对新生儿开展 多种疾病基因筛查，以建立新生儿遗传病基因筛查系统，评价基因检测应用于新筛的临床效益，报告期内，已累计检测近 </w:t>
      </w:r>
      <w:r>
        <w:rPr>
          <w:rFonts w:ascii="Times New Roman" w:eastAsia="Times New Roman" w:hAnsi="Times New Roman" w:cs="Times New Roman"/>
          <w:color w:val="000000"/>
          <w:spacing w:val="0"/>
          <w:w w:val="100"/>
          <w:position w:val="0"/>
        </w:rPr>
        <w:t>30,000</w:t>
      </w:r>
      <w:r>
        <w:rPr>
          <w:color w:val="000000"/>
          <w:spacing w:val="0"/>
          <w:w w:val="100"/>
          <w:position w:val="0"/>
        </w:rPr>
        <w:t>例；同时加速新生儿基因筛查产品的优化升级，进一步赋能出生缺陷三级防控体系检测。单基因病方向，持续优化以 全基因组测序、全外显子组测序为核心的系列产品，通过实验技术的迭代和自主研发分析算法的优化，不断拓展检测范围， 优化检测性能，提升检出率，同时制定更高的质控标准和更规范的解读标准以保证产品的交付质量，并不断优化云端解读平 台，适配客户端个性化分析需求，并在行业内率先推出从湿实验到干实验的全外本地化产品；持续对遗传性耳聋基因检测系 列产品进行升级迭代，实现可控成本下的更全面的检测内容覆盖，提高市场竞争力；建立遗传病多组学检测技术流程，布局 遗传性疾病一站式全方位检测服务，以最大程度提高遗传病患者的分子诊断率。药物基因组方向，建立健全高中低配多产品 管线技术平台，推出单药类用药指导基因检测系列产品，实现极速交付，助力床旁安全用药检测。数据库建设方面，持续推 动遗传病数据库（即</w:t>
      </w:r>
      <w:r>
        <w:rPr>
          <w:rFonts w:ascii="Times New Roman" w:eastAsia="Times New Roman" w:hAnsi="Times New Roman" w:cs="Times New Roman"/>
          <w:color w:val="000000"/>
          <w:spacing w:val="0"/>
          <w:w w:val="100"/>
          <w:position w:val="0"/>
        </w:rPr>
        <w:t>“</w:t>
      </w:r>
      <w:r>
        <w:rPr>
          <w:color w:val="000000"/>
          <w:spacing w:val="0"/>
          <w:w w:val="100"/>
          <w:position w:val="0"/>
        </w:rPr>
        <w:t>凤凰数据库</w:t>
      </w:r>
      <w:r>
        <w:rPr>
          <w:rFonts w:ascii="Times New Roman" w:eastAsia="Times New Roman" w:hAnsi="Times New Roman" w:cs="Times New Roman"/>
          <w:color w:val="000000"/>
          <w:spacing w:val="0"/>
          <w:w w:val="100"/>
          <w:position w:val="0"/>
        </w:rPr>
        <w:t>”</w:t>
      </w:r>
      <w:r>
        <w:rPr>
          <w:color w:val="000000"/>
          <w:spacing w:val="0"/>
          <w:w w:val="100"/>
          <w:position w:val="0"/>
        </w:rPr>
        <w:t>）的建设，在充分整合现有数据资源的条件下，结合中国人遗传病群体的组成和特点，从 遗传病致病基因、致病变异、遗传病相关表型和真实临床患者表型</w:t>
      </w:r>
      <w:r>
        <w:rPr>
          <w:rFonts w:ascii="Times New Roman" w:eastAsia="Times New Roman" w:hAnsi="Times New Roman" w:cs="Times New Roman"/>
          <w:color w:val="000000"/>
          <w:spacing w:val="0"/>
          <w:w w:val="100"/>
          <w:position w:val="0"/>
        </w:rPr>
        <w:t>-</w:t>
      </w:r>
      <w:r>
        <w:rPr>
          <w:color w:val="000000"/>
          <w:spacing w:val="0"/>
          <w:w w:val="100"/>
          <w:position w:val="0"/>
        </w:rPr>
        <w:t>基因型数据等维度对数据库进行规范化、结构化建设。</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在肿瘤防控方面，报告期内在已有的预、筛、诊、监的产品体系基础上，进一步扩充完善，升级迭代，为肿瘤患者提供 更全面的肿瘤全周期管理服务。在产品布局方面，基于自主开发的</w:t>
      </w:r>
      <w:r>
        <w:rPr>
          <w:rFonts w:ascii="Times New Roman" w:eastAsia="Times New Roman" w:hAnsi="Times New Roman" w:cs="Times New Roman"/>
          <w:color w:val="000000"/>
          <w:spacing w:val="0"/>
          <w:w w:val="100"/>
          <w:position w:val="0"/>
        </w:rPr>
        <w:t>CoBox</w:t>
      </w:r>
      <w:r>
        <w:rPr>
          <w:color w:val="000000"/>
          <w:spacing w:val="0"/>
          <w:w w:val="100"/>
          <w:position w:val="0"/>
        </w:rPr>
        <w:t>专利性</w:t>
      </w:r>
      <w:r>
        <w:rPr>
          <w:rFonts w:ascii="Times New Roman" w:eastAsia="Times New Roman" w:hAnsi="Times New Roman" w:cs="Times New Roman"/>
          <w:color w:val="000000"/>
          <w:spacing w:val="0"/>
          <w:w w:val="100"/>
          <w:position w:val="0"/>
        </w:rPr>
        <w:t>ctDNA</w:t>
      </w:r>
      <w:r>
        <w:rPr>
          <w:color w:val="000000"/>
          <w:spacing w:val="0"/>
          <w:w w:val="100"/>
          <w:position w:val="0"/>
        </w:rPr>
        <w:t xml:space="preserve">分子低频检测技术，公司对个体化诊 疗及用药指导基因检测产品进行了全面升级，实现了 </w:t>
      </w:r>
      <w:r>
        <w:rPr>
          <w:rFonts w:ascii="Times New Roman" w:eastAsia="Times New Roman" w:hAnsi="Times New Roman" w:cs="Times New Roman"/>
          <w:color w:val="000000"/>
          <w:spacing w:val="0"/>
          <w:w w:val="100"/>
          <w:position w:val="0"/>
        </w:rPr>
        <w:t>688</w:t>
      </w:r>
      <w:r>
        <w:rPr>
          <w:color w:val="000000"/>
          <w:spacing w:val="0"/>
          <w:w w:val="100"/>
          <w:position w:val="0"/>
        </w:rPr>
        <w:t>个基因及</w:t>
      </w:r>
      <w:r>
        <w:rPr>
          <w:rFonts w:ascii="Times New Roman" w:eastAsia="Times New Roman" w:hAnsi="Times New Roman" w:cs="Times New Roman"/>
          <w:color w:val="000000"/>
          <w:spacing w:val="0"/>
          <w:w w:val="100"/>
          <w:position w:val="0"/>
        </w:rPr>
        <w:t>220</w:t>
      </w:r>
      <w:r>
        <w:rPr>
          <w:color w:val="000000"/>
          <w:spacing w:val="0"/>
          <w:w w:val="100"/>
          <w:position w:val="0"/>
        </w:rPr>
        <w:t>个基因不同梯度产品的性能提升，解读</w:t>
      </w:r>
      <w:r>
        <w:rPr>
          <w:rFonts w:ascii="Times New Roman" w:eastAsia="Times New Roman" w:hAnsi="Times New Roman" w:cs="Times New Roman"/>
          <w:color w:val="000000"/>
          <w:spacing w:val="0"/>
          <w:w w:val="100"/>
          <w:position w:val="0"/>
        </w:rPr>
        <w:t>190</w:t>
      </w:r>
      <w:r>
        <w:rPr>
          <w:color w:val="000000"/>
          <w:spacing w:val="0"/>
          <w:w w:val="100"/>
          <w:position w:val="0"/>
        </w:rPr>
        <w:t>余种靶向药 物，达到万分之三水平的检测能力，进一步提升了灵敏度，可实现肿瘤发生发展的动态监测。公司于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月正式推出华 见微</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肿瘤</w:t>
      </w:r>
      <w:r>
        <w:rPr>
          <w:rFonts w:ascii="Times New Roman" w:eastAsia="Times New Roman" w:hAnsi="Times New Roman" w:cs="Times New Roman"/>
          <w:color w:val="000000"/>
          <w:spacing w:val="0"/>
          <w:w w:val="100"/>
          <w:position w:val="0"/>
        </w:rPr>
        <w:t>MRD</w:t>
      </w:r>
      <w:r>
        <w:rPr>
          <w:color w:val="000000"/>
          <w:spacing w:val="0"/>
          <w:w w:val="100"/>
          <w:position w:val="0"/>
        </w:rPr>
        <w:t>定制化检测产品。作为临床级别的个体化泛实体瘤监测产品，华见微</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具有超高深度、个性化、灵敏度高等 优势，可用于肿瘤患者的预后监测、复发监测、疗效评估、耐药评估等。公司进一步优化</w:t>
      </w:r>
      <w:r>
        <w:rPr>
          <w:rFonts w:ascii="Times New Roman" w:eastAsia="Times New Roman" w:hAnsi="Times New Roman" w:cs="Times New Roman"/>
          <w:color w:val="000000"/>
          <w:spacing w:val="0"/>
          <w:w w:val="100"/>
          <w:position w:val="0"/>
        </w:rPr>
        <w:t xml:space="preserve">BRCA-HRR </w:t>
      </w:r>
      <w:r>
        <w:rPr>
          <w:color w:val="000000"/>
          <w:spacing w:val="0"/>
          <w:w w:val="100"/>
          <w:position w:val="0"/>
        </w:rPr>
        <w:t>（同源重组修复）</w:t>
      </w:r>
      <w:r>
        <w:rPr>
          <w:rFonts w:ascii="Times New Roman" w:eastAsia="Times New Roman" w:hAnsi="Times New Roman" w:cs="Times New Roman"/>
          <w:color w:val="000000"/>
          <w:spacing w:val="0"/>
          <w:w w:val="100"/>
          <w:position w:val="0"/>
        </w:rPr>
        <w:t xml:space="preserve">-HRD </w:t>
      </w:r>
      <w:r>
        <w:rPr>
          <w:color w:val="000000"/>
          <w:spacing w:val="0"/>
          <w:w w:val="100"/>
          <w:position w:val="0"/>
        </w:rPr>
        <w:t>（同源重组缺陷）产品组合，初步实现</w:t>
      </w:r>
      <w:r>
        <w:rPr>
          <w:rFonts w:ascii="Times New Roman" w:eastAsia="Times New Roman" w:hAnsi="Times New Roman" w:cs="Times New Roman"/>
          <w:color w:val="000000"/>
          <w:spacing w:val="0"/>
          <w:w w:val="100"/>
          <w:position w:val="0"/>
        </w:rPr>
        <w:t>HRR</w:t>
      </w:r>
      <w:r>
        <w:rPr>
          <w:color w:val="000000"/>
          <w:spacing w:val="0"/>
          <w:w w:val="100"/>
          <w:position w:val="0"/>
        </w:rPr>
        <w:t>基因和</w:t>
      </w:r>
      <w:r>
        <w:rPr>
          <w:rFonts w:ascii="Times New Roman" w:eastAsia="Times New Roman" w:hAnsi="Times New Roman" w:cs="Times New Roman"/>
          <w:color w:val="000000"/>
          <w:spacing w:val="0"/>
          <w:w w:val="100"/>
          <w:position w:val="0"/>
        </w:rPr>
        <w:t>HRD</w:t>
      </w:r>
      <w:r>
        <w:rPr>
          <w:color w:val="000000"/>
          <w:spacing w:val="0"/>
          <w:w w:val="100"/>
          <w:position w:val="0"/>
        </w:rPr>
        <w:t>状态共同检测，并可进行</w:t>
      </w:r>
      <w:r>
        <w:rPr>
          <w:rFonts w:ascii="Times New Roman" w:eastAsia="Times New Roman" w:hAnsi="Times New Roman" w:cs="Times New Roman"/>
          <w:color w:val="000000"/>
          <w:spacing w:val="0"/>
          <w:w w:val="100"/>
          <w:position w:val="0"/>
        </w:rPr>
        <w:t>BRCA</w:t>
      </w:r>
      <w:r>
        <w:rPr>
          <w:rFonts w:ascii="Times New Roman" w:eastAsia="Times New Roman" w:hAnsi="Times New Roman" w:cs="Times New Roman"/>
          <w:color w:val="000000"/>
          <w:spacing w:val="0"/>
          <w:w w:val="100"/>
          <w:position w:val="0"/>
        </w:rPr>
        <w:t>1</w:t>
      </w:r>
      <w:r>
        <w:rPr>
          <w:color w:val="000000"/>
          <w:spacing w:val="0"/>
          <w:w w:val="100"/>
          <w:position w:val="0"/>
        </w:rPr>
        <w:t>甲基化检测，有助于使该产品线具 备更佳的适用性和更强的市场竞争力，为患者提供更优质的伴随诊断服务。为进一步夯实产品质量，打造高品质、可供临床 入院合规使用的肿瘤检测产品，公司根据产品推广策略已开展肿瘤检测产品的国内外资质申报。在国内资质注册方面，肠癌 检测试剂盒处于临床试验阶段，</w:t>
      </w:r>
      <w:r>
        <w:rPr>
          <w:rFonts w:ascii="Times New Roman" w:eastAsia="Times New Roman" w:hAnsi="Times New Roman" w:cs="Times New Roman"/>
          <w:color w:val="000000"/>
          <w:spacing w:val="0"/>
          <w:w w:val="100"/>
          <w:position w:val="0"/>
        </w:rPr>
        <w:t>HPV</w:t>
      </w:r>
      <w:r>
        <w:rPr>
          <w:color w:val="000000"/>
          <w:spacing w:val="0"/>
          <w:w w:val="100"/>
          <w:position w:val="0"/>
        </w:rPr>
        <w:t>分型检测试剂盒和</w:t>
      </w:r>
      <w:r>
        <w:rPr>
          <w:rFonts w:ascii="Times New Roman" w:eastAsia="Times New Roman" w:hAnsi="Times New Roman" w:cs="Times New Roman"/>
          <w:color w:val="000000"/>
          <w:spacing w:val="0"/>
          <w:w w:val="100"/>
          <w:position w:val="0"/>
        </w:rPr>
        <w:t>BRCA</w:t>
      </w:r>
      <w:r>
        <w:rPr>
          <w:color w:val="000000"/>
          <w:spacing w:val="0"/>
          <w:w w:val="100"/>
          <w:position w:val="0"/>
        </w:rPr>
        <w:t>基因检测试剂盒处于发补阶段。在国外资质注册方面，肠癌检 测产品在样本采集、样本处理到</w:t>
      </w:r>
      <w:r>
        <w:rPr>
          <w:rFonts w:ascii="Times New Roman" w:eastAsia="Times New Roman" w:hAnsi="Times New Roman" w:cs="Times New Roman"/>
          <w:color w:val="000000"/>
          <w:spacing w:val="0"/>
          <w:w w:val="100"/>
          <w:position w:val="0"/>
        </w:rPr>
        <w:t>qPCR</w:t>
      </w:r>
      <w:r>
        <w:rPr>
          <w:color w:val="000000"/>
          <w:spacing w:val="0"/>
          <w:w w:val="100"/>
          <w:position w:val="0"/>
        </w:rPr>
        <w:t>检测全套试剂盒均已取得</w:t>
      </w:r>
      <w:r>
        <w:rPr>
          <w:rFonts w:ascii="Times New Roman" w:eastAsia="Times New Roman" w:hAnsi="Times New Roman" w:cs="Times New Roman"/>
          <w:color w:val="000000"/>
          <w:spacing w:val="0"/>
          <w:w w:val="100"/>
          <w:position w:val="0"/>
        </w:rPr>
        <w:t>CE</w:t>
      </w:r>
      <w:r>
        <w:rPr>
          <w:color w:val="000000"/>
          <w:spacing w:val="0"/>
          <w:w w:val="100"/>
          <w:position w:val="0"/>
        </w:rPr>
        <w:t>准入资质、英国</w:t>
      </w:r>
      <w:r>
        <w:rPr>
          <w:rFonts w:ascii="Times New Roman" w:eastAsia="Times New Roman" w:hAnsi="Times New Roman" w:cs="Times New Roman"/>
          <w:color w:val="000000"/>
          <w:spacing w:val="0"/>
          <w:w w:val="100"/>
          <w:position w:val="0"/>
        </w:rPr>
        <w:t>MHRA</w:t>
      </w:r>
      <w:r>
        <w:rPr>
          <w:color w:val="000000"/>
          <w:spacing w:val="0"/>
          <w:w w:val="100"/>
          <w:position w:val="0"/>
        </w:rPr>
        <w:t>准入资质；</w:t>
      </w:r>
      <w:r>
        <w:rPr>
          <w:rFonts w:ascii="Times New Roman" w:eastAsia="Times New Roman" w:hAnsi="Times New Roman" w:cs="Times New Roman"/>
          <w:color w:val="000000"/>
          <w:spacing w:val="0"/>
          <w:w w:val="100"/>
          <w:position w:val="0"/>
        </w:rPr>
        <w:t>BRCA</w:t>
      </w:r>
      <w:r>
        <w:rPr>
          <w:color w:val="000000"/>
          <w:spacing w:val="0"/>
          <w:w w:val="100"/>
          <w:position w:val="0"/>
        </w:rPr>
        <w:t>和肺癌组织检测 全流程产品、肺癌</w:t>
      </w:r>
      <w:r>
        <w:rPr>
          <w:rFonts w:ascii="Times New Roman" w:eastAsia="Times New Roman" w:hAnsi="Times New Roman" w:cs="Times New Roman"/>
          <w:color w:val="000000"/>
          <w:spacing w:val="0"/>
          <w:w w:val="100"/>
          <w:position w:val="0"/>
        </w:rPr>
        <w:t>ctDNA</w:t>
      </w:r>
      <w:r>
        <w:rPr>
          <w:color w:val="000000"/>
          <w:spacing w:val="0"/>
          <w:w w:val="100"/>
          <w:position w:val="0"/>
        </w:rPr>
        <w:t>和泛癌种多基因检测试剂盒陆续取得</w:t>
      </w:r>
      <w:r>
        <w:rPr>
          <w:rFonts w:ascii="Times New Roman" w:eastAsia="Times New Roman" w:hAnsi="Times New Roman" w:cs="Times New Roman"/>
          <w:color w:val="000000"/>
          <w:spacing w:val="0"/>
          <w:w w:val="100"/>
          <w:position w:val="0"/>
        </w:rPr>
        <w:t>CE</w:t>
      </w:r>
      <w:r>
        <w:rPr>
          <w:color w:val="000000"/>
          <w:spacing w:val="0"/>
          <w:w w:val="100"/>
          <w:position w:val="0"/>
        </w:rPr>
        <w:t>准入资质；</w:t>
      </w:r>
      <w:r>
        <w:rPr>
          <w:rFonts w:ascii="Times New Roman" w:eastAsia="Times New Roman" w:hAnsi="Times New Roman" w:cs="Times New Roman"/>
          <w:color w:val="000000"/>
          <w:spacing w:val="0"/>
          <w:w w:val="100"/>
          <w:position w:val="0"/>
        </w:rPr>
        <w:t>BRCA</w:t>
      </w:r>
      <w:r>
        <w:rPr>
          <w:color w:val="000000"/>
          <w:spacing w:val="0"/>
          <w:w w:val="100"/>
          <w:position w:val="0"/>
        </w:rPr>
        <w:t>配套分析软件取得了沙特阿拉伯</w:t>
      </w:r>
      <w:r>
        <w:rPr>
          <w:rFonts w:ascii="Times New Roman" w:eastAsia="Times New Roman" w:hAnsi="Times New Roman" w:cs="Times New Roman"/>
          <w:color w:val="000000"/>
          <w:spacing w:val="0"/>
          <w:w w:val="100"/>
          <w:position w:val="0"/>
        </w:rPr>
        <w:t>SFDA</w:t>
      </w:r>
      <w:r>
        <w:rPr>
          <w:color w:val="000000"/>
          <w:spacing w:val="0"/>
          <w:w w:val="100"/>
          <w:position w:val="0"/>
        </w:rPr>
        <w:t>准 入资质，公司主力产品获得资质注册为海外市场的开拓进一步夯实了资质保障。</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在感染性疾病防控方面，公司不断丰富病原检测产品系列，加快高中低通量产品体系研发，满足临床对感染性疾病快速 和精准检测的迫切需求，推动病原微生物检测技术的发展。报告期内，在产品开发及优化方面，针对多重检测</w:t>
      </w:r>
      <w:r>
        <w:rPr>
          <w:rFonts w:ascii="Times New Roman" w:eastAsia="Times New Roman" w:hAnsi="Times New Roman" w:cs="Times New Roman"/>
          <w:color w:val="000000"/>
          <w:spacing w:val="0"/>
          <w:w w:val="100"/>
          <w:position w:val="0"/>
        </w:rPr>
        <w:t>POCT</w:t>
      </w:r>
      <w:r>
        <w:rPr>
          <w:color w:val="000000"/>
          <w:spacing w:val="0"/>
          <w:w w:val="100"/>
          <w:position w:val="0"/>
        </w:rPr>
        <w:t xml:space="preserve">系列产 品，公司完成了 </w:t>
      </w:r>
      <w:r>
        <w:rPr>
          <w:rFonts w:ascii="Times New Roman" w:eastAsia="Times New Roman" w:hAnsi="Times New Roman" w:cs="Times New Roman"/>
          <w:color w:val="000000"/>
          <w:spacing w:val="0"/>
          <w:w w:val="100"/>
          <w:position w:val="0"/>
        </w:rPr>
        <w:t>PM Easy Lab</w:t>
      </w:r>
      <w:r>
        <w:rPr>
          <w:color w:val="000000"/>
          <w:spacing w:val="0"/>
          <w:w w:val="100"/>
          <w:position w:val="0"/>
        </w:rPr>
        <w:t>平台的测试，基于该平台相继完成了脑炎病原体多重检测、呼吸道病原体多重检测的开发，对 脑炎和呼吸道感染患者提供快速的病原学检测结果，对细菌耐药基因多重检测产品进行了全新升级，检测内容更全面，为细 菌耐药患者的诊治提供辅助手段，为疑难危重感染提供快速精准诊疗依据，促进抗生素合理应用；针对</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 xml:space="preserve">病原微生物 高通量基因检测系列产品，从湿实验及干实验两个维度开展了优化工作，以期提高检测性能，缩短检测周期；目前已完成针 对结核及真菌检测的技术优化，提高了结核及真菌的检出率；同时完成了呼吸道定植微生物数据库及检测背景库的优化升 </w:t>
      </w:r>
      <w:r>
        <w:rPr>
          <w:color w:val="000000"/>
          <w:spacing w:val="0"/>
          <w:w w:val="100"/>
          <w:position w:val="0"/>
        </w:rPr>
        <w:t>级，推出</w:t>
      </w:r>
      <w:r>
        <w:rPr>
          <w:rFonts w:ascii="Times New Roman" w:eastAsia="Times New Roman" w:hAnsi="Times New Roman" w:cs="Times New Roman"/>
          <w:color w:val="000000"/>
          <w:spacing w:val="0"/>
          <w:w w:val="100"/>
          <w:position w:val="0"/>
        </w:rPr>
        <w:t>PMseq Datician</w:t>
      </w:r>
      <w:r>
        <w:rPr>
          <w:color w:val="000000"/>
          <w:spacing w:val="0"/>
          <w:w w:val="100"/>
          <w:position w:val="0"/>
        </w:rPr>
        <w:t>病原专家分析系统以及</w:t>
      </w:r>
      <w:r>
        <w:rPr>
          <w:rFonts w:ascii="Times New Roman" w:eastAsia="Times New Roman" w:hAnsi="Times New Roman" w:cs="Times New Roman"/>
          <w:color w:val="000000"/>
          <w:spacing w:val="0"/>
          <w:w w:val="100"/>
          <w:position w:val="0"/>
        </w:rPr>
        <w:t>PM Easy Doctor</w:t>
      </w:r>
      <w:r>
        <w:rPr>
          <w:color w:val="000000"/>
          <w:spacing w:val="0"/>
          <w:w w:val="100"/>
          <w:position w:val="0"/>
        </w:rPr>
        <w:t>病原组学大数据分析套件，进一步助力宏基因组学检测技术在 医院落地；</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 xml:space="preserve">病原数据库再次升级，扩大了病原体检测范围。在产品注册申报方面，报告期内，包括中枢神经系统感染 病原体核酸多重检测、呼吸道感染病原体核酸多重检测以及耐药基因核酸多重检测在内的中通量病原检测产品已取得欧盟 </w:t>
      </w:r>
      <w:r>
        <w:rPr>
          <w:rFonts w:ascii="Times New Roman" w:eastAsia="Times New Roman" w:hAnsi="Times New Roman" w:cs="Times New Roman"/>
          <w:color w:val="000000"/>
          <w:spacing w:val="0"/>
          <w:w w:val="100"/>
          <w:position w:val="0"/>
        </w:rPr>
        <w:t>CE</w:t>
      </w:r>
      <w:r>
        <w:rPr>
          <w:color w:val="000000"/>
          <w:spacing w:val="0"/>
          <w:w w:val="100"/>
          <w:position w:val="0"/>
        </w:rPr>
        <w:t>准入资质；基于</w:t>
      </w:r>
      <w:r>
        <w:rPr>
          <w:rFonts w:ascii="Times New Roman" w:eastAsia="Times New Roman" w:hAnsi="Times New Roman" w:cs="Times New Roman"/>
          <w:color w:val="000000"/>
          <w:spacing w:val="0"/>
          <w:w w:val="100"/>
          <w:position w:val="0"/>
        </w:rPr>
        <w:t>mNGS</w:t>
      </w:r>
      <w:r>
        <w:rPr>
          <w:color w:val="000000"/>
          <w:spacing w:val="0"/>
          <w:w w:val="100"/>
          <w:position w:val="0"/>
        </w:rPr>
        <w:t>方法学的病原检测产品注册申报工作也在顺利开展中。报告期内，公司继续研发和完善新冠检测产 品布局，完成了包括新型冠状病毒快速鉴定、</w:t>
      </w:r>
      <w:r>
        <w:rPr>
          <w:rFonts w:ascii="Times New Roman" w:eastAsia="Times New Roman" w:hAnsi="Times New Roman" w:cs="Times New Roman"/>
          <w:color w:val="000000"/>
          <w:spacing w:val="0"/>
          <w:w w:val="100"/>
          <w:position w:val="0"/>
        </w:rPr>
        <w:t>B.1.1.7/B.1.351</w:t>
      </w:r>
      <w:r>
        <w:rPr>
          <w:color w:val="000000"/>
          <w:spacing w:val="0"/>
          <w:w w:val="100"/>
          <w:position w:val="0"/>
        </w:rPr>
        <w:t>突变毒株检测、</w:t>
      </w:r>
      <w:r>
        <w:rPr>
          <w:rFonts w:ascii="Times New Roman" w:eastAsia="Times New Roman" w:hAnsi="Times New Roman" w:cs="Times New Roman"/>
          <w:color w:val="000000"/>
          <w:spacing w:val="0"/>
          <w:w w:val="100"/>
          <w:position w:val="0"/>
        </w:rPr>
        <w:t>S</w:t>
      </w:r>
      <w:r>
        <w:rPr>
          <w:color w:val="000000"/>
          <w:spacing w:val="0"/>
          <w:w w:val="100"/>
          <w:position w:val="0"/>
        </w:rPr>
        <w:t>基因六突变检测、中和抗体检测、抗原检测等 多款新型冠状病毒检测试剂盒的研发并获得</w:t>
      </w:r>
      <w:r>
        <w:rPr>
          <w:rFonts w:ascii="Times New Roman" w:eastAsia="Times New Roman" w:hAnsi="Times New Roman" w:cs="Times New Roman"/>
          <w:color w:val="000000"/>
          <w:spacing w:val="0"/>
          <w:w w:val="100"/>
          <w:position w:val="0"/>
        </w:rPr>
        <w:t>CE</w:t>
      </w:r>
      <w:r>
        <w:rPr>
          <w:color w:val="000000"/>
          <w:spacing w:val="0"/>
          <w:w w:val="100"/>
          <w:position w:val="0"/>
        </w:rPr>
        <w:t>资质。</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在质谱业务方面，报告期内积极开展产品优化升级和资质申报相关工作。其中，在质谱医学方面，积极推进新生儿先天 性肾上腺皮质增生症检测（串联质谱法）试剂盒的临床试验、新生儿遗传代谢疾病筛查试剂盒在沙特阿拉伯食品药品管理局 的批准上市等工作。在质谱科服方面，在非标记蛋白定量研发方向推出了更高深度</w:t>
      </w:r>
      <w:r>
        <w:rPr>
          <w:rFonts w:ascii="Times New Roman" w:eastAsia="Times New Roman" w:hAnsi="Times New Roman" w:cs="Times New Roman"/>
          <w:color w:val="000000"/>
          <w:spacing w:val="0"/>
          <w:w w:val="100"/>
          <w:position w:val="0"/>
        </w:rPr>
        <w:t>4D</w:t>
      </w:r>
      <w:r>
        <w:rPr>
          <w:color w:val="000000"/>
          <w:spacing w:val="0"/>
          <w:w w:val="100"/>
          <w:position w:val="0"/>
        </w:rPr>
        <w:t>系列蛋白质鉴定、修饰类产品，在靶向 代谢研发方向推出了针对植物研究的广靶定量产品、针对动物研究的</w:t>
      </w:r>
      <w:r>
        <w:rPr>
          <w:rFonts w:ascii="Times New Roman" w:eastAsia="Times New Roman" w:hAnsi="Times New Roman" w:cs="Times New Roman"/>
          <w:color w:val="000000"/>
          <w:spacing w:val="0"/>
          <w:w w:val="100"/>
          <w:position w:val="0"/>
        </w:rPr>
        <w:t>HM350</w:t>
      </w:r>
      <w:r>
        <w:rPr>
          <w:color w:val="000000"/>
          <w:spacing w:val="0"/>
          <w:w w:val="100"/>
          <w:position w:val="0"/>
        </w:rPr>
        <w:t>靶向代谢定量检测，并继续开发植物激素、胆汁 酸检测等靶向代谢检测方法。</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在多组学大数据方面，继续在</w:t>
      </w:r>
      <w:r>
        <w:rPr>
          <w:rFonts w:ascii="Times New Roman" w:eastAsia="Times New Roman" w:hAnsi="Times New Roman" w:cs="Times New Roman"/>
          <w:color w:val="000000"/>
          <w:spacing w:val="0"/>
          <w:w w:val="100"/>
          <w:position w:val="0"/>
        </w:rPr>
        <w:t>DNBSEQ</w:t>
      </w:r>
      <w:r>
        <w:rPr>
          <w:color w:val="000000"/>
          <w:spacing w:val="0"/>
          <w:w w:val="100"/>
          <w:position w:val="0"/>
        </w:rPr>
        <w:t>测序平台进行新产品开发与优化升级，完成</w:t>
      </w:r>
      <w:r>
        <w:rPr>
          <w:rFonts w:ascii="Times New Roman" w:eastAsia="Times New Roman" w:hAnsi="Times New Roman" w:cs="Times New Roman"/>
          <w:color w:val="000000"/>
          <w:spacing w:val="0"/>
          <w:w w:val="100"/>
          <w:position w:val="0"/>
        </w:rPr>
        <w:t>DNBSEQ-T</w:t>
      </w:r>
      <w:r>
        <w:rPr>
          <w:rFonts w:ascii="Times New Roman" w:eastAsia="Times New Roman" w:hAnsi="Times New Roman" w:cs="Times New Roman"/>
          <w:color w:val="000000"/>
          <w:spacing w:val="0"/>
          <w:w w:val="100"/>
          <w:position w:val="0"/>
        </w:rPr>
        <w:t>7</w:t>
      </w:r>
      <w:r>
        <w:rPr>
          <w:color w:val="000000"/>
          <w:spacing w:val="0"/>
          <w:w w:val="100"/>
          <w:position w:val="0"/>
        </w:rPr>
        <w:t>平台的性能测试，平稳 承接商业项目，交付能力持续提升。针对</w:t>
      </w:r>
      <w:r>
        <w:rPr>
          <w:rFonts w:ascii="Times New Roman" w:eastAsia="Times New Roman" w:hAnsi="Times New Roman" w:cs="Times New Roman"/>
          <w:color w:val="000000"/>
          <w:spacing w:val="0"/>
          <w:w w:val="100"/>
          <w:position w:val="0"/>
        </w:rPr>
        <w:t>DNA</w:t>
      </w:r>
      <w:r>
        <w:rPr>
          <w:color w:val="000000"/>
          <w:spacing w:val="0"/>
          <w:w w:val="100"/>
          <w:position w:val="0"/>
        </w:rPr>
        <w:t>类产品，完成</w:t>
      </w:r>
      <w:r>
        <w:rPr>
          <w:rFonts w:ascii="Times New Roman" w:eastAsia="Times New Roman" w:hAnsi="Times New Roman" w:cs="Times New Roman"/>
          <w:color w:val="000000"/>
          <w:spacing w:val="0"/>
          <w:w w:val="100"/>
          <w:position w:val="0"/>
        </w:rPr>
        <w:t>WGBS</w:t>
      </w:r>
      <w:r>
        <w:rPr>
          <w:color w:val="000000"/>
          <w:spacing w:val="0"/>
          <w:w w:val="100"/>
          <w:position w:val="0"/>
        </w:rPr>
        <w:t>自动化建库流程、宏基因组实验技术优化、</w:t>
      </w:r>
      <w:r>
        <w:rPr>
          <w:rFonts w:ascii="Times New Roman" w:eastAsia="Times New Roman" w:hAnsi="Times New Roman" w:cs="Times New Roman"/>
          <w:color w:val="000000"/>
          <w:spacing w:val="0"/>
          <w:w w:val="100"/>
          <w:position w:val="0"/>
        </w:rPr>
        <w:t>FFPE</w:t>
      </w:r>
      <w:r>
        <w:rPr>
          <w:color w:val="000000"/>
          <w:spacing w:val="0"/>
          <w:w w:val="100"/>
          <w:position w:val="0"/>
        </w:rPr>
        <w:t>样本质 量检测技术开发并投入生产，外显子产品完成捕获探针升级，开展全基因组超低深度测序数据的变异检测分析流程开发，同 时优化整体交付流程，降低成本，提升平台的整体竞争力；对于</w:t>
      </w:r>
      <w:r>
        <w:rPr>
          <w:rFonts w:ascii="Times New Roman" w:eastAsia="Times New Roman" w:hAnsi="Times New Roman" w:cs="Times New Roman"/>
          <w:color w:val="000000"/>
          <w:spacing w:val="0"/>
          <w:w w:val="100"/>
          <w:position w:val="0"/>
        </w:rPr>
        <w:t>RNA</w:t>
      </w:r>
      <w:r>
        <w:rPr>
          <w:color w:val="000000"/>
          <w:spacing w:val="0"/>
          <w:w w:val="100"/>
          <w:position w:val="0"/>
        </w:rPr>
        <w:t>产品，优化</w:t>
      </w:r>
      <w:r>
        <w:rPr>
          <w:rFonts w:ascii="Times New Roman" w:eastAsia="Times New Roman" w:hAnsi="Times New Roman" w:cs="Times New Roman"/>
          <w:color w:val="000000"/>
          <w:spacing w:val="0"/>
          <w:w w:val="100"/>
          <w:position w:val="0"/>
        </w:rPr>
        <w:t>RNA</w:t>
      </w:r>
      <w:r>
        <w:rPr>
          <w:color w:val="000000"/>
          <w:spacing w:val="0"/>
          <w:w w:val="100"/>
          <w:position w:val="0"/>
        </w:rPr>
        <w:t>超低起始量建库技术，完成国产质检平 台测试和引入，提高样本质控工作通量，提升产品竞争力。针对药厂业务，优化自动化实验流程，提升血液类样本、</w:t>
      </w:r>
      <w:r>
        <w:rPr>
          <w:rFonts w:ascii="Times New Roman" w:eastAsia="Times New Roman" w:hAnsi="Times New Roman" w:cs="Times New Roman"/>
          <w:color w:val="000000"/>
          <w:spacing w:val="0"/>
          <w:w w:val="100"/>
          <w:position w:val="0"/>
        </w:rPr>
        <w:t>FFPE</w:t>
      </w:r>
      <w:r>
        <w:rPr>
          <w:color w:val="000000"/>
          <w:spacing w:val="0"/>
          <w:w w:val="100"/>
          <w:position w:val="0"/>
        </w:rPr>
        <w:t>样 本的交付质量。在单细胞领域，持续进行高通量多组学产品开发与优化。报告期内，完成单细胞悬液制备技术开发，降低起 始样本量要求；完成了多项</w:t>
      </w:r>
      <w:r>
        <w:rPr>
          <w:rFonts w:ascii="Times New Roman" w:eastAsia="Times New Roman" w:hAnsi="Times New Roman" w:cs="Times New Roman"/>
          <w:color w:val="000000"/>
          <w:spacing w:val="0"/>
          <w:w w:val="100"/>
          <w:position w:val="0"/>
        </w:rPr>
        <w:t>RNA</w:t>
      </w:r>
      <w:r>
        <w:rPr>
          <w:color w:val="000000"/>
          <w:spacing w:val="0"/>
          <w:w w:val="100"/>
          <w:position w:val="0"/>
        </w:rPr>
        <w:t>相关产品开发及转产，完成基于</w:t>
      </w:r>
      <w:r>
        <w:rPr>
          <w:rFonts w:ascii="Times New Roman" w:eastAsia="Times New Roman" w:hAnsi="Times New Roman" w:cs="Times New Roman"/>
          <w:color w:val="000000"/>
          <w:spacing w:val="0"/>
          <w:w w:val="100"/>
          <w:position w:val="0"/>
        </w:rPr>
        <w:t>DNBelab C4</w:t>
      </w:r>
      <w:r>
        <w:rPr>
          <w:color w:val="000000"/>
          <w:spacing w:val="0"/>
          <w:w w:val="100"/>
          <w:position w:val="0"/>
        </w:rPr>
        <w:t>的产品升级，实现了单细胞产品在转录组学、 表观组学、免疫组学、空间组学等方向多平台多组学的布局；完成单分子</w:t>
      </w:r>
      <w:r>
        <w:rPr>
          <w:rFonts w:ascii="Times New Roman" w:eastAsia="Times New Roman" w:hAnsi="Times New Roman" w:cs="Times New Roman"/>
          <w:color w:val="000000"/>
          <w:spacing w:val="0"/>
          <w:w w:val="100"/>
          <w:position w:val="0"/>
        </w:rPr>
        <w:t>HiC</w:t>
      </w:r>
      <w:r>
        <w:rPr>
          <w:color w:val="000000"/>
          <w:spacing w:val="0"/>
          <w:w w:val="100"/>
          <w:position w:val="0"/>
        </w:rPr>
        <w:t>联合染色质开放性检测技术开发；完成基于现 有单细胞测序平台的多项</w:t>
      </w:r>
      <w:r>
        <w:rPr>
          <w:rFonts w:ascii="Times New Roman" w:eastAsia="Times New Roman" w:hAnsi="Times New Roman" w:cs="Times New Roman"/>
          <w:color w:val="000000"/>
          <w:spacing w:val="0"/>
          <w:w w:val="100"/>
          <w:position w:val="0"/>
        </w:rPr>
        <w:t>RNA</w:t>
      </w:r>
      <w:r>
        <w:rPr>
          <w:color w:val="000000"/>
          <w:spacing w:val="0"/>
          <w:w w:val="100"/>
          <w:position w:val="0"/>
        </w:rPr>
        <w:t>技术开发及甲基化测序技术开发，提升公司单细胞测序领域的产品竞争力；完成基于融合蛋 白的甲基化修饰、组蛋白修饰、转录因子结合位点联合检测单分子表观组学测序技术开发。对</w:t>
      </w:r>
      <w:r>
        <w:rPr>
          <w:rFonts w:ascii="Times New Roman" w:eastAsia="Times New Roman" w:hAnsi="Times New Roman" w:cs="Times New Roman"/>
          <w:color w:val="000000"/>
          <w:spacing w:val="0"/>
          <w:w w:val="100"/>
          <w:position w:val="0"/>
        </w:rPr>
        <w:t>Dr.Tom</w:t>
      </w:r>
      <w:r>
        <w:rPr>
          <w:color w:val="000000"/>
          <w:spacing w:val="0"/>
          <w:w w:val="100"/>
          <w:position w:val="0"/>
        </w:rPr>
        <w:t>多组学数据挖掘系统完 成包括新增单细胞转录组产品、新增图库在内的</w:t>
      </w:r>
      <w:r>
        <w:rPr>
          <w:rFonts w:ascii="Times New Roman" w:eastAsia="Times New Roman" w:hAnsi="Times New Roman" w:cs="Times New Roman"/>
          <w:color w:val="000000"/>
          <w:spacing w:val="0"/>
          <w:w w:val="100"/>
          <w:position w:val="0"/>
        </w:rPr>
        <w:t>60</w:t>
      </w:r>
      <w:r>
        <w:rPr>
          <w:color w:val="000000"/>
          <w:spacing w:val="0"/>
          <w:w w:val="100"/>
          <w:position w:val="0"/>
        </w:rPr>
        <w:t>项功能升级，支持细胞、蛋白、基因等多维度关联转换，可进行更全面、 更深入地数据挖掘和多组学关联分析。在多组学数据库开发方面，完成泛基因组与变异组学的关联开发、泛基因组区域转化 与比对可视化工具设计与开发、基于遗传组学的全基因组关联分析的表达量工具开发、基于区域转化后的数据统计的工具开 发，提供基因、基因表达、遗传、性状的相互关联的科学依据，构建了数据类型覆盖多个重要经济作物的多组学数据库。</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公司研发团队持续强化创新引领，增强科研到产业的应用转化能力，推动实现产业与科技的进一步发展，打造具有国际 前沿水平的高素质研发队伍，为公司的业务发展提供核心技术力量和科研人才保障。报告期内，已形成产品、技术、数据库、 资质等较为完善的产品闭环布局，取得了多项重大研发成果和良好的社会经济效益。</w:t>
      </w:r>
    </w:p>
    <w:p>
      <w:pPr>
        <w:pStyle w:val="Style17"/>
        <w:keepNext w:val="0"/>
        <w:keepLines w:val="0"/>
        <w:widowControl w:val="0"/>
        <w:shd w:val="clear" w:color="auto" w:fill="auto"/>
        <w:tabs>
          <w:tab w:pos="669" w:val="left"/>
        </w:tabs>
        <w:bidi w:val="0"/>
        <w:spacing w:before="0" w:after="120" w:line="312" w:lineRule="exact"/>
        <w:ind w:left="0" w:right="0"/>
        <w:jc w:val="both"/>
      </w:pPr>
      <w:bookmarkStart w:id="113" w:name="bookmark113"/>
      <w:r>
        <w:rPr>
          <w:rFonts w:ascii="Times New Roman" w:eastAsia="Times New Roman" w:hAnsi="Times New Roman" w:cs="Times New Roman"/>
          <w:b/>
          <w:bCs/>
          <w:color w:val="000000"/>
          <w:spacing w:val="0"/>
          <w:w w:val="100"/>
          <w:position w:val="0"/>
        </w:rPr>
        <w:t>8</w:t>
      </w:r>
      <w:bookmarkEnd w:id="113"/>
      <w:r>
        <w:rPr>
          <w:b/>
          <w:bCs/>
          <w:color w:val="000000"/>
          <w:spacing w:val="0"/>
          <w:w w:val="100"/>
          <w:position w:val="0"/>
        </w:rPr>
        <w:t>、</w:t>
        <w:tab/>
        <w:t>打造高效能交付流程，生产能力稳步提升</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公司秉承持续为客户提供稳定、可靠、满意的检测服务的宗旨，持续向更高质量，更低成本，更短交付周期的运营目标 稳步迈进。公司通过推动全面质量管理，深化精益管理，完善现场标准化管理与设备全生命周期管理，使实验室整体生产能 力和运营效率得到稳步提升，质量标准得到持续强化；公司持续优化供应链管理流程和标准，完成多款常用耗材国产化替换 或备选，进一步夯实了检测技术和成本的自主可控性。同时，深耕智能化、自动化建设，并储备了</w:t>
      </w:r>
      <w:r>
        <w:rPr>
          <w:rFonts w:ascii="Times New Roman" w:eastAsia="Times New Roman" w:hAnsi="Times New Roman" w:cs="Times New Roman"/>
          <w:color w:val="000000"/>
          <w:spacing w:val="0"/>
          <w:w w:val="100"/>
          <w:position w:val="0"/>
        </w:rPr>
        <w:t>30</w:t>
      </w:r>
      <w:r>
        <w:rPr>
          <w:color w:val="000000"/>
          <w:spacing w:val="0"/>
          <w:w w:val="100"/>
          <w:position w:val="0"/>
        </w:rPr>
        <w:t>余种临床检测产品的自 动化解决方案；优化生物信息分析流程，完成基因变异解读平台线上化，使得数据交付更加高效和稳定。为解决民生项目的 样本以及临床样本的不断增加的问题，实现大样本量的自动化、智能化检测，公司建设了百万级</w:t>
      </w:r>
      <w:r>
        <w:rPr>
          <w:rFonts w:ascii="Times New Roman" w:eastAsia="Times New Roman" w:hAnsi="Times New Roman" w:cs="Times New Roman"/>
          <w:color w:val="000000"/>
          <w:spacing w:val="0"/>
          <w:w w:val="100"/>
          <w:position w:val="0"/>
        </w:rPr>
        <w:t>NIPT</w:t>
      </w:r>
      <w:r>
        <w:rPr>
          <w:color w:val="000000"/>
          <w:spacing w:val="0"/>
          <w:w w:val="100"/>
          <w:position w:val="0"/>
        </w:rPr>
        <w:t>检测通量全自动化平 台，能够实现血浆分离到</w:t>
      </w:r>
      <w:r>
        <w:rPr>
          <w:rFonts w:ascii="Times New Roman" w:eastAsia="Times New Roman" w:hAnsi="Times New Roman" w:cs="Times New Roman"/>
          <w:color w:val="000000"/>
          <w:spacing w:val="0"/>
          <w:w w:val="100"/>
          <w:position w:val="0"/>
        </w:rPr>
        <w:t>DNA</w:t>
      </w:r>
      <w:r>
        <w:rPr>
          <w:color w:val="000000"/>
          <w:spacing w:val="0"/>
          <w:w w:val="100"/>
          <w:position w:val="0"/>
        </w:rPr>
        <w:t>纳米球制备的全流程自动化</w:t>
      </w:r>
      <w:r>
        <w:rPr>
          <w:rFonts w:ascii="Times New Roman" w:eastAsia="Times New Roman" w:hAnsi="Times New Roman" w:cs="Times New Roman"/>
          <w:color w:val="000000"/>
          <w:spacing w:val="0"/>
          <w:w w:val="100"/>
          <w:position w:val="0"/>
        </w:rPr>
        <w:t>NIPT</w:t>
      </w:r>
      <w:r>
        <w:rPr>
          <w:color w:val="000000"/>
          <w:spacing w:val="0"/>
          <w:w w:val="100"/>
          <w:position w:val="0"/>
        </w:rPr>
        <w:t>检测。全流程自动化平台在深圳医检交付中心无创产前检测 项目中的应用，满足了在短时间内快速交付高质量的检测结果的需求，为大样本量民生项目的实施提供了良好的示范效应， 彰显了公司在承接大样本量项目方面的优势。公司百万级</w:t>
      </w:r>
      <w:r>
        <w:rPr>
          <w:rFonts w:ascii="Times New Roman" w:eastAsia="Times New Roman" w:hAnsi="Times New Roman" w:cs="Times New Roman"/>
          <w:color w:val="000000"/>
          <w:spacing w:val="0"/>
          <w:w w:val="100"/>
          <w:position w:val="0"/>
        </w:rPr>
        <w:t>NIPT</w:t>
      </w:r>
      <w:r>
        <w:rPr>
          <w:color w:val="000000"/>
          <w:spacing w:val="0"/>
          <w:w w:val="100"/>
          <w:position w:val="0"/>
        </w:rPr>
        <w:t>检测通量全自动化平台的推出，将助力推动基因测序自动化 的建设，为更多的临床应用场景提供自主可控的平台与工具，最终建立一个人人可及、人人可享的基因科技产业化成果的服 务体系。报告期内，在石家庄、哈尔滨、深圳、广州、佛山等地新增运营多家医学检验实验室，与公司其他具备资质的实验 室共同组成检测网络，助力全国疫情防控。</w:t>
      </w:r>
    </w:p>
    <w:p>
      <w:pPr>
        <w:pStyle w:val="Style17"/>
        <w:keepNext w:val="0"/>
        <w:keepLines w:val="0"/>
        <w:widowControl w:val="0"/>
        <w:shd w:val="clear" w:color="auto" w:fill="auto"/>
        <w:tabs>
          <w:tab w:pos="669" w:val="left"/>
        </w:tabs>
        <w:bidi w:val="0"/>
        <w:spacing w:before="0" w:after="120" w:line="312" w:lineRule="exact"/>
        <w:ind w:left="0" w:right="0"/>
        <w:jc w:val="both"/>
      </w:pPr>
      <w:bookmarkStart w:id="114" w:name="bookmark114"/>
      <w:r>
        <w:rPr>
          <w:rFonts w:ascii="Times New Roman" w:eastAsia="Times New Roman" w:hAnsi="Times New Roman" w:cs="Times New Roman"/>
          <w:b/>
          <w:bCs/>
          <w:color w:val="000000"/>
          <w:spacing w:val="0"/>
          <w:w w:val="100"/>
          <w:position w:val="0"/>
        </w:rPr>
        <w:t>9</w:t>
      </w:r>
      <w:bookmarkEnd w:id="114"/>
      <w:r>
        <w:rPr>
          <w:b/>
          <w:bCs/>
          <w:color w:val="000000"/>
          <w:spacing w:val="0"/>
          <w:w w:val="100"/>
          <w:position w:val="0"/>
        </w:rPr>
        <w:t>、</w:t>
        <w:tab/>
        <w:t>完善质量管理体系，强化资质认证布局</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在资质方面，公司继续稳健布局，进一步加强质量管理体系建设，升级和拓展了现有资质，持续保持业内的资质领先水 </w:t>
      </w:r>
      <w:r>
        <w:rPr>
          <w:color w:val="000000"/>
          <w:spacing w:val="0"/>
          <w:w w:val="100"/>
          <w:position w:val="0"/>
        </w:rPr>
        <w:t>平。公司落实高质量发展理念，持续提升产品和服务质量水平，荣获</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年深圳市质量创新与技术发表赛专业级、天津市 </w:t>
      </w:r>
      <w:r>
        <w:rPr>
          <w:rFonts w:ascii="Times New Roman" w:eastAsia="Times New Roman" w:hAnsi="Times New Roman" w:cs="Times New Roman"/>
          <w:color w:val="000000"/>
          <w:spacing w:val="0"/>
          <w:w w:val="100"/>
          <w:position w:val="0"/>
        </w:rPr>
        <w:t>2021</w:t>
      </w:r>
      <w:r>
        <w:rPr>
          <w:color w:val="000000"/>
          <w:spacing w:val="0"/>
          <w:w w:val="100"/>
          <w:position w:val="0"/>
        </w:rPr>
        <w:t>年质量攻关优秀成果二等奖等多项质量奖项。公司海内外机构具备</w:t>
      </w:r>
      <w:r>
        <w:rPr>
          <w:rFonts w:ascii="Times New Roman" w:eastAsia="Times New Roman" w:hAnsi="Times New Roman" w:cs="Times New Roman"/>
          <w:color w:val="000000"/>
          <w:spacing w:val="0"/>
          <w:w w:val="100"/>
          <w:position w:val="0"/>
        </w:rPr>
        <w:t>CAP</w:t>
      </w:r>
      <w:r>
        <w:rPr>
          <w:color w:val="000000"/>
          <w:spacing w:val="0"/>
          <w:w w:val="100"/>
          <w:position w:val="0"/>
        </w:rPr>
        <w:t>、</w:t>
      </w:r>
      <w:r>
        <w:rPr>
          <w:rFonts w:ascii="Times New Roman" w:eastAsia="Times New Roman" w:hAnsi="Times New Roman" w:cs="Times New Roman"/>
          <w:color w:val="000000"/>
          <w:spacing w:val="0"/>
          <w:w w:val="100"/>
          <w:position w:val="0"/>
        </w:rPr>
        <w:t>CLIA</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17025</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27001</w:t>
      </w:r>
      <w:r>
        <w:rPr>
          <w:color w:val="000000"/>
          <w:spacing w:val="0"/>
          <w:w w:val="100"/>
          <w:position w:val="0"/>
        </w:rPr>
        <w:t>、</w:t>
      </w:r>
      <w:r>
        <w:rPr>
          <w:rFonts w:ascii="Times New Roman" w:eastAsia="Times New Roman" w:hAnsi="Times New Roman" w:cs="Times New Roman"/>
          <w:color w:val="000000"/>
          <w:spacing w:val="0"/>
          <w:w w:val="100"/>
          <w:position w:val="0"/>
        </w:rPr>
        <w:t xml:space="preserve">BS </w:t>
      </w:r>
      <w:r>
        <w:rPr>
          <w:rFonts w:ascii="Times New Roman" w:eastAsia="Times New Roman" w:hAnsi="Times New Roman" w:cs="Times New Roman"/>
          <w:color w:val="000000"/>
          <w:spacing w:val="0"/>
          <w:w w:val="100"/>
          <w:position w:val="0"/>
        </w:rPr>
        <w:t>10012</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9001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45001</w:t>
      </w:r>
      <w:r>
        <w:rPr>
          <w:color w:val="000000"/>
          <w:spacing w:val="0"/>
          <w:w w:val="100"/>
          <w:position w:val="0"/>
        </w:rPr>
        <w:t>、</w:t>
      </w:r>
      <w:r>
        <w:rPr>
          <w:rFonts w:ascii="Times New Roman" w:eastAsia="Times New Roman" w:hAnsi="Times New Roman" w:cs="Times New Roman"/>
          <w:color w:val="000000"/>
          <w:spacing w:val="0"/>
          <w:w w:val="100"/>
          <w:position w:val="0"/>
        </w:rPr>
        <w:t xml:space="preserve">FDA 21 CFR Part 11 </w:t>
      </w:r>
      <w:r>
        <w:rPr>
          <w:color w:val="000000"/>
          <w:spacing w:val="0"/>
          <w:w w:val="100"/>
          <w:position w:val="0"/>
        </w:rPr>
        <w:t>以及安全生产标准化体系资质。报告期 内，继深圳华大医学检验实验室国内首家以高通量测序法通过</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w:t>
      </w:r>
      <w:r>
        <w:rPr>
          <w:color w:val="000000"/>
          <w:spacing w:val="0"/>
          <w:w w:val="100"/>
          <w:position w:val="0"/>
        </w:rPr>
        <w:t>认可后，子公司武汉华大医学检验所有限公司再次 以高通量测序法获得</w:t>
      </w:r>
      <w:r>
        <w:rPr>
          <w:rFonts w:ascii="Times New Roman" w:eastAsia="Times New Roman" w:hAnsi="Times New Roman" w:cs="Times New Roman"/>
          <w:color w:val="000000"/>
          <w:spacing w:val="0"/>
          <w:w w:val="100"/>
          <w:position w:val="0"/>
        </w:rPr>
        <w:t xml:space="preserve">CNAS ISO </w:t>
      </w:r>
      <w:r>
        <w:rPr>
          <w:rFonts w:ascii="Times New Roman" w:eastAsia="Times New Roman" w:hAnsi="Times New Roman" w:cs="Times New Roman"/>
          <w:color w:val="000000"/>
          <w:spacing w:val="0"/>
          <w:w w:val="100"/>
          <w:position w:val="0"/>
        </w:rPr>
        <w:t>15189:2012</w:t>
      </w:r>
      <w:r>
        <w:rPr>
          <w:color w:val="000000"/>
          <w:spacing w:val="0"/>
          <w:w w:val="100"/>
          <w:position w:val="0"/>
        </w:rPr>
        <w:t>认可。公司旗下医学检验实验室宏基因组测序法通过临床基因扩增检验实验室技 术验收，医学实验室检测质量持续保持行业领先水平。此外，新增重庆华大医学检验所有限公司、长沙华大梅溪湖医学检验 所有限公司、南京华大医学检验所有限公司、华大青兰生物科技（无锡）有限公司</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9001:2015</w:t>
      </w:r>
      <w:r>
        <w:rPr>
          <w:color w:val="000000"/>
          <w:spacing w:val="0"/>
          <w:w w:val="100"/>
          <w:position w:val="0"/>
        </w:rPr>
        <w:t>质量管理体系认证资质， 持续提升公司质量保证能力。公司还通过</w:t>
      </w:r>
      <w:r>
        <w:rPr>
          <w:rFonts w:ascii="Times New Roman" w:eastAsia="Times New Roman" w:hAnsi="Times New Roman" w:cs="Times New Roman"/>
          <w:color w:val="000000"/>
          <w:spacing w:val="0"/>
          <w:w w:val="100"/>
          <w:position w:val="0"/>
        </w:rPr>
        <w:t xml:space="preserve">BS </w:t>
      </w:r>
      <w:r>
        <w:rPr>
          <w:rFonts w:ascii="Times New Roman" w:eastAsia="Times New Roman" w:hAnsi="Times New Roman" w:cs="Times New Roman"/>
          <w:color w:val="000000"/>
          <w:spacing w:val="0"/>
          <w:w w:val="100"/>
          <w:position w:val="0"/>
        </w:rPr>
        <w:t>10012:2017</w:t>
      </w:r>
      <w:r>
        <w:rPr>
          <w:color w:val="000000"/>
          <w:spacing w:val="0"/>
          <w:w w:val="100"/>
          <w:position w:val="0"/>
        </w:rPr>
        <w:t>个人信息管理体系认证，确保海外业务满足《通用数据保护条例》</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GDPR</w:t>
      </w:r>
      <w:r>
        <w:rPr>
          <w:color w:val="000000"/>
          <w:spacing w:val="0"/>
          <w:w w:val="100"/>
          <w:position w:val="0"/>
        </w:rPr>
        <w:t>）要求，保障相关方个人隐私权益。公司在埃塞俄比亚设立的</w:t>
      </w:r>
      <w:r>
        <w:rPr>
          <w:rFonts w:ascii="Times New Roman" w:eastAsia="Times New Roman" w:hAnsi="Times New Roman" w:cs="Times New Roman"/>
          <w:color w:val="000000"/>
          <w:spacing w:val="0"/>
          <w:w w:val="100"/>
          <w:position w:val="0"/>
        </w:rPr>
        <w:t>IVD</w:t>
      </w:r>
      <w:r>
        <w:rPr>
          <w:color w:val="000000"/>
          <w:spacing w:val="0"/>
          <w:w w:val="100"/>
          <w:position w:val="0"/>
        </w:rPr>
        <w:t>工厂，已通过医疗器械质量管理体系认证</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13485:2016</w:t>
      </w:r>
      <w:r>
        <w:rPr>
          <w:color w:val="000000"/>
          <w:spacing w:val="0"/>
          <w:w w:val="100"/>
          <w:position w:val="0"/>
        </w:rPr>
        <w:t>），具备非洲本地医疗器械产品生产能力，有效支撑公司国际战略布局落地，助力国际医学业务拓展。报告期内 子公司持续参加国家卫健委临床检验中心、美国病理学家协会</w:t>
      </w:r>
      <w:r>
        <w:rPr>
          <w:color w:val="000000"/>
          <w:spacing w:val="0"/>
          <w:w w:val="100"/>
          <w:position w:val="0"/>
        </w:rPr>
        <w:t>（</w:t>
      </w:r>
      <w:r>
        <w:rPr>
          <w:rFonts w:ascii="Times New Roman" w:eastAsia="Times New Roman" w:hAnsi="Times New Roman" w:cs="Times New Roman"/>
          <w:color w:val="000000"/>
          <w:spacing w:val="0"/>
          <w:w w:val="100"/>
          <w:position w:val="0"/>
        </w:rPr>
        <w:t>CAP</w:t>
      </w:r>
      <w:r>
        <w:rPr>
          <w:color w:val="000000"/>
          <w:spacing w:val="0"/>
          <w:w w:val="100"/>
          <w:position w:val="0"/>
        </w:rPr>
        <w:t>）、</w:t>
      </w:r>
      <w:r>
        <w:rPr>
          <w:color w:val="000000"/>
          <w:spacing w:val="0"/>
          <w:w w:val="100"/>
          <w:position w:val="0"/>
        </w:rPr>
        <w:t>欧洲分子基因诊断质量联盟</w:t>
      </w:r>
      <w:r>
        <w:rPr>
          <w:color w:val="000000"/>
          <w:spacing w:val="0"/>
          <w:w w:val="100"/>
          <w:position w:val="0"/>
        </w:rPr>
        <w:t>（</w:t>
      </w:r>
      <w:r>
        <w:rPr>
          <w:rFonts w:ascii="Times New Roman" w:eastAsia="Times New Roman" w:hAnsi="Times New Roman" w:cs="Times New Roman"/>
          <w:color w:val="000000"/>
          <w:spacing w:val="0"/>
          <w:w w:val="100"/>
          <w:position w:val="0"/>
        </w:rPr>
        <w:t>EMQN</w:t>
      </w:r>
      <w:r>
        <w:rPr>
          <w:color w:val="000000"/>
          <w:spacing w:val="0"/>
          <w:w w:val="100"/>
          <w:position w:val="0"/>
        </w:rPr>
        <w:t>）</w:t>
      </w:r>
      <w:r>
        <w:rPr>
          <w:color w:val="000000"/>
          <w:spacing w:val="0"/>
          <w:w w:val="100"/>
          <w:position w:val="0"/>
        </w:rPr>
        <w:t>等国内外能 力验证项目，报告期内满分通过国内外能力验证</w:t>
      </w:r>
      <w:r>
        <w:rPr>
          <w:rFonts w:ascii="Times New Roman" w:eastAsia="Times New Roman" w:hAnsi="Times New Roman" w:cs="Times New Roman"/>
          <w:color w:val="000000"/>
          <w:spacing w:val="0"/>
          <w:w w:val="100"/>
          <w:position w:val="0"/>
        </w:rPr>
        <w:t>400</w:t>
      </w:r>
      <w:r>
        <w:rPr>
          <w:color w:val="000000"/>
          <w:spacing w:val="0"/>
          <w:w w:val="100"/>
          <w:position w:val="0"/>
        </w:rPr>
        <w:t>多次，实验室检测质量持续领先。</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截至报告期末，公司获得国家药监局批准的医疗器械注册证或备案证共计</w:t>
      </w:r>
      <w:r>
        <w:rPr>
          <w:rFonts w:ascii="Times New Roman" w:eastAsia="Times New Roman" w:hAnsi="Times New Roman" w:cs="Times New Roman"/>
          <w:color w:val="000000"/>
          <w:spacing w:val="0"/>
          <w:w w:val="100"/>
          <w:position w:val="0"/>
        </w:rPr>
        <w:t>199</w:t>
      </w:r>
      <w:r>
        <w:rPr>
          <w:color w:val="000000"/>
          <w:spacing w:val="0"/>
          <w:w w:val="100"/>
          <w:position w:val="0"/>
        </w:rPr>
        <w:t>项，境外医疗器械资质</w:t>
      </w:r>
      <w:r>
        <w:rPr>
          <w:rFonts w:ascii="Times New Roman" w:eastAsia="Times New Roman" w:hAnsi="Times New Roman" w:cs="Times New Roman"/>
          <w:color w:val="000000"/>
          <w:spacing w:val="0"/>
          <w:w w:val="100"/>
          <w:position w:val="0"/>
        </w:rPr>
        <w:t>113</w:t>
      </w:r>
      <w:r>
        <w:rPr>
          <w:color w:val="000000"/>
          <w:spacing w:val="0"/>
          <w:w w:val="100"/>
          <w:position w:val="0"/>
        </w:rPr>
        <w:t>项，其中欧盟</w:t>
      </w:r>
      <w:r>
        <w:rPr>
          <w:rFonts w:ascii="Times New Roman" w:eastAsia="Times New Roman" w:hAnsi="Times New Roman" w:cs="Times New Roman"/>
          <w:color w:val="000000"/>
          <w:spacing w:val="0"/>
          <w:w w:val="100"/>
          <w:position w:val="0"/>
        </w:rPr>
        <w:t>CE IVD</w:t>
      </w:r>
      <w:r>
        <w:rPr>
          <w:color w:val="000000"/>
          <w:spacing w:val="0"/>
          <w:w w:val="100"/>
          <w:position w:val="0"/>
        </w:rPr>
        <w:t>资质</w:t>
      </w:r>
      <w:r>
        <w:rPr>
          <w:rFonts w:ascii="Times New Roman" w:eastAsia="Times New Roman" w:hAnsi="Times New Roman" w:cs="Times New Roman"/>
          <w:color w:val="000000"/>
          <w:spacing w:val="0"/>
          <w:w w:val="100"/>
          <w:position w:val="0"/>
        </w:rPr>
        <w:t>71</w:t>
      </w:r>
      <w:r>
        <w:rPr>
          <w:color w:val="000000"/>
          <w:spacing w:val="0"/>
          <w:w w:val="100"/>
          <w:position w:val="0"/>
        </w:rPr>
        <w:t>项。新型冠状病毒检测试剂盒已获</w:t>
      </w:r>
      <w:r>
        <w:rPr>
          <w:rFonts w:ascii="Times New Roman" w:eastAsia="Times New Roman" w:hAnsi="Times New Roman" w:cs="Times New Roman"/>
          <w:color w:val="000000"/>
          <w:spacing w:val="0"/>
          <w:w w:val="100"/>
          <w:position w:val="0"/>
        </w:rPr>
        <w:t>40</w:t>
      </w:r>
      <w:r>
        <w:rPr>
          <w:color w:val="000000"/>
          <w:spacing w:val="0"/>
          <w:w w:val="100"/>
          <w:position w:val="0"/>
        </w:rPr>
        <w:t>项境外医疗器械资质，包含欧盟、美国、日本、澳大利亚、泰国、沙特阿拉 伯、加拿大和巴西等</w:t>
      </w:r>
      <w:r>
        <w:rPr>
          <w:rFonts w:ascii="Times New Roman" w:eastAsia="Times New Roman" w:hAnsi="Times New Roman" w:cs="Times New Roman"/>
          <w:color w:val="000000"/>
          <w:spacing w:val="0"/>
          <w:w w:val="100"/>
          <w:position w:val="0"/>
        </w:rPr>
        <w:t>15</w:t>
      </w:r>
      <w:r>
        <w:rPr>
          <w:color w:val="000000"/>
          <w:spacing w:val="0"/>
          <w:w w:val="100"/>
          <w:position w:val="0"/>
        </w:rPr>
        <w:t xml:space="preserve">个国家和地区。无创产前基因检测产品已获欧盟、马来西亚、泰国、沙特阿拉伯、印度等国家和地区 </w:t>
      </w:r>
      <w:r>
        <w:rPr>
          <w:rFonts w:ascii="Times New Roman" w:eastAsia="Times New Roman" w:hAnsi="Times New Roman" w:cs="Times New Roman"/>
          <w:color w:val="000000"/>
          <w:spacing w:val="0"/>
          <w:w w:val="100"/>
          <w:position w:val="0"/>
        </w:rPr>
        <w:t>24</w:t>
      </w:r>
      <w:r>
        <w:rPr>
          <w:color w:val="000000"/>
          <w:spacing w:val="0"/>
          <w:w w:val="100"/>
          <w:position w:val="0"/>
        </w:rPr>
        <w:t>项境外医疗器械资质，助力产品全球推广。报告期内新增境外医疗器械资质</w:t>
      </w:r>
      <w:r>
        <w:rPr>
          <w:rFonts w:ascii="Times New Roman" w:eastAsia="Times New Roman" w:hAnsi="Times New Roman" w:cs="Times New Roman"/>
          <w:color w:val="000000"/>
          <w:spacing w:val="0"/>
          <w:w w:val="100"/>
          <w:position w:val="0"/>
        </w:rPr>
        <w:t>71</w:t>
      </w:r>
      <w:r>
        <w:rPr>
          <w:color w:val="000000"/>
          <w:spacing w:val="0"/>
          <w:w w:val="100"/>
          <w:position w:val="0"/>
        </w:rPr>
        <w:t>项，覆盖生育、肿瘤和感染业务，主要包括 地中海贫血基因检测试剂盒（联合探针锚定聚合测序法）、镰刀型细胞贫血症基因检测试剂盒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荧光探针法）、实体瘤 检测试剂盒、肠癌辅助诊断试剂盒以及新型冠状病毒抗原检测试剂盒等，助力生育、肿瘤、感染业务全球拓展。</w:t>
      </w:r>
    </w:p>
    <w:p>
      <w:pPr>
        <w:pStyle w:val="Style17"/>
        <w:keepNext w:val="0"/>
        <w:keepLines w:val="0"/>
        <w:widowControl w:val="0"/>
        <w:shd w:val="clear" w:color="auto" w:fill="auto"/>
        <w:tabs>
          <w:tab w:pos="746" w:val="left"/>
        </w:tabs>
        <w:bidi w:val="0"/>
        <w:spacing w:before="0" w:after="0"/>
        <w:ind w:left="0" w:right="0"/>
        <w:jc w:val="both"/>
      </w:pPr>
      <w:bookmarkStart w:id="115" w:name="bookmark115"/>
      <w:r>
        <w:rPr>
          <w:rFonts w:ascii="Times New Roman" w:eastAsia="Times New Roman" w:hAnsi="Times New Roman" w:cs="Times New Roman"/>
          <w:b/>
          <w:bCs/>
          <w:color w:val="000000"/>
          <w:spacing w:val="0"/>
          <w:w w:val="100"/>
          <w:position w:val="0"/>
        </w:rPr>
        <w:t>1</w:t>
      </w:r>
      <w:bookmarkEnd w:id="115"/>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引领行业标准建设，塑造行业良好生态</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公司充分重视数据安全与客户隐私，成立了信息安全管理委员会和数据信息管理委员会，建立并发布</w:t>
      </w:r>
      <w:r>
        <w:rPr>
          <w:rFonts w:ascii="Times New Roman" w:eastAsia="Times New Roman" w:hAnsi="Times New Roman" w:cs="Times New Roman"/>
          <w:color w:val="000000"/>
          <w:spacing w:val="0"/>
          <w:w w:val="100"/>
          <w:position w:val="0"/>
        </w:rPr>
        <w:t>90</w:t>
      </w:r>
      <w:r>
        <w:rPr>
          <w:color w:val="000000"/>
          <w:spacing w:val="0"/>
          <w:w w:val="100"/>
          <w:position w:val="0"/>
        </w:rPr>
        <w:t>余项信息和数据 安全相关的制度，在操作监察、流程制度、组织架构等多层面全方位地进行信息安全管理，以满足机密性、完整性和可用性 的国际安全规范要求，</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年公司通过了 </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27001:2013</w:t>
      </w:r>
      <w:r>
        <w:rPr>
          <w:color w:val="000000"/>
          <w:spacing w:val="0"/>
          <w:w w:val="100"/>
          <w:position w:val="0"/>
        </w:rPr>
        <w:t>信息安全管理体系认证，是国内首家在高通量基因测序行业 通过该国际认证的机构，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年导入了 </w:t>
      </w:r>
      <w:r>
        <w:rPr>
          <w:rFonts w:ascii="Times New Roman" w:eastAsia="Times New Roman" w:hAnsi="Times New Roman" w:cs="Times New Roman"/>
          <w:color w:val="000000"/>
          <w:spacing w:val="0"/>
          <w:w w:val="100"/>
          <w:position w:val="0"/>
        </w:rPr>
        <w:t xml:space="preserve">BS </w:t>
      </w:r>
      <w:r>
        <w:rPr>
          <w:rFonts w:ascii="Times New Roman" w:eastAsia="Times New Roman" w:hAnsi="Times New Roman" w:cs="Times New Roman"/>
          <w:color w:val="000000"/>
          <w:spacing w:val="0"/>
          <w:w w:val="100"/>
          <w:position w:val="0"/>
        </w:rPr>
        <w:t>10012:2017</w:t>
      </w:r>
      <w:r>
        <w:rPr>
          <w:color w:val="000000"/>
          <w:spacing w:val="0"/>
          <w:w w:val="100"/>
          <w:position w:val="0"/>
        </w:rPr>
        <w:t>个人信息管理体系并通过第三方审核，有效保障客户个人隐私信息 安全，维护相关方隐私权益，</w:t>
      </w:r>
      <w:r>
        <w:rPr>
          <w:rFonts w:ascii="Times New Roman" w:eastAsia="Times New Roman" w:hAnsi="Times New Roman" w:cs="Times New Roman"/>
          <w:color w:val="000000"/>
          <w:spacing w:val="0"/>
          <w:w w:val="100"/>
          <w:position w:val="0"/>
        </w:rPr>
        <w:t>2021</w:t>
      </w:r>
      <w:r>
        <w:rPr>
          <w:color w:val="000000"/>
          <w:spacing w:val="0"/>
          <w:w w:val="100"/>
          <w:position w:val="0"/>
        </w:rPr>
        <w:t>年，公司推进了内部运营相关系统上线前评估工作，对信息系统上线前的安全要求进行评 估，并在上线后做日常的系统安全运营。报告期内，公司参与了《信息安全技术基因识别数据安全要求》国家标准的研制， 是生物安全与数据安全结合在基因行业上可参照的数据安全合规标准，同时，公司作为该标准的试点单位，有效推进试点工 作开展，形成了良好的行业示范效应；此外，公司协助相关主管部门，承担部分物种鉴定工作，助力《生物安全法》的落地 实施；公司向深圳市科创委申报的</w:t>
      </w:r>
      <w:r>
        <w:rPr>
          <w:rFonts w:ascii="Times New Roman" w:eastAsia="Times New Roman" w:hAnsi="Times New Roman" w:cs="Times New Roman"/>
          <w:color w:val="000000"/>
          <w:spacing w:val="0"/>
          <w:w w:val="100"/>
          <w:position w:val="0"/>
        </w:rPr>
        <w:t>“</w:t>
      </w:r>
      <w:r>
        <w:rPr>
          <w:color w:val="000000"/>
          <w:spacing w:val="0"/>
          <w:w w:val="100"/>
          <w:position w:val="0"/>
        </w:rPr>
        <w:t>深圳市基于基因组学大数据的医学分析工程技术研究中心</w:t>
      </w:r>
      <w:r>
        <w:rPr>
          <w:rFonts w:ascii="Times New Roman" w:eastAsia="Times New Roman" w:hAnsi="Times New Roman" w:cs="Times New Roman"/>
          <w:color w:val="000000"/>
          <w:spacing w:val="0"/>
          <w:w w:val="100"/>
          <w:position w:val="0"/>
        </w:rPr>
        <w:t>”</w:t>
      </w:r>
      <w:r>
        <w:rPr>
          <w:color w:val="000000"/>
          <w:spacing w:val="0"/>
          <w:w w:val="100"/>
          <w:position w:val="0"/>
        </w:rPr>
        <w:t>已获得立项，</w:t>
      </w:r>
      <w:r>
        <w:rPr>
          <w:rFonts w:ascii="Times New Roman" w:eastAsia="Times New Roman" w:hAnsi="Times New Roman" w:cs="Times New Roman"/>
          <w:color w:val="000000"/>
          <w:spacing w:val="0"/>
          <w:w w:val="100"/>
          <w:position w:val="0"/>
        </w:rPr>
        <w:t>“</w:t>
      </w:r>
      <w:r>
        <w:rPr>
          <w:color w:val="000000"/>
          <w:spacing w:val="0"/>
          <w:w w:val="100"/>
          <w:position w:val="0"/>
        </w:rPr>
        <w:t>基因组学大数 据在医疗健康领域的应用</w:t>
      </w:r>
      <w:r>
        <w:rPr>
          <w:rFonts w:ascii="Times New Roman" w:eastAsia="Times New Roman" w:hAnsi="Times New Roman" w:cs="Times New Roman"/>
          <w:color w:val="000000"/>
          <w:spacing w:val="0"/>
          <w:w w:val="100"/>
          <w:position w:val="0"/>
        </w:rPr>
        <w:t>”</w:t>
      </w:r>
      <w:r>
        <w:rPr>
          <w:color w:val="000000"/>
          <w:spacing w:val="0"/>
          <w:w w:val="100"/>
          <w:position w:val="0"/>
        </w:rPr>
        <w:t>项目已被列入《</w:t>
      </w:r>
      <w:r>
        <w:rPr>
          <w:rFonts w:ascii="Times New Roman" w:eastAsia="Times New Roman" w:hAnsi="Times New Roman" w:cs="Times New Roman"/>
          <w:color w:val="000000"/>
          <w:spacing w:val="0"/>
          <w:w w:val="100"/>
          <w:position w:val="0"/>
        </w:rPr>
        <w:t>2021</w:t>
      </w:r>
      <w:r>
        <w:rPr>
          <w:color w:val="000000"/>
          <w:spacing w:val="0"/>
          <w:w w:val="100"/>
          <w:position w:val="0"/>
        </w:rPr>
        <w:t>年大数据产业发展试点示范项目公示名单》，这是公司数据安全治理能力和 数据应用能力得到认可的科学例证。</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在行业标准化建设方面，截至报告期末，公司提出或参与</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区域标准、国家标准、行业标准、地方标准、团体 标准、企业标准研制合计</w:t>
      </w:r>
      <w:r>
        <w:rPr>
          <w:rFonts w:ascii="Times New Roman" w:eastAsia="Times New Roman" w:hAnsi="Times New Roman" w:cs="Times New Roman"/>
          <w:color w:val="000000"/>
          <w:spacing w:val="0"/>
          <w:w w:val="100"/>
          <w:position w:val="0"/>
        </w:rPr>
        <w:t>77</w:t>
      </w:r>
      <w:r>
        <w:rPr>
          <w:color w:val="000000"/>
          <w:spacing w:val="0"/>
          <w:w w:val="100"/>
          <w:position w:val="0"/>
        </w:rPr>
        <w:t>项，充分发挥公司自身技术优势引领行业发展方向。报告期内，公司参与制订的</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区域 标准</w:t>
      </w:r>
      <w:r>
        <w:rPr>
          <w:rFonts w:ascii="Times New Roman" w:eastAsia="Times New Roman" w:hAnsi="Times New Roman" w:cs="Times New Roman"/>
          <w:color w:val="000000"/>
          <w:spacing w:val="0"/>
          <w:w w:val="100"/>
          <w:position w:val="0"/>
        </w:rPr>
        <w:t>LSEA0003-202</w:t>
      </w:r>
      <w:r>
        <w:rPr>
          <w:rFonts w:ascii="Times New Roman" w:eastAsia="Times New Roman" w:hAnsi="Times New Roman" w:cs="Times New Roman"/>
          <w:color w:val="000000"/>
          <w:spacing w:val="0"/>
          <w:w w:val="100"/>
          <w:position w:val="0"/>
        </w:rPr>
        <w:t>1</w:t>
      </w:r>
      <w:r>
        <w:rPr>
          <w:color w:val="000000"/>
          <w:spacing w:val="0"/>
          <w:w w:val="100"/>
          <w:position w:val="0"/>
        </w:rPr>
        <w:t>《充气膜结构病毒检测实验室建设指南》，帮助</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 xml:space="preserve">沿线国家在医疗卫生资源短缺、检测能力不 足的情况下，快速实现大规模核酸检测实验室建设，填补了当地的空白，为各国疫情防控发挥积极的作用。公司参与制订了 </w:t>
      </w:r>
      <w:r>
        <w:rPr>
          <w:rFonts w:ascii="Times New Roman" w:eastAsia="Times New Roman" w:hAnsi="Times New Roman" w:cs="Times New Roman"/>
          <w:color w:val="000000"/>
          <w:spacing w:val="0"/>
          <w:w w:val="100"/>
          <w:position w:val="0"/>
        </w:rPr>
        <w:t>GB/T 40226-2021</w:t>
      </w:r>
      <w:r>
        <w:rPr>
          <w:color w:val="000000"/>
          <w:spacing w:val="0"/>
          <w:w w:val="100"/>
          <w:position w:val="0"/>
        </w:rPr>
        <w:t>《环境微生物宏基因组检测高通量测序法》、</w:t>
      </w:r>
      <w:r>
        <w:rPr>
          <w:rFonts w:ascii="Times New Roman" w:eastAsia="Times New Roman" w:hAnsi="Times New Roman" w:cs="Times New Roman"/>
          <w:color w:val="000000"/>
          <w:spacing w:val="0"/>
          <w:w w:val="100"/>
          <w:position w:val="0"/>
        </w:rPr>
        <w:t>GB/T 40664-2021</w:t>
      </w:r>
      <w:r>
        <w:rPr>
          <w:color w:val="000000"/>
          <w:spacing w:val="0"/>
          <w:w w:val="100"/>
          <w:position w:val="0"/>
        </w:rPr>
        <w:t>《用于高通量测序的核酸类样本质量控制通 用要求》、</w:t>
      </w:r>
      <w:r>
        <w:rPr>
          <w:rFonts w:ascii="Times New Roman" w:eastAsia="Times New Roman" w:hAnsi="Times New Roman" w:cs="Times New Roman"/>
          <w:color w:val="000000"/>
          <w:spacing w:val="0"/>
          <w:w w:val="100"/>
          <w:position w:val="0"/>
        </w:rPr>
        <w:t>GB/T 40982-202</w:t>
      </w:r>
      <w:r>
        <w:rPr>
          <w:rFonts w:ascii="Times New Roman" w:eastAsia="Times New Roman" w:hAnsi="Times New Roman" w:cs="Times New Roman"/>
          <w:color w:val="000000"/>
          <w:spacing w:val="0"/>
          <w:w w:val="100"/>
          <w:position w:val="0"/>
        </w:rPr>
        <w:t>1</w:t>
      </w:r>
      <w:r>
        <w:rPr>
          <w:color w:val="000000"/>
          <w:spacing w:val="0"/>
          <w:w w:val="100"/>
          <w:position w:val="0"/>
        </w:rPr>
        <w:t>《新型冠状病毒核酸检测试剂盒质量评价要求》</w:t>
      </w:r>
      <w:r>
        <w:rPr>
          <w:rFonts w:ascii="Times New Roman" w:eastAsia="Times New Roman" w:hAnsi="Times New Roman" w:cs="Times New Roman"/>
          <w:color w:val="000000"/>
          <w:spacing w:val="0"/>
          <w:w w:val="100"/>
          <w:position w:val="0"/>
        </w:rPr>
        <w:t>3</w:t>
      </w:r>
      <w:r>
        <w:rPr>
          <w:color w:val="000000"/>
          <w:spacing w:val="0"/>
          <w:w w:val="100"/>
          <w:position w:val="0"/>
        </w:rPr>
        <w:t>项国家标准，有利于规范和统一相关技术流程 和质量规范，为全民健康及科学抗疫提供有力的保障和支持。公司参与制订的团体标准</w:t>
      </w:r>
      <w:r>
        <w:rPr>
          <w:rFonts w:ascii="Times New Roman" w:eastAsia="Times New Roman" w:hAnsi="Times New Roman" w:cs="Times New Roman"/>
          <w:color w:val="000000"/>
          <w:spacing w:val="0"/>
          <w:w w:val="100"/>
          <w:position w:val="0"/>
        </w:rPr>
        <w:t>T/CIQA 16-2021</w:t>
      </w:r>
      <w:r>
        <w:rPr>
          <w:color w:val="000000"/>
          <w:spacing w:val="0"/>
          <w:w w:val="100"/>
          <w:position w:val="0"/>
        </w:rPr>
        <w:t>《方舱式核酸检测实 验室通用技术规范》、</w:t>
      </w:r>
      <w:r>
        <w:rPr>
          <w:rFonts w:ascii="Times New Roman" w:eastAsia="Times New Roman" w:hAnsi="Times New Roman" w:cs="Times New Roman"/>
          <w:color w:val="000000"/>
          <w:spacing w:val="0"/>
          <w:w w:val="100"/>
          <w:position w:val="0"/>
        </w:rPr>
        <w:t>T/CIQA 17-2021</w:t>
      </w:r>
      <w:r>
        <w:rPr>
          <w:color w:val="000000"/>
          <w:spacing w:val="0"/>
          <w:w w:val="100"/>
          <w:position w:val="0"/>
        </w:rPr>
        <w:t>《移动式核酸检测实验室通用技术规范》为核酸检测实验室的设计、制造提供依据， 填补了此类实验室标准的空白，对方舱式、移动式核酸检测实验室的规范化生产与应用具有重要意义，也为全球疫情防控贡 献中国力量。此外，公司还提出并联合多家国内耗材企业共同制订了</w:t>
      </w:r>
      <w:r>
        <w:rPr>
          <w:rFonts w:ascii="Times New Roman" w:eastAsia="Times New Roman" w:hAnsi="Times New Roman" w:cs="Times New Roman"/>
          <w:color w:val="000000"/>
          <w:spacing w:val="0"/>
          <w:w w:val="100"/>
          <w:position w:val="0"/>
        </w:rPr>
        <w:t>T/SZAS 41-2021</w:t>
      </w:r>
      <w:r>
        <w:rPr>
          <w:color w:val="000000"/>
          <w:spacing w:val="0"/>
          <w:w w:val="100"/>
          <w:position w:val="0"/>
        </w:rPr>
        <w:t>《深孔板性能验证》、</w:t>
      </w:r>
      <w:r>
        <w:rPr>
          <w:rFonts w:ascii="Times New Roman" w:eastAsia="Times New Roman" w:hAnsi="Times New Roman" w:cs="Times New Roman"/>
          <w:color w:val="000000"/>
          <w:spacing w:val="0"/>
          <w:w w:val="100"/>
          <w:position w:val="0"/>
        </w:rPr>
        <w:t xml:space="preserve">T/SZAS 42-2021 </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板性能验证》、</w:t>
      </w:r>
      <w:r>
        <w:rPr>
          <w:rFonts w:ascii="Times New Roman" w:eastAsia="Times New Roman" w:hAnsi="Times New Roman" w:cs="Times New Roman"/>
          <w:color w:val="000000"/>
          <w:spacing w:val="0"/>
          <w:w w:val="100"/>
          <w:position w:val="0"/>
        </w:rPr>
        <w:t>T/SZAS 43-2021</w:t>
      </w:r>
      <w:r>
        <w:rPr>
          <w:color w:val="000000"/>
          <w:spacing w:val="0"/>
          <w:w w:val="100"/>
          <w:position w:val="0"/>
        </w:rPr>
        <w:t>《吸头性能验证》</w:t>
      </w:r>
      <w:r>
        <w:rPr>
          <w:rFonts w:ascii="Times New Roman" w:eastAsia="Times New Roman" w:hAnsi="Times New Roman" w:cs="Times New Roman"/>
          <w:color w:val="000000"/>
          <w:spacing w:val="0"/>
          <w:w w:val="100"/>
          <w:position w:val="0"/>
        </w:rPr>
        <w:t>3</w:t>
      </w:r>
      <w:r>
        <w:rPr>
          <w:color w:val="000000"/>
          <w:spacing w:val="0"/>
          <w:w w:val="100"/>
          <w:position w:val="0"/>
        </w:rPr>
        <w:t>项团体标准，填补了国内分子检测耗材标准的空白，建立了统一的 耗材类质量标准和技术规范，推动了国内医疗耗材的标准化及规范化进度。</w:t>
      </w:r>
    </w:p>
    <w:p>
      <w:pPr>
        <w:pStyle w:val="Style17"/>
        <w:keepNext w:val="0"/>
        <w:keepLines w:val="0"/>
        <w:widowControl w:val="0"/>
        <w:shd w:val="clear" w:color="auto" w:fill="auto"/>
        <w:tabs>
          <w:tab w:pos="750" w:val="left"/>
        </w:tabs>
        <w:bidi w:val="0"/>
        <w:spacing w:before="0" w:after="180"/>
        <w:ind w:left="0" w:right="0"/>
        <w:jc w:val="both"/>
      </w:pPr>
      <w:bookmarkStart w:id="116" w:name="bookmark116"/>
      <w:r>
        <w:rPr>
          <w:rFonts w:ascii="Times New Roman" w:eastAsia="Times New Roman" w:hAnsi="Times New Roman" w:cs="Times New Roman"/>
          <w:b/>
          <w:bCs/>
          <w:color w:val="000000"/>
          <w:spacing w:val="0"/>
          <w:w w:val="100"/>
          <w:position w:val="0"/>
        </w:rPr>
        <w:t>1</w:t>
      </w:r>
      <w:bookmarkEnd w:id="11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积极履行社会责任，持续推动科普宣传</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报告期内，公司积极履行社会责任，通过出生缺陷防控、肿瘤防控等民生工程和健康关爱计划，新冠疫情对外援助等， 让精准医学普惠更多民众，助力</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2030”</w:t>
      </w:r>
      <w:r>
        <w:rPr>
          <w:color w:val="000000"/>
          <w:spacing w:val="0"/>
          <w:w w:val="100"/>
          <w:position w:val="0"/>
        </w:rPr>
        <w:t>的实施落地。</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在出生缺陷防控方面，公司在报告期内的</w:t>
      </w:r>
      <w:r>
        <w:rPr>
          <w:rFonts w:ascii="Times New Roman" w:eastAsia="Times New Roman" w:hAnsi="Times New Roman" w:cs="Times New Roman"/>
          <w:color w:val="000000"/>
          <w:spacing w:val="0"/>
          <w:w w:val="100"/>
          <w:position w:val="0"/>
        </w:rPr>
        <w:t>“</w:t>
      </w:r>
      <w:r>
        <w:rPr>
          <w:color w:val="000000"/>
          <w:spacing w:val="0"/>
          <w:w w:val="100"/>
          <w:position w:val="0"/>
        </w:rPr>
        <w:t>全国爱耳日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世界唐氏综合征日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世界血友病日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世界地贫日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 国爱眼日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中国出生缺陷防控月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国际聋人节</w:t>
      </w:r>
      <w:r>
        <w:rPr>
          <w:rFonts w:ascii="Times New Roman" w:eastAsia="Times New Roman" w:hAnsi="Times New Roman" w:cs="Times New Roman"/>
          <w:color w:val="000000"/>
          <w:spacing w:val="0"/>
          <w:w w:val="100"/>
          <w:position w:val="0"/>
        </w:rPr>
        <w:t>”</w:t>
      </w:r>
      <w:r>
        <w:rPr>
          <w:color w:val="000000"/>
          <w:spacing w:val="0"/>
          <w:w w:val="100"/>
          <w:position w:val="0"/>
        </w:rPr>
        <w:t>等多个公益日，联合各地卫健委、残联、医疗机构、公益组织等单位 举办了多场义诊活动，为符合要求的遗传性疾病患者及家庭提供百余例免费的基因检测及基因组咨询服务。在地中海贫 血防控方面，公司采用先进的自主平台测序技术，已在广东、广西、云南、贵州、湖南、江西等多个省份启动</w:t>
      </w:r>
      <w:r>
        <w:rPr>
          <w:rFonts w:ascii="Times New Roman" w:eastAsia="Times New Roman" w:hAnsi="Times New Roman" w:cs="Times New Roman"/>
          <w:color w:val="000000"/>
          <w:spacing w:val="0"/>
          <w:w w:val="100"/>
          <w:position w:val="0"/>
        </w:rPr>
        <w:t>“</w:t>
      </w:r>
      <w:r>
        <w:rPr>
          <w:color w:val="000000"/>
          <w:spacing w:val="0"/>
          <w:w w:val="100"/>
          <w:position w:val="0"/>
        </w:rPr>
        <w:t>地中海贫 血防控民生项目</w:t>
      </w:r>
      <w:r>
        <w:rPr>
          <w:rFonts w:ascii="Times New Roman" w:eastAsia="Times New Roman" w:hAnsi="Times New Roman" w:cs="Times New Roman"/>
          <w:color w:val="000000"/>
          <w:spacing w:val="0"/>
          <w:w w:val="100"/>
          <w:position w:val="0"/>
        </w:rPr>
        <w:t>”</w:t>
      </w:r>
      <w:r>
        <w:rPr>
          <w:color w:val="000000"/>
          <w:spacing w:val="0"/>
          <w:w w:val="100"/>
          <w:position w:val="0"/>
        </w:rPr>
        <w:t>，累计检测样本超过</w:t>
      </w:r>
      <w:r>
        <w:rPr>
          <w:rFonts w:ascii="Times New Roman" w:eastAsia="Times New Roman" w:hAnsi="Times New Roman" w:cs="Times New Roman"/>
          <w:color w:val="000000"/>
          <w:spacing w:val="0"/>
          <w:w w:val="100"/>
          <w:position w:val="0"/>
        </w:rPr>
        <w:t>57</w:t>
      </w:r>
      <w:r>
        <w:rPr>
          <w:color w:val="000000"/>
          <w:spacing w:val="0"/>
          <w:w w:val="100"/>
          <w:position w:val="0"/>
        </w:rPr>
        <w:t>万例。项目共检出地贫基因变异类型超过</w:t>
      </w:r>
      <w:r>
        <w:rPr>
          <w:rFonts w:ascii="Times New Roman" w:eastAsia="Times New Roman" w:hAnsi="Times New Roman" w:cs="Times New Roman"/>
          <w:color w:val="000000"/>
          <w:spacing w:val="0"/>
          <w:w w:val="100"/>
          <w:position w:val="0"/>
        </w:rPr>
        <w:t>170</w:t>
      </w:r>
      <w:r>
        <w:rPr>
          <w:color w:val="000000"/>
          <w:spacing w:val="0"/>
          <w:w w:val="100"/>
          <w:position w:val="0"/>
        </w:rPr>
        <w:t>种，异常血红蛋白变异超过</w:t>
      </w:r>
      <w:r>
        <w:rPr>
          <w:rFonts w:ascii="Times New Roman" w:eastAsia="Times New Roman" w:hAnsi="Times New Roman" w:cs="Times New Roman"/>
          <w:color w:val="000000"/>
          <w:spacing w:val="0"/>
          <w:w w:val="100"/>
          <w:position w:val="0"/>
        </w:rPr>
        <w:t>180</w:t>
      </w:r>
      <w:r>
        <w:rPr>
          <w:color w:val="000000"/>
          <w:spacing w:val="0"/>
          <w:w w:val="100"/>
          <w:position w:val="0"/>
        </w:rPr>
        <w:t>种， 有效提升了地贫的防控效果。在地中海贫血患者救助方面，公司联合华基金等机构和公益组织开展以</w:t>
      </w:r>
      <w:r>
        <w:rPr>
          <w:rFonts w:ascii="Times New Roman" w:eastAsia="Times New Roman" w:hAnsi="Times New Roman" w:cs="Times New Roman"/>
          <w:color w:val="000000"/>
          <w:spacing w:val="0"/>
          <w:w w:val="100"/>
          <w:position w:val="0"/>
        </w:rPr>
        <w:t>“</w:t>
      </w:r>
      <w:r>
        <w:rPr>
          <w:color w:val="000000"/>
          <w:spacing w:val="0"/>
          <w:w w:val="100"/>
          <w:position w:val="0"/>
        </w:rPr>
        <w:t>防治地贫，关爱每 一个生命</w:t>
      </w:r>
      <w:r>
        <w:rPr>
          <w:rFonts w:ascii="Times New Roman" w:eastAsia="Times New Roman" w:hAnsi="Times New Roman" w:cs="Times New Roman"/>
          <w:color w:val="000000"/>
          <w:spacing w:val="0"/>
          <w:w w:val="100"/>
          <w:position w:val="0"/>
        </w:rPr>
        <w:t>”</w:t>
      </w:r>
      <w:r>
        <w:rPr>
          <w:color w:val="000000"/>
          <w:spacing w:val="0"/>
          <w:w w:val="100"/>
          <w:position w:val="0"/>
        </w:rPr>
        <w:t>为主题的义诊活动，为符合要求的地中海贫血患者及家庭提供免费的</w:t>
      </w:r>
      <w:r>
        <w:rPr>
          <w:rFonts w:ascii="Times New Roman" w:eastAsia="Times New Roman" w:hAnsi="Times New Roman" w:cs="Times New Roman"/>
          <w:color w:val="000000"/>
          <w:spacing w:val="0"/>
          <w:w w:val="100"/>
          <w:position w:val="0"/>
        </w:rPr>
        <w:t>508</w:t>
      </w:r>
      <w:r>
        <w:rPr>
          <w:color w:val="000000"/>
          <w:spacing w:val="0"/>
          <w:w w:val="100"/>
          <w:position w:val="0"/>
        </w:rPr>
        <w:t>种型别地贫基因检测、基因组咨询及免 费</w:t>
      </w:r>
      <w:r>
        <w:rPr>
          <w:rFonts w:ascii="Times New Roman" w:eastAsia="Times New Roman" w:hAnsi="Times New Roman" w:cs="Times New Roman"/>
          <w:color w:val="000000"/>
          <w:spacing w:val="0"/>
          <w:w w:val="100"/>
          <w:position w:val="0"/>
        </w:rPr>
        <w:t>HLA</w:t>
      </w:r>
      <w:r>
        <w:rPr>
          <w:color w:val="000000"/>
          <w:spacing w:val="0"/>
          <w:w w:val="100"/>
          <w:position w:val="0"/>
        </w:rPr>
        <w:t>配型服务，帮助更多地贫家庭重拾生活的希望，孕育健康宝宝。截至报告期末，该项目已累计为近</w:t>
      </w:r>
      <w:r>
        <w:rPr>
          <w:rFonts w:ascii="Times New Roman" w:eastAsia="Times New Roman" w:hAnsi="Times New Roman" w:cs="Times New Roman"/>
          <w:color w:val="000000"/>
          <w:spacing w:val="0"/>
          <w:w w:val="100"/>
          <w:position w:val="0"/>
        </w:rPr>
        <w:t>5,200</w:t>
      </w:r>
      <w:r>
        <w:rPr>
          <w:color w:val="000000"/>
          <w:spacing w:val="0"/>
          <w:w w:val="100"/>
          <w:position w:val="0"/>
        </w:rPr>
        <w:t>个地贫家 庭超过</w:t>
      </w:r>
      <w:r>
        <w:rPr>
          <w:rFonts w:ascii="Times New Roman" w:eastAsia="Times New Roman" w:hAnsi="Times New Roman" w:cs="Times New Roman"/>
          <w:color w:val="000000"/>
          <w:spacing w:val="0"/>
          <w:w w:val="100"/>
          <w:position w:val="0"/>
        </w:rPr>
        <w:t>15,000</w:t>
      </w:r>
      <w:r>
        <w:rPr>
          <w:color w:val="000000"/>
          <w:spacing w:val="0"/>
          <w:w w:val="100"/>
          <w:position w:val="0"/>
        </w:rPr>
        <w:t>余人提供了免费</w:t>
      </w:r>
      <w:r>
        <w:rPr>
          <w:rFonts w:ascii="Times New Roman" w:eastAsia="Times New Roman" w:hAnsi="Times New Roman" w:cs="Times New Roman"/>
          <w:color w:val="000000"/>
          <w:spacing w:val="0"/>
          <w:w w:val="100"/>
          <w:position w:val="0"/>
        </w:rPr>
        <w:t>HLA</w:t>
      </w:r>
      <w:r>
        <w:rPr>
          <w:color w:val="000000"/>
          <w:spacing w:val="0"/>
          <w:w w:val="100"/>
          <w:position w:val="0"/>
        </w:rPr>
        <w:t>配型检测服务，共计</w:t>
      </w:r>
      <w:r>
        <w:rPr>
          <w:rFonts w:ascii="Times New Roman" w:eastAsia="Times New Roman" w:hAnsi="Times New Roman" w:cs="Times New Roman"/>
          <w:color w:val="000000"/>
          <w:spacing w:val="0"/>
          <w:w w:val="100"/>
          <w:position w:val="0"/>
        </w:rPr>
        <w:t>545</w:t>
      </w:r>
      <w:r>
        <w:rPr>
          <w:color w:val="000000"/>
          <w:spacing w:val="0"/>
          <w:w w:val="100"/>
          <w:position w:val="0"/>
        </w:rPr>
        <w:t>名患者配型全相合。</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在肿瘤防控方面，为践行</w:t>
      </w:r>
      <w:r>
        <w:rPr>
          <w:rFonts w:ascii="Times New Roman" w:eastAsia="Times New Roman" w:hAnsi="Times New Roman" w:cs="Times New Roman"/>
          <w:color w:val="000000"/>
          <w:spacing w:val="0"/>
          <w:w w:val="100"/>
          <w:position w:val="0"/>
        </w:rPr>
        <w:t>“</w:t>
      </w:r>
      <w:r>
        <w:rPr>
          <w:color w:val="000000"/>
          <w:spacing w:val="0"/>
          <w:w w:val="100"/>
          <w:position w:val="0"/>
        </w:rPr>
        <w:t>健康中国战略</w:t>
      </w:r>
      <w:r>
        <w:rPr>
          <w:rFonts w:ascii="Times New Roman" w:eastAsia="Times New Roman" w:hAnsi="Times New Roman" w:cs="Times New Roman"/>
          <w:color w:val="000000"/>
          <w:spacing w:val="0"/>
          <w:w w:val="100"/>
          <w:position w:val="0"/>
        </w:rPr>
        <w:t>”</w:t>
      </w:r>
      <w:r>
        <w:rPr>
          <w:color w:val="000000"/>
          <w:spacing w:val="0"/>
          <w:w w:val="100"/>
          <w:position w:val="0"/>
        </w:rPr>
        <w:t>，推进疾病防控关口前移，华大基因先后在湖南长沙县、福建三明市沙县区、 陕西延安市、山西临汾市、江苏昆山市、河北赤城县等多地开展民生公益项目，惠及</w:t>
      </w:r>
      <w:r>
        <w:rPr>
          <w:rFonts w:ascii="Times New Roman" w:eastAsia="Times New Roman" w:hAnsi="Times New Roman" w:cs="Times New Roman"/>
          <w:color w:val="000000"/>
          <w:spacing w:val="0"/>
          <w:w w:val="100"/>
          <w:position w:val="0"/>
        </w:rPr>
        <w:t>53,000</w:t>
      </w:r>
      <w:r>
        <w:rPr>
          <w:color w:val="000000"/>
          <w:spacing w:val="0"/>
          <w:w w:val="100"/>
          <w:position w:val="0"/>
        </w:rPr>
        <w:t>多名群众，让精准医学真正普惠 民众。公司联合</w:t>
      </w:r>
      <w:r>
        <w:rPr>
          <w:rFonts w:ascii="Times New Roman" w:eastAsia="Times New Roman" w:hAnsi="Times New Roman" w:cs="Times New Roman"/>
          <w:color w:val="000000"/>
          <w:spacing w:val="0"/>
          <w:w w:val="100"/>
          <w:position w:val="0"/>
        </w:rPr>
        <w:t>30</w:t>
      </w:r>
      <w:r>
        <w:rPr>
          <w:color w:val="000000"/>
          <w:spacing w:val="0"/>
          <w:w w:val="100"/>
          <w:position w:val="0"/>
        </w:rPr>
        <w:t>多家知名品牌、权威机构和多名权威专家，重点打造</w:t>
      </w:r>
      <w:r>
        <w:rPr>
          <w:rFonts w:ascii="Times New Roman" w:eastAsia="Times New Roman" w:hAnsi="Times New Roman" w:cs="Times New Roman"/>
          <w:color w:val="000000"/>
          <w:spacing w:val="0"/>
          <w:w w:val="100"/>
          <w:position w:val="0"/>
        </w:rPr>
        <w:t>“</w:t>
      </w:r>
      <w:r>
        <w:rPr>
          <w:color w:val="000000"/>
          <w:spacing w:val="0"/>
          <w:w w:val="100"/>
          <w:position w:val="0"/>
        </w:rPr>
        <w:t>守护</w:t>
      </w:r>
      <w:r>
        <w:rPr>
          <w:rFonts w:ascii="Times New Roman" w:eastAsia="Times New Roman" w:hAnsi="Times New Roman" w:cs="Times New Roman"/>
          <w:color w:val="000000"/>
          <w:spacing w:val="0"/>
          <w:w w:val="100"/>
          <w:position w:val="0"/>
        </w:rPr>
        <w:t>TA</w:t>
      </w:r>
      <w:r>
        <w:rPr>
          <w:color w:val="000000"/>
          <w:spacing w:val="0"/>
          <w:w w:val="100"/>
          <w:position w:val="0"/>
        </w:rPr>
        <w:t>健康，我们在行动</w:t>
      </w:r>
      <w:r>
        <w:rPr>
          <w:rFonts w:ascii="Times New Roman" w:eastAsia="Times New Roman" w:hAnsi="Times New Roman" w:cs="Times New Roman"/>
          <w:color w:val="000000"/>
          <w:spacing w:val="0"/>
          <w:w w:val="100"/>
          <w:position w:val="0"/>
        </w:rPr>
        <w:t>”</w:t>
      </w:r>
      <w:r>
        <w:rPr>
          <w:color w:val="000000"/>
          <w:spacing w:val="0"/>
          <w:w w:val="100"/>
          <w:position w:val="0"/>
        </w:rPr>
        <w:t>癌症防控系列公益活动， 健康知识公益科普，并联合城市级互联网</w:t>
      </w:r>
      <w:r>
        <w:rPr>
          <w:rFonts w:ascii="Times New Roman" w:eastAsia="Times New Roman" w:hAnsi="Times New Roman" w:cs="Times New Roman"/>
          <w:color w:val="000000"/>
          <w:spacing w:val="0"/>
          <w:w w:val="100"/>
          <w:position w:val="0"/>
        </w:rPr>
        <w:t>+</w:t>
      </w:r>
      <w:r>
        <w:rPr>
          <w:color w:val="000000"/>
          <w:spacing w:val="0"/>
          <w:w w:val="100"/>
          <w:position w:val="0"/>
        </w:rPr>
        <w:t>医疗健康服务平台举办多场线上义诊等系列活动，为</w:t>
      </w:r>
      <w:r>
        <w:rPr>
          <w:rFonts w:ascii="Times New Roman" w:eastAsia="Times New Roman" w:hAnsi="Times New Roman" w:cs="Times New Roman"/>
          <w:color w:val="000000"/>
          <w:spacing w:val="0"/>
          <w:w w:val="100"/>
          <w:position w:val="0"/>
        </w:rPr>
        <w:t>1.8</w:t>
      </w:r>
      <w:r>
        <w:rPr>
          <w:color w:val="000000"/>
          <w:spacing w:val="0"/>
          <w:w w:val="100"/>
          <w:position w:val="0"/>
        </w:rPr>
        <w:t>万名医护、肿瘤高危人群 等适用人群送去关爱，全网传播超</w:t>
      </w:r>
      <w:r>
        <w:rPr>
          <w:rFonts w:ascii="Times New Roman" w:eastAsia="Times New Roman" w:hAnsi="Times New Roman" w:cs="Times New Roman"/>
          <w:color w:val="000000"/>
          <w:spacing w:val="0"/>
          <w:w w:val="100"/>
          <w:position w:val="0"/>
        </w:rPr>
        <w:t>3,500</w:t>
      </w:r>
      <w:r>
        <w:rPr>
          <w:color w:val="000000"/>
          <w:spacing w:val="0"/>
          <w:w w:val="100"/>
          <w:position w:val="0"/>
        </w:rPr>
        <w:t>万人次，使</w:t>
      </w:r>
      <w:r>
        <w:rPr>
          <w:rFonts w:ascii="Times New Roman" w:eastAsia="Times New Roman" w:hAnsi="Times New Roman" w:cs="Times New Roman"/>
          <w:color w:val="000000"/>
          <w:spacing w:val="0"/>
          <w:w w:val="100"/>
          <w:position w:val="0"/>
        </w:rPr>
        <w:t>“</w:t>
      </w:r>
      <w:r>
        <w:rPr>
          <w:color w:val="000000"/>
          <w:spacing w:val="0"/>
          <w:w w:val="100"/>
          <w:position w:val="0"/>
        </w:rPr>
        <w:t>早筛早诊早治</w:t>
      </w:r>
      <w:r>
        <w:rPr>
          <w:rFonts w:ascii="Times New Roman" w:eastAsia="Times New Roman" w:hAnsi="Times New Roman" w:cs="Times New Roman"/>
          <w:color w:val="000000"/>
          <w:spacing w:val="0"/>
          <w:w w:val="100"/>
          <w:position w:val="0"/>
        </w:rPr>
        <w:t>”</w:t>
      </w:r>
      <w:r>
        <w:rPr>
          <w:color w:val="000000"/>
          <w:spacing w:val="0"/>
          <w:w w:val="100"/>
          <w:position w:val="0"/>
        </w:rPr>
        <w:t>理念更深入人心，其中</w:t>
      </w:r>
      <w:r>
        <w:rPr>
          <w:rFonts w:ascii="Times New Roman" w:eastAsia="Times New Roman" w:hAnsi="Times New Roman" w:cs="Times New Roman"/>
          <w:color w:val="000000"/>
          <w:spacing w:val="0"/>
          <w:w w:val="100"/>
          <w:position w:val="0"/>
        </w:rPr>
        <w:t>“</w:t>
      </w:r>
      <w:r>
        <w:rPr>
          <w:color w:val="000000"/>
          <w:spacing w:val="0"/>
          <w:w w:val="100"/>
          <w:position w:val="0"/>
        </w:rPr>
        <w:t>全国医护健康关爱公益计划</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.0” </w:t>
      </w:r>
      <w:r>
        <w:rPr>
          <w:color w:val="000000"/>
          <w:spacing w:val="0"/>
          <w:w w:val="100"/>
          <w:position w:val="0"/>
        </w:rPr>
        <w:t>荣获</w:t>
      </w:r>
      <w:r>
        <w:rPr>
          <w:rFonts w:ascii="Times New Roman" w:eastAsia="Times New Roman" w:hAnsi="Times New Roman" w:cs="Times New Roman"/>
          <w:color w:val="000000"/>
          <w:spacing w:val="0"/>
          <w:w w:val="100"/>
          <w:position w:val="0"/>
        </w:rPr>
        <w:t>2021</w:t>
      </w:r>
      <w:r>
        <w:rPr>
          <w:color w:val="000000"/>
          <w:spacing w:val="0"/>
          <w:w w:val="100"/>
          <w:position w:val="0"/>
        </w:rPr>
        <w:t>南方公益传播奖</w:t>
      </w:r>
      <w:r>
        <w:rPr>
          <w:rFonts w:ascii="Times New Roman" w:eastAsia="Times New Roman" w:hAnsi="Times New Roman" w:cs="Times New Roman"/>
          <w:color w:val="000000"/>
          <w:spacing w:val="0"/>
          <w:w w:val="100"/>
          <w:position w:val="0"/>
        </w:rPr>
        <w:t>•</w:t>
      </w:r>
      <w:r>
        <w:rPr>
          <w:color w:val="000000"/>
          <w:spacing w:val="0"/>
          <w:w w:val="100"/>
          <w:position w:val="0"/>
        </w:rPr>
        <w:t>创新奖等多项荣誉。此外，华大基因联合北京爱谱癌症患者关爱基金会、阿斯利康、默沙东等启 动</w:t>
      </w:r>
      <w:r>
        <w:rPr>
          <w:rFonts w:ascii="Times New Roman" w:eastAsia="Times New Roman" w:hAnsi="Times New Roman" w:cs="Times New Roman"/>
          <w:color w:val="000000"/>
          <w:spacing w:val="0"/>
          <w:w w:val="100"/>
          <w:position w:val="0"/>
        </w:rPr>
        <w:t>“HRD</w:t>
      </w:r>
      <w:r>
        <w:rPr>
          <w:color w:val="000000"/>
          <w:spacing w:val="0"/>
          <w:w w:val="100"/>
          <w:position w:val="0"/>
        </w:rPr>
        <w:t>检测公益项目</w:t>
      </w:r>
      <w:r>
        <w:rPr>
          <w:rFonts w:ascii="Times New Roman" w:eastAsia="Times New Roman" w:hAnsi="Times New Roman" w:cs="Times New Roman"/>
          <w:color w:val="000000"/>
          <w:spacing w:val="0"/>
          <w:w w:val="100"/>
          <w:position w:val="0"/>
        </w:rPr>
        <w:t>”</w:t>
      </w:r>
      <w:r>
        <w:rPr>
          <w:color w:val="000000"/>
          <w:spacing w:val="0"/>
          <w:w w:val="100"/>
          <w:position w:val="0"/>
        </w:rPr>
        <w:t>，为全国</w:t>
      </w:r>
      <w:r>
        <w:rPr>
          <w:rFonts w:ascii="Times New Roman" w:eastAsia="Times New Roman" w:hAnsi="Times New Roman" w:cs="Times New Roman"/>
          <w:color w:val="000000"/>
          <w:spacing w:val="0"/>
          <w:w w:val="100"/>
          <w:position w:val="0"/>
        </w:rPr>
        <w:t>1,000</w:t>
      </w:r>
      <w:r>
        <w:rPr>
          <w:color w:val="000000"/>
          <w:spacing w:val="0"/>
          <w:w w:val="100"/>
          <w:position w:val="0"/>
        </w:rPr>
        <w:t>位卵巢癌患者免费提供自主研发的华然迪</w:t>
      </w:r>
      <w:r>
        <w:rPr>
          <w:rFonts w:ascii="Times New Roman" w:eastAsia="Times New Roman" w:hAnsi="Times New Roman" w:cs="Times New Roman"/>
          <w:color w:val="000000"/>
          <w:spacing w:val="0"/>
          <w:w w:val="100"/>
          <w:position w:val="0"/>
        </w:rPr>
        <w:t>™</w:t>
      </w:r>
      <w:r>
        <w:rPr>
          <w:color w:val="000000"/>
          <w:spacing w:val="0"/>
          <w:w w:val="100"/>
          <w:position w:val="0"/>
        </w:rPr>
        <w:t>同源重组缺陷</w:t>
      </w:r>
      <w:r>
        <w:rPr>
          <w:color w:val="000000"/>
          <w:spacing w:val="0"/>
          <w:w w:val="100"/>
          <w:position w:val="0"/>
        </w:rPr>
        <w:t>（</w:t>
      </w:r>
      <w:r>
        <w:rPr>
          <w:rFonts w:ascii="Times New Roman" w:eastAsia="Times New Roman" w:hAnsi="Times New Roman" w:cs="Times New Roman"/>
          <w:color w:val="000000"/>
          <w:spacing w:val="0"/>
          <w:w w:val="100"/>
          <w:position w:val="0"/>
        </w:rPr>
        <w:t>HRD</w:t>
      </w:r>
      <w:r>
        <w:rPr>
          <w:color w:val="000000"/>
          <w:spacing w:val="0"/>
          <w:w w:val="100"/>
          <w:position w:val="0"/>
        </w:rPr>
        <w:t>）</w:t>
      </w:r>
      <w:r>
        <w:rPr>
          <w:color w:val="000000"/>
          <w:spacing w:val="0"/>
          <w:w w:val="100"/>
          <w:position w:val="0"/>
        </w:rPr>
        <w:t>评分检测，帮助患 者寻找合适的靶向药物，推进</w:t>
      </w:r>
      <w:r>
        <w:rPr>
          <w:rFonts w:ascii="Times New Roman" w:eastAsia="Times New Roman" w:hAnsi="Times New Roman" w:cs="Times New Roman"/>
          <w:color w:val="000000"/>
          <w:spacing w:val="0"/>
          <w:w w:val="100"/>
          <w:position w:val="0"/>
        </w:rPr>
        <w:t>HRD</w:t>
      </w:r>
      <w:r>
        <w:rPr>
          <w:color w:val="000000"/>
          <w:spacing w:val="0"/>
          <w:w w:val="100"/>
          <w:position w:val="0"/>
        </w:rPr>
        <w:t>检测在国内的普及度。</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习总书记提出</w:t>
      </w:r>
      <w:r>
        <w:rPr>
          <w:rFonts w:ascii="Times New Roman" w:eastAsia="Times New Roman" w:hAnsi="Times New Roman" w:cs="Times New Roman"/>
          <w:color w:val="000000"/>
          <w:spacing w:val="0"/>
          <w:w w:val="100"/>
          <w:position w:val="0"/>
        </w:rPr>
        <w:t>“</w:t>
      </w:r>
      <w:r>
        <w:rPr>
          <w:color w:val="000000"/>
          <w:spacing w:val="0"/>
          <w:w w:val="100"/>
          <w:position w:val="0"/>
        </w:rPr>
        <w:t>科技创新、科学普及是实现创新发展的两翼，要把科学普及放在与科技创新同等重要的位置。没有全民 科学素质普遍提高，就难以建立起宏大的高素质创新大军，难以实现科技成果快速转化。</w:t>
      </w:r>
      <w:r>
        <w:rPr>
          <w:rFonts w:ascii="Times New Roman" w:eastAsia="Times New Roman" w:hAnsi="Times New Roman" w:cs="Times New Roman"/>
          <w:color w:val="000000"/>
          <w:spacing w:val="0"/>
          <w:w w:val="100"/>
          <w:position w:val="0"/>
        </w:rPr>
        <w:t>”</w:t>
      </w:r>
      <w:r>
        <w:rPr>
          <w:color w:val="000000"/>
          <w:spacing w:val="0"/>
          <w:w w:val="100"/>
          <w:position w:val="0"/>
        </w:rPr>
        <w:t>华大基因作为基因科技的头部企 业率先垂范，致力于通过科普提升大众对生命科学的认知，目前已建立多渠道、多元化传播载体的科普矩阵，公司顺应新媒 体发展趋势，并根据业务拓展的前景需求，持续探索创造更加贴近大众需求的科普内容，提高科普活动的覆盖范围，增进大 众对基因科技和公司业务的了解。</w:t>
      </w:r>
    </w:p>
    <w:p>
      <w:pPr>
        <w:pStyle w:val="Style17"/>
        <w:keepNext w:val="0"/>
        <w:keepLines w:val="0"/>
        <w:widowControl w:val="0"/>
        <w:shd w:val="clear" w:color="auto" w:fill="auto"/>
        <w:bidi w:val="0"/>
        <w:spacing w:before="0" w:after="240" w:line="313" w:lineRule="exact"/>
        <w:ind w:left="0" w:right="0"/>
        <w:jc w:val="both"/>
      </w:pPr>
      <w:r>
        <w:rPr>
          <w:color w:val="000000"/>
          <w:spacing w:val="0"/>
          <w:w w:val="100"/>
          <w:position w:val="0"/>
        </w:rPr>
        <w:t>报告期内，公司大力推动建设自营科普渠道，在海外社交媒体平台上，发布原创科普帖</w:t>
      </w:r>
      <w:r>
        <w:rPr>
          <w:rFonts w:ascii="Times New Roman" w:eastAsia="Times New Roman" w:hAnsi="Times New Roman" w:cs="Times New Roman"/>
          <w:color w:val="000000"/>
          <w:spacing w:val="0"/>
          <w:w w:val="100"/>
          <w:position w:val="0"/>
        </w:rPr>
        <w:t>130</w:t>
      </w:r>
      <w:r>
        <w:rPr>
          <w:color w:val="000000"/>
          <w:spacing w:val="0"/>
          <w:w w:val="100"/>
          <w:position w:val="0"/>
        </w:rPr>
        <w:t>余条，公司旗下运营微信公 众号发布科普文章超过</w:t>
      </w:r>
      <w:r>
        <w:rPr>
          <w:rFonts w:ascii="Times New Roman" w:eastAsia="Times New Roman" w:hAnsi="Times New Roman" w:cs="Times New Roman"/>
          <w:color w:val="000000"/>
          <w:spacing w:val="0"/>
          <w:w w:val="100"/>
          <w:position w:val="0"/>
        </w:rPr>
        <w:t>300</w:t>
      </w:r>
      <w:r>
        <w:rPr>
          <w:color w:val="000000"/>
          <w:spacing w:val="0"/>
          <w:w w:val="100"/>
          <w:position w:val="0"/>
        </w:rPr>
        <w:t>篇，其中原创内容近</w:t>
      </w:r>
      <w:r>
        <w:rPr>
          <w:rFonts w:ascii="Times New Roman" w:eastAsia="Times New Roman" w:hAnsi="Times New Roman" w:cs="Times New Roman"/>
          <w:color w:val="000000"/>
          <w:spacing w:val="0"/>
          <w:w w:val="100"/>
          <w:position w:val="0"/>
        </w:rPr>
        <w:t>200</w:t>
      </w:r>
      <w:r>
        <w:rPr>
          <w:color w:val="000000"/>
          <w:spacing w:val="0"/>
          <w:w w:val="100"/>
          <w:position w:val="0"/>
        </w:rPr>
        <w:t>篇；在华大基因官方微博发布原创科普帖文超</w:t>
      </w:r>
      <w:r>
        <w:rPr>
          <w:rFonts w:ascii="Times New Roman" w:eastAsia="Times New Roman" w:hAnsi="Times New Roman" w:cs="Times New Roman"/>
          <w:color w:val="000000"/>
          <w:spacing w:val="0"/>
          <w:w w:val="100"/>
          <w:position w:val="0"/>
        </w:rPr>
        <w:t>230</w:t>
      </w:r>
      <w:r>
        <w:rPr>
          <w:color w:val="000000"/>
          <w:spacing w:val="0"/>
          <w:w w:val="100"/>
          <w:position w:val="0"/>
        </w:rPr>
        <w:t>篇。公司全媒体渠道覆 盖全球超过</w:t>
      </w:r>
      <w:r>
        <w:rPr>
          <w:rFonts w:ascii="Times New Roman" w:eastAsia="Times New Roman" w:hAnsi="Times New Roman" w:cs="Times New Roman"/>
          <w:color w:val="000000"/>
          <w:spacing w:val="0"/>
          <w:w w:val="100"/>
          <w:position w:val="0"/>
        </w:rPr>
        <w:t>2</w:t>
      </w:r>
      <w:r>
        <w:rPr>
          <w:color w:val="000000"/>
          <w:spacing w:val="0"/>
          <w:w w:val="100"/>
          <w:position w:val="0"/>
        </w:rPr>
        <w:t>亿人，为公司业务全球化战略奠定坚实基础。基因健康科普类音频节目《天方烨谈》拥有超过</w:t>
      </w:r>
      <w:r>
        <w:rPr>
          <w:rFonts w:ascii="Times New Roman" w:eastAsia="Times New Roman" w:hAnsi="Times New Roman" w:cs="Times New Roman"/>
          <w:color w:val="000000"/>
          <w:spacing w:val="0"/>
          <w:w w:val="100"/>
          <w:position w:val="0"/>
        </w:rPr>
        <w:t>18.5</w:t>
      </w:r>
      <w:r>
        <w:rPr>
          <w:color w:val="000000"/>
          <w:spacing w:val="0"/>
          <w:w w:val="100"/>
          <w:position w:val="0"/>
        </w:rPr>
        <w:t>万名订阅听 众，已累计发布</w:t>
      </w:r>
      <w:r>
        <w:rPr>
          <w:rFonts w:ascii="Times New Roman" w:eastAsia="Times New Roman" w:hAnsi="Times New Roman" w:cs="Times New Roman"/>
          <w:color w:val="000000"/>
          <w:spacing w:val="0"/>
          <w:w w:val="100"/>
          <w:position w:val="0"/>
        </w:rPr>
        <w:t>2,000</w:t>
      </w:r>
      <w:r>
        <w:rPr>
          <w:color w:val="000000"/>
          <w:spacing w:val="0"/>
          <w:w w:val="100"/>
          <w:position w:val="0"/>
        </w:rPr>
        <w:t>多期节目，累计收听量超过</w:t>
      </w:r>
      <w:r>
        <w:rPr>
          <w:rFonts w:ascii="Times New Roman" w:eastAsia="Times New Roman" w:hAnsi="Times New Roman" w:cs="Times New Roman"/>
          <w:color w:val="000000"/>
          <w:spacing w:val="0"/>
          <w:w w:val="100"/>
          <w:position w:val="0"/>
        </w:rPr>
        <w:t>2.3</w:t>
      </w:r>
      <w:r>
        <w:rPr>
          <w:color w:val="000000"/>
          <w:spacing w:val="0"/>
          <w:w w:val="100"/>
          <w:position w:val="0"/>
        </w:rPr>
        <w:t>亿人次。公司邀请一线临床专家参与制作了科普访谈视频节目《非要你 健康》，截至报告期末，累积收看量超过</w:t>
      </w:r>
      <w:r>
        <w:rPr>
          <w:rFonts w:ascii="Times New Roman" w:eastAsia="Times New Roman" w:hAnsi="Times New Roman" w:cs="Times New Roman"/>
          <w:color w:val="000000"/>
          <w:spacing w:val="0"/>
          <w:w w:val="100"/>
          <w:position w:val="0"/>
        </w:rPr>
        <w:t>4,800</w:t>
      </w:r>
      <w:r>
        <w:rPr>
          <w:color w:val="000000"/>
          <w:spacing w:val="0"/>
          <w:w w:val="100"/>
          <w:position w:val="0"/>
        </w:rPr>
        <w:t>万人次，获得一线临床医生及社会广泛认可。</w:t>
      </w:r>
    </w:p>
    <w:p>
      <w:pPr>
        <w:pStyle w:val="Style17"/>
        <w:keepNext w:val="0"/>
        <w:keepLines w:val="0"/>
        <w:widowControl w:val="0"/>
        <w:shd w:val="clear" w:color="auto" w:fill="auto"/>
        <w:bidi w:val="0"/>
        <w:spacing w:before="0" w:after="0"/>
        <w:ind w:left="0" w:right="0"/>
        <w:jc w:val="both"/>
      </w:pPr>
      <w:bookmarkStart w:id="117" w:name="bookmark117"/>
      <w:r>
        <w:rPr>
          <w:rFonts w:ascii="Times New Roman" w:eastAsia="Times New Roman" w:hAnsi="Times New Roman" w:cs="Times New Roman"/>
          <w:b/>
          <w:bCs/>
          <w:color w:val="000000"/>
          <w:spacing w:val="0"/>
          <w:w w:val="100"/>
          <w:position w:val="0"/>
        </w:rPr>
        <w:t>1</w:t>
      </w:r>
      <w:bookmarkEnd w:id="117"/>
      <w:r>
        <w:rPr>
          <w:rFonts w:ascii="Times New Roman" w:eastAsia="Times New Roman" w:hAnsi="Times New Roman" w:cs="Times New Roman"/>
          <w:b/>
          <w:bCs/>
          <w:color w:val="000000"/>
          <w:spacing w:val="0"/>
          <w:w w:val="100"/>
          <w:position w:val="0"/>
        </w:rPr>
        <w:t>2</w:t>
      </w:r>
      <w:r>
        <w:rPr>
          <w:b/>
          <w:bCs/>
          <w:color w:val="000000"/>
          <w:spacing w:val="0"/>
          <w:w w:val="100"/>
          <w:position w:val="0"/>
        </w:rPr>
        <w:t>、荣获市场多项荣誉，持续提升公司影响力</w:t>
      </w:r>
    </w:p>
    <w:p>
      <w:pPr>
        <w:pStyle w:val="Style17"/>
        <w:keepNext w:val="0"/>
        <w:keepLines w:val="0"/>
        <w:widowControl w:val="0"/>
        <w:shd w:val="clear" w:color="auto" w:fill="auto"/>
        <w:bidi w:val="0"/>
        <w:spacing w:before="0" w:after="360" w:line="313" w:lineRule="exact"/>
        <w:ind w:left="0" w:right="0"/>
        <w:jc w:val="both"/>
      </w:pPr>
      <w:r>
        <w:rPr>
          <w:color w:val="000000"/>
          <w:spacing w:val="0"/>
          <w:w w:val="100"/>
          <w:position w:val="0"/>
        </w:rPr>
        <w:t>公司坚持规范治理与运作，恪守高质量发展的理念，努力践行并承担社会责任，在科技创新、企业经营管理、行业发 展、社会公益、抗击新冠疫情、资本市场等领域荣获多个奖项。报告期内，公司获得了金质量</w:t>
      </w:r>
      <w:r>
        <w:rPr>
          <w:rFonts w:ascii="Times New Roman" w:eastAsia="Times New Roman" w:hAnsi="Times New Roman" w:cs="Times New Roman"/>
          <w:color w:val="000000"/>
          <w:spacing w:val="0"/>
          <w:w w:val="100"/>
          <w:position w:val="0"/>
        </w:rPr>
        <w:t>•</w:t>
      </w:r>
      <w:r>
        <w:rPr>
          <w:color w:val="000000"/>
          <w:spacing w:val="0"/>
          <w:w w:val="100"/>
          <w:position w:val="0"/>
        </w:rPr>
        <w:t>科技创新奖、</w:t>
      </w:r>
      <w:r>
        <w:rPr>
          <w:rFonts w:ascii="Times New Roman" w:eastAsia="Times New Roman" w:hAnsi="Times New Roman" w:cs="Times New Roman"/>
          <w:color w:val="000000"/>
          <w:spacing w:val="0"/>
          <w:w w:val="100"/>
          <w:position w:val="0"/>
        </w:rPr>
        <w:t>2019-2021</w:t>
      </w:r>
      <w:r>
        <w:rPr>
          <w:color w:val="000000"/>
          <w:spacing w:val="0"/>
          <w:w w:val="100"/>
          <w:position w:val="0"/>
        </w:rPr>
        <w:t>中 国卓越管理公司、</w:t>
      </w:r>
      <w:r>
        <w:rPr>
          <w:rFonts w:ascii="Times New Roman" w:eastAsia="Times New Roman" w:hAnsi="Times New Roman" w:cs="Times New Roman"/>
          <w:color w:val="000000"/>
          <w:spacing w:val="0"/>
          <w:w w:val="100"/>
          <w:position w:val="0"/>
        </w:rPr>
        <w:t>“</w:t>
      </w:r>
      <w:r>
        <w:rPr>
          <w:color w:val="000000"/>
          <w:spacing w:val="0"/>
          <w:w w:val="100"/>
          <w:position w:val="0"/>
        </w:rPr>
        <w:t>阳光</w:t>
      </w:r>
      <w:r>
        <w:rPr>
          <w:rFonts w:ascii="Times New Roman" w:eastAsia="Times New Roman" w:hAnsi="Times New Roman" w:cs="Times New Roman"/>
          <w:color w:val="000000"/>
          <w:spacing w:val="0"/>
          <w:w w:val="100"/>
          <w:position w:val="0"/>
        </w:rPr>
        <w:t>”</w:t>
      </w:r>
      <w:r>
        <w:rPr>
          <w:color w:val="000000"/>
          <w:spacing w:val="0"/>
          <w:w w:val="100"/>
          <w:position w:val="0"/>
        </w:rPr>
        <w:t>年度行业标杆企业、</w:t>
      </w:r>
      <w:r>
        <w:rPr>
          <w:rFonts w:ascii="Times New Roman" w:eastAsia="Times New Roman" w:hAnsi="Times New Roman" w:cs="Times New Roman"/>
          <w:color w:val="000000"/>
          <w:spacing w:val="0"/>
          <w:w w:val="100"/>
          <w:position w:val="0"/>
        </w:rPr>
        <w:t>2021</w:t>
      </w:r>
      <w:r>
        <w:rPr>
          <w:color w:val="000000"/>
          <w:spacing w:val="0"/>
          <w:w w:val="100"/>
          <w:position w:val="0"/>
        </w:rPr>
        <w:t>年长青奖</w:t>
      </w:r>
      <w:r>
        <w:rPr>
          <w:rFonts w:ascii="Times New Roman" w:eastAsia="Times New Roman" w:hAnsi="Times New Roman" w:cs="Times New Roman"/>
          <w:color w:val="000000"/>
          <w:spacing w:val="0"/>
          <w:w w:val="100"/>
          <w:position w:val="0"/>
        </w:rPr>
        <w:t>“</w:t>
      </w:r>
      <w:r>
        <w:rPr>
          <w:color w:val="000000"/>
          <w:spacing w:val="0"/>
          <w:w w:val="100"/>
          <w:position w:val="0"/>
        </w:rPr>
        <w:t>可持续发展创新奖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年度中国企业责任案例奖、社会责 任贡献企业奖、</w:t>
      </w:r>
      <w:r>
        <w:rPr>
          <w:rFonts w:ascii="Times New Roman" w:eastAsia="Times New Roman" w:hAnsi="Times New Roman" w:cs="Times New Roman"/>
          <w:color w:val="000000"/>
          <w:spacing w:val="0"/>
          <w:w w:val="100"/>
          <w:position w:val="0"/>
        </w:rPr>
        <w:t>2020-2021</w:t>
      </w:r>
      <w:r>
        <w:rPr>
          <w:color w:val="000000"/>
          <w:spacing w:val="0"/>
          <w:w w:val="100"/>
          <w:position w:val="0"/>
        </w:rPr>
        <w:t>年度卓越资本价值企业等多项社会荣誉；公司子公司天津华大医学检验所有限公司</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 室、武汉华大医学检验所有限公司交付班组分别荣获了</w:t>
      </w:r>
      <w:r>
        <w:rPr>
          <w:rFonts w:ascii="Times New Roman" w:eastAsia="Times New Roman" w:hAnsi="Times New Roman" w:cs="Times New Roman"/>
          <w:color w:val="000000"/>
          <w:spacing w:val="0"/>
          <w:w w:val="100"/>
          <w:position w:val="0"/>
        </w:rPr>
        <w:t>2021</w:t>
      </w:r>
      <w:r>
        <w:rPr>
          <w:color w:val="000000"/>
          <w:spacing w:val="0"/>
          <w:w w:val="100"/>
          <w:position w:val="0"/>
        </w:rPr>
        <w:t>年全国工人先锋号、湖北省工人先锋号。此外，公司利用自身 技术实力，第一时间驰援全球多个国家的疫情防控，获得了公众的广泛认可，</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实验室（气膜版）继</w:t>
      </w:r>
      <w:r>
        <w:rPr>
          <w:rFonts w:ascii="Times New Roman" w:eastAsia="Times New Roman" w:hAnsi="Times New Roman" w:cs="Times New Roman"/>
          <w:color w:val="000000"/>
          <w:spacing w:val="0"/>
          <w:w w:val="100"/>
          <w:position w:val="0"/>
        </w:rPr>
        <w:t>2020</w:t>
      </w:r>
      <w:r>
        <w:rPr>
          <w:color w:val="000000"/>
          <w:spacing w:val="0"/>
          <w:w w:val="100"/>
          <w:position w:val="0"/>
        </w:rPr>
        <w:t>年荣获多项 设计大奖后，于报告期内又获得了最佳设计红点奖、</w:t>
      </w:r>
      <w:r>
        <w:rPr>
          <w:rFonts w:ascii="Times New Roman" w:eastAsia="Times New Roman" w:hAnsi="Times New Roman" w:cs="Times New Roman"/>
          <w:color w:val="000000"/>
          <w:spacing w:val="0"/>
          <w:w w:val="100"/>
          <w:position w:val="0"/>
        </w:rPr>
        <w:t>IAI</w:t>
      </w:r>
      <w:r>
        <w:rPr>
          <w:color w:val="000000"/>
          <w:spacing w:val="0"/>
          <w:w w:val="100"/>
          <w:position w:val="0"/>
        </w:rPr>
        <w:t>建筑概念设计金奖、上海设计</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IF</w:t>
      </w:r>
      <w:r>
        <w:rPr>
          <w:color w:val="000000"/>
          <w:spacing w:val="0"/>
          <w:w w:val="100"/>
          <w:position w:val="0"/>
        </w:rPr>
        <w:t>设计奖等多项荣誉，有效 提升了公司的美誉度和国际品牌影响力。</w:t>
      </w:r>
    </w:p>
    <w:p>
      <w:pPr>
        <w:pStyle w:val="Style24"/>
        <w:keepNext/>
        <w:keepLines/>
        <w:widowControl w:val="0"/>
        <w:shd w:val="clear" w:color="auto" w:fill="auto"/>
        <w:bidi w:val="0"/>
        <w:spacing w:before="0" w:after="36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sz w:val="24"/>
          <w:szCs w:val="24"/>
        </w:rPr>
        <w:t>三</w:t>
      </w:r>
      <w:bookmarkEnd w:id="120"/>
      <w:r>
        <w:rPr>
          <w:color w:val="000000"/>
          <w:spacing w:val="0"/>
          <w:w w:val="100"/>
          <w:position w:val="0"/>
          <w:sz w:val="24"/>
          <w:szCs w:val="24"/>
        </w:rPr>
        <w:t>、核心竞争力分析</w:t>
      </w:r>
      <w:bookmarkEnd w:id="118"/>
      <w:bookmarkEnd w:id="119"/>
      <w:bookmarkEnd w:id="121"/>
    </w:p>
    <w:p>
      <w:pPr>
        <w:pStyle w:val="Style17"/>
        <w:keepNext w:val="0"/>
        <w:keepLines w:val="0"/>
        <w:widowControl w:val="0"/>
        <w:shd w:val="clear" w:color="auto" w:fill="auto"/>
        <w:bidi w:val="0"/>
        <w:spacing w:before="0" w:after="180" w:line="240" w:lineRule="auto"/>
        <w:ind w:left="0" w:right="0"/>
        <w:jc w:val="left"/>
      </w:pPr>
      <w:bookmarkStart w:id="122" w:name="bookmark122"/>
      <w:r>
        <w:rPr>
          <w:rFonts w:ascii="Times New Roman" w:eastAsia="Times New Roman" w:hAnsi="Times New Roman" w:cs="Times New Roman"/>
          <w:b/>
          <w:bCs/>
          <w:color w:val="000000"/>
          <w:spacing w:val="0"/>
          <w:w w:val="100"/>
          <w:position w:val="0"/>
        </w:rPr>
        <w:t>1</w:t>
      </w:r>
      <w:bookmarkEnd w:id="122"/>
      <w:r>
        <w:rPr>
          <w:b/>
          <w:bCs/>
          <w:color w:val="000000"/>
          <w:spacing w:val="0"/>
          <w:w w:val="100"/>
          <w:position w:val="0"/>
        </w:rPr>
        <w:t>、严要求铸就资质体系，高质量引领行业标准</w:t>
      </w:r>
    </w:p>
    <w:p>
      <w:pPr>
        <w:pStyle w:val="Style17"/>
        <w:keepNext w:val="0"/>
        <w:keepLines w:val="0"/>
        <w:widowControl w:val="0"/>
        <w:shd w:val="clear" w:color="auto" w:fill="auto"/>
        <w:bidi w:val="0"/>
        <w:spacing w:before="0" w:after="120" w:line="313" w:lineRule="exact"/>
        <w:ind w:left="0" w:right="0"/>
        <w:jc w:val="both"/>
      </w:pPr>
      <w:r>
        <w:rPr>
          <w:color w:val="000000"/>
          <w:spacing w:val="0"/>
          <w:w w:val="100"/>
          <w:position w:val="0"/>
        </w:rPr>
        <w:t>公司具有全面的资质优势。截至报告期末，公司共有</w:t>
      </w:r>
      <w:r>
        <w:rPr>
          <w:rFonts w:ascii="Times New Roman" w:eastAsia="Times New Roman" w:hAnsi="Times New Roman" w:cs="Times New Roman"/>
          <w:color w:val="000000"/>
          <w:spacing w:val="0"/>
          <w:w w:val="100"/>
          <w:position w:val="0"/>
        </w:rPr>
        <w:t>21</w:t>
      </w:r>
      <w:r>
        <w:rPr>
          <w:color w:val="000000"/>
          <w:spacing w:val="0"/>
          <w:w w:val="100"/>
          <w:position w:val="0"/>
        </w:rPr>
        <w:t>家单位拥有医疗机构执业许可证书，</w:t>
      </w:r>
      <w:r>
        <w:rPr>
          <w:rFonts w:ascii="Times New Roman" w:eastAsia="Times New Roman" w:hAnsi="Times New Roman" w:cs="Times New Roman"/>
          <w:color w:val="000000"/>
          <w:spacing w:val="0"/>
          <w:w w:val="100"/>
          <w:position w:val="0"/>
        </w:rPr>
        <w:t>17</w:t>
      </w:r>
      <w:r>
        <w:rPr>
          <w:color w:val="000000"/>
          <w:spacing w:val="0"/>
          <w:w w:val="100"/>
          <w:position w:val="0"/>
        </w:rPr>
        <w:t>家医学检验实验室通过临 床基因扩增检验实验室技术验收，单基因遗传病基因突变检测、胎儿染色体非整倍体无创产前基因检测、低深度全基因组测 序（</w:t>
      </w:r>
      <w:r>
        <w:rPr>
          <w:rFonts w:ascii="Times New Roman" w:eastAsia="Times New Roman" w:hAnsi="Times New Roman" w:cs="Times New Roman"/>
          <w:color w:val="000000"/>
          <w:spacing w:val="0"/>
          <w:w w:val="100"/>
          <w:position w:val="0"/>
        </w:rPr>
        <w:t>CNV-seq</w:t>
      </w:r>
      <w:r>
        <w:rPr>
          <w:color w:val="000000"/>
          <w:spacing w:val="0"/>
          <w:w w:val="100"/>
          <w:position w:val="0"/>
        </w:rPr>
        <w:t>）</w:t>
      </w:r>
      <w:r>
        <w:rPr>
          <w:color w:val="000000"/>
          <w:spacing w:val="0"/>
          <w:w w:val="100"/>
          <w:position w:val="0"/>
        </w:rPr>
        <w:t>检测、人乳头病毒</w:t>
      </w: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color w:val="000000"/>
          <w:spacing w:val="0"/>
          <w:w w:val="100"/>
          <w:position w:val="0"/>
        </w:rPr>
        <w:t>基因分型检测以及家族性乳腺癌基因突变检测等检验项目完成临床基因扩增检验 技术备案；另有</w:t>
      </w:r>
      <w:r>
        <w:rPr>
          <w:rFonts w:ascii="Times New Roman" w:eastAsia="Times New Roman" w:hAnsi="Times New Roman" w:cs="Times New Roman"/>
          <w:color w:val="000000"/>
          <w:spacing w:val="0"/>
          <w:w w:val="100"/>
          <w:position w:val="0"/>
        </w:rPr>
        <w:t>3</w:t>
      </w:r>
      <w:r>
        <w:rPr>
          <w:color w:val="000000"/>
          <w:spacing w:val="0"/>
          <w:w w:val="100"/>
          <w:position w:val="0"/>
        </w:rPr>
        <w:t>家医学检验实验室获得了首批遗传病诊断专业、植入前胚胎遗传学诊断专业、肿瘤诊断与治疗项目的高通 量基因测序技术临床应用试点单位资质；香港实验室拥有</w:t>
      </w:r>
      <w:r>
        <w:rPr>
          <w:rFonts w:ascii="Times New Roman" w:eastAsia="Times New Roman" w:hAnsi="Times New Roman" w:cs="Times New Roman"/>
          <w:color w:val="000000"/>
          <w:spacing w:val="0"/>
          <w:w w:val="100"/>
          <w:position w:val="0"/>
        </w:rPr>
        <w:t xml:space="preserve">CLIA </w:t>
      </w:r>
      <w:r>
        <w:rPr>
          <w:color w:val="000000"/>
          <w:spacing w:val="0"/>
          <w:w w:val="100"/>
          <w:position w:val="0"/>
        </w:rPr>
        <w:t>（美国临床实验室改进修正案）资质；公司共有</w:t>
      </w:r>
      <w:r>
        <w:rPr>
          <w:rFonts w:ascii="Times New Roman" w:eastAsia="Times New Roman" w:hAnsi="Times New Roman" w:cs="Times New Roman"/>
          <w:color w:val="000000"/>
          <w:spacing w:val="0"/>
          <w:w w:val="100"/>
          <w:position w:val="0"/>
        </w:rPr>
        <w:t>199</w:t>
      </w:r>
      <w:r>
        <w:rPr>
          <w:color w:val="000000"/>
          <w:spacing w:val="0"/>
          <w:w w:val="100"/>
          <w:position w:val="0"/>
        </w:rPr>
        <w:t>项产品 获得国家药监局批准的医疗器械注册证和备案凭证，</w:t>
      </w:r>
      <w:r>
        <w:rPr>
          <w:rFonts w:ascii="Times New Roman" w:eastAsia="Times New Roman" w:hAnsi="Times New Roman" w:cs="Times New Roman"/>
          <w:color w:val="000000"/>
          <w:spacing w:val="0"/>
          <w:w w:val="100"/>
          <w:position w:val="0"/>
        </w:rPr>
        <w:t>113</w:t>
      </w:r>
      <w:r>
        <w:rPr>
          <w:color w:val="000000"/>
          <w:spacing w:val="0"/>
          <w:w w:val="100"/>
          <w:position w:val="0"/>
        </w:rPr>
        <w:t>项产品获得境外医疗器械资质，其中</w:t>
      </w:r>
      <w:r>
        <w:rPr>
          <w:rFonts w:ascii="Times New Roman" w:eastAsia="Times New Roman" w:hAnsi="Times New Roman" w:cs="Times New Roman"/>
          <w:color w:val="000000"/>
          <w:spacing w:val="0"/>
          <w:w w:val="100"/>
          <w:position w:val="0"/>
        </w:rPr>
        <w:t>71</w:t>
      </w:r>
      <w:r>
        <w:rPr>
          <w:color w:val="000000"/>
          <w:spacing w:val="0"/>
          <w:w w:val="100"/>
          <w:position w:val="0"/>
        </w:rPr>
        <w:t>项产品获得欧盟</w:t>
      </w:r>
      <w:r>
        <w:rPr>
          <w:rFonts w:ascii="Times New Roman" w:eastAsia="Times New Roman" w:hAnsi="Times New Roman" w:cs="Times New Roman"/>
          <w:color w:val="000000"/>
          <w:spacing w:val="0"/>
          <w:w w:val="100"/>
          <w:position w:val="0"/>
        </w:rPr>
        <w:t>CEIVD</w:t>
      </w:r>
      <w:r>
        <w:rPr>
          <w:color w:val="000000"/>
          <w:spacing w:val="0"/>
          <w:w w:val="100"/>
          <w:position w:val="0"/>
        </w:rPr>
        <w:t>资质。 截至报告期末，公司研发的新型冠状病毒检测试剂盒已获</w:t>
      </w:r>
      <w:r>
        <w:rPr>
          <w:rFonts w:ascii="Times New Roman" w:eastAsia="Times New Roman" w:hAnsi="Times New Roman" w:cs="Times New Roman"/>
          <w:color w:val="000000"/>
          <w:spacing w:val="0"/>
          <w:w w:val="100"/>
          <w:position w:val="0"/>
        </w:rPr>
        <w:t>40</w:t>
      </w:r>
      <w:r>
        <w:rPr>
          <w:color w:val="000000"/>
          <w:spacing w:val="0"/>
          <w:w w:val="100"/>
          <w:position w:val="0"/>
        </w:rPr>
        <w:t>项境外医疗器械资质，包含欧盟、美国、日本、澳大利亚、泰国、 沙特阿拉伯、加拿大和巴西等</w:t>
      </w:r>
      <w:r>
        <w:rPr>
          <w:rFonts w:ascii="Times New Roman" w:eastAsia="Times New Roman" w:hAnsi="Times New Roman" w:cs="Times New Roman"/>
          <w:color w:val="000000"/>
          <w:spacing w:val="0"/>
          <w:w w:val="100"/>
          <w:position w:val="0"/>
        </w:rPr>
        <w:t>15</w:t>
      </w:r>
      <w:r>
        <w:rPr>
          <w:color w:val="000000"/>
          <w:spacing w:val="0"/>
          <w:w w:val="100"/>
          <w:position w:val="0"/>
        </w:rPr>
        <w:t>个国家和地区，助力全球疫情防控。无创产前基因检测产品已获欧盟、马来西亚、泰国、沙 特阿拉伯、印度等国家和地区</w:t>
      </w:r>
      <w:r>
        <w:rPr>
          <w:rFonts w:ascii="Times New Roman" w:eastAsia="Times New Roman" w:hAnsi="Times New Roman" w:cs="Times New Roman"/>
          <w:color w:val="000000"/>
          <w:spacing w:val="0"/>
          <w:w w:val="100"/>
          <w:position w:val="0"/>
        </w:rPr>
        <w:t>24</w:t>
      </w:r>
      <w:r>
        <w:rPr>
          <w:color w:val="000000"/>
          <w:spacing w:val="0"/>
          <w:w w:val="100"/>
          <w:position w:val="0"/>
        </w:rPr>
        <w:t>项境外医疗器械资质，助力产品全球推广。</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公司格外注重质量管理，视质量如命脉，坚持</w:t>
      </w:r>
      <w:r>
        <w:rPr>
          <w:rFonts w:ascii="Times New Roman" w:eastAsia="Times New Roman" w:hAnsi="Times New Roman" w:cs="Times New Roman"/>
          <w:color w:val="000000"/>
          <w:spacing w:val="0"/>
          <w:w w:val="100"/>
          <w:position w:val="0"/>
        </w:rPr>
        <w:t>“</w:t>
      </w:r>
      <w:r>
        <w:rPr>
          <w:color w:val="000000"/>
          <w:spacing w:val="0"/>
          <w:w w:val="100"/>
          <w:position w:val="0"/>
        </w:rPr>
        <w:t>引领行业需先引领质量</w:t>
      </w:r>
      <w:r>
        <w:rPr>
          <w:rFonts w:ascii="Times New Roman" w:eastAsia="Times New Roman" w:hAnsi="Times New Roman" w:cs="Times New Roman"/>
          <w:color w:val="000000"/>
          <w:spacing w:val="0"/>
          <w:w w:val="100"/>
          <w:position w:val="0"/>
        </w:rPr>
        <w:t>”</w:t>
      </w:r>
      <w:r>
        <w:rPr>
          <w:color w:val="000000"/>
          <w:spacing w:val="0"/>
          <w:w w:val="100"/>
          <w:position w:val="0"/>
        </w:rPr>
        <w:t>，确立了</w:t>
      </w:r>
      <w:r>
        <w:rPr>
          <w:rFonts w:ascii="Times New Roman" w:eastAsia="Times New Roman" w:hAnsi="Times New Roman" w:cs="Times New Roman"/>
          <w:color w:val="000000"/>
          <w:spacing w:val="0"/>
          <w:w w:val="100"/>
          <w:position w:val="0"/>
        </w:rPr>
        <w:t>“</w:t>
      </w:r>
      <w:r>
        <w:rPr>
          <w:color w:val="000000"/>
          <w:spacing w:val="0"/>
          <w:w w:val="100"/>
          <w:position w:val="0"/>
        </w:rPr>
        <w:t>科学、技术、质量、标准、知识产权</w:t>
      </w:r>
      <w:r>
        <w:rPr>
          <w:rFonts w:ascii="Times New Roman" w:eastAsia="Times New Roman" w:hAnsi="Times New Roman" w:cs="Times New Roman"/>
          <w:color w:val="000000"/>
          <w:spacing w:val="0"/>
          <w:w w:val="100"/>
          <w:position w:val="0"/>
        </w:rPr>
        <w:t xml:space="preserve">” </w:t>
      </w:r>
      <w:r>
        <w:rPr>
          <w:color w:val="000000"/>
          <w:spacing w:val="0"/>
          <w:w w:val="100"/>
          <w:position w:val="0"/>
        </w:rPr>
        <w:t>五同步质量战略，严格恪守</w:t>
      </w:r>
      <w:r>
        <w:rPr>
          <w:rFonts w:ascii="Times New Roman" w:eastAsia="Times New Roman" w:hAnsi="Times New Roman" w:cs="Times New Roman"/>
          <w:color w:val="000000"/>
          <w:spacing w:val="0"/>
          <w:w w:val="100"/>
          <w:position w:val="0"/>
        </w:rPr>
        <w:t>“</w:t>
      </w:r>
      <w:r>
        <w:rPr>
          <w:color w:val="000000"/>
          <w:spacing w:val="0"/>
          <w:w w:val="100"/>
          <w:position w:val="0"/>
        </w:rPr>
        <w:t>公正、科学、严谨、准确、及时</w:t>
      </w:r>
      <w:r>
        <w:rPr>
          <w:rFonts w:ascii="Times New Roman" w:eastAsia="Times New Roman" w:hAnsi="Times New Roman" w:cs="Times New Roman"/>
          <w:color w:val="000000"/>
          <w:spacing w:val="0"/>
          <w:w w:val="100"/>
          <w:position w:val="0"/>
        </w:rPr>
        <w:t>”</w:t>
      </w:r>
      <w:r>
        <w:rPr>
          <w:color w:val="000000"/>
          <w:spacing w:val="0"/>
          <w:w w:val="100"/>
          <w:position w:val="0"/>
        </w:rPr>
        <w:t>的质量方针，曾多次荣获国内外质量奖项，质量管理成果获得 社会机构的多方认可。报告期内，公司作为主要参与方的火眼项目组获得第四届中国质量奖提名奖。公司通过了质量</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9001:2015</w:t>
      </w:r>
      <w:r>
        <w:rPr>
          <w:color w:val="000000"/>
          <w:spacing w:val="0"/>
          <w:w w:val="100"/>
          <w:position w:val="0"/>
        </w:rPr>
        <w:t>）、环境</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14001:2015</w:t>
      </w:r>
      <w:r>
        <w:rPr>
          <w:color w:val="000000"/>
          <w:spacing w:val="0"/>
          <w:w w:val="100"/>
          <w:position w:val="0"/>
        </w:rPr>
        <w:t>）、职业健康安全</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45001:2018</w:t>
      </w:r>
      <w:r>
        <w:rPr>
          <w:color w:val="000000"/>
          <w:spacing w:val="0"/>
          <w:w w:val="100"/>
          <w:position w:val="0"/>
        </w:rPr>
        <w:t>）、信息安全</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27001:2013</w:t>
      </w:r>
      <w:r>
        <w:rPr>
          <w:color w:val="000000"/>
          <w:spacing w:val="0"/>
          <w:w w:val="100"/>
          <w:position w:val="0"/>
        </w:rPr>
        <w:t>）、个人信息</w:t>
      </w:r>
      <w:r>
        <w:rPr>
          <w:color w:val="000000"/>
          <w:spacing w:val="0"/>
          <w:w w:val="100"/>
          <w:position w:val="0"/>
        </w:rPr>
        <w:t>（</w:t>
      </w:r>
      <w:r>
        <w:rPr>
          <w:rFonts w:ascii="Times New Roman" w:eastAsia="Times New Roman" w:hAnsi="Times New Roman" w:cs="Times New Roman"/>
          <w:color w:val="000000"/>
          <w:spacing w:val="0"/>
          <w:w w:val="100"/>
          <w:position w:val="0"/>
        </w:rPr>
        <w:t xml:space="preserve">BS </w:t>
      </w:r>
      <w:r>
        <w:rPr>
          <w:rFonts w:ascii="Times New Roman" w:eastAsia="Times New Roman" w:hAnsi="Times New Roman" w:cs="Times New Roman"/>
          <w:color w:val="000000"/>
          <w:spacing w:val="0"/>
          <w:w w:val="100"/>
          <w:position w:val="0"/>
        </w:rPr>
        <w:t>10012:2017</w:t>
      </w:r>
      <w:r>
        <w:rPr>
          <w:color w:val="000000"/>
          <w:spacing w:val="0"/>
          <w:w w:val="100"/>
          <w:position w:val="0"/>
        </w:rPr>
        <w:t>）和医疗器械质量管理体系认证</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13485:2016</w:t>
      </w:r>
      <w:r>
        <w:rPr>
          <w:color w:val="000000"/>
          <w:spacing w:val="0"/>
          <w:w w:val="100"/>
          <w:position w:val="0"/>
        </w:rPr>
        <w:t>）以及检测实验室认可</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17025:2017</w:t>
      </w:r>
      <w:r>
        <w:rPr>
          <w:color w:val="000000"/>
          <w:spacing w:val="0"/>
          <w:w w:val="100"/>
          <w:position w:val="0"/>
        </w:rPr>
        <w:t>）、医学实验室认 可</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15189:2012</w:t>
      </w:r>
      <w:r>
        <w:rPr>
          <w:color w:val="000000"/>
          <w:spacing w:val="0"/>
          <w:w w:val="100"/>
          <w:position w:val="0"/>
        </w:rPr>
        <w:t>），美国病理学家协会</w:t>
      </w:r>
      <w:r>
        <w:rPr>
          <w:rFonts w:ascii="Times New Roman" w:eastAsia="Times New Roman" w:hAnsi="Times New Roman" w:cs="Times New Roman"/>
          <w:color w:val="000000"/>
          <w:spacing w:val="0"/>
          <w:w w:val="100"/>
          <w:position w:val="0"/>
        </w:rPr>
        <w:t>CAP</w:t>
      </w:r>
      <w:r>
        <w:rPr>
          <w:color w:val="000000"/>
          <w:spacing w:val="0"/>
          <w:w w:val="100"/>
          <w:position w:val="0"/>
        </w:rPr>
        <w:t>认可和</w:t>
      </w:r>
      <w:r>
        <w:rPr>
          <w:rFonts w:ascii="Times New Roman" w:eastAsia="Times New Roman" w:hAnsi="Times New Roman" w:cs="Times New Roman"/>
          <w:color w:val="000000"/>
          <w:spacing w:val="0"/>
          <w:w w:val="100"/>
          <w:position w:val="0"/>
        </w:rPr>
        <w:t>CLIA</w:t>
      </w:r>
      <w:r>
        <w:rPr>
          <w:color w:val="000000"/>
          <w:spacing w:val="0"/>
          <w:w w:val="100"/>
          <w:position w:val="0"/>
        </w:rPr>
        <w:t>认证等多项专业实验室认可。公司的实验室信息管理系统按照</w:t>
      </w:r>
      <w:r>
        <w:rPr>
          <w:rFonts w:ascii="Times New Roman" w:eastAsia="Times New Roman" w:hAnsi="Times New Roman" w:cs="Times New Roman"/>
          <w:color w:val="000000"/>
          <w:spacing w:val="0"/>
          <w:w w:val="100"/>
          <w:position w:val="0"/>
        </w:rPr>
        <w:t xml:space="preserve">FDA </w:t>
      </w:r>
      <w:r>
        <w:rPr>
          <w:rFonts w:ascii="Times New Roman" w:eastAsia="Times New Roman" w:hAnsi="Times New Roman" w:cs="Times New Roman"/>
          <w:color w:val="000000"/>
          <w:spacing w:val="0"/>
          <w:w w:val="100"/>
          <w:position w:val="0"/>
        </w:rPr>
        <w:t xml:space="preserve">21 </w:t>
      </w:r>
      <w:r>
        <w:rPr>
          <w:rFonts w:ascii="Times New Roman" w:eastAsia="Times New Roman" w:hAnsi="Times New Roman" w:cs="Times New Roman"/>
          <w:color w:val="000000"/>
          <w:spacing w:val="0"/>
          <w:w w:val="100"/>
          <w:position w:val="0"/>
        </w:rPr>
        <w:t xml:space="preserve">CFR PART </w:t>
      </w:r>
      <w:r>
        <w:rPr>
          <w:rFonts w:ascii="Times New Roman" w:eastAsia="Times New Roman" w:hAnsi="Times New Roman" w:cs="Times New Roman"/>
          <w:color w:val="000000"/>
          <w:spacing w:val="0"/>
          <w:w w:val="100"/>
          <w:position w:val="0"/>
        </w:rPr>
        <w:t>11</w:t>
      </w:r>
      <w:r>
        <w:rPr>
          <w:color w:val="000000"/>
          <w:spacing w:val="0"/>
          <w:w w:val="100"/>
          <w:position w:val="0"/>
        </w:rPr>
        <w:t>法规要求通过了第三方验证，并通过信息安全等级保护三级测评。根据认可认证机构和行业相关公司官网 数据显示，华大基因是少数在基因测序领域覆盖生育、肿瘤、感染、多组学大数据业务，并同时具备</w:t>
      </w:r>
      <w:r>
        <w:rPr>
          <w:rFonts w:ascii="Times New Roman" w:eastAsia="Times New Roman" w:hAnsi="Times New Roman" w:cs="Times New Roman"/>
          <w:color w:val="000000"/>
          <w:spacing w:val="0"/>
          <w:w w:val="100"/>
          <w:position w:val="0"/>
        </w:rPr>
        <w:t>CAP</w:t>
      </w:r>
      <w:r>
        <w:rPr>
          <w:color w:val="000000"/>
          <w:spacing w:val="0"/>
          <w:w w:val="100"/>
          <w:position w:val="0"/>
        </w:rPr>
        <w:t>、</w:t>
      </w:r>
      <w:r>
        <w:rPr>
          <w:rFonts w:ascii="Times New Roman" w:eastAsia="Times New Roman" w:hAnsi="Times New Roman" w:cs="Times New Roman"/>
          <w:color w:val="000000"/>
          <w:spacing w:val="0"/>
          <w:w w:val="100"/>
          <w:position w:val="0"/>
        </w:rPr>
        <w:t>CLIA</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17025</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27001</w:t>
      </w:r>
      <w:r>
        <w:rPr>
          <w:color w:val="000000"/>
          <w:spacing w:val="0"/>
          <w:w w:val="100"/>
          <w:position w:val="0"/>
        </w:rPr>
        <w:t>、</w:t>
      </w:r>
      <w:r>
        <w:rPr>
          <w:rFonts w:ascii="Times New Roman" w:eastAsia="Times New Roman" w:hAnsi="Times New Roman" w:cs="Times New Roman"/>
          <w:color w:val="000000"/>
          <w:spacing w:val="0"/>
          <w:w w:val="100"/>
          <w:position w:val="0"/>
        </w:rPr>
        <w:t xml:space="preserve">BS </w:t>
      </w:r>
      <w:r>
        <w:rPr>
          <w:rFonts w:ascii="Times New Roman" w:eastAsia="Times New Roman" w:hAnsi="Times New Roman" w:cs="Times New Roman"/>
          <w:color w:val="000000"/>
          <w:spacing w:val="0"/>
          <w:w w:val="100"/>
          <w:position w:val="0"/>
        </w:rPr>
        <w:t>10012</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9001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14001 </w:t>
      </w:r>
      <w:r>
        <w:rPr>
          <w:color w:val="000000"/>
          <w:spacing w:val="0"/>
          <w:w w:val="100"/>
          <w:position w:val="0"/>
        </w:rPr>
        <w:t>和</w:t>
      </w:r>
      <w:r>
        <w:rPr>
          <w:rFonts w:ascii="Times New Roman" w:eastAsia="Times New Roman" w:hAnsi="Times New Roman" w:cs="Times New Roman"/>
          <w:color w:val="000000"/>
          <w:spacing w:val="0"/>
          <w:w w:val="100"/>
          <w:position w:val="0"/>
        </w:rPr>
        <w:t xml:space="preserve">ISO 45001 </w:t>
      </w:r>
      <w:r>
        <w:rPr>
          <w:color w:val="000000"/>
          <w:spacing w:val="0"/>
          <w:w w:val="100"/>
          <w:position w:val="0"/>
        </w:rPr>
        <w:t>等全面资质的机构，且为国内高 通量基因测序领域首家获得</w:t>
      </w:r>
      <w:r>
        <w:rPr>
          <w:rFonts w:ascii="Times New Roman" w:eastAsia="Times New Roman" w:hAnsi="Times New Roman" w:cs="Times New Roman"/>
          <w:color w:val="000000"/>
          <w:spacing w:val="0"/>
          <w:w w:val="100"/>
          <w:position w:val="0"/>
        </w:rPr>
        <w:t>CAP</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w:t>
      </w:r>
      <w:r>
        <w:rPr>
          <w:color w:val="000000"/>
          <w:spacing w:val="0"/>
          <w:w w:val="100"/>
          <w:position w:val="0"/>
        </w:rPr>
        <w:t>、</w:t>
      </w:r>
      <w:r>
        <w:rPr>
          <w:rFonts w:ascii="Times New Roman" w:eastAsia="Times New Roman" w:hAnsi="Times New Roman" w:cs="Times New Roman"/>
          <w:color w:val="000000"/>
          <w:spacing w:val="0"/>
          <w:w w:val="100"/>
          <w:position w:val="0"/>
        </w:rPr>
        <w:t xml:space="preserve">ISO/IEC </w:t>
      </w:r>
      <w:r>
        <w:rPr>
          <w:rFonts w:ascii="Times New Roman" w:eastAsia="Times New Roman" w:hAnsi="Times New Roman" w:cs="Times New Roman"/>
          <w:color w:val="000000"/>
          <w:spacing w:val="0"/>
          <w:w w:val="100"/>
          <w:position w:val="0"/>
        </w:rPr>
        <w:t>17025</w:t>
      </w:r>
      <w:r>
        <w:rPr>
          <w:color w:val="000000"/>
          <w:spacing w:val="0"/>
          <w:w w:val="100"/>
          <w:position w:val="0"/>
        </w:rPr>
        <w:t>、</w:t>
      </w:r>
      <w:r>
        <w:rPr>
          <w:rFonts w:ascii="Times New Roman" w:eastAsia="Times New Roman" w:hAnsi="Times New Roman" w:cs="Times New Roman"/>
          <w:color w:val="000000"/>
          <w:spacing w:val="0"/>
          <w:w w:val="100"/>
          <w:position w:val="0"/>
        </w:rPr>
        <w:t>ISO/IEC 27001</w:t>
      </w:r>
      <w:r>
        <w:rPr>
          <w:color w:val="000000"/>
          <w:spacing w:val="0"/>
          <w:w w:val="100"/>
          <w:position w:val="0"/>
        </w:rPr>
        <w:t>和</w:t>
      </w:r>
      <w:r>
        <w:rPr>
          <w:rFonts w:ascii="Times New Roman" w:eastAsia="Times New Roman" w:hAnsi="Times New Roman" w:cs="Times New Roman"/>
          <w:color w:val="000000"/>
          <w:spacing w:val="0"/>
          <w:w w:val="100"/>
          <w:position w:val="0"/>
        </w:rPr>
        <w:t>BS 10012</w:t>
      </w:r>
      <w:r>
        <w:rPr>
          <w:color w:val="000000"/>
          <w:spacing w:val="0"/>
          <w:w w:val="100"/>
          <w:position w:val="0"/>
        </w:rPr>
        <w:t>资质的机构。</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此外，公司提出或参与研制出生缺陷防控、肿瘤精准诊疗、感染精准检测等领域各级标准，截至报告期末，公司提出或 参与各级标准研制合计</w:t>
      </w:r>
      <w:r>
        <w:rPr>
          <w:rFonts w:ascii="Times New Roman" w:eastAsia="Times New Roman" w:hAnsi="Times New Roman" w:cs="Times New Roman"/>
          <w:color w:val="000000"/>
          <w:spacing w:val="0"/>
          <w:w w:val="100"/>
          <w:position w:val="0"/>
        </w:rPr>
        <w:t>77</w:t>
      </w:r>
      <w:r>
        <w:rPr>
          <w:color w:val="000000"/>
          <w:spacing w:val="0"/>
          <w:w w:val="100"/>
          <w:position w:val="0"/>
        </w:rPr>
        <w:t>项，其中</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区域标准</w:t>
      </w:r>
      <w:r>
        <w:rPr>
          <w:rFonts w:ascii="Times New Roman" w:eastAsia="Times New Roman" w:hAnsi="Times New Roman" w:cs="Times New Roman"/>
          <w:color w:val="000000"/>
          <w:spacing w:val="0"/>
          <w:w w:val="100"/>
          <w:position w:val="0"/>
        </w:rPr>
        <w:t>1</w:t>
      </w:r>
      <w:r>
        <w:rPr>
          <w:color w:val="000000"/>
          <w:spacing w:val="0"/>
          <w:w w:val="100"/>
          <w:position w:val="0"/>
        </w:rPr>
        <w:t>项，国家标准</w:t>
      </w:r>
      <w:r>
        <w:rPr>
          <w:rFonts w:ascii="Times New Roman" w:eastAsia="Times New Roman" w:hAnsi="Times New Roman" w:cs="Times New Roman"/>
          <w:color w:val="000000"/>
          <w:spacing w:val="0"/>
          <w:w w:val="100"/>
          <w:position w:val="0"/>
        </w:rPr>
        <w:t>8</w:t>
      </w:r>
      <w:r>
        <w:rPr>
          <w:color w:val="000000"/>
          <w:spacing w:val="0"/>
          <w:w w:val="100"/>
          <w:position w:val="0"/>
        </w:rPr>
        <w:t>项，团体标准</w:t>
      </w:r>
      <w:r>
        <w:rPr>
          <w:rFonts w:ascii="Times New Roman" w:eastAsia="Times New Roman" w:hAnsi="Times New Roman" w:cs="Times New Roman"/>
          <w:color w:val="000000"/>
          <w:spacing w:val="0"/>
          <w:w w:val="100"/>
          <w:position w:val="0"/>
        </w:rPr>
        <w:t>36</w:t>
      </w:r>
      <w:r>
        <w:rPr>
          <w:color w:val="000000"/>
          <w:spacing w:val="0"/>
          <w:w w:val="100"/>
          <w:position w:val="0"/>
        </w:rPr>
        <w:t>项。多项标准的出台，进一步规范了 基因检测技术的临床应用，为保障相关产品和服务质量提供了重要支撑。公司联合中国标准化研究院提案的国际标准</w:t>
      </w:r>
      <w:r>
        <w:rPr>
          <w:rFonts w:ascii="Times New Roman" w:eastAsia="Times New Roman" w:hAnsi="Times New Roman" w:cs="Times New Roman"/>
          <w:color w:val="000000"/>
          <w:spacing w:val="0"/>
          <w:w w:val="100"/>
          <w:position w:val="0"/>
        </w:rPr>
        <w:t xml:space="preserve">ISO/ PRF TS </w:t>
      </w:r>
      <w:r>
        <w:rPr>
          <w:rFonts w:ascii="Times New Roman" w:eastAsia="Times New Roman" w:hAnsi="Times New Roman" w:cs="Times New Roman"/>
          <w:color w:val="000000"/>
          <w:spacing w:val="0"/>
          <w:w w:val="100"/>
          <w:position w:val="0"/>
        </w:rPr>
        <w:t>5798</w:t>
      </w:r>
      <w:r>
        <w:rPr>
          <w:color w:val="000000"/>
          <w:spacing w:val="0"/>
          <w:w w:val="100"/>
          <w:position w:val="0"/>
        </w:rPr>
        <w:t>《核酸扩增法检测严重急性呼吸系统综合征冠状病毒</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SARS-CoV-</w:t>
      </w:r>
      <w:r>
        <w:rPr>
          <w:rFonts w:ascii="Times New Roman" w:eastAsia="Times New Roman" w:hAnsi="Times New Roman" w:cs="Times New Roman"/>
          <w:color w:val="000000"/>
          <w:spacing w:val="0"/>
          <w:w w:val="100"/>
          <w:position w:val="0"/>
        </w:rPr>
        <w:t>2</w:t>
      </w:r>
      <w:r>
        <w:rPr>
          <w:color w:val="000000"/>
          <w:spacing w:val="0"/>
          <w:w w:val="100"/>
          <w:position w:val="0"/>
        </w:rPr>
        <w:t>）质量规范》获得正式立项，并已进入批 准阶段。</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区域标准</w:t>
      </w:r>
      <w:r>
        <w:rPr>
          <w:rFonts w:ascii="Times New Roman" w:eastAsia="Times New Roman" w:hAnsi="Times New Roman" w:cs="Times New Roman"/>
          <w:color w:val="000000"/>
          <w:spacing w:val="0"/>
          <w:w w:val="100"/>
          <w:position w:val="0"/>
        </w:rPr>
        <w:t>LSEA0003-2021</w:t>
      </w:r>
      <w:r>
        <w:rPr>
          <w:color w:val="000000"/>
          <w:spacing w:val="0"/>
          <w:w w:val="100"/>
          <w:position w:val="0"/>
        </w:rPr>
        <w:t>《充气膜结构病毒检测实验室建设指南》帮助</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沿线国家快速实现大 规模核酸检测实验室建设，在各国疫情防控中发挥积极作用。《</w:t>
      </w:r>
      <w:r>
        <w:rPr>
          <w:rFonts w:ascii="Times New Roman" w:eastAsia="Times New Roman" w:hAnsi="Times New Roman" w:cs="Times New Roman"/>
          <w:color w:val="000000"/>
          <w:spacing w:val="0"/>
          <w:w w:val="100"/>
          <w:position w:val="0"/>
        </w:rPr>
        <w:t>YY_T 1785-2021</w:t>
      </w:r>
      <w:r>
        <w:rPr>
          <w:color w:val="000000"/>
          <w:spacing w:val="0"/>
          <w:w w:val="100"/>
          <w:position w:val="0"/>
        </w:rPr>
        <w:t>氨基酸和肉碱检测试剂盒</w:t>
      </w:r>
      <w:r>
        <w:rPr>
          <w:rFonts w:ascii="Times New Roman" w:eastAsia="Times New Roman" w:hAnsi="Times New Roman" w:cs="Times New Roman"/>
          <w:color w:val="000000"/>
          <w:spacing w:val="0"/>
          <w:w w:val="100"/>
          <w:position w:val="0"/>
        </w:rPr>
        <w:t>（</w:t>
      </w:r>
      <w:r>
        <w:rPr>
          <w:color w:val="000000"/>
          <w:spacing w:val="0"/>
          <w:w w:val="100"/>
          <w:position w:val="0"/>
        </w:rPr>
        <w:t>串联质谱法</w:t>
      </w:r>
      <w:r>
        <w:rPr>
          <w:rFonts w:ascii="Times New Roman" w:eastAsia="Times New Roman" w:hAnsi="Times New Roman" w:cs="Times New Roman"/>
          <w:color w:val="000000"/>
          <w:spacing w:val="0"/>
          <w:w w:val="100"/>
          <w:position w:val="0"/>
        </w:rPr>
        <w:t>）</w:t>
      </w:r>
      <w:r>
        <w:rPr>
          <w:color w:val="000000"/>
          <w:spacing w:val="0"/>
          <w:w w:val="100"/>
          <w:position w:val="0"/>
        </w:rPr>
        <w:t>》 行业标准的发布，标志着新生儿遗传代谢病检测行业的进一步规范。公司还参与多个国际、</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区域、粤港澳大湾区 和国内行业标准组织或产业联盟，并承担十余个重要席位，在</w:t>
      </w:r>
      <w:r>
        <w:rPr>
          <w:rFonts w:ascii="Times New Roman" w:eastAsia="Times New Roman" w:hAnsi="Times New Roman" w:cs="Times New Roman"/>
          <w:color w:val="000000"/>
          <w:spacing w:val="0"/>
          <w:w w:val="100"/>
          <w:position w:val="0"/>
        </w:rPr>
        <w:t xml:space="preserve">ISO </w:t>
      </w:r>
      <w:r>
        <w:rPr>
          <w:color w:val="000000"/>
          <w:spacing w:val="0"/>
          <w:w w:val="100"/>
          <w:position w:val="0"/>
        </w:rPr>
        <w:t>（国际标准化组织）、</w:t>
      </w:r>
      <w:r>
        <w:rPr>
          <w:rFonts w:ascii="Times New Roman" w:eastAsia="Times New Roman" w:hAnsi="Times New Roman" w:cs="Times New Roman"/>
          <w:color w:val="000000"/>
          <w:spacing w:val="0"/>
          <w:w w:val="100"/>
          <w:position w:val="0"/>
        </w:rPr>
        <w:t xml:space="preserve">CEN </w:t>
      </w:r>
      <w:r>
        <w:rPr>
          <w:color w:val="000000"/>
          <w:spacing w:val="0"/>
          <w:w w:val="100"/>
          <w:position w:val="0"/>
        </w:rPr>
        <w:t>（欧洲标准化委员会）、</w:t>
      </w:r>
      <w:r>
        <w:rPr>
          <w:rFonts w:ascii="Times New Roman" w:eastAsia="Times New Roman" w:hAnsi="Times New Roman" w:cs="Times New Roman"/>
          <w:color w:val="000000"/>
          <w:spacing w:val="0"/>
          <w:w w:val="100"/>
          <w:position w:val="0"/>
        </w:rPr>
        <w:t xml:space="preserve">DS </w:t>
      </w:r>
      <w:r>
        <w:rPr>
          <w:color w:val="000000"/>
          <w:spacing w:val="0"/>
          <w:w w:val="100"/>
          <w:position w:val="0"/>
        </w:rPr>
        <w:t>（丹 麦标准协会）、</w:t>
      </w:r>
      <w:r>
        <w:rPr>
          <w:rFonts w:ascii="Times New Roman" w:eastAsia="Times New Roman" w:hAnsi="Times New Roman" w:cs="Times New Roman"/>
          <w:color w:val="000000"/>
          <w:spacing w:val="0"/>
          <w:w w:val="100"/>
          <w:position w:val="0"/>
        </w:rPr>
        <w:t xml:space="preserve">LTIA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生命科技促进联盟）、</w:t>
      </w:r>
      <w:r>
        <w:rPr>
          <w:rFonts w:ascii="Times New Roman" w:eastAsia="Times New Roman" w:hAnsi="Times New Roman" w:cs="Times New Roman"/>
          <w:color w:val="000000"/>
          <w:spacing w:val="0"/>
          <w:w w:val="100"/>
          <w:position w:val="0"/>
        </w:rPr>
        <w:t xml:space="preserve">GBA </w:t>
      </w:r>
      <w:r>
        <w:rPr>
          <w:color w:val="000000"/>
          <w:spacing w:val="0"/>
          <w:w w:val="100"/>
          <w:position w:val="0"/>
        </w:rPr>
        <w:t>（粤港澳大湾区标准创新联盟）、</w:t>
      </w:r>
      <w:r>
        <w:rPr>
          <w:rFonts w:ascii="Times New Roman" w:eastAsia="Times New Roman" w:hAnsi="Times New Roman" w:cs="Times New Roman"/>
          <w:color w:val="000000"/>
          <w:spacing w:val="0"/>
          <w:w w:val="100"/>
          <w:position w:val="0"/>
        </w:rPr>
        <w:t xml:space="preserve">SZAS </w:t>
      </w:r>
      <w:r>
        <w:rPr>
          <w:color w:val="000000"/>
          <w:spacing w:val="0"/>
          <w:w w:val="100"/>
          <w:position w:val="0"/>
        </w:rPr>
        <w:t>（深圳市标准化协会） 等组织担任</w:t>
      </w:r>
      <w:r>
        <w:rPr>
          <w:rFonts w:ascii="Times New Roman" w:eastAsia="Times New Roman" w:hAnsi="Times New Roman" w:cs="Times New Roman"/>
          <w:color w:val="000000"/>
          <w:spacing w:val="0"/>
          <w:w w:val="100"/>
          <w:position w:val="0"/>
        </w:rPr>
        <w:t>ISO</w:t>
      </w:r>
      <w:r>
        <w:rPr>
          <w:color w:val="000000"/>
          <w:spacing w:val="0"/>
          <w:w w:val="100"/>
          <w:position w:val="0"/>
        </w:rPr>
        <w:t>工作组专家、理事、主席、协会会长等重要职务，为促进全球领先标准的研制和实施、护航产业发展作出重 要贡献。</w:t>
      </w:r>
    </w:p>
    <w:p>
      <w:pPr>
        <w:pStyle w:val="Style17"/>
        <w:keepNext w:val="0"/>
        <w:keepLines w:val="0"/>
        <w:widowControl w:val="0"/>
        <w:shd w:val="clear" w:color="auto" w:fill="auto"/>
        <w:bidi w:val="0"/>
        <w:spacing w:before="0" w:after="120" w:line="314" w:lineRule="exact"/>
        <w:ind w:left="0" w:right="0"/>
        <w:jc w:val="both"/>
      </w:pPr>
      <w:r>
        <w:rPr>
          <w:color w:val="000000"/>
          <w:spacing w:val="0"/>
          <w:w w:val="100"/>
          <w:position w:val="0"/>
        </w:rPr>
        <w:t>同时，公司与中国食品药品检定研究院等机构共同研制多项标准物质，包括</w:t>
      </w:r>
      <w:r>
        <w:rPr>
          <w:rFonts w:ascii="Times New Roman" w:eastAsia="Times New Roman" w:hAnsi="Times New Roman" w:cs="Times New Roman"/>
          <w:color w:val="000000"/>
          <w:spacing w:val="0"/>
          <w:w w:val="100"/>
          <w:position w:val="0"/>
        </w:rPr>
        <w:t>34</w:t>
      </w:r>
      <w:r>
        <w:rPr>
          <w:color w:val="000000"/>
          <w:spacing w:val="0"/>
          <w:w w:val="100"/>
          <w:position w:val="0"/>
        </w:rPr>
        <w:t>种细菌和真菌感染多重核酸检测试剂国家 参考品、血浆</w:t>
      </w:r>
      <w:r>
        <w:rPr>
          <w:rFonts w:ascii="Times New Roman" w:eastAsia="Times New Roman" w:hAnsi="Times New Roman" w:cs="Times New Roman"/>
          <w:color w:val="000000"/>
          <w:spacing w:val="0"/>
          <w:w w:val="100"/>
          <w:position w:val="0"/>
        </w:rPr>
        <w:t>ctDNA KRAS/NRAS/EGFR/BRAF/MET</w:t>
      </w:r>
      <w:r>
        <w:rPr>
          <w:color w:val="000000"/>
          <w:spacing w:val="0"/>
          <w:w w:val="100"/>
          <w:position w:val="0"/>
        </w:rPr>
        <w:t>基因突变检测国家参考品、第二代</w:t>
      </w:r>
      <w:r>
        <w:rPr>
          <w:rFonts w:ascii="Times New Roman" w:eastAsia="Times New Roman" w:hAnsi="Times New Roman" w:cs="Times New Roman"/>
          <w:color w:val="000000"/>
          <w:spacing w:val="0"/>
          <w:w w:val="100"/>
          <w:position w:val="0"/>
        </w:rPr>
        <w:t>EGFR/ALK/MET</w:t>
      </w:r>
      <w:r>
        <w:rPr>
          <w:color w:val="000000"/>
          <w:spacing w:val="0"/>
          <w:w w:val="100"/>
          <w:position w:val="0"/>
        </w:rPr>
        <w:t>基因突变检测国家 参考品、第二代</w:t>
      </w:r>
      <w:r>
        <w:rPr>
          <w:rFonts w:ascii="Times New Roman" w:eastAsia="Times New Roman" w:hAnsi="Times New Roman" w:cs="Times New Roman"/>
          <w:color w:val="000000"/>
          <w:spacing w:val="0"/>
          <w:w w:val="100"/>
          <w:position w:val="0"/>
        </w:rPr>
        <w:t>KRAS/NRAS/BRAF/PI3KCA</w:t>
      </w:r>
      <w:r>
        <w:rPr>
          <w:color w:val="000000"/>
          <w:spacing w:val="0"/>
          <w:w w:val="100"/>
          <w:position w:val="0"/>
        </w:rPr>
        <w:t>基因突变检测国家参考品、新生儿筛查氨基酸和肉碱干血片国家标准品</w:t>
      </w:r>
      <w:r>
        <w:rPr>
          <w:b/>
          <w:bCs/>
          <w:color w:val="000000"/>
          <w:spacing w:val="0"/>
          <w:w w:val="100"/>
          <w:position w:val="0"/>
        </w:rPr>
        <w:t>、</w:t>
      </w:r>
      <w:r>
        <w:rPr>
          <w:color w:val="000000"/>
          <w:spacing w:val="0"/>
          <w:w w:val="100"/>
          <w:position w:val="0"/>
        </w:rPr>
        <w:t>杜 氏肌营养不良基因突变检测国家参考品等，共促行业规范发展。</w:t>
      </w:r>
    </w:p>
    <w:p>
      <w:pPr>
        <w:pStyle w:val="Style17"/>
        <w:keepNext w:val="0"/>
        <w:keepLines w:val="0"/>
        <w:widowControl w:val="0"/>
        <w:shd w:val="clear" w:color="auto" w:fill="auto"/>
        <w:bidi w:val="0"/>
        <w:spacing w:before="0" w:after="120" w:line="312" w:lineRule="exact"/>
        <w:ind w:left="0" w:right="0"/>
        <w:jc w:val="both"/>
      </w:pPr>
      <w:bookmarkStart w:id="123" w:name="bookmark123"/>
      <w:r>
        <w:rPr>
          <w:rFonts w:ascii="Times New Roman" w:eastAsia="Times New Roman" w:hAnsi="Times New Roman" w:cs="Times New Roman"/>
          <w:b/>
          <w:bCs/>
          <w:color w:val="000000"/>
          <w:spacing w:val="0"/>
          <w:w w:val="100"/>
          <w:position w:val="0"/>
        </w:rPr>
        <w:t>2</w:t>
      </w:r>
      <w:bookmarkEnd w:id="123"/>
      <w:r>
        <w:rPr>
          <w:b/>
          <w:bCs/>
          <w:color w:val="000000"/>
          <w:spacing w:val="0"/>
          <w:w w:val="100"/>
          <w:position w:val="0"/>
        </w:rPr>
        <w:t>、实验室布局规模效应显著，大数据积累支撑精准医学</w:t>
      </w:r>
    </w:p>
    <w:p>
      <w:pPr>
        <w:pStyle w:val="Style17"/>
        <w:keepNext w:val="0"/>
        <w:keepLines w:val="0"/>
        <w:widowControl w:val="0"/>
        <w:shd w:val="clear" w:color="auto" w:fill="auto"/>
        <w:bidi w:val="0"/>
        <w:spacing w:before="0" w:after="120" w:line="312" w:lineRule="exact"/>
        <w:ind w:left="0" w:right="0"/>
        <w:jc w:val="both"/>
      </w:pPr>
      <w:bookmarkStart w:id="124" w:name="bookmark124"/>
      <w:r>
        <w:rPr>
          <w:color w:val="000000"/>
          <w:spacing w:val="0"/>
          <w:w w:val="100"/>
          <w:position w:val="0"/>
        </w:rPr>
        <w:t>（</w:t>
      </w:r>
      <w:bookmarkEnd w:id="124"/>
      <w:r>
        <w:rPr>
          <w:rFonts w:ascii="Times New Roman" w:eastAsia="Times New Roman" w:hAnsi="Times New Roman" w:cs="Times New Roman"/>
          <w:color w:val="000000"/>
          <w:spacing w:val="0"/>
          <w:w w:val="100"/>
          <w:position w:val="0"/>
        </w:rPr>
        <w:t>1</w:t>
      </w:r>
      <w:r>
        <w:rPr>
          <w:color w:val="000000"/>
          <w:spacing w:val="0"/>
          <w:w w:val="100"/>
          <w:position w:val="0"/>
        </w:rPr>
        <w:t>）基因检测实验室规模和布局优势</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公司具有实验室规模和布局优势。公司在高通量测序实验室、分子实验室等生物学实验室建设方面有着较为深厚实力和 丰富的经验。目前公司下属基因检测实验室共计</w:t>
      </w:r>
      <w:r>
        <w:rPr>
          <w:rFonts w:ascii="Times New Roman" w:eastAsia="Times New Roman" w:hAnsi="Times New Roman" w:cs="Times New Roman"/>
          <w:color w:val="000000"/>
          <w:spacing w:val="0"/>
          <w:w w:val="100"/>
          <w:position w:val="0"/>
        </w:rPr>
        <w:t>30</w:t>
      </w:r>
      <w:r>
        <w:rPr>
          <w:color w:val="000000"/>
          <w:spacing w:val="0"/>
          <w:w w:val="100"/>
          <w:position w:val="0"/>
        </w:rPr>
        <w:t>家，总面积约</w:t>
      </w:r>
      <w:r>
        <w:rPr>
          <w:rFonts w:ascii="Times New Roman" w:eastAsia="Times New Roman" w:hAnsi="Times New Roman" w:cs="Times New Roman"/>
          <w:color w:val="000000"/>
          <w:spacing w:val="0"/>
          <w:w w:val="100"/>
          <w:position w:val="0"/>
        </w:rPr>
        <w:t>4.8</w:t>
      </w:r>
      <w:r>
        <w:rPr>
          <w:color w:val="000000"/>
          <w:spacing w:val="0"/>
          <w:w w:val="100"/>
          <w:position w:val="0"/>
        </w:rPr>
        <w:t>万平方米，实验室已安全运行累计超过</w:t>
      </w:r>
      <w:r>
        <w:rPr>
          <w:rFonts w:ascii="Times New Roman" w:eastAsia="Times New Roman" w:hAnsi="Times New Roman" w:cs="Times New Roman"/>
          <w:color w:val="000000"/>
          <w:spacing w:val="0"/>
          <w:w w:val="100"/>
          <w:position w:val="0"/>
        </w:rPr>
        <w:t>210</w:t>
      </w:r>
      <w:r>
        <w:rPr>
          <w:color w:val="000000"/>
          <w:spacing w:val="0"/>
          <w:w w:val="100"/>
          <w:position w:val="0"/>
        </w:rPr>
        <w:t>万小时。公司 将基因测序技术应用于临床，其中基于高通量测序技术检测，以无创产前基因检测、</w:t>
      </w:r>
      <w:r>
        <w:rPr>
          <w:rFonts w:ascii="Times New Roman" w:eastAsia="Times New Roman" w:hAnsi="Times New Roman" w:cs="Times New Roman"/>
          <w:color w:val="000000"/>
          <w:spacing w:val="0"/>
          <w:w w:val="100"/>
          <w:position w:val="0"/>
        </w:rPr>
        <w:t>HPV</w:t>
      </w:r>
      <w:r>
        <w:rPr>
          <w:color w:val="000000"/>
          <w:spacing w:val="0"/>
          <w:w w:val="100"/>
          <w:position w:val="0"/>
        </w:rPr>
        <w:t>分型基因检测、肿瘤基因检测及遗 传病基因检测为典型实例，已成为目前世界上最大的医学基因检测中心之一，并获得广泛认可。</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目前，公司已经与全国上千家医疗机构开展合作，与各医疗机构开展合作的联合实验室超过</w:t>
      </w:r>
      <w:r>
        <w:rPr>
          <w:rFonts w:ascii="Times New Roman" w:eastAsia="Times New Roman" w:hAnsi="Times New Roman" w:cs="Times New Roman"/>
          <w:color w:val="000000"/>
          <w:spacing w:val="0"/>
          <w:w w:val="100"/>
          <w:position w:val="0"/>
        </w:rPr>
        <w:t>280</w:t>
      </w:r>
      <w:r>
        <w:rPr>
          <w:color w:val="000000"/>
          <w:spacing w:val="0"/>
          <w:w w:val="100"/>
          <w:position w:val="0"/>
        </w:rPr>
        <w:t xml:space="preserve">家，在开展联合实验室 合作过程中，为实现院内产学研快速转化，与复旦大学附属中山医院等多家标杆医院形成战略合作关系。公司拥有全球先进 </w:t>
      </w:r>
      <w:r>
        <w:rPr>
          <w:color w:val="000000"/>
          <w:spacing w:val="0"/>
          <w:w w:val="100"/>
          <w:position w:val="0"/>
        </w:rPr>
        <w:t>的基因组研究平台和生物信息分析能力，完全具备筹备大型基因组学实验平台能力，有能力建设基因组临床应用转化平台， 可提供基因组学高通量测序、临床医学大数据分析及报告解读能力的系统解决方案。</w:t>
      </w:r>
    </w:p>
    <w:p>
      <w:pPr>
        <w:pStyle w:val="Style17"/>
        <w:keepNext w:val="0"/>
        <w:keepLines w:val="0"/>
        <w:widowControl w:val="0"/>
        <w:shd w:val="clear" w:color="auto" w:fill="auto"/>
        <w:tabs>
          <w:tab w:pos="765" w:val="left"/>
        </w:tabs>
        <w:bidi w:val="0"/>
        <w:spacing w:before="0" w:after="120" w:line="312" w:lineRule="exact"/>
        <w:ind w:left="0" w:right="0"/>
        <w:jc w:val="both"/>
      </w:pPr>
      <w:bookmarkStart w:id="125" w:name="bookmark125"/>
      <w:r>
        <w:rPr>
          <w:color w:val="000000"/>
          <w:spacing w:val="0"/>
          <w:w w:val="100"/>
          <w:position w:val="0"/>
        </w:rPr>
        <w:t>（</w:t>
      </w:r>
      <w:bookmarkEnd w:id="125"/>
      <w:r>
        <w:rPr>
          <w:rFonts w:ascii="Times New Roman" w:eastAsia="Times New Roman" w:hAnsi="Times New Roman" w:cs="Times New Roman"/>
          <w:color w:val="000000"/>
          <w:spacing w:val="0"/>
          <w:w w:val="100"/>
          <w:position w:val="0"/>
        </w:rPr>
        <w:t>2</w:t>
      </w:r>
      <w:r>
        <w:rPr>
          <w:color w:val="000000"/>
          <w:spacing w:val="0"/>
          <w:w w:val="100"/>
          <w:position w:val="0"/>
        </w:rPr>
        <w:t>）</w:t>
        <w:tab/>
        <w:t>临床研究优势</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公司积累了丰富的临床研究案例。临床检测、疾病防治及生物制药的针对性和准确性需要大样本量数据的支撑，以便验 证技术的可靠性，确定最佳策略，同时充分考虑种群的差异。华大基因依托自身强大的科研和技术实力，开展涉及生育健康、 遗传病、血液病、病原微生物、肿瘤等领域的检测服务，为人类提供贯穿整个生命周期的健康服务。截至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公司已为超过</w:t>
      </w:r>
      <w:r>
        <w:rPr>
          <w:rFonts w:ascii="Times New Roman" w:eastAsia="Times New Roman" w:hAnsi="Times New Roman" w:cs="Times New Roman"/>
          <w:color w:val="000000"/>
          <w:spacing w:val="0"/>
          <w:w w:val="100"/>
          <w:position w:val="0"/>
        </w:rPr>
        <w:t>1042</w:t>
      </w:r>
      <w:r>
        <w:rPr>
          <w:color w:val="000000"/>
          <w:spacing w:val="0"/>
          <w:w w:val="100"/>
          <w:position w:val="0"/>
        </w:rPr>
        <w:t>万人提供无创产前基因检测，敏感性和特异性均大于</w:t>
      </w:r>
      <w:r>
        <w:rPr>
          <w:rFonts w:ascii="Times New Roman" w:eastAsia="Times New Roman" w:hAnsi="Times New Roman" w:cs="Times New Roman"/>
          <w:color w:val="000000"/>
          <w:spacing w:val="0"/>
          <w:w w:val="100"/>
          <w:position w:val="0"/>
        </w:rPr>
        <w:t xml:space="preserve">99% </w:t>
      </w:r>
      <w:r>
        <w:rPr>
          <w:color w:val="000000"/>
          <w:spacing w:val="0"/>
          <w:w w:val="100"/>
          <w:position w:val="0"/>
        </w:rPr>
        <w:t>；累计为超过</w:t>
      </w:r>
      <w:r>
        <w:rPr>
          <w:rFonts w:ascii="Times New Roman" w:eastAsia="Times New Roman" w:hAnsi="Times New Roman" w:cs="Times New Roman"/>
          <w:color w:val="000000"/>
          <w:spacing w:val="0"/>
          <w:w w:val="100"/>
          <w:position w:val="0"/>
        </w:rPr>
        <w:t>494</w:t>
      </w:r>
      <w:r>
        <w:rPr>
          <w:color w:val="000000"/>
          <w:spacing w:val="0"/>
          <w:w w:val="100"/>
          <w:position w:val="0"/>
        </w:rPr>
        <w:t xml:space="preserve">万人提供耳聋基因检测、超过 </w:t>
      </w:r>
      <w:r>
        <w:rPr>
          <w:rFonts w:ascii="Times New Roman" w:eastAsia="Times New Roman" w:hAnsi="Times New Roman" w:cs="Times New Roman"/>
          <w:color w:val="000000"/>
          <w:spacing w:val="0"/>
          <w:w w:val="100"/>
          <w:position w:val="0"/>
        </w:rPr>
        <w:t>102</w:t>
      </w:r>
      <w:r>
        <w:rPr>
          <w:color w:val="000000"/>
          <w:spacing w:val="0"/>
          <w:w w:val="100"/>
          <w:position w:val="0"/>
        </w:rPr>
        <w:t>万人提供地贫基因检测。公司肿瘤基因检测业务与国内超过</w:t>
      </w:r>
      <w:r>
        <w:rPr>
          <w:rFonts w:ascii="Times New Roman" w:eastAsia="Times New Roman" w:hAnsi="Times New Roman" w:cs="Times New Roman"/>
          <w:color w:val="000000"/>
          <w:spacing w:val="0"/>
          <w:w w:val="100"/>
          <w:position w:val="0"/>
        </w:rPr>
        <w:t>500</w:t>
      </w:r>
      <w:r>
        <w:rPr>
          <w:color w:val="000000"/>
          <w:spacing w:val="0"/>
          <w:w w:val="100"/>
          <w:position w:val="0"/>
        </w:rPr>
        <w:t>家三甲医院保持了长期的业务合作，成功测试运行了多家 肿瘤高通量测序实验室，累计为超过</w:t>
      </w:r>
      <w:r>
        <w:rPr>
          <w:rFonts w:ascii="Times New Roman" w:eastAsia="Times New Roman" w:hAnsi="Times New Roman" w:cs="Times New Roman"/>
          <w:color w:val="000000"/>
          <w:spacing w:val="0"/>
          <w:w w:val="100"/>
          <w:position w:val="0"/>
        </w:rPr>
        <w:t>15</w:t>
      </w:r>
      <w:r>
        <w:rPr>
          <w:color w:val="000000"/>
          <w:spacing w:val="0"/>
          <w:w w:val="100"/>
          <w:position w:val="0"/>
        </w:rPr>
        <w:t>万名受检者提供肿瘤相关基因检测，检测结果为临床诊疗提供了科学依据；累计完成 超过</w:t>
      </w:r>
      <w:r>
        <w:rPr>
          <w:rFonts w:ascii="Times New Roman" w:eastAsia="Times New Roman" w:hAnsi="Times New Roman" w:cs="Times New Roman"/>
          <w:color w:val="000000"/>
          <w:spacing w:val="0"/>
          <w:w w:val="100"/>
          <w:position w:val="0"/>
        </w:rPr>
        <w:t>26</w:t>
      </w:r>
      <w:r>
        <w:rPr>
          <w:color w:val="000000"/>
          <w:spacing w:val="0"/>
          <w:w w:val="100"/>
          <w:position w:val="0"/>
        </w:rPr>
        <w:t>万例无创肠癌基因检测；截至报告期末，宫颈癌筛查业务已覆盖全国</w:t>
      </w:r>
      <w:r>
        <w:rPr>
          <w:rFonts w:ascii="Times New Roman" w:eastAsia="Times New Roman" w:hAnsi="Times New Roman" w:cs="Times New Roman"/>
          <w:color w:val="000000"/>
          <w:spacing w:val="0"/>
          <w:w w:val="100"/>
          <w:position w:val="0"/>
        </w:rPr>
        <w:t>31</w:t>
      </w:r>
      <w:r>
        <w:rPr>
          <w:color w:val="000000"/>
          <w:spacing w:val="0"/>
          <w:w w:val="100"/>
          <w:position w:val="0"/>
        </w:rPr>
        <w:t>省</w:t>
      </w:r>
      <w:r>
        <w:rPr>
          <w:rFonts w:ascii="Times New Roman" w:eastAsia="Times New Roman" w:hAnsi="Times New Roman" w:cs="Times New Roman"/>
          <w:color w:val="000000"/>
          <w:spacing w:val="0"/>
          <w:w w:val="100"/>
          <w:position w:val="0"/>
        </w:rPr>
        <w:t>130</w:t>
      </w:r>
      <w:r>
        <w:rPr>
          <w:color w:val="000000"/>
          <w:spacing w:val="0"/>
          <w:w w:val="100"/>
          <w:position w:val="0"/>
        </w:rPr>
        <w:t>余个市或地区，累计为近</w:t>
      </w:r>
      <w:r>
        <w:rPr>
          <w:rFonts w:ascii="Times New Roman" w:eastAsia="Times New Roman" w:hAnsi="Times New Roman" w:cs="Times New Roman"/>
          <w:color w:val="000000"/>
          <w:spacing w:val="0"/>
          <w:w w:val="100"/>
          <w:position w:val="0"/>
        </w:rPr>
        <w:t>620</w:t>
      </w:r>
      <w:r>
        <w:rPr>
          <w:color w:val="000000"/>
          <w:spacing w:val="0"/>
          <w:w w:val="100"/>
          <w:position w:val="0"/>
        </w:rPr>
        <w:t xml:space="preserve">万人提供 </w:t>
      </w:r>
      <w:r>
        <w:rPr>
          <w:rFonts w:ascii="Times New Roman" w:eastAsia="Times New Roman" w:hAnsi="Times New Roman" w:cs="Times New Roman"/>
          <w:color w:val="000000"/>
          <w:spacing w:val="0"/>
          <w:w w:val="100"/>
          <w:position w:val="0"/>
        </w:rPr>
        <w:t>HPV</w:t>
      </w:r>
      <w:r>
        <w:rPr>
          <w:color w:val="000000"/>
          <w:spacing w:val="0"/>
          <w:w w:val="100"/>
          <w:position w:val="0"/>
        </w:rPr>
        <w:t>检测，通过及时进行临床确诊或干预治疗，有效预防了宫颈癌的发生；累计为近</w:t>
      </w:r>
      <w:r>
        <w:rPr>
          <w:rFonts w:ascii="Times New Roman" w:eastAsia="Times New Roman" w:hAnsi="Times New Roman" w:cs="Times New Roman"/>
          <w:color w:val="000000"/>
          <w:spacing w:val="0"/>
          <w:w w:val="100"/>
          <w:position w:val="0"/>
        </w:rPr>
        <w:t>20</w:t>
      </w:r>
      <w:r>
        <w:rPr>
          <w:color w:val="000000"/>
          <w:spacing w:val="0"/>
          <w:w w:val="100"/>
          <w:position w:val="0"/>
        </w:rPr>
        <w:t>万人提供</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病原微生物高通量 基因检测，检测样本类型主要集中在血浆、脑脊液、呼吸道样本三大类，且组织样本、胸腹水等其他样本类型也有了快速增 长，样本量的积累有助于在临床方面实现感染病原的快速精准诊断。</w:t>
      </w:r>
    </w:p>
    <w:p>
      <w:pPr>
        <w:pStyle w:val="Style17"/>
        <w:keepNext w:val="0"/>
        <w:keepLines w:val="0"/>
        <w:widowControl w:val="0"/>
        <w:shd w:val="clear" w:color="auto" w:fill="auto"/>
        <w:bidi w:val="0"/>
        <w:spacing w:before="0" w:after="120" w:line="283" w:lineRule="exact"/>
        <w:ind w:left="0" w:right="0"/>
        <w:jc w:val="both"/>
      </w:pPr>
      <w:r>
        <w:rPr>
          <w:color w:val="000000"/>
          <w:spacing w:val="0"/>
          <w:w w:val="100"/>
          <w:position w:val="0"/>
        </w:rPr>
        <w:t>大型科研项目及临床样本的积累，遗传病、肿瘤与病原数据库的支撑，多样化的临床研究案例，丰富的临床检测经验是 保障华大基因能够提供优质服务的基础。</w:t>
      </w:r>
    </w:p>
    <w:p>
      <w:pPr>
        <w:pStyle w:val="Style17"/>
        <w:keepNext w:val="0"/>
        <w:keepLines w:val="0"/>
        <w:widowControl w:val="0"/>
        <w:shd w:val="clear" w:color="auto" w:fill="auto"/>
        <w:tabs>
          <w:tab w:pos="765" w:val="left"/>
        </w:tabs>
        <w:bidi w:val="0"/>
        <w:spacing w:before="0" w:after="40" w:line="312" w:lineRule="exact"/>
        <w:ind w:left="0" w:right="0"/>
        <w:jc w:val="both"/>
      </w:pPr>
      <w:bookmarkStart w:id="126" w:name="bookmark126"/>
      <w:r>
        <w:rPr>
          <w:color w:val="000000"/>
          <w:spacing w:val="0"/>
          <w:w w:val="100"/>
          <w:position w:val="0"/>
        </w:rPr>
        <w:t>（</w:t>
      </w:r>
      <w:bookmarkEnd w:id="126"/>
      <w:r>
        <w:rPr>
          <w:rFonts w:ascii="Times New Roman" w:eastAsia="Times New Roman" w:hAnsi="Times New Roman" w:cs="Times New Roman"/>
          <w:color w:val="000000"/>
          <w:spacing w:val="0"/>
          <w:w w:val="100"/>
          <w:position w:val="0"/>
        </w:rPr>
        <w:t>3</w:t>
      </w:r>
      <w:r>
        <w:rPr>
          <w:color w:val="000000"/>
          <w:spacing w:val="0"/>
          <w:w w:val="100"/>
          <w:position w:val="0"/>
        </w:rPr>
        <w:t>）</w:t>
        <w:tab/>
        <w:t>信息化平台核心优势</w:t>
      </w:r>
    </w:p>
    <w:p>
      <w:pPr>
        <w:pStyle w:val="Style17"/>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以基因数据为代表的生命大数据是精准医疗的基础，也是健康医疗大数据的核心。公司着力于提高生命大数据相关的 分析处理能力，打造数据汇总、存储、清洗、管理、计算和应用为一体的闭环管理体系。公司持续提升信息化建设水平，推 动全流程业务的数字化转型。目前已建成公司业务全流程信息化交付平台，为公司业务未来实现全面数字化打下良好基础。 其中，运用边缘计算技术，建设客户本地一站式综合解决方案一体机平台，助力火眼实验室科技抗疫；通过综合运用大数据、 云计算等技术和解决方案，打造基因云计算平台，构建全业务场景、全生命周期的信息化交付系统，为运营体系数字化提供 基础；通过高性能计算和异构计算等研发，提高生物信息业务分析处理效率；采用业界领先的</w:t>
      </w:r>
      <w:r>
        <w:rPr>
          <w:rFonts w:ascii="Times New Roman" w:eastAsia="Times New Roman" w:hAnsi="Times New Roman" w:cs="Times New Roman"/>
          <w:color w:val="000000"/>
          <w:spacing w:val="0"/>
          <w:w w:val="100"/>
          <w:position w:val="0"/>
        </w:rPr>
        <w:t>ERP （Enterprise Resource Planning</w:t>
      </w:r>
      <w:r>
        <w:rPr>
          <w:color w:val="000000"/>
          <w:spacing w:val="0"/>
          <w:w w:val="100"/>
          <w:position w:val="0"/>
        </w:rPr>
        <w:t>，</w:t>
      </w:r>
      <w:r>
        <w:rPr>
          <w:color w:val="000000"/>
          <w:spacing w:val="0"/>
          <w:w w:val="100"/>
          <w:position w:val="0"/>
        </w:rPr>
        <w:t>企业资源计划</w:t>
      </w:r>
      <w:r>
        <w:rPr>
          <w:rFonts w:ascii="Times New Roman" w:eastAsia="Times New Roman" w:hAnsi="Times New Roman" w:cs="Times New Roman"/>
          <w:color w:val="000000"/>
          <w:spacing w:val="0"/>
          <w:w w:val="100"/>
          <w:position w:val="0"/>
        </w:rPr>
        <w:t>）</w:t>
      </w:r>
      <w:r>
        <w:rPr>
          <w:color w:val="000000"/>
          <w:spacing w:val="0"/>
          <w:w w:val="100"/>
          <w:position w:val="0"/>
        </w:rPr>
        <w:t>综合解决方案，建设和优化公司企业资源管理系统，提高上市公司管理效率，助力企业全球化拓展 运营决策。</w:t>
      </w:r>
    </w:p>
    <w:p>
      <w:pPr>
        <w:pStyle w:val="Style17"/>
        <w:keepNext w:val="0"/>
        <w:keepLines w:val="0"/>
        <w:widowControl w:val="0"/>
        <w:shd w:val="clear" w:color="auto" w:fill="auto"/>
        <w:bidi w:val="0"/>
        <w:spacing w:before="0" w:after="0"/>
        <w:ind w:left="0" w:right="0"/>
        <w:jc w:val="both"/>
      </w:pPr>
      <w:bookmarkStart w:id="127" w:name="bookmark127"/>
      <w:r>
        <w:rPr>
          <w:rFonts w:ascii="Times New Roman" w:eastAsia="Times New Roman" w:hAnsi="Times New Roman" w:cs="Times New Roman"/>
          <w:b/>
          <w:bCs/>
          <w:color w:val="000000"/>
          <w:spacing w:val="0"/>
          <w:w w:val="100"/>
          <w:position w:val="0"/>
        </w:rPr>
        <w:t>3</w:t>
      </w:r>
      <w:bookmarkEnd w:id="127"/>
      <w:r>
        <w:rPr>
          <w:b/>
          <w:bCs/>
          <w:color w:val="000000"/>
          <w:spacing w:val="0"/>
          <w:w w:val="100"/>
          <w:position w:val="0"/>
        </w:rPr>
        <w:t>、体系化研发能力凸显协同效应、产品线布局广泛保障可持续发展</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公司高度重视创新科技研发，多年来坚持在分子检测上游实验技术和信息技术，生育健康、肿瘤防控、传感染疾病防控 等应用领域持续高比例投入，取得了一系列重要的专利成果。截至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日，公司及其全资、控股子公司拥有的已获 授权专利共计</w:t>
      </w:r>
      <w:r>
        <w:rPr>
          <w:rFonts w:ascii="Times New Roman" w:eastAsia="Times New Roman" w:hAnsi="Times New Roman" w:cs="Times New Roman"/>
          <w:color w:val="000000"/>
          <w:spacing w:val="0"/>
          <w:w w:val="100"/>
          <w:position w:val="0"/>
        </w:rPr>
        <w:t>531</w:t>
      </w:r>
      <w:r>
        <w:rPr>
          <w:color w:val="000000"/>
          <w:spacing w:val="0"/>
          <w:w w:val="100"/>
          <w:position w:val="0"/>
        </w:rPr>
        <w:t>项，其中发明专利</w:t>
      </w:r>
      <w:r>
        <w:rPr>
          <w:rFonts w:ascii="Times New Roman" w:eastAsia="Times New Roman" w:hAnsi="Times New Roman" w:cs="Times New Roman"/>
          <w:color w:val="000000"/>
          <w:spacing w:val="0"/>
          <w:w w:val="100"/>
          <w:position w:val="0"/>
        </w:rPr>
        <w:t>464</w:t>
      </w:r>
      <w:r>
        <w:rPr>
          <w:color w:val="000000"/>
          <w:spacing w:val="0"/>
          <w:w w:val="100"/>
          <w:position w:val="0"/>
        </w:rPr>
        <w:t>项，实用新型专利</w:t>
      </w:r>
      <w:r>
        <w:rPr>
          <w:rFonts w:ascii="Times New Roman" w:eastAsia="Times New Roman" w:hAnsi="Times New Roman" w:cs="Times New Roman"/>
          <w:color w:val="000000"/>
          <w:spacing w:val="0"/>
          <w:w w:val="100"/>
          <w:position w:val="0"/>
        </w:rPr>
        <w:t>48</w:t>
      </w:r>
      <w:r>
        <w:rPr>
          <w:color w:val="000000"/>
          <w:spacing w:val="0"/>
          <w:w w:val="100"/>
          <w:position w:val="0"/>
        </w:rPr>
        <w:t>项，外观设计专利</w:t>
      </w:r>
      <w:r>
        <w:rPr>
          <w:rFonts w:ascii="Times New Roman" w:eastAsia="Times New Roman" w:hAnsi="Times New Roman" w:cs="Times New Roman"/>
          <w:color w:val="000000"/>
          <w:spacing w:val="0"/>
          <w:w w:val="100"/>
          <w:position w:val="0"/>
        </w:rPr>
        <w:t>19</w:t>
      </w:r>
      <w:r>
        <w:rPr>
          <w:color w:val="000000"/>
          <w:spacing w:val="0"/>
          <w:w w:val="100"/>
          <w:position w:val="0"/>
        </w:rPr>
        <w:t>项。报告期内，新增获授权专利</w:t>
      </w:r>
      <w:r>
        <w:rPr>
          <w:rFonts w:ascii="Times New Roman" w:eastAsia="Times New Roman" w:hAnsi="Times New Roman" w:cs="Times New Roman"/>
          <w:color w:val="000000"/>
          <w:spacing w:val="0"/>
          <w:w w:val="100"/>
          <w:position w:val="0"/>
        </w:rPr>
        <w:t>86</w:t>
      </w:r>
      <w:r>
        <w:rPr>
          <w:color w:val="000000"/>
          <w:spacing w:val="0"/>
          <w:w w:val="100"/>
          <w:position w:val="0"/>
        </w:rPr>
        <w:t>项，其中 发明专利</w:t>
      </w:r>
      <w:r>
        <w:rPr>
          <w:rFonts w:ascii="Times New Roman" w:eastAsia="Times New Roman" w:hAnsi="Times New Roman" w:cs="Times New Roman"/>
          <w:color w:val="000000"/>
          <w:spacing w:val="0"/>
          <w:w w:val="100"/>
          <w:position w:val="0"/>
        </w:rPr>
        <w:t>59</w:t>
      </w:r>
      <w:r>
        <w:rPr>
          <w:color w:val="000000"/>
          <w:spacing w:val="0"/>
          <w:w w:val="100"/>
          <w:position w:val="0"/>
        </w:rPr>
        <w:t>项，实用新型专利</w:t>
      </w:r>
      <w:r>
        <w:rPr>
          <w:rFonts w:ascii="Times New Roman" w:eastAsia="Times New Roman" w:hAnsi="Times New Roman" w:cs="Times New Roman"/>
          <w:color w:val="000000"/>
          <w:spacing w:val="0"/>
          <w:w w:val="100"/>
          <w:position w:val="0"/>
        </w:rPr>
        <w:t>21</w:t>
      </w:r>
      <w:r>
        <w:rPr>
          <w:color w:val="000000"/>
          <w:spacing w:val="0"/>
          <w:w w:val="100"/>
          <w:position w:val="0"/>
        </w:rPr>
        <w:t>项，外观专利</w:t>
      </w:r>
      <w:r>
        <w:rPr>
          <w:rFonts w:ascii="Times New Roman" w:eastAsia="Times New Roman" w:hAnsi="Times New Roman" w:cs="Times New Roman"/>
          <w:color w:val="000000"/>
          <w:spacing w:val="0"/>
          <w:w w:val="100"/>
          <w:position w:val="0"/>
        </w:rPr>
        <w:t>6</w:t>
      </w:r>
      <w:r>
        <w:rPr>
          <w:color w:val="000000"/>
          <w:spacing w:val="0"/>
          <w:w w:val="100"/>
          <w:position w:val="0"/>
        </w:rPr>
        <w:t>项；新增专利申请</w:t>
      </w:r>
      <w:r>
        <w:rPr>
          <w:rFonts w:ascii="Times New Roman" w:eastAsia="Times New Roman" w:hAnsi="Times New Roman" w:cs="Times New Roman"/>
          <w:color w:val="000000"/>
          <w:spacing w:val="0"/>
          <w:w w:val="100"/>
          <w:position w:val="0"/>
        </w:rPr>
        <w:t>181</w:t>
      </w:r>
      <w:r>
        <w:rPr>
          <w:color w:val="000000"/>
          <w:spacing w:val="0"/>
          <w:w w:val="100"/>
          <w:position w:val="0"/>
        </w:rPr>
        <w:t>项（其中发明专利</w:t>
      </w:r>
      <w:r>
        <w:rPr>
          <w:rFonts w:ascii="Times New Roman" w:eastAsia="Times New Roman" w:hAnsi="Times New Roman" w:cs="Times New Roman"/>
          <w:color w:val="000000"/>
          <w:spacing w:val="0"/>
          <w:w w:val="100"/>
          <w:position w:val="0"/>
        </w:rPr>
        <w:t>146</w:t>
      </w:r>
      <w:r>
        <w:rPr>
          <w:color w:val="000000"/>
          <w:spacing w:val="0"/>
          <w:w w:val="100"/>
          <w:position w:val="0"/>
        </w:rPr>
        <w:t>项，专利合作协定（简称</w:t>
      </w:r>
      <w:r>
        <w:rPr>
          <w:rFonts w:ascii="Times New Roman" w:eastAsia="Times New Roman" w:hAnsi="Times New Roman" w:cs="Times New Roman"/>
          <w:color w:val="000000"/>
          <w:spacing w:val="0"/>
          <w:w w:val="100"/>
          <w:position w:val="0"/>
        </w:rPr>
        <w:t>PCT</w:t>
      </w:r>
      <w:r>
        <w:rPr>
          <w:color w:val="000000"/>
          <w:spacing w:val="0"/>
          <w:w w:val="100"/>
          <w:position w:val="0"/>
        </w:rPr>
        <w:t>）</w:t>
      </w:r>
      <w:r>
        <w:rPr>
          <w:rFonts w:ascii="Times New Roman" w:eastAsia="Times New Roman" w:hAnsi="Times New Roman" w:cs="Times New Roman"/>
          <w:color w:val="000000"/>
          <w:spacing w:val="0"/>
          <w:w w:val="100"/>
          <w:position w:val="0"/>
        </w:rPr>
        <w:t xml:space="preserve">11 </w:t>
      </w:r>
      <w:r>
        <w:rPr>
          <w:color w:val="000000"/>
          <w:spacing w:val="0"/>
          <w:w w:val="100"/>
          <w:position w:val="0"/>
        </w:rPr>
        <w:t>项，实用新型</w:t>
      </w:r>
      <w:r>
        <w:rPr>
          <w:rFonts w:ascii="Times New Roman" w:eastAsia="Times New Roman" w:hAnsi="Times New Roman" w:cs="Times New Roman"/>
          <w:color w:val="000000"/>
          <w:spacing w:val="0"/>
          <w:w w:val="100"/>
          <w:position w:val="0"/>
        </w:rPr>
        <w:t>18</w:t>
      </w:r>
      <w:r>
        <w:rPr>
          <w:color w:val="000000"/>
          <w:spacing w:val="0"/>
          <w:w w:val="100"/>
          <w:position w:val="0"/>
        </w:rPr>
        <w:t>项，外观设计专利</w:t>
      </w:r>
      <w:r>
        <w:rPr>
          <w:rFonts w:ascii="Times New Roman" w:eastAsia="Times New Roman" w:hAnsi="Times New Roman" w:cs="Times New Roman"/>
          <w:color w:val="000000"/>
          <w:spacing w:val="0"/>
          <w:w w:val="100"/>
          <w:position w:val="0"/>
        </w:rPr>
        <w:t>6</w:t>
      </w:r>
      <w:r>
        <w:rPr>
          <w:color w:val="000000"/>
          <w:spacing w:val="0"/>
          <w:w w:val="100"/>
          <w:position w:val="0"/>
        </w:rPr>
        <w:t>项）。截至报告期末，公司自有注册商标</w:t>
      </w:r>
      <w:r>
        <w:rPr>
          <w:rFonts w:ascii="Times New Roman" w:eastAsia="Times New Roman" w:hAnsi="Times New Roman" w:cs="Times New Roman"/>
          <w:color w:val="000000"/>
          <w:spacing w:val="0"/>
          <w:w w:val="100"/>
          <w:position w:val="0"/>
        </w:rPr>
        <w:t>770</w:t>
      </w:r>
      <w:r>
        <w:rPr>
          <w:color w:val="000000"/>
          <w:spacing w:val="0"/>
          <w:w w:val="100"/>
          <w:position w:val="0"/>
        </w:rPr>
        <w:t>项；生物信息分析等方面自主软件取得了</w:t>
      </w:r>
      <w:r>
        <w:rPr>
          <w:rFonts w:ascii="Times New Roman" w:eastAsia="Times New Roman" w:hAnsi="Times New Roman" w:cs="Times New Roman"/>
          <w:color w:val="000000"/>
          <w:spacing w:val="0"/>
          <w:w w:val="100"/>
          <w:position w:val="0"/>
        </w:rPr>
        <w:t xml:space="preserve">742 </w:t>
      </w:r>
      <w:r>
        <w:rPr>
          <w:color w:val="000000"/>
          <w:spacing w:val="0"/>
          <w:w w:val="100"/>
          <w:position w:val="0"/>
        </w:rPr>
        <w:t>项软件著作权。临床医学检验应用在技术底层相通，研发投入具有协同效应，有利于最大化投入产出比，使得公司在持续高 研发投入的同时仍以较高经营水平保持盈利增长。</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在专利布局方面，公司在生物信息异构计算、基因分布式计算和基因大数据人工智能等方向申请了多项国内外专利，具 备行业特有且领先的技术优势。报告期内，公司多项计算和生信软件专利成功提交申请。其中包括</w:t>
      </w:r>
      <w:r>
        <w:rPr>
          <w:rFonts w:ascii="Times New Roman" w:eastAsia="Times New Roman" w:hAnsi="Times New Roman" w:cs="Times New Roman"/>
          <w:color w:val="000000"/>
          <w:spacing w:val="0"/>
          <w:w w:val="100"/>
          <w:position w:val="0"/>
        </w:rPr>
        <w:t>“</w:t>
      </w:r>
      <w:r>
        <w:rPr>
          <w:color w:val="000000"/>
          <w:spacing w:val="0"/>
          <w:w w:val="100"/>
          <w:position w:val="0"/>
        </w:rPr>
        <w:t>高性能计算中基于</w:t>
      </w:r>
      <w:r>
        <w:rPr>
          <w:rFonts w:ascii="Times New Roman" w:eastAsia="Times New Roman" w:hAnsi="Times New Roman" w:cs="Times New Roman"/>
          <w:color w:val="000000"/>
          <w:spacing w:val="0"/>
          <w:w w:val="100"/>
          <w:position w:val="0"/>
        </w:rPr>
        <w:t xml:space="preserve">CUDA </w:t>
      </w:r>
      <w:r>
        <w:rPr>
          <w:color w:val="000000"/>
          <w:spacing w:val="0"/>
          <w:w w:val="100"/>
          <w:position w:val="0"/>
        </w:rPr>
        <w:t>的基因数据处理方法、装置和</w:t>
      </w:r>
      <w:r>
        <w:rPr>
          <w:rFonts w:ascii="Times New Roman" w:eastAsia="Times New Roman" w:hAnsi="Times New Roman" w:cs="Times New Roman"/>
          <w:color w:val="000000"/>
          <w:spacing w:val="0"/>
          <w:w w:val="100"/>
          <w:position w:val="0"/>
        </w:rPr>
        <w:t>CUDA</w:t>
      </w:r>
      <w:r>
        <w:rPr>
          <w:color w:val="000000"/>
          <w:spacing w:val="0"/>
          <w:w w:val="100"/>
          <w:position w:val="0"/>
        </w:rPr>
        <w:t>构架</w:t>
      </w:r>
      <w:r>
        <w:rPr>
          <w:rFonts w:ascii="Times New Roman" w:eastAsia="Times New Roman" w:hAnsi="Times New Roman" w:cs="Times New Roman"/>
          <w:color w:val="000000"/>
          <w:spacing w:val="0"/>
          <w:w w:val="100"/>
          <w:position w:val="0"/>
        </w:rPr>
        <w:t>”</w:t>
      </w:r>
      <w:r>
        <w:rPr>
          <w:color w:val="000000"/>
          <w:spacing w:val="0"/>
          <w:w w:val="100"/>
          <w:position w:val="0"/>
        </w:rPr>
        <w:t>实现</w:t>
      </w:r>
      <w:r>
        <w:rPr>
          <w:rFonts w:ascii="Times New Roman" w:eastAsia="Times New Roman" w:hAnsi="Times New Roman" w:cs="Times New Roman"/>
          <w:color w:val="000000"/>
          <w:spacing w:val="0"/>
          <w:w w:val="100"/>
          <w:position w:val="0"/>
        </w:rPr>
        <w:t>GPU</w:t>
      </w:r>
      <w:r>
        <w:rPr>
          <w:color w:val="000000"/>
          <w:spacing w:val="0"/>
          <w:w w:val="100"/>
          <w:position w:val="0"/>
        </w:rPr>
        <w:t>无限扩展的多卡调度管理，并设计出更高效的</w:t>
      </w:r>
      <w:r>
        <w:rPr>
          <w:rFonts w:ascii="Times New Roman" w:eastAsia="Times New Roman" w:hAnsi="Times New Roman" w:cs="Times New Roman"/>
          <w:color w:val="000000"/>
          <w:spacing w:val="0"/>
          <w:w w:val="100"/>
          <w:position w:val="0"/>
        </w:rPr>
        <w:t>GPU</w:t>
      </w:r>
      <w:r>
        <w:rPr>
          <w:color w:val="000000"/>
          <w:spacing w:val="0"/>
          <w:w w:val="100"/>
          <w:position w:val="0"/>
        </w:rPr>
        <w:t>计算资源的存储和分 析方式，此类方法的应用能够大幅度提升基因数据分析效率。</w:t>
      </w:r>
    </w:p>
    <w:p>
      <w:pPr>
        <w:pStyle w:val="Style17"/>
        <w:keepNext w:val="0"/>
        <w:keepLines w:val="0"/>
        <w:widowControl w:val="0"/>
        <w:shd w:val="clear" w:color="auto" w:fill="auto"/>
        <w:bidi w:val="0"/>
        <w:spacing w:before="0" w:after="120" w:line="312" w:lineRule="exact"/>
        <w:ind w:left="0" w:right="0"/>
        <w:jc w:val="both"/>
      </w:pPr>
      <w:bookmarkStart w:id="128" w:name="bookmark128"/>
      <w:r>
        <w:rPr>
          <w:color w:val="000000"/>
          <w:spacing w:val="0"/>
          <w:w w:val="100"/>
          <w:position w:val="0"/>
        </w:rPr>
        <w:t>（</w:t>
      </w:r>
      <w:bookmarkEnd w:id="128"/>
      <w:r>
        <w:rPr>
          <w:rFonts w:ascii="Times New Roman" w:eastAsia="Times New Roman" w:hAnsi="Times New Roman" w:cs="Times New Roman"/>
          <w:color w:val="000000"/>
          <w:spacing w:val="0"/>
          <w:w w:val="100"/>
          <w:position w:val="0"/>
        </w:rPr>
        <w:t>1</w:t>
      </w:r>
      <w:r>
        <w:rPr>
          <w:color w:val="000000"/>
          <w:spacing w:val="0"/>
          <w:w w:val="100"/>
          <w:position w:val="0"/>
        </w:rPr>
        <w:t>）生育健康类服务的研发与产品线优势</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生育健康基础研究和临床应用服务方面，公司在孕前、孕期、新生儿和儿童等国家卫健委要求的出生缺陷防控各领域均 建立了丰富的产品线。近年来公司不断升级无创产前基因检测产品、对基因拷贝数变异</w:t>
      </w:r>
      <w:r>
        <w:rPr>
          <w:color w:val="000000"/>
          <w:spacing w:val="0"/>
          <w:w w:val="100"/>
          <w:position w:val="0"/>
        </w:rPr>
        <w:t>（</w:t>
      </w:r>
      <w:r>
        <w:rPr>
          <w:rFonts w:ascii="Times New Roman" w:eastAsia="Times New Roman" w:hAnsi="Times New Roman" w:cs="Times New Roman"/>
          <w:color w:val="000000"/>
          <w:spacing w:val="0"/>
          <w:w w:val="100"/>
          <w:position w:val="0"/>
        </w:rPr>
        <w:t>CNV</w:t>
      </w:r>
      <w:r>
        <w:rPr>
          <w:color w:val="000000"/>
          <w:spacing w:val="0"/>
          <w:w w:val="100"/>
          <w:position w:val="0"/>
        </w:rPr>
        <w:t>）</w:t>
      </w:r>
      <w:r>
        <w:rPr>
          <w:color w:val="000000"/>
          <w:spacing w:val="0"/>
          <w:w w:val="100"/>
          <w:position w:val="0"/>
        </w:rPr>
        <w:t>的分析算法进行了全新优化， 进一步降低假阳</w:t>
      </w:r>
      <w:r>
        <w:rPr>
          <w:rFonts w:ascii="Times New Roman" w:eastAsia="Times New Roman" w:hAnsi="Times New Roman" w:cs="Times New Roman"/>
          <w:color w:val="000000"/>
          <w:spacing w:val="0"/>
          <w:w w:val="100"/>
          <w:position w:val="0"/>
        </w:rPr>
        <w:t>/</w:t>
      </w:r>
      <w:r>
        <w:rPr>
          <w:color w:val="000000"/>
          <w:spacing w:val="0"/>
          <w:w w:val="100"/>
          <w:position w:val="0"/>
        </w:rPr>
        <w:t>假阴发生率，通过胎儿游离</w:t>
      </w:r>
      <w:r>
        <w:rPr>
          <w:rFonts w:ascii="Times New Roman" w:eastAsia="Times New Roman" w:hAnsi="Times New Roman" w:cs="Times New Roman"/>
          <w:color w:val="000000"/>
          <w:spacing w:val="0"/>
          <w:w w:val="100"/>
          <w:position w:val="0"/>
        </w:rPr>
        <w:t>DNA</w:t>
      </w:r>
      <w:r>
        <w:rPr>
          <w:color w:val="000000"/>
          <w:spacing w:val="0"/>
          <w:w w:val="100"/>
          <w:position w:val="0"/>
        </w:rPr>
        <w:t xml:space="preserve">浓度富集大大促进了检测性能的有效提升。同时探索无创单基因疾病检测 在临床的潜在应用方向，推出多种单基因病无创产前检测，率先在国内实现多种单基因病的临床转化，持续为临床打造更适 </w:t>
      </w:r>
      <w:r>
        <w:rPr>
          <w:color w:val="000000"/>
          <w:spacing w:val="0"/>
          <w:w w:val="100"/>
          <w:position w:val="0"/>
        </w:rPr>
        <w:t>合产前筛查的扩展性</w:t>
      </w:r>
      <w:r>
        <w:rPr>
          <w:rFonts w:ascii="Times New Roman" w:eastAsia="Times New Roman" w:hAnsi="Times New Roman" w:cs="Times New Roman"/>
          <w:color w:val="000000"/>
          <w:spacing w:val="0"/>
          <w:w w:val="100"/>
          <w:position w:val="0"/>
        </w:rPr>
        <w:t>NIPT</w:t>
      </w:r>
      <w:r>
        <w:rPr>
          <w:color w:val="000000"/>
          <w:spacing w:val="0"/>
          <w:w w:val="100"/>
          <w:position w:val="0"/>
        </w:rPr>
        <w:t>检测技术，助力我国出生缺陷防控事业的发展。依据广东省精准医学会于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月发布的《基 于孕妇外周血浆游离</w:t>
      </w:r>
      <w:r>
        <w:rPr>
          <w:rFonts w:ascii="Times New Roman" w:eastAsia="Times New Roman" w:hAnsi="Times New Roman" w:cs="Times New Roman"/>
          <w:color w:val="000000"/>
          <w:spacing w:val="0"/>
          <w:w w:val="100"/>
          <w:position w:val="0"/>
        </w:rPr>
        <w:t>DNA</w:t>
      </w:r>
      <w:r>
        <w:rPr>
          <w:color w:val="000000"/>
          <w:spacing w:val="0"/>
          <w:w w:val="100"/>
          <w:position w:val="0"/>
        </w:rPr>
        <w:t>高通量测序无创产前筛查胎儿基因组病技术标准》，公司率先在国内推出胎儿基因组病无创产前 筛查</w:t>
      </w:r>
      <w:r>
        <w:rPr>
          <w:color w:val="000000"/>
          <w:spacing w:val="0"/>
          <w:w w:val="100"/>
          <w:position w:val="0"/>
        </w:rPr>
        <w:t>（</w:t>
      </w:r>
      <w:r>
        <w:rPr>
          <w:rFonts w:ascii="Times New Roman" w:eastAsia="Times New Roman" w:hAnsi="Times New Roman" w:cs="Times New Roman"/>
          <w:color w:val="000000"/>
          <w:spacing w:val="0"/>
          <w:w w:val="100"/>
          <w:position w:val="0"/>
        </w:rPr>
        <w:t>NIFTY</w:t>
      </w:r>
      <w:r>
        <w:rPr>
          <w:color w:val="000000"/>
          <w:spacing w:val="0"/>
          <w:w w:val="100"/>
          <w:position w:val="0"/>
        </w:rPr>
        <w:t>全因</w:t>
      </w:r>
      <w:r>
        <w:rPr>
          <w:rFonts w:ascii="Times New Roman" w:eastAsia="Times New Roman" w:hAnsi="Times New Roman" w:cs="Times New Roman"/>
          <w:color w:val="000000"/>
          <w:spacing w:val="0"/>
          <w:w w:val="100"/>
          <w:position w:val="0"/>
        </w:rPr>
        <w:t>-</w:t>
      </w:r>
      <w:r>
        <w:rPr>
          <w:color w:val="000000"/>
          <w:spacing w:val="0"/>
          <w:w w:val="100"/>
          <w:position w:val="0"/>
        </w:rPr>
        <w:t>团标版）。公司的遗传性耳聋基因检测试剂盒（联合探针锚定聚合测序法）于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月份取得国家药监 局颁发的医疗器械注册证。该试剂盒一次性能够检测</w:t>
      </w:r>
      <w:r>
        <w:rPr>
          <w:rFonts w:ascii="Times New Roman" w:eastAsia="Times New Roman" w:hAnsi="Times New Roman" w:cs="Times New Roman"/>
          <w:color w:val="000000"/>
          <w:spacing w:val="0"/>
          <w:w w:val="100"/>
          <w:position w:val="0"/>
        </w:rPr>
        <w:t>4</w:t>
      </w:r>
      <w:r>
        <w:rPr>
          <w:color w:val="000000"/>
          <w:spacing w:val="0"/>
          <w:w w:val="100"/>
          <w:position w:val="0"/>
        </w:rPr>
        <w:t>个遗传性耳聋基因的</w:t>
      </w:r>
      <w:r>
        <w:rPr>
          <w:rFonts w:ascii="Times New Roman" w:eastAsia="Times New Roman" w:hAnsi="Times New Roman" w:cs="Times New Roman"/>
          <w:color w:val="000000"/>
          <w:spacing w:val="0"/>
          <w:w w:val="100"/>
          <w:position w:val="0"/>
        </w:rPr>
        <w:t>20</w:t>
      </w:r>
      <w:r>
        <w:rPr>
          <w:color w:val="000000"/>
          <w:spacing w:val="0"/>
          <w:w w:val="100"/>
          <w:position w:val="0"/>
        </w:rPr>
        <w:t>个位点突变，系国内该领域基于测序法率先获 批的检测试剂盒，该试剂盒搭载自动化建库和报告解读系统，具有检测灵敏度和特异性高、多测序平台通量配置灵活的特点， 可满足临床用户的多样化和个性化需求，项目已累计为超过</w:t>
      </w:r>
      <w:r>
        <w:rPr>
          <w:rFonts w:ascii="Times New Roman" w:eastAsia="Times New Roman" w:hAnsi="Times New Roman" w:cs="Times New Roman"/>
          <w:color w:val="000000"/>
          <w:spacing w:val="0"/>
          <w:w w:val="100"/>
          <w:position w:val="0"/>
        </w:rPr>
        <w:t>494</w:t>
      </w:r>
      <w:r>
        <w:rPr>
          <w:color w:val="000000"/>
          <w:spacing w:val="0"/>
          <w:w w:val="100"/>
          <w:position w:val="0"/>
        </w:rPr>
        <w:t>万人群提供耳聋基因检测服务。报告期内，公司遗传性耳聋 基因检测产品全新升级，检测基因从原有的</w:t>
      </w:r>
      <w:r>
        <w:rPr>
          <w:rFonts w:ascii="Times New Roman" w:eastAsia="Times New Roman" w:hAnsi="Times New Roman" w:cs="Times New Roman"/>
          <w:color w:val="000000"/>
          <w:spacing w:val="0"/>
          <w:w w:val="100"/>
          <w:position w:val="0"/>
        </w:rPr>
        <w:t>127</w:t>
      </w:r>
      <w:r>
        <w:rPr>
          <w:color w:val="000000"/>
          <w:spacing w:val="0"/>
          <w:w w:val="100"/>
          <w:position w:val="0"/>
        </w:rPr>
        <w:t>扩展至</w:t>
      </w:r>
      <w:r>
        <w:rPr>
          <w:rFonts w:ascii="Times New Roman" w:eastAsia="Times New Roman" w:hAnsi="Times New Roman" w:cs="Times New Roman"/>
          <w:color w:val="000000"/>
          <w:spacing w:val="0"/>
          <w:w w:val="100"/>
          <w:position w:val="0"/>
        </w:rPr>
        <w:t>218</w:t>
      </w:r>
      <w:r>
        <w:rPr>
          <w:color w:val="000000"/>
          <w:spacing w:val="0"/>
          <w:w w:val="100"/>
          <w:position w:val="0"/>
        </w:rPr>
        <w:t>个，检测基因数量提高了</w:t>
      </w:r>
      <w:r>
        <w:rPr>
          <w:rFonts w:ascii="Times New Roman" w:eastAsia="Times New Roman" w:hAnsi="Times New Roman" w:cs="Times New Roman"/>
          <w:color w:val="000000"/>
          <w:spacing w:val="0"/>
          <w:w w:val="100"/>
          <w:position w:val="0"/>
        </w:rPr>
        <w:t>72%</w:t>
      </w:r>
      <w:r>
        <w:rPr>
          <w:color w:val="000000"/>
          <w:spacing w:val="0"/>
          <w:w w:val="100"/>
          <w:position w:val="0"/>
        </w:rPr>
        <w:t>，而检测周期缩短了</w:t>
      </w:r>
      <w:r>
        <w:rPr>
          <w:rFonts w:ascii="Times New Roman" w:eastAsia="Times New Roman" w:hAnsi="Times New Roman" w:cs="Times New Roman"/>
          <w:color w:val="000000"/>
          <w:spacing w:val="0"/>
          <w:w w:val="100"/>
          <w:position w:val="0"/>
        </w:rPr>
        <w:t>43%</w:t>
      </w:r>
      <w:r>
        <w:rPr>
          <w:color w:val="000000"/>
          <w:spacing w:val="0"/>
          <w:w w:val="100"/>
          <w:position w:val="0"/>
        </w:rPr>
        <w:t>，并结合多 个国际专业数据库，构建了中国人群的耳聋特殊位点数据库，为耳聋疾病数据解读提供更详实丰富的注释。公司是行业内较 早开始基于高通量测序技术开展地贫检测研发的企业，经过多年的研发与技术积累，目前可以一次性提供超过</w:t>
      </w:r>
      <w:r>
        <w:rPr>
          <w:rFonts w:ascii="Times New Roman" w:eastAsia="Times New Roman" w:hAnsi="Times New Roman" w:cs="Times New Roman"/>
          <w:color w:val="000000"/>
          <w:spacing w:val="0"/>
          <w:w w:val="100"/>
          <w:position w:val="0"/>
        </w:rPr>
        <w:t>500</w:t>
      </w:r>
      <w:r>
        <w:rPr>
          <w:color w:val="000000"/>
          <w:spacing w:val="0"/>
          <w:w w:val="100"/>
          <w:position w:val="0"/>
        </w:rPr>
        <w:t>多种地贫 基因变异检测，具有检测全面，成本低，自动化程度高等优点，一站式协助临床对地贫的精准诊断。截至报告期末，项目已 完成超过</w:t>
      </w:r>
      <w:r>
        <w:rPr>
          <w:rFonts w:ascii="Times New Roman" w:eastAsia="Times New Roman" w:hAnsi="Times New Roman" w:cs="Times New Roman"/>
          <w:color w:val="000000"/>
          <w:spacing w:val="0"/>
          <w:w w:val="100"/>
          <w:position w:val="0"/>
        </w:rPr>
        <w:t>102</w:t>
      </w:r>
      <w:r>
        <w:rPr>
          <w:color w:val="000000"/>
          <w:spacing w:val="0"/>
          <w:w w:val="100"/>
          <w:position w:val="0"/>
        </w:rPr>
        <w:t>万例样本检测，检测基因变异类型超过</w:t>
      </w:r>
      <w:r>
        <w:rPr>
          <w:rFonts w:ascii="Times New Roman" w:eastAsia="Times New Roman" w:hAnsi="Times New Roman" w:cs="Times New Roman"/>
          <w:color w:val="000000"/>
          <w:spacing w:val="0"/>
          <w:w w:val="100"/>
          <w:position w:val="0"/>
        </w:rPr>
        <w:t>180</w:t>
      </w:r>
      <w:r>
        <w:rPr>
          <w:color w:val="000000"/>
          <w:spacing w:val="0"/>
          <w:w w:val="100"/>
          <w:position w:val="0"/>
        </w:rPr>
        <w:t>种，系统揭示了中国地贫基因分布图谱。报告期内，公司的地中海贫 血基因检测试剂盒</w:t>
      </w:r>
      <w:r>
        <w:rPr>
          <w:color w:val="000000"/>
          <w:spacing w:val="0"/>
          <w:w w:val="100"/>
          <w:position w:val="0"/>
        </w:rPr>
        <w:t>（</w:t>
      </w:r>
      <w:r>
        <w:rPr>
          <w:color w:val="000000"/>
          <w:spacing w:val="0"/>
          <w:w w:val="100"/>
          <w:position w:val="0"/>
        </w:rPr>
        <w:t>联合探针锚定聚合测序法</w:t>
      </w:r>
      <w:r>
        <w:rPr>
          <w:color w:val="000000"/>
          <w:spacing w:val="0"/>
          <w:w w:val="100"/>
          <w:position w:val="0"/>
        </w:rPr>
        <w:t>）</w:t>
      </w:r>
      <w:r>
        <w:rPr>
          <w:color w:val="000000"/>
          <w:spacing w:val="0"/>
          <w:w w:val="100"/>
          <w:position w:val="0"/>
        </w:rPr>
        <w:t>获得了欧盟</w:t>
      </w:r>
      <w:r>
        <w:rPr>
          <w:rFonts w:ascii="Times New Roman" w:eastAsia="Times New Roman" w:hAnsi="Times New Roman" w:cs="Times New Roman"/>
          <w:color w:val="000000"/>
          <w:spacing w:val="0"/>
          <w:w w:val="100"/>
          <w:position w:val="0"/>
        </w:rPr>
        <w:t>CE</w:t>
      </w:r>
      <w:r>
        <w:rPr>
          <w:color w:val="000000"/>
          <w:spacing w:val="0"/>
          <w:w w:val="100"/>
          <w:position w:val="0"/>
        </w:rPr>
        <w:t xml:space="preserve">准入资质，利于进一步提升公司产品的国际竞争力。公司对 </w:t>
      </w:r>
      <w:r>
        <w:rPr>
          <w:rFonts w:ascii="Times New Roman" w:eastAsia="Times New Roman" w:hAnsi="Times New Roman" w:cs="Times New Roman"/>
          <w:color w:val="000000"/>
          <w:spacing w:val="0"/>
          <w:w w:val="100"/>
          <w:position w:val="0"/>
        </w:rPr>
        <w:t>CNV-seq</w:t>
      </w:r>
      <w:r>
        <w:rPr>
          <w:color w:val="000000"/>
          <w:spacing w:val="0"/>
          <w:w w:val="100"/>
          <w:position w:val="0"/>
        </w:rPr>
        <w:t>检测产品迭代升级，新增常见单亲二倍体</w:t>
      </w:r>
      <w:r>
        <w:rPr>
          <w:color w:val="000000"/>
          <w:spacing w:val="0"/>
          <w:w w:val="100"/>
          <w:position w:val="0"/>
        </w:rPr>
        <w:t>（</w:t>
      </w:r>
      <w:r>
        <w:rPr>
          <w:rFonts w:ascii="Times New Roman" w:eastAsia="Times New Roman" w:hAnsi="Times New Roman" w:cs="Times New Roman"/>
          <w:color w:val="000000"/>
          <w:spacing w:val="0"/>
          <w:w w:val="100"/>
          <w:position w:val="0"/>
        </w:rPr>
        <w:t>UPD</w:t>
      </w:r>
      <w:r>
        <w:rPr>
          <w:color w:val="000000"/>
          <w:spacing w:val="0"/>
          <w:w w:val="100"/>
          <w:position w:val="0"/>
        </w:rPr>
        <w:t>）</w:t>
      </w:r>
      <w:r>
        <w:rPr>
          <w:color w:val="000000"/>
          <w:spacing w:val="0"/>
          <w:w w:val="100"/>
          <w:position w:val="0"/>
        </w:rPr>
        <w:t>疾病检测，并结合特有的宏基因组算法对于超声异常胎儿病原微 生物感染情况予以额外提示，填补了国内同类检测产品空白，为临床诊疗提供更全面的决策依据。公司的单基因遗传病扩展 性携带者筛查系列检测内容包括</w:t>
      </w:r>
      <w:r>
        <w:rPr>
          <w:rFonts w:ascii="Times New Roman" w:eastAsia="Times New Roman" w:hAnsi="Times New Roman" w:cs="Times New Roman"/>
          <w:color w:val="000000"/>
          <w:spacing w:val="0"/>
          <w:w w:val="100"/>
          <w:position w:val="0"/>
        </w:rPr>
        <w:t>157</w:t>
      </w:r>
      <w:r>
        <w:rPr>
          <w:color w:val="000000"/>
          <w:spacing w:val="0"/>
          <w:w w:val="100"/>
          <w:position w:val="0"/>
        </w:rPr>
        <w:t>种疾病的各种组合形式，为客户提供更快速、准确、高效的单基因遗传病扩展性携带者 筛查方案，是国内为数不多的拥有专属万级位点数据库及残余风险评估模型的扩展性携带者筛查产品。公司的超声异常</w:t>
      </w:r>
      <w:r>
        <w:rPr>
          <w:rFonts w:ascii="Times New Roman" w:eastAsia="Times New Roman" w:hAnsi="Times New Roman" w:cs="Times New Roman"/>
          <w:color w:val="000000"/>
          <w:spacing w:val="0"/>
          <w:w w:val="100"/>
          <w:position w:val="0"/>
        </w:rPr>
        <w:t>/</w:t>
      </w:r>
      <w:r>
        <w:rPr>
          <w:color w:val="000000"/>
          <w:spacing w:val="0"/>
          <w:w w:val="100"/>
          <w:position w:val="0"/>
        </w:rPr>
        <w:t>引 产组织高深度全基因组测序（</w:t>
      </w:r>
      <w:r>
        <w:rPr>
          <w:rFonts w:ascii="Times New Roman" w:eastAsia="Times New Roman" w:hAnsi="Times New Roman" w:cs="Times New Roman"/>
          <w:color w:val="000000"/>
          <w:spacing w:val="0"/>
          <w:w w:val="100"/>
          <w:position w:val="0"/>
        </w:rPr>
        <w:t>WGS</w:t>
      </w:r>
      <w:r>
        <w:rPr>
          <w:color w:val="000000"/>
          <w:spacing w:val="0"/>
          <w:w w:val="100"/>
          <w:position w:val="0"/>
        </w:rPr>
        <w:t>）</w:t>
      </w:r>
      <w:r>
        <w:rPr>
          <w:color w:val="000000"/>
          <w:spacing w:val="0"/>
          <w:w w:val="100"/>
          <w:position w:val="0"/>
        </w:rPr>
        <w:t>检测服务从染色体和基因水平辅助临床查找畸形及死胎的遗传学病因，提供一站式染 色体异常和单基因病的解决方案；公司的</w:t>
      </w:r>
      <w:r>
        <w:rPr>
          <w:rFonts w:ascii="Times New Roman" w:eastAsia="Times New Roman" w:hAnsi="Times New Roman" w:cs="Times New Roman"/>
          <w:color w:val="000000"/>
          <w:spacing w:val="0"/>
          <w:w w:val="100"/>
          <w:position w:val="0"/>
        </w:rPr>
        <w:t>WES+CNV-seq （Trio）</w:t>
      </w:r>
      <w:r>
        <w:rPr>
          <w:color w:val="000000"/>
          <w:spacing w:val="0"/>
          <w:w w:val="100"/>
          <w:position w:val="0"/>
        </w:rPr>
        <w:t>联合检测产品不仅可以对超声异常样本及受检者父母同步进 行全外显子组</w:t>
      </w:r>
      <w:r>
        <w:rPr>
          <w:rFonts w:ascii="Times New Roman" w:eastAsia="Times New Roman" w:hAnsi="Times New Roman" w:cs="Times New Roman"/>
          <w:color w:val="000000"/>
          <w:spacing w:val="0"/>
          <w:w w:val="100"/>
          <w:position w:val="0"/>
        </w:rPr>
        <w:t>Trio</w:t>
      </w:r>
      <w:r>
        <w:rPr>
          <w:color w:val="000000"/>
          <w:spacing w:val="0"/>
          <w:w w:val="100"/>
          <w:position w:val="0"/>
        </w:rPr>
        <w:t>检测及</w:t>
      </w:r>
      <w:r>
        <w:rPr>
          <w:rFonts w:ascii="Times New Roman" w:eastAsia="Times New Roman" w:hAnsi="Times New Roman" w:cs="Times New Roman"/>
          <w:color w:val="000000"/>
          <w:spacing w:val="0"/>
          <w:w w:val="100"/>
          <w:position w:val="0"/>
        </w:rPr>
        <w:t>CNV-seq Trio</w:t>
      </w:r>
      <w:r>
        <w:rPr>
          <w:color w:val="000000"/>
          <w:spacing w:val="0"/>
          <w:w w:val="100"/>
          <w:position w:val="0"/>
        </w:rPr>
        <w:t>检测</w:t>
      </w:r>
      <w:r>
        <w:rPr>
          <w:color w:val="000000"/>
          <w:spacing w:val="0"/>
          <w:w w:val="100"/>
          <w:position w:val="0"/>
        </w:rPr>
        <w:t>（</w:t>
      </w:r>
      <w:r>
        <w:rPr>
          <w:color w:val="000000"/>
          <w:spacing w:val="0"/>
          <w:w w:val="100"/>
          <w:position w:val="0"/>
        </w:rPr>
        <w:t xml:space="preserve">覆盖了 </w:t>
      </w:r>
      <w:r>
        <w:rPr>
          <w:rFonts w:ascii="Times New Roman" w:eastAsia="Times New Roman" w:hAnsi="Times New Roman" w:cs="Times New Roman"/>
          <w:color w:val="000000"/>
          <w:spacing w:val="0"/>
          <w:w w:val="100"/>
          <w:position w:val="0"/>
        </w:rPr>
        <w:t>23</w:t>
      </w:r>
      <w:r>
        <w:rPr>
          <w:color w:val="000000"/>
          <w:spacing w:val="0"/>
          <w:w w:val="100"/>
          <w:position w:val="0"/>
        </w:rPr>
        <w:t>对染色体非整倍体、</w:t>
      </w:r>
      <w:r>
        <w:rPr>
          <w:rFonts w:ascii="Times New Roman" w:eastAsia="Times New Roman" w:hAnsi="Times New Roman" w:cs="Times New Roman"/>
          <w:color w:val="000000"/>
          <w:spacing w:val="0"/>
          <w:w w:val="100"/>
          <w:position w:val="0"/>
        </w:rPr>
        <w:t>100Kb</w:t>
      </w:r>
      <w:r>
        <w:rPr>
          <w:color w:val="000000"/>
          <w:spacing w:val="0"/>
          <w:w w:val="100"/>
          <w:position w:val="0"/>
        </w:rPr>
        <w:t>以上染色体微缺失</w:t>
      </w:r>
      <w:r>
        <w:rPr>
          <w:rFonts w:ascii="Times New Roman" w:eastAsia="Times New Roman" w:hAnsi="Times New Roman" w:cs="Times New Roman"/>
          <w:color w:val="000000"/>
          <w:spacing w:val="0"/>
          <w:w w:val="100"/>
          <w:position w:val="0"/>
        </w:rPr>
        <w:t>/</w:t>
      </w:r>
      <w:r>
        <w:rPr>
          <w:color w:val="000000"/>
          <w:spacing w:val="0"/>
          <w:w w:val="100"/>
          <w:position w:val="0"/>
        </w:rPr>
        <w:t>微重复及单基因遗传病 检测</w:t>
      </w:r>
      <w:r>
        <w:rPr>
          <w:rFonts w:ascii="Times New Roman" w:eastAsia="Times New Roman" w:hAnsi="Times New Roman" w:cs="Times New Roman"/>
          <w:color w:val="000000"/>
          <w:spacing w:val="0"/>
          <w:w w:val="100"/>
          <w:position w:val="0"/>
        </w:rPr>
        <w:t>）</w:t>
      </w:r>
      <w:r>
        <w:rPr>
          <w:color w:val="000000"/>
          <w:spacing w:val="0"/>
          <w:w w:val="100"/>
          <w:position w:val="0"/>
        </w:rPr>
        <w:t>，而且优化了检测流程，最大限度地避免母源</w:t>
      </w:r>
      <w:r>
        <w:rPr>
          <w:rFonts w:ascii="Times New Roman" w:eastAsia="Times New Roman" w:hAnsi="Times New Roman" w:cs="Times New Roman"/>
          <w:color w:val="000000"/>
          <w:spacing w:val="0"/>
          <w:w w:val="100"/>
          <w:position w:val="0"/>
        </w:rPr>
        <w:t>DNA</w:t>
      </w:r>
      <w:r>
        <w:rPr>
          <w:color w:val="000000"/>
          <w:spacing w:val="0"/>
          <w:w w:val="100"/>
          <w:position w:val="0"/>
        </w:rPr>
        <w:t>对于超声异常样本高通量检测结果的影响，进一步提高了检测的灵 敏度和特异性；公司的临床全基因组检测产品进一步提升临床遗传检测的诊断率；公司的临床全外显子组极速版检测产品主 要针对临床</w:t>
      </w:r>
      <w:r>
        <w:rPr>
          <w:rFonts w:ascii="Times New Roman" w:eastAsia="Times New Roman" w:hAnsi="Times New Roman" w:cs="Times New Roman"/>
          <w:color w:val="000000"/>
          <w:spacing w:val="0"/>
          <w:w w:val="100"/>
          <w:position w:val="0"/>
        </w:rPr>
        <w:t>NICU</w:t>
      </w:r>
      <w:r>
        <w:rPr>
          <w:color w:val="000000"/>
          <w:spacing w:val="0"/>
          <w:w w:val="100"/>
          <w:position w:val="0"/>
        </w:rPr>
        <w:t>危重症遗传病患者的快速辅助诊断，为临床危重症遗传病患者的诊疗提供了新的解决方案；对临床全外显 子组检测进行升级，增加杂合性缺失分析</w:t>
      </w:r>
      <w:r>
        <w:rPr>
          <w:color w:val="000000"/>
          <w:spacing w:val="0"/>
          <w:w w:val="100"/>
          <w:position w:val="0"/>
        </w:rPr>
        <w:t>（</w:t>
      </w:r>
      <w:r>
        <w:rPr>
          <w:rFonts w:ascii="Times New Roman" w:eastAsia="Times New Roman" w:hAnsi="Times New Roman" w:cs="Times New Roman"/>
          <w:color w:val="000000"/>
          <w:spacing w:val="0"/>
          <w:w w:val="100"/>
          <w:position w:val="0"/>
        </w:rPr>
        <w:t>LOH</w:t>
      </w:r>
      <w:r>
        <w:rPr>
          <w:color w:val="000000"/>
          <w:spacing w:val="0"/>
          <w:w w:val="100"/>
          <w:position w:val="0"/>
        </w:rPr>
        <w:t>）</w:t>
      </w:r>
      <w:r>
        <w:rPr>
          <w:color w:val="000000"/>
          <w:spacing w:val="0"/>
          <w:w w:val="100"/>
          <w:position w:val="0"/>
        </w:rPr>
        <w:t>及亲缘关系分析等补充分析内容，并且每季度对全外疾病及基因数据库进 行更新，实时将最新研究进展转化至临床服务，进一步提升测序深度以提高位点覆盖度及</w:t>
      </w:r>
      <w:r>
        <w:rPr>
          <w:rFonts w:ascii="Times New Roman" w:eastAsia="Times New Roman" w:hAnsi="Times New Roman" w:cs="Times New Roman"/>
          <w:color w:val="000000"/>
          <w:spacing w:val="0"/>
          <w:w w:val="100"/>
          <w:position w:val="0"/>
        </w:rPr>
        <w:t>SNP/INDEL</w:t>
      </w:r>
      <w:r>
        <w:rPr>
          <w:color w:val="000000"/>
          <w:spacing w:val="0"/>
          <w:w w:val="100"/>
          <w:position w:val="0"/>
        </w:rPr>
        <w:t>检测准确度；此外，公 司对全外显子检测产品进行大幅优化与升级，升级后的全外显子检测产品增加了外显子级及染色体级的大片段缺失重复检 测，为辅助临床诊断提供更多信息；推出全外显子组与低深度全基因组测序打包检测产品，检测范围同时涵盖单基因遗传病 与染色体疾病，助力临床疑难疾病诊断。凭借多年遗传病检测与分析的丰富经验，公司在报告期内升级发布了安馨可新生儿 遗传病基因</w:t>
      </w:r>
      <w:r>
        <w:rPr>
          <w:rFonts w:ascii="Times New Roman" w:eastAsia="Times New Roman" w:hAnsi="Times New Roman" w:cs="Times New Roman"/>
          <w:color w:val="000000"/>
          <w:spacing w:val="0"/>
          <w:w w:val="100"/>
          <w:position w:val="0"/>
        </w:rPr>
        <w:t>+</w:t>
      </w:r>
      <w:r>
        <w:rPr>
          <w:color w:val="000000"/>
          <w:spacing w:val="0"/>
          <w:w w:val="100"/>
          <w:position w:val="0"/>
        </w:rPr>
        <w:t>代谢筛查产品，可实现常见遗传代谢病、耳聋、地中海贫血等</w:t>
      </w:r>
      <w:r>
        <w:rPr>
          <w:rFonts w:ascii="Times New Roman" w:eastAsia="Times New Roman" w:hAnsi="Times New Roman" w:cs="Times New Roman"/>
          <w:color w:val="000000"/>
          <w:spacing w:val="0"/>
          <w:w w:val="100"/>
          <w:position w:val="0"/>
        </w:rPr>
        <w:t>156</w:t>
      </w:r>
      <w:r>
        <w:rPr>
          <w:color w:val="000000"/>
          <w:spacing w:val="0"/>
          <w:w w:val="100"/>
          <w:position w:val="0"/>
        </w:rPr>
        <w:t>种疾病的一站式筛查。为应对人口结构变化及 逐渐增长的不育不孕率，公司在辅助生殖方向进行了基于</w:t>
      </w:r>
      <w:r>
        <w:rPr>
          <w:rFonts w:ascii="Times New Roman" w:eastAsia="Times New Roman" w:hAnsi="Times New Roman" w:cs="Times New Roman"/>
          <w:color w:val="000000"/>
          <w:spacing w:val="0"/>
          <w:w w:val="100"/>
          <w:position w:val="0"/>
        </w:rPr>
        <w:t>PGT-A</w:t>
      </w:r>
      <w:r>
        <w:rPr>
          <w:color w:val="000000"/>
          <w:spacing w:val="0"/>
          <w:w w:val="100"/>
          <w:position w:val="0"/>
        </w:rPr>
        <w:t>的本地化解决方案的扩充，</w:t>
      </w:r>
      <w:r>
        <w:rPr>
          <w:rFonts w:ascii="Times New Roman" w:eastAsia="Times New Roman" w:hAnsi="Times New Roman" w:cs="Times New Roman"/>
          <w:color w:val="000000"/>
          <w:spacing w:val="0"/>
          <w:w w:val="100"/>
          <w:position w:val="0"/>
        </w:rPr>
        <w:t>BGISEQ-500</w:t>
      </w:r>
      <w:r>
        <w:rPr>
          <w:color w:val="000000"/>
          <w:spacing w:val="0"/>
          <w:w w:val="100"/>
          <w:position w:val="0"/>
        </w:rPr>
        <w:t>、</w:t>
      </w:r>
      <w:r>
        <w:rPr>
          <w:rFonts w:ascii="Times New Roman" w:eastAsia="Times New Roman" w:hAnsi="Times New Roman" w:cs="Times New Roman"/>
          <w:color w:val="000000"/>
          <w:spacing w:val="0"/>
          <w:w w:val="100"/>
          <w:position w:val="0"/>
        </w:rPr>
        <w:t>MGISEQ-200</w:t>
      </w:r>
      <w:r>
        <w:rPr>
          <w:color w:val="000000"/>
          <w:spacing w:val="0"/>
          <w:w w:val="100"/>
          <w:position w:val="0"/>
        </w:rPr>
        <w:t xml:space="preserve">及 </w:t>
      </w:r>
      <w:r>
        <w:rPr>
          <w:rFonts w:ascii="Times New Roman" w:eastAsia="Times New Roman" w:hAnsi="Times New Roman" w:cs="Times New Roman"/>
          <w:color w:val="000000"/>
          <w:spacing w:val="0"/>
          <w:w w:val="100"/>
          <w:position w:val="0"/>
        </w:rPr>
        <w:t>MGISEQ-2000</w:t>
      </w:r>
      <w:r>
        <w:rPr>
          <w:color w:val="000000"/>
          <w:spacing w:val="0"/>
          <w:w w:val="100"/>
          <w:position w:val="0"/>
        </w:rPr>
        <w:t>平台都完成了针对不同样品数量的本地化运营方案，实现了从样品到报告的多平台解决方案。另外针对</w:t>
      </w:r>
      <w:r>
        <w:rPr>
          <w:rFonts w:ascii="Times New Roman" w:eastAsia="Times New Roman" w:hAnsi="Times New Roman" w:cs="Times New Roman"/>
          <w:color w:val="000000"/>
          <w:spacing w:val="0"/>
          <w:w w:val="100"/>
          <w:position w:val="0"/>
        </w:rPr>
        <w:t>PGT- M</w:t>
      </w:r>
      <w:r>
        <w:rPr>
          <w:color w:val="000000"/>
          <w:spacing w:val="0"/>
          <w:w w:val="100"/>
          <w:position w:val="0"/>
        </w:rPr>
        <w:t>方向，充分利用科研及平台优势推出了基于全基因组的全面解决方案，除了可以对</w:t>
      </w:r>
      <w:r>
        <w:rPr>
          <w:rFonts w:ascii="Times New Roman" w:eastAsia="Times New Roman" w:hAnsi="Times New Roman" w:cs="Times New Roman"/>
          <w:color w:val="000000"/>
          <w:spacing w:val="0"/>
          <w:w w:val="100"/>
          <w:position w:val="0"/>
        </w:rPr>
        <w:t>PGT-A,PGT-M,PGT-SR</w:t>
      </w:r>
      <w:r>
        <w:rPr>
          <w:color w:val="000000"/>
          <w:spacing w:val="0"/>
          <w:w w:val="100"/>
          <w:position w:val="0"/>
        </w:rPr>
        <w:t>实现联检外，利 用公司自主知识产权的</w:t>
      </w:r>
      <w:r>
        <w:rPr>
          <w:rFonts w:ascii="Times New Roman" w:eastAsia="Times New Roman" w:hAnsi="Times New Roman" w:cs="Times New Roman"/>
          <w:color w:val="000000"/>
          <w:spacing w:val="0"/>
          <w:w w:val="100"/>
          <w:position w:val="0"/>
        </w:rPr>
        <w:t>stLFR</w:t>
      </w:r>
      <w:r>
        <w:rPr>
          <w:color w:val="000000"/>
          <w:spacing w:val="0"/>
          <w:w w:val="100"/>
          <w:position w:val="0"/>
        </w:rPr>
        <w:t>技术实现了大片段的单体型构建，解决了无先证及无法检出新发突变的行业痛点。为帮助临床 医生更好的进行临床数据回顾与科研探索，经过多年自主研发，报告期内公司推出遗传病数据解读云平台，为临床医生提供 整合了专业完善的变异注释、神经网络智能排序、半自动化</w:t>
      </w:r>
      <w:r>
        <w:rPr>
          <w:rFonts w:ascii="Times New Roman" w:eastAsia="Times New Roman" w:hAnsi="Times New Roman" w:cs="Times New Roman"/>
          <w:color w:val="000000"/>
          <w:spacing w:val="0"/>
          <w:w w:val="100"/>
          <w:position w:val="0"/>
        </w:rPr>
        <w:t>ACMG</w:t>
      </w:r>
      <w:r>
        <w:rPr>
          <w:color w:val="000000"/>
          <w:spacing w:val="0"/>
          <w:w w:val="100"/>
          <w:position w:val="0"/>
        </w:rPr>
        <w:t>解读和自动化出报告的一站式云端数据解读方案。</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月，公司联合中国罕见病联盟</w:t>
      </w:r>
      <w:r>
        <w:rPr>
          <w:rFonts w:ascii="Times New Roman" w:eastAsia="Times New Roman" w:hAnsi="Times New Roman" w:cs="Times New Roman"/>
          <w:color w:val="000000"/>
          <w:spacing w:val="0"/>
          <w:w w:val="100"/>
          <w:position w:val="0"/>
        </w:rPr>
        <w:t>DMD/BMD</w:t>
      </w:r>
      <w:r>
        <w:rPr>
          <w:color w:val="000000"/>
          <w:spacing w:val="0"/>
          <w:w w:val="100"/>
          <w:position w:val="0"/>
        </w:rPr>
        <w:t>学组以及国内多家长期从事</w:t>
      </w:r>
      <w:r>
        <w:rPr>
          <w:rFonts w:ascii="Times New Roman" w:eastAsia="Times New Roman" w:hAnsi="Times New Roman" w:cs="Times New Roman"/>
          <w:color w:val="000000"/>
          <w:spacing w:val="0"/>
          <w:w w:val="100"/>
          <w:position w:val="0"/>
        </w:rPr>
        <w:t>DMD/BMD</w:t>
      </w:r>
      <w:r>
        <w:rPr>
          <w:color w:val="000000"/>
          <w:spacing w:val="0"/>
          <w:w w:val="100"/>
          <w:position w:val="0"/>
        </w:rPr>
        <w:t>诊治工作的医院（例如中国医学科学院北 京协和医院、首都医科大学附属北京儿童医院等）共同发布《基于高通量测序技术检测杜兴</w:t>
      </w:r>
      <w:r>
        <w:rPr>
          <w:rFonts w:ascii="Times New Roman" w:eastAsia="Times New Roman" w:hAnsi="Times New Roman" w:cs="Times New Roman"/>
          <w:color w:val="000000"/>
          <w:spacing w:val="0"/>
          <w:w w:val="100"/>
          <w:position w:val="0"/>
        </w:rPr>
        <w:t>/</w:t>
      </w:r>
      <w:r>
        <w:rPr>
          <w:color w:val="000000"/>
          <w:spacing w:val="0"/>
          <w:w w:val="100"/>
          <w:position w:val="0"/>
        </w:rPr>
        <w:t>贝克型肌营养不良的应用规范》 团体标准，为高通量测序技术检测</w:t>
      </w:r>
      <w:r>
        <w:rPr>
          <w:rFonts w:ascii="Times New Roman" w:eastAsia="Times New Roman" w:hAnsi="Times New Roman" w:cs="Times New Roman"/>
          <w:color w:val="000000"/>
          <w:spacing w:val="0"/>
          <w:w w:val="100"/>
          <w:position w:val="0"/>
        </w:rPr>
        <w:t>DMD</w:t>
      </w:r>
      <w:r>
        <w:rPr>
          <w:color w:val="000000"/>
          <w:spacing w:val="0"/>
          <w:w w:val="100"/>
          <w:position w:val="0"/>
        </w:rPr>
        <w:t>基因临床应用提供了参考标准和路径。</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报告期内，生育健康方向参与发表科研文章</w:t>
      </w:r>
      <w:r>
        <w:rPr>
          <w:rFonts w:ascii="Times New Roman" w:eastAsia="Times New Roman" w:hAnsi="Times New Roman" w:cs="Times New Roman"/>
          <w:color w:val="000000"/>
          <w:spacing w:val="0"/>
          <w:w w:val="100"/>
          <w:position w:val="0"/>
        </w:rPr>
        <w:t>45</w:t>
      </w:r>
      <w:r>
        <w:rPr>
          <w:color w:val="000000"/>
          <w:spacing w:val="0"/>
          <w:w w:val="100"/>
          <w:position w:val="0"/>
        </w:rPr>
        <w:t>篇，累计影响因子为</w:t>
      </w:r>
      <w:r>
        <w:rPr>
          <w:rFonts w:ascii="Times New Roman" w:eastAsia="Times New Roman" w:hAnsi="Times New Roman" w:cs="Times New Roman"/>
          <w:color w:val="000000"/>
          <w:spacing w:val="0"/>
          <w:w w:val="100"/>
          <w:position w:val="0"/>
        </w:rPr>
        <w:t>181.679</w:t>
      </w:r>
      <w:r>
        <w:rPr>
          <w:color w:val="000000"/>
          <w:spacing w:val="0"/>
          <w:w w:val="100"/>
          <w:position w:val="0"/>
        </w:rPr>
        <w:t>。</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公司专注于串联质谱技术的新生儿遗传代谢病筛查领域多年，拥有高质量的检测能力和丰富的技术经验。目前可提供一 系列新生儿遗传代谢病的检测服务，以及</w:t>
      </w:r>
      <w:r>
        <w:rPr>
          <w:rFonts w:ascii="Times New Roman" w:eastAsia="Times New Roman" w:hAnsi="Times New Roman" w:cs="Times New Roman"/>
          <w:color w:val="000000"/>
          <w:spacing w:val="0"/>
          <w:w w:val="100"/>
          <w:position w:val="0"/>
        </w:rPr>
        <w:t>“</w:t>
      </w:r>
      <w:r>
        <w:rPr>
          <w:color w:val="000000"/>
          <w:spacing w:val="0"/>
          <w:w w:val="100"/>
          <w:position w:val="0"/>
        </w:rPr>
        <w:t>仪器</w:t>
      </w:r>
      <w:r>
        <w:rPr>
          <w:rFonts w:ascii="Times New Roman" w:eastAsia="Times New Roman" w:hAnsi="Times New Roman" w:cs="Times New Roman"/>
          <w:color w:val="000000"/>
          <w:spacing w:val="0"/>
          <w:w w:val="100"/>
          <w:position w:val="0"/>
        </w:rPr>
        <w:t>+</w:t>
      </w:r>
      <w:r>
        <w:rPr>
          <w:color w:val="000000"/>
          <w:spacing w:val="0"/>
          <w:w w:val="100"/>
          <w:position w:val="0"/>
        </w:rPr>
        <w:t>试剂</w:t>
      </w:r>
      <w:r>
        <w:rPr>
          <w:rFonts w:ascii="Times New Roman" w:eastAsia="Times New Roman" w:hAnsi="Times New Roman" w:cs="Times New Roman"/>
          <w:color w:val="000000"/>
          <w:spacing w:val="0"/>
          <w:w w:val="100"/>
          <w:position w:val="0"/>
        </w:rPr>
        <w:t>+</w:t>
      </w:r>
      <w:r>
        <w:rPr>
          <w:color w:val="000000"/>
          <w:spacing w:val="0"/>
          <w:w w:val="100"/>
          <w:position w:val="0"/>
        </w:rPr>
        <w:t>自动化前处理设备</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技术服务</w:t>
      </w:r>
      <w:r>
        <w:rPr>
          <w:rFonts w:ascii="Times New Roman" w:eastAsia="Times New Roman" w:hAnsi="Times New Roman" w:cs="Times New Roman"/>
          <w:color w:val="000000"/>
          <w:spacing w:val="0"/>
          <w:w w:val="100"/>
          <w:position w:val="0"/>
        </w:rPr>
        <w:t>”</w:t>
      </w:r>
      <w:r>
        <w:rPr>
          <w:color w:val="000000"/>
          <w:spacing w:val="0"/>
          <w:w w:val="100"/>
          <w:position w:val="0"/>
        </w:rPr>
        <w:t>的标准化临床质谱检测整体解决 方案。在检测服务方面，公司推出的新生儿遗传代谢病</w:t>
      </w:r>
      <w:r>
        <w:rPr>
          <w:rFonts w:ascii="Times New Roman" w:eastAsia="Times New Roman" w:hAnsi="Times New Roman" w:cs="Times New Roman"/>
          <w:color w:val="000000"/>
          <w:spacing w:val="0"/>
          <w:w w:val="100"/>
          <w:position w:val="0"/>
        </w:rPr>
        <w:t>“</w:t>
      </w:r>
      <w:r>
        <w:rPr>
          <w:color w:val="000000"/>
          <w:spacing w:val="0"/>
          <w:w w:val="100"/>
          <w:position w:val="0"/>
        </w:rPr>
        <w:t>筛诊一体</w:t>
      </w:r>
      <w:r>
        <w:rPr>
          <w:rFonts w:ascii="Times New Roman" w:eastAsia="Times New Roman" w:hAnsi="Times New Roman" w:cs="Times New Roman"/>
          <w:color w:val="000000"/>
          <w:spacing w:val="0"/>
          <w:w w:val="100"/>
          <w:position w:val="0"/>
        </w:rPr>
        <w:t>”</w:t>
      </w:r>
      <w:r>
        <w:rPr>
          <w:color w:val="000000"/>
          <w:spacing w:val="0"/>
          <w:w w:val="100"/>
          <w:position w:val="0"/>
        </w:rPr>
        <w:t>整体解决方案，不仅可以提供基于串联质谱技术的筛查服 务，还可通过对</w:t>
      </w:r>
      <w:r>
        <w:rPr>
          <w:rFonts w:ascii="Times New Roman" w:eastAsia="Times New Roman" w:hAnsi="Times New Roman" w:cs="Times New Roman"/>
          <w:color w:val="000000"/>
          <w:spacing w:val="0"/>
          <w:w w:val="100"/>
          <w:position w:val="0"/>
        </w:rPr>
        <w:t>LC-MS/MS</w:t>
      </w:r>
      <w:r>
        <w:rPr>
          <w:color w:val="000000"/>
          <w:spacing w:val="0"/>
          <w:w w:val="100"/>
          <w:position w:val="0"/>
        </w:rPr>
        <w:t>和</w:t>
      </w:r>
      <w:r>
        <w:rPr>
          <w:rFonts w:ascii="Times New Roman" w:eastAsia="Times New Roman" w:hAnsi="Times New Roman" w:cs="Times New Roman"/>
          <w:color w:val="000000"/>
          <w:spacing w:val="0"/>
          <w:w w:val="100"/>
          <w:position w:val="0"/>
        </w:rPr>
        <w:t>GC-MS/MS</w:t>
      </w:r>
      <w:r>
        <w:rPr>
          <w:color w:val="000000"/>
          <w:spacing w:val="0"/>
          <w:w w:val="100"/>
          <w:position w:val="0"/>
        </w:rPr>
        <w:t>两种技术的联合使用，有效提高新生儿遗传代谢病筛查的准确性和特异性；同时结 合国产自主测序平台，为高危疑似患儿提供基因检测，辅助疾病快速确诊。为进一步提高在新生儿遗传代谢病筛查领域的综 合实力，公司持续加强产品研发升级，目前还可提供基于串联质谱技术的新生儿溶酶体贮积症</w:t>
      </w:r>
      <w:r>
        <w:rPr>
          <w:color w:val="000000"/>
          <w:spacing w:val="0"/>
          <w:w w:val="100"/>
          <w:position w:val="0"/>
        </w:rPr>
        <w:t>（</w:t>
      </w:r>
      <w:r>
        <w:rPr>
          <w:rFonts w:ascii="Times New Roman" w:eastAsia="Times New Roman" w:hAnsi="Times New Roman" w:cs="Times New Roman"/>
          <w:color w:val="000000"/>
          <w:spacing w:val="0"/>
          <w:w w:val="100"/>
          <w:position w:val="0"/>
        </w:rPr>
        <w:t>LSD</w:t>
      </w:r>
      <w:r>
        <w:rPr>
          <w:color w:val="000000"/>
          <w:spacing w:val="0"/>
          <w:w w:val="100"/>
          <w:position w:val="0"/>
        </w:rPr>
        <w:t>）</w:t>
      </w:r>
      <w:r>
        <w:rPr>
          <w:color w:val="000000"/>
          <w:spacing w:val="0"/>
          <w:w w:val="100"/>
          <w:position w:val="0"/>
        </w:rPr>
        <w:t xml:space="preserve">和先天性肾上腺皮质 </w:t>
      </w:r>
      <w:r>
        <w:rPr>
          <w:color w:val="000000"/>
          <w:spacing w:val="0"/>
          <w:w w:val="100"/>
          <w:position w:val="0"/>
        </w:rPr>
        <w:t>增生症</w:t>
      </w:r>
      <w:r>
        <w:rPr>
          <w:color w:val="000000"/>
          <w:spacing w:val="0"/>
          <w:w w:val="100"/>
          <w:position w:val="0"/>
        </w:rPr>
        <w:t>（</w:t>
      </w:r>
      <w:r>
        <w:rPr>
          <w:rFonts w:ascii="Times New Roman" w:eastAsia="Times New Roman" w:hAnsi="Times New Roman" w:cs="Times New Roman"/>
          <w:color w:val="000000"/>
          <w:spacing w:val="0"/>
          <w:w w:val="100"/>
          <w:position w:val="0"/>
        </w:rPr>
        <w:t>CAH</w:t>
      </w:r>
      <w:r>
        <w:rPr>
          <w:color w:val="000000"/>
          <w:spacing w:val="0"/>
          <w:w w:val="100"/>
          <w:position w:val="0"/>
        </w:rPr>
        <w:t>）</w:t>
      </w:r>
      <w:r>
        <w:rPr>
          <w:color w:val="000000"/>
          <w:spacing w:val="0"/>
          <w:w w:val="100"/>
          <w:position w:val="0"/>
        </w:rPr>
        <w:t>的检测服务，进一步拓展了新生儿遗传代谢病筛查产品线。在孕期微量营养素检测方向，公司获得了</w:t>
      </w:r>
      <w:r>
        <w:rPr>
          <w:rFonts w:ascii="Times New Roman" w:eastAsia="Times New Roman" w:hAnsi="Times New Roman" w:cs="Times New Roman"/>
          <w:color w:val="000000"/>
          <w:spacing w:val="0"/>
          <w:w w:val="100"/>
          <w:position w:val="0"/>
        </w:rPr>
        <w:t>20</w:t>
      </w:r>
      <w:r>
        <w:rPr>
          <w:color w:val="000000"/>
          <w:spacing w:val="0"/>
          <w:w w:val="100"/>
          <w:position w:val="0"/>
        </w:rPr>
        <w:t>种氨 基酸、</w:t>
      </w:r>
      <w:r>
        <w:rPr>
          <w:rFonts w:ascii="Times New Roman" w:eastAsia="Times New Roman" w:hAnsi="Times New Roman" w:cs="Times New Roman"/>
          <w:color w:val="000000"/>
          <w:spacing w:val="0"/>
          <w:w w:val="100"/>
          <w:position w:val="0"/>
        </w:rPr>
        <w:t>14</w:t>
      </w:r>
      <w:r>
        <w:rPr>
          <w:color w:val="000000"/>
          <w:spacing w:val="0"/>
          <w:w w:val="100"/>
          <w:position w:val="0"/>
        </w:rPr>
        <w:t>种类固醇激素、</w:t>
      </w:r>
      <w:r>
        <w:rPr>
          <w:rFonts w:ascii="Times New Roman" w:eastAsia="Times New Roman" w:hAnsi="Times New Roman" w:cs="Times New Roman"/>
          <w:color w:val="000000"/>
          <w:spacing w:val="0"/>
          <w:w w:val="100"/>
          <w:position w:val="0"/>
        </w:rPr>
        <w:t>5</w:t>
      </w:r>
      <w:r>
        <w:rPr>
          <w:color w:val="000000"/>
          <w:spacing w:val="0"/>
          <w:w w:val="100"/>
          <w:position w:val="0"/>
        </w:rPr>
        <w:t>种脂溶性维生素和</w:t>
      </w:r>
      <w:r>
        <w:rPr>
          <w:rFonts w:ascii="Times New Roman" w:eastAsia="Times New Roman" w:hAnsi="Times New Roman" w:cs="Times New Roman"/>
          <w:color w:val="000000"/>
          <w:spacing w:val="0"/>
          <w:w w:val="100"/>
          <w:position w:val="0"/>
        </w:rPr>
        <w:t>5</w:t>
      </w:r>
      <w:r>
        <w:rPr>
          <w:color w:val="000000"/>
          <w:spacing w:val="0"/>
          <w:w w:val="100"/>
          <w:position w:val="0"/>
        </w:rPr>
        <w:t>种水溶性维生素（液相串联质谱法）的第</w:t>
      </w:r>
      <w:r>
        <w:rPr>
          <w:rFonts w:ascii="Times New Roman" w:eastAsia="Times New Roman" w:hAnsi="Times New Roman" w:cs="Times New Roman"/>
          <w:color w:val="000000"/>
          <w:spacing w:val="0"/>
          <w:w w:val="100"/>
          <w:position w:val="0"/>
        </w:rPr>
        <w:t>II</w:t>
      </w:r>
      <w:r>
        <w:rPr>
          <w:color w:val="000000"/>
          <w:spacing w:val="0"/>
          <w:w w:val="100"/>
          <w:position w:val="0"/>
        </w:rPr>
        <w:t>类体外诊断试剂资质，其中氨基酸 和类固醇激素检测产品为行业领先获得国家</w:t>
      </w:r>
      <w:r>
        <w:rPr>
          <w:rFonts w:ascii="Times New Roman" w:eastAsia="Times New Roman" w:hAnsi="Times New Roman" w:cs="Times New Roman"/>
          <w:color w:val="000000"/>
          <w:spacing w:val="0"/>
          <w:w w:val="100"/>
          <w:position w:val="0"/>
        </w:rPr>
        <w:t>II</w:t>
      </w:r>
      <w:r>
        <w:rPr>
          <w:color w:val="000000"/>
          <w:spacing w:val="0"/>
          <w:w w:val="100"/>
          <w:position w:val="0"/>
        </w:rPr>
        <w:t>类医疗器械注册证的产品，脂溶性维生素和水溶性维生素检测产品的资质获批 亦走在国内前列。</w:t>
      </w:r>
    </w:p>
    <w:p>
      <w:pPr>
        <w:pStyle w:val="Style17"/>
        <w:keepNext w:val="0"/>
        <w:keepLines w:val="0"/>
        <w:widowControl w:val="0"/>
        <w:shd w:val="clear" w:color="auto" w:fill="auto"/>
        <w:bidi w:val="0"/>
        <w:spacing w:before="0" w:after="120" w:line="313" w:lineRule="exact"/>
        <w:ind w:left="0" w:right="0"/>
        <w:jc w:val="both"/>
      </w:pPr>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rPr>
        <w:t>2</w:t>
      </w:r>
      <w:r>
        <w:rPr>
          <w:color w:val="000000"/>
          <w:spacing w:val="0"/>
          <w:w w:val="100"/>
          <w:position w:val="0"/>
        </w:rPr>
        <w:t>）肿瘤防控及转化医学类服务的研发与产品线优势</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肿瘤防控及转化医学类服务方面，公司围绕</w:t>
      </w:r>
      <w:r>
        <w:rPr>
          <w:rFonts w:ascii="Times New Roman" w:eastAsia="Times New Roman" w:hAnsi="Times New Roman" w:cs="Times New Roman"/>
          <w:color w:val="000000"/>
          <w:spacing w:val="0"/>
          <w:w w:val="100"/>
          <w:position w:val="0"/>
        </w:rPr>
        <w:t>“</w:t>
      </w:r>
      <w:r>
        <w:rPr>
          <w:color w:val="000000"/>
          <w:spacing w:val="0"/>
          <w:w w:val="100"/>
          <w:position w:val="0"/>
        </w:rPr>
        <w:t>预、筛、诊、监</w:t>
      </w:r>
      <w:r>
        <w:rPr>
          <w:rFonts w:ascii="Times New Roman" w:eastAsia="Times New Roman" w:hAnsi="Times New Roman" w:cs="Times New Roman"/>
          <w:color w:val="000000"/>
          <w:spacing w:val="0"/>
          <w:w w:val="100"/>
          <w:position w:val="0"/>
        </w:rPr>
        <w:t>”</w:t>
      </w:r>
      <w:r>
        <w:rPr>
          <w:color w:val="000000"/>
          <w:spacing w:val="0"/>
          <w:w w:val="100"/>
          <w:position w:val="0"/>
        </w:rPr>
        <w:t>各防控环节，产品线布局主要基于高通量测序技术为主， 同时辅以荧光定量</w:t>
      </w:r>
      <w:r>
        <w:rPr>
          <w:rFonts w:ascii="Times New Roman" w:eastAsia="Times New Roman" w:hAnsi="Times New Roman" w:cs="Times New Roman"/>
          <w:color w:val="000000"/>
          <w:spacing w:val="0"/>
          <w:w w:val="100"/>
          <w:position w:val="0"/>
        </w:rPr>
        <w:t>PCR</w:t>
      </w:r>
      <w:r>
        <w:rPr>
          <w:color w:val="000000"/>
          <w:spacing w:val="0"/>
          <w:w w:val="100"/>
          <w:position w:val="0"/>
        </w:rPr>
        <w:t>技术、数字</w:t>
      </w:r>
      <w:r>
        <w:rPr>
          <w:rFonts w:ascii="Times New Roman" w:eastAsia="Times New Roman" w:hAnsi="Times New Roman" w:cs="Times New Roman"/>
          <w:color w:val="000000"/>
          <w:spacing w:val="0"/>
          <w:w w:val="100"/>
          <w:position w:val="0"/>
        </w:rPr>
        <w:t>PCR</w:t>
      </w:r>
      <w:r>
        <w:rPr>
          <w:color w:val="000000"/>
          <w:spacing w:val="0"/>
          <w:w w:val="100"/>
          <w:position w:val="0"/>
        </w:rPr>
        <w:t>技术等快速检测模式，在分子诊断及免疫诊断方面建立全面完善的产品体系及技术布 局，形成遗传性风险评估、肿瘤筛查、用药指导、复发监测等产品布局，并紧跟全球先进的科学发现进展，布局了一系列前 沿诊疗产品。</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随着肿瘤研究的前沿进展和检测技术的快速发展，基于新型分子检测技术的肿瘤早期诊断成为可能。公司快速布局肿 瘤早筛领域，华大数极在</w:t>
      </w:r>
      <w:r>
        <w:rPr>
          <w:rFonts w:ascii="Times New Roman" w:eastAsia="Times New Roman" w:hAnsi="Times New Roman" w:cs="Times New Roman"/>
          <w:color w:val="000000"/>
          <w:spacing w:val="0"/>
          <w:w w:val="100"/>
          <w:position w:val="0"/>
        </w:rPr>
        <w:t>2019-2020</w:t>
      </w:r>
      <w:r>
        <w:rPr>
          <w:color w:val="000000"/>
          <w:spacing w:val="0"/>
          <w:w w:val="100"/>
          <w:position w:val="0"/>
        </w:rPr>
        <w:t>年度已完成肠癌、肝癌产品开发和上市（商品名分别为华常康</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无创肠癌基因检测、华 甘宁</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无创肝癌基因检测），目前已完成多癌种检测技术原型开发，多个癌种产品已进入扩大临床验证阶段并已分阶段启动 资质申报工作。公司在</w:t>
      </w:r>
      <w:r>
        <w:rPr>
          <w:rFonts w:ascii="Times New Roman" w:eastAsia="Times New Roman" w:hAnsi="Times New Roman" w:cs="Times New Roman"/>
          <w:color w:val="000000"/>
          <w:spacing w:val="0"/>
          <w:w w:val="100"/>
          <w:position w:val="0"/>
        </w:rPr>
        <w:t>2021</w:t>
      </w:r>
      <w:r>
        <w:rPr>
          <w:color w:val="000000"/>
          <w:spacing w:val="0"/>
          <w:w w:val="100"/>
          <w:position w:val="0"/>
        </w:rPr>
        <w:t>年世界胃肠道肿瘤大会（</w:t>
      </w:r>
      <w:r>
        <w:rPr>
          <w:rFonts w:ascii="Times New Roman" w:eastAsia="Times New Roman" w:hAnsi="Times New Roman" w:cs="Times New Roman"/>
          <w:color w:val="000000"/>
          <w:spacing w:val="0"/>
          <w:w w:val="100"/>
          <w:position w:val="0"/>
        </w:rPr>
        <w:t xml:space="preserve">ESMO World GI </w:t>
      </w:r>
      <w:r>
        <w:rPr>
          <w:rFonts w:ascii="Times New Roman" w:eastAsia="Times New Roman" w:hAnsi="Times New Roman" w:cs="Times New Roman"/>
          <w:color w:val="000000"/>
          <w:spacing w:val="0"/>
          <w:w w:val="100"/>
          <w:position w:val="0"/>
        </w:rPr>
        <w:t>2021</w:t>
      </w:r>
      <w:r>
        <w:rPr>
          <w:color w:val="000000"/>
          <w:spacing w:val="0"/>
          <w:w w:val="100"/>
          <w:position w:val="0"/>
        </w:rPr>
        <w:t>）发布基于多组学技术的胰腺癌早检研究成果， 基于</w:t>
      </w:r>
      <w:r>
        <w:rPr>
          <w:rFonts w:ascii="Times New Roman" w:eastAsia="Times New Roman" w:hAnsi="Times New Roman" w:cs="Times New Roman"/>
          <w:color w:val="000000"/>
          <w:spacing w:val="0"/>
          <w:w w:val="100"/>
          <w:position w:val="0"/>
        </w:rPr>
        <w:t>cfDNA</w:t>
      </w:r>
      <w:r>
        <w:rPr>
          <w:color w:val="000000"/>
          <w:spacing w:val="0"/>
          <w:w w:val="100"/>
          <w:position w:val="0"/>
        </w:rPr>
        <w:t>突变、甲基化、肿瘤标志物的多组学联合模型具有优异的检测灵敏度和特异性，相较于单一组学模型能显著提 高胰腺癌诊断率及预后评估。华大数极自主研发的、基于粪便</w:t>
      </w:r>
      <w:r>
        <w:rPr>
          <w:rFonts w:ascii="Times New Roman" w:eastAsia="Times New Roman" w:hAnsi="Times New Roman" w:cs="Times New Roman"/>
          <w:color w:val="000000"/>
          <w:spacing w:val="0"/>
          <w:w w:val="100"/>
          <w:position w:val="0"/>
        </w:rPr>
        <w:t>DNA</w:t>
      </w:r>
      <w:r>
        <w:rPr>
          <w:color w:val="000000"/>
          <w:spacing w:val="0"/>
          <w:w w:val="100"/>
          <w:position w:val="0"/>
        </w:rPr>
        <w:t>检测的肠癌辅助诊断产品相关试剂盒均获得欧盟</w:t>
      </w:r>
      <w:r>
        <w:rPr>
          <w:rFonts w:ascii="Times New Roman" w:eastAsia="Times New Roman" w:hAnsi="Times New Roman" w:cs="Times New Roman"/>
          <w:color w:val="000000"/>
          <w:spacing w:val="0"/>
          <w:w w:val="100"/>
          <w:position w:val="0"/>
        </w:rPr>
        <w:t>CE</w:t>
      </w:r>
      <w:r>
        <w:rPr>
          <w:color w:val="000000"/>
          <w:spacing w:val="0"/>
          <w:w w:val="100"/>
          <w:position w:val="0"/>
        </w:rPr>
        <w:t>准入 资质和英国</w:t>
      </w:r>
      <w:r>
        <w:rPr>
          <w:rFonts w:ascii="Times New Roman" w:eastAsia="Times New Roman" w:hAnsi="Times New Roman" w:cs="Times New Roman"/>
          <w:color w:val="000000"/>
          <w:spacing w:val="0"/>
          <w:w w:val="100"/>
          <w:position w:val="0"/>
        </w:rPr>
        <w:t>MHRA</w:t>
      </w:r>
      <w:r>
        <w:rPr>
          <w:color w:val="000000"/>
          <w:spacing w:val="0"/>
          <w:w w:val="100"/>
          <w:position w:val="0"/>
        </w:rPr>
        <w:t>准入资质，为未来公司在国际肿瘤防控市场打造先发产品优势奠定了坚实的基础。针对女性肿瘤防控， 公司基于高通量测序技术开发的</w:t>
      </w:r>
      <w:r>
        <w:rPr>
          <w:rFonts w:ascii="Times New Roman" w:eastAsia="Times New Roman" w:hAnsi="Times New Roman" w:cs="Times New Roman"/>
          <w:color w:val="000000"/>
          <w:spacing w:val="0"/>
          <w:w w:val="100"/>
          <w:position w:val="0"/>
        </w:rPr>
        <w:t>HPV</w:t>
      </w:r>
      <w:r>
        <w:rPr>
          <w:color w:val="000000"/>
          <w:spacing w:val="0"/>
          <w:w w:val="100"/>
          <w:position w:val="0"/>
        </w:rPr>
        <w:t>检测经过近</w:t>
      </w:r>
      <w:r>
        <w:rPr>
          <w:rFonts w:ascii="Times New Roman" w:eastAsia="Times New Roman" w:hAnsi="Times New Roman" w:cs="Times New Roman"/>
          <w:color w:val="000000"/>
          <w:spacing w:val="0"/>
          <w:w w:val="100"/>
          <w:position w:val="0"/>
        </w:rPr>
        <w:t>620</w:t>
      </w:r>
      <w:r>
        <w:rPr>
          <w:color w:val="000000"/>
          <w:spacing w:val="0"/>
          <w:w w:val="100"/>
          <w:position w:val="0"/>
        </w:rPr>
        <w:t>万例临床样本检测数据验证，其极高的检测通量和自取样方式可以有效 应对较大规模人群的</w:t>
      </w:r>
      <w:r>
        <w:rPr>
          <w:rFonts w:ascii="Times New Roman" w:eastAsia="Times New Roman" w:hAnsi="Times New Roman" w:cs="Times New Roman"/>
          <w:color w:val="000000"/>
          <w:spacing w:val="0"/>
          <w:w w:val="100"/>
          <w:position w:val="0"/>
        </w:rPr>
        <w:t>HPV</w:t>
      </w:r>
      <w:r>
        <w:rPr>
          <w:color w:val="000000"/>
          <w:spacing w:val="0"/>
          <w:w w:val="100"/>
          <w:position w:val="0"/>
        </w:rPr>
        <w:t>病毒检测。目前</w:t>
      </w:r>
      <w:r>
        <w:rPr>
          <w:rFonts w:ascii="Times New Roman" w:eastAsia="Times New Roman" w:hAnsi="Times New Roman" w:cs="Times New Roman"/>
          <w:color w:val="000000"/>
          <w:spacing w:val="0"/>
          <w:w w:val="100"/>
          <w:position w:val="0"/>
        </w:rPr>
        <w:t>HPV</w:t>
      </w:r>
      <w:r>
        <w:rPr>
          <w:color w:val="000000"/>
          <w:spacing w:val="0"/>
          <w:w w:val="100"/>
          <w:position w:val="0"/>
        </w:rPr>
        <w:t>提取、建库试剂盒及分析软件已完成欧盟</w:t>
      </w:r>
      <w:r>
        <w:rPr>
          <w:rFonts w:ascii="Times New Roman" w:eastAsia="Times New Roman" w:hAnsi="Times New Roman" w:cs="Times New Roman"/>
          <w:color w:val="000000"/>
          <w:spacing w:val="0"/>
          <w:w w:val="100"/>
          <w:position w:val="0"/>
        </w:rPr>
        <w:t>CE</w:t>
      </w:r>
      <w:r>
        <w:rPr>
          <w:color w:val="000000"/>
          <w:spacing w:val="0"/>
          <w:w w:val="100"/>
          <w:position w:val="0"/>
        </w:rPr>
        <w:t>认证，对公司肿瘤防控海外业务 将产生积极影响。报告期内，公司推出以</w:t>
      </w:r>
      <w:r>
        <w:rPr>
          <w:rFonts w:ascii="Times New Roman" w:eastAsia="Times New Roman" w:hAnsi="Times New Roman" w:cs="Times New Roman"/>
          <w:color w:val="000000"/>
          <w:spacing w:val="0"/>
          <w:w w:val="100"/>
          <w:position w:val="0"/>
        </w:rPr>
        <w:t>“</w:t>
      </w:r>
      <w:r>
        <w:rPr>
          <w:color w:val="000000"/>
          <w:spacing w:val="0"/>
          <w:w w:val="100"/>
          <w:position w:val="0"/>
        </w:rPr>
        <w:t>两癌</w:t>
      </w:r>
      <w:r>
        <w:rPr>
          <w:rFonts w:ascii="Times New Roman" w:eastAsia="Times New Roman" w:hAnsi="Times New Roman" w:cs="Times New Roman"/>
          <w:color w:val="000000"/>
          <w:spacing w:val="0"/>
          <w:w w:val="100"/>
          <w:position w:val="0"/>
        </w:rPr>
        <w:t>”</w:t>
      </w:r>
      <w:r>
        <w:rPr>
          <w:color w:val="000000"/>
          <w:spacing w:val="0"/>
          <w:w w:val="100"/>
          <w:position w:val="0"/>
        </w:rPr>
        <w:t>智能筛查车为载体的智能乳腺超声和</w:t>
      </w:r>
      <w:r>
        <w:rPr>
          <w:rFonts w:ascii="Times New Roman" w:eastAsia="Times New Roman" w:hAnsi="Times New Roman" w:cs="Times New Roman"/>
          <w:color w:val="000000"/>
          <w:spacing w:val="0"/>
          <w:w w:val="100"/>
          <w:position w:val="0"/>
        </w:rPr>
        <w:t>HPV</w:t>
      </w:r>
      <w:r>
        <w:rPr>
          <w:color w:val="000000"/>
          <w:spacing w:val="0"/>
          <w:w w:val="100"/>
          <w:position w:val="0"/>
        </w:rPr>
        <w:t>自取样一体化筛查服务，并在河 北省赤城县实现首个项目落地，打通两癌（乳腺癌、宫颈癌）筛查最后一公里，提高县乡村女性两癌早诊早治率。</w:t>
      </w:r>
    </w:p>
    <w:p>
      <w:pPr>
        <w:pStyle w:val="Style17"/>
        <w:keepNext w:val="0"/>
        <w:keepLines w:val="0"/>
        <w:widowControl w:val="0"/>
        <w:shd w:val="clear" w:color="auto" w:fill="auto"/>
        <w:bidi w:val="0"/>
        <w:spacing w:before="0" w:after="40" w:line="313" w:lineRule="exact"/>
        <w:ind w:left="0" w:right="0"/>
        <w:jc w:val="both"/>
      </w:pPr>
      <w:r>
        <w:rPr>
          <w:color w:val="000000"/>
          <w:spacing w:val="0"/>
          <w:w w:val="100"/>
          <w:position w:val="0"/>
        </w:rPr>
        <w:t>在肿瘤个体化诊疗和用药指导方面，公司一直深耕</w:t>
      </w:r>
      <w:r>
        <w:rPr>
          <w:rFonts w:ascii="Times New Roman" w:eastAsia="Times New Roman" w:hAnsi="Times New Roman" w:cs="Times New Roman"/>
          <w:color w:val="000000"/>
          <w:spacing w:val="0"/>
          <w:w w:val="100"/>
          <w:position w:val="0"/>
        </w:rPr>
        <w:t>PARP</w:t>
      </w:r>
      <w:r>
        <w:rPr>
          <w:color w:val="000000"/>
          <w:spacing w:val="0"/>
          <w:w w:val="100"/>
          <w:position w:val="0"/>
        </w:rPr>
        <w:t>抑制剂伴随诊断的相关检测业务，历经</w:t>
      </w:r>
      <w:r>
        <w:rPr>
          <w:rFonts w:ascii="Times New Roman" w:eastAsia="Times New Roman" w:hAnsi="Times New Roman" w:cs="Times New Roman"/>
          <w:color w:val="000000"/>
          <w:spacing w:val="0"/>
          <w:w w:val="100"/>
          <w:position w:val="0"/>
        </w:rPr>
        <w:t>9</w:t>
      </w:r>
      <w:r>
        <w:rPr>
          <w:color w:val="000000"/>
          <w:spacing w:val="0"/>
          <w:w w:val="100"/>
          <w:position w:val="0"/>
        </w:rPr>
        <w:t>年完成</w:t>
      </w:r>
      <w:r>
        <w:rPr>
          <w:rFonts w:ascii="Times New Roman" w:eastAsia="Times New Roman" w:hAnsi="Times New Roman" w:cs="Times New Roman"/>
          <w:color w:val="000000"/>
          <w:spacing w:val="0"/>
          <w:w w:val="100"/>
          <w:position w:val="0"/>
        </w:rPr>
        <w:t xml:space="preserve">BRCA-HRR </w:t>
      </w:r>
      <w:r>
        <w:rPr>
          <w:rFonts w:ascii="Times New Roman" w:eastAsia="Times New Roman" w:hAnsi="Times New Roman" w:cs="Times New Roman"/>
          <w:color w:val="000000"/>
          <w:spacing w:val="0"/>
          <w:w w:val="100"/>
          <w:position w:val="0"/>
        </w:rPr>
        <w:t>（</w:t>
      </w:r>
      <w:r>
        <w:rPr>
          <w:color w:val="000000"/>
          <w:spacing w:val="0"/>
          <w:w w:val="100"/>
          <w:position w:val="0"/>
        </w:rPr>
        <w:t>同 源重组修复）</w:t>
      </w:r>
      <w:r>
        <w:rPr>
          <w:rFonts w:ascii="Times New Roman" w:eastAsia="Times New Roman" w:hAnsi="Times New Roman" w:cs="Times New Roman"/>
          <w:color w:val="000000"/>
          <w:spacing w:val="0"/>
          <w:w w:val="100"/>
          <w:position w:val="0"/>
        </w:rPr>
        <w:t xml:space="preserve">-HRD </w:t>
      </w:r>
      <w:r>
        <w:rPr>
          <w:color w:val="000000"/>
          <w:spacing w:val="0"/>
          <w:w w:val="100"/>
          <w:position w:val="0"/>
        </w:rPr>
        <w:t>（同源重组缺陷）检测的全产品布局。公司自主研发的</w:t>
      </w:r>
      <w:r>
        <w:rPr>
          <w:rFonts w:ascii="Times New Roman" w:eastAsia="Times New Roman" w:hAnsi="Times New Roman" w:cs="Times New Roman"/>
          <w:color w:val="000000"/>
          <w:spacing w:val="0"/>
          <w:w w:val="100"/>
          <w:position w:val="0"/>
        </w:rPr>
        <w:t>BRCA1/2</w:t>
      </w:r>
      <w:r>
        <w:rPr>
          <w:color w:val="000000"/>
          <w:spacing w:val="0"/>
          <w:w w:val="100"/>
          <w:position w:val="0"/>
        </w:rPr>
        <w:t>基因突变检测试剂盒（联合探针锚定聚 合测序法）及配套提取试剂和软件均已获得</w:t>
      </w:r>
      <w:r>
        <w:rPr>
          <w:rFonts w:ascii="Times New Roman" w:eastAsia="Times New Roman" w:hAnsi="Times New Roman" w:cs="Times New Roman"/>
          <w:color w:val="000000"/>
          <w:spacing w:val="0"/>
          <w:w w:val="100"/>
          <w:position w:val="0"/>
        </w:rPr>
        <w:t>CE</w:t>
      </w:r>
      <w:r>
        <w:rPr>
          <w:color w:val="000000"/>
          <w:spacing w:val="0"/>
          <w:w w:val="100"/>
          <w:position w:val="0"/>
        </w:rPr>
        <w:t xml:space="preserve">准入资质，实现了 </w:t>
      </w:r>
      <w:r>
        <w:rPr>
          <w:rFonts w:ascii="Times New Roman" w:eastAsia="Times New Roman" w:hAnsi="Times New Roman" w:cs="Times New Roman"/>
          <w:color w:val="000000"/>
          <w:spacing w:val="0"/>
          <w:w w:val="100"/>
          <w:position w:val="0"/>
        </w:rPr>
        <w:t>BRCA</w:t>
      </w:r>
      <w:r>
        <w:rPr>
          <w:color w:val="000000"/>
          <w:spacing w:val="0"/>
          <w:w w:val="100"/>
          <w:position w:val="0"/>
        </w:rPr>
        <w:t>检测全流程欧盟</w:t>
      </w:r>
      <w:r>
        <w:rPr>
          <w:rFonts w:ascii="Times New Roman" w:eastAsia="Times New Roman" w:hAnsi="Times New Roman" w:cs="Times New Roman"/>
          <w:color w:val="000000"/>
          <w:spacing w:val="0"/>
          <w:w w:val="100"/>
          <w:position w:val="0"/>
        </w:rPr>
        <w:t>CE</w:t>
      </w:r>
      <w:r>
        <w:rPr>
          <w:color w:val="000000"/>
          <w:spacing w:val="0"/>
          <w:w w:val="100"/>
          <w:position w:val="0"/>
        </w:rPr>
        <w:t>资质保障；同时配套的分析软件 获得了沙特阿拉伯</w:t>
      </w:r>
      <w:r>
        <w:rPr>
          <w:rFonts w:ascii="Times New Roman" w:eastAsia="Times New Roman" w:hAnsi="Times New Roman" w:cs="Times New Roman"/>
          <w:color w:val="000000"/>
          <w:spacing w:val="0"/>
          <w:w w:val="100"/>
          <w:position w:val="0"/>
        </w:rPr>
        <w:t>SFDA</w:t>
      </w:r>
      <w:r>
        <w:rPr>
          <w:color w:val="000000"/>
          <w:spacing w:val="0"/>
          <w:w w:val="100"/>
          <w:position w:val="0"/>
        </w:rPr>
        <w:t>准入资质，国内资质注册申请已获得受理。公司在</w:t>
      </w:r>
      <w:r>
        <w:rPr>
          <w:rFonts w:ascii="Times New Roman" w:eastAsia="Times New Roman" w:hAnsi="Times New Roman" w:cs="Times New Roman"/>
          <w:color w:val="000000"/>
          <w:spacing w:val="0"/>
          <w:w w:val="100"/>
          <w:position w:val="0"/>
        </w:rPr>
        <w:t>2020</w:t>
      </w:r>
      <w:r>
        <w:rPr>
          <w:color w:val="000000"/>
          <w:spacing w:val="0"/>
          <w:w w:val="100"/>
          <w:position w:val="0"/>
        </w:rPr>
        <w:t>年推出自主研发的华然迪</w:t>
      </w:r>
      <w:r>
        <w:rPr>
          <w:rFonts w:ascii="Times New Roman" w:eastAsia="Times New Roman" w:hAnsi="Times New Roman" w:cs="Times New Roman"/>
          <w:color w:val="000000"/>
          <w:spacing w:val="0"/>
          <w:w w:val="100"/>
          <w:position w:val="0"/>
        </w:rPr>
        <w:t>™</w:t>
      </w:r>
      <w:r>
        <w:rPr>
          <w:color w:val="000000"/>
          <w:spacing w:val="0"/>
          <w:w w:val="100"/>
          <w:position w:val="0"/>
        </w:rPr>
        <w:t>同源重组缺陷评 分检测，是国内首批上市的</w:t>
      </w:r>
      <w:r>
        <w:rPr>
          <w:rFonts w:ascii="Times New Roman" w:eastAsia="Times New Roman" w:hAnsi="Times New Roman" w:cs="Times New Roman"/>
          <w:color w:val="000000"/>
          <w:spacing w:val="0"/>
          <w:w w:val="100"/>
          <w:position w:val="0"/>
        </w:rPr>
        <w:t>HRD</w:t>
      </w:r>
      <w:r>
        <w:rPr>
          <w:color w:val="000000"/>
          <w:spacing w:val="0"/>
          <w:w w:val="100"/>
          <w:position w:val="0"/>
        </w:rPr>
        <w:t>评分产品。该产品在</w:t>
      </w:r>
      <w:r>
        <w:rPr>
          <w:rFonts w:ascii="Times New Roman" w:eastAsia="Times New Roman" w:hAnsi="Times New Roman" w:cs="Times New Roman"/>
          <w:color w:val="000000"/>
          <w:spacing w:val="0"/>
          <w:w w:val="100"/>
          <w:position w:val="0"/>
        </w:rPr>
        <w:t>2021</w:t>
      </w:r>
      <w:r>
        <w:rPr>
          <w:color w:val="000000"/>
          <w:spacing w:val="0"/>
          <w:w w:val="100"/>
          <w:position w:val="0"/>
        </w:rPr>
        <w:t>年进行了全新升级，可同时实现</w:t>
      </w:r>
      <w:r>
        <w:rPr>
          <w:rFonts w:ascii="Times New Roman" w:eastAsia="Times New Roman" w:hAnsi="Times New Roman" w:cs="Times New Roman"/>
          <w:color w:val="000000"/>
          <w:spacing w:val="0"/>
          <w:w w:val="100"/>
          <w:position w:val="0"/>
        </w:rPr>
        <w:t>HRD</w:t>
      </w:r>
      <w:r>
        <w:rPr>
          <w:color w:val="000000"/>
          <w:spacing w:val="0"/>
          <w:w w:val="100"/>
          <w:position w:val="0"/>
        </w:rPr>
        <w:t>评分及</w:t>
      </w:r>
      <w:r>
        <w:rPr>
          <w:rFonts w:ascii="Times New Roman" w:eastAsia="Times New Roman" w:hAnsi="Times New Roman" w:cs="Times New Roman"/>
          <w:color w:val="000000"/>
          <w:spacing w:val="0"/>
          <w:w w:val="100"/>
          <w:position w:val="0"/>
        </w:rPr>
        <w:t>HRR</w:t>
      </w:r>
      <w:r>
        <w:rPr>
          <w:color w:val="000000"/>
          <w:spacing w:val="0"/>
          <w:w w:val="100"/>
          <w:position w:val="0"/>
        </w:rPr>
        <w:t>基因突变的共同 检测，提升了检测效率，涉及的两项专利已获得授权，公司在国际专业期刊上发表了中国检测公司的首篇该领域相应技术文 章，该产品在检测技术、数据积累等方面具有行业领先优势。公司在报告期内推出华妍安</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子宫内膜癌分子分型检测，在</w:t>
      </w:r>
      <w:r>
        <w:rPr>
          <w:rFonts w:ascii="Times New Roman" w:eastAsia="Times New Roman" w:hAnsi="Times New Roman" w:cs="Times New Roman"/>
          <w:color w:val="000000"/>
          <w:spacing w:val="0"/>
          <w:w w:val="100"/>
          <w:position w:val="0"/>
        </w:rPr>
        <w:t xml:space="preserve">PARP </w:t>
      </w:r>
      <w:r>
        <w:rPr>
          <w:color w:val="000000"/>
          <w:spacing w:val="0"/>
          <w:w w:val="100"/>
          <w:position w:val="0"/>
        </w:rPr>
        <w:t>抑制剂用药指导产品的基础上，进一步拓展妇瘤诊疗方面的产品管线。在肺癌诊疗方面，公司在</w:t>
      </w:r>
      <w:r>
        <w:rPr>
          <w:rFonts w:ascii="Times New Roman" w:eastAsia="Times New Roman" w:hAnsi="Times New Roman" w:cs="Times New Roman"/>
          <w:color w:val="000000"/>
          <w:spacing w:val="0"/>
          <w:w w:val="100"/>
          <w:position w:val="0"/>
        </w:rPr>
        <w:t>2020</w:t>
      </w:r>
      <w:r>
        <w:rPr>
          <w:color w:val="000000"/>
          <w:spacing w:val="0"/>
          <w:w w:val="100"/>
          <w:position w:val="0"/>
        </w:rPr>
        <w:t>年对肺癌组织和</w:t>
      </w:r>
      <w:r>
        <w:rPr>
          <w:rFonts w:ascii="Times New Roman" w:eastAsia="Times New Roman" w:hAnsi="Times New Roman" w:cs="Times New Roman"/>
          <w:color w:val="000000"/>
          <w:spacing w:val="0"/>
          <w:w w:val="100"/>
          <w:position w:val="0"/>
        </w:rPr>
        <w:t xml:space="preserve">ctDNA </w:t>
      </w:r>
      <w:r>
        <w:rPr>
          <w:color w:val="000000"/>
          <w:spacing w:val="0"/>
          <w:w w:val="100"/>
          <w:position w:val="0"/>
        </w:rPr>
        <w:t>靶向药物基因检测在产品性能、指导药物范围等方面进行大幅优化和升级，同时针对特殊需求用户推出极致化交付方案，大 幅度缩短产品交付周期；这两项产品及配套试剂均获得了欧盟</w:t>
      </w:r>
      <w:r>
        <w:rPr>
          <w:rFonts w:ascii="Times New Roman" w:eastAsia="Times New Roman" w:hAnsi="Times New Roman" w:cs="Times New Roman"/>
          <w:color w:val="000000"/>
          <w:spacing w:val="0"/>
          <w:w w:val="100"/>
          <w:position w:val="0"/>
        </w:rPr>
        <w:t>CE</w:t>
      </w:r>
      <w:r>
        <w:rPr>
          <w:color w:val="000000"/>
          <w:spacing w:val="0"/>
          <w:w w:val="100"/>
          <w:position w:val="0"/>
        </w:rPr>
        <w:t>准入资质，其中肺癌基因检测产品实现了全流程欧盟</w:t>
      </w:r>
      <w:r>
        <w:rPr>
          <w:rFonts w:ascii="Times New Roman" w:eastAsia="Times New Roman" w:hAnsi="Times New Roman" w:cs="Times New Roman"/>
          <w:color w:val="000000"/>
          <w:spacing w:val="0"/>
          <w:w w:val="100"/>
          <w:position w:val="0"/>
        </w:rPr>
        <w:t>CE</w:t>
      </w:r>
      <w:r>
        <w:rPr>
          <w:color w:val="000000"/>
          <w:spacing w:val="0"/>
          <w:w w:val="100"/>
          <w:position w:val="0"/>
        </w:rPr>
        <w:t>资 质保障。此外，公司在</w:t>
      </w:r>
      <w:r>
        <w:rPr>
          <w:rFonts w:ascii="Times New Roman" w:eastAsia="Times New Roman" w:hAnsi="Times New Roman" w:cs="Times New Roman"/>
          <w:color w:val="000000"/>
          <w:spacing w:val="0"/>
          <w:w w:val="100"/>
          <w:position w:val="0"/>
        </w:rPr>
        <w:t>2014</w:t>
      </w:r>
      <w:r>
        <w:rPr>
          <w:color w:val="000000"/>
          <w:spacing w:val="0"/>
          <w:w w:val="100"/>
          <w:position w:val="0"/>
        </w:rPr>
        <w:t>年推出的泛癌种多基因检测产品一华梵安</w:t>
      </w:r>
      <w:r>
        <w:rPr>
          <w:rFonts w:ascii="Times New Roman" w:eastAsia="Times New Roman" w:hAnsi="Times New Roman" w:cs="Times New Roman"/>
          <w:color w:val="000000"/>
          <w:spacing w:val="0"/>
          <w:w w:val="100"/>
          <w:position w:val="0"/>
        </w:rPr>
        <w:t>™</w:t>
      </w:r>
      <w:r>
        <w:rPr>
          <w:color w:val="000000"/>
          <w:spacing w:val="0"/>
          <w:w w:val="100"/>
          <w:position w:val="0"/>
        </w:rPr>
        <w:t>肿瘤个体化诊疗基因检测，在</w:t>
      </w:r>
      <w:r>
        <w:rPr>
          <w:rFonts w:ascii="Times New Roman" w:eastAsia="Times New Roman" w:hAnsi="Times New Roman" w:cs="Times New Roman"/>
          <w:color w:val="000000"/>
          <w:spacing w:val="0"/>
          <w:w w:val="100"/>
          <w:position w:val="0"/>
        </w:rPr>
        <w:t>2021</w:t>
      </w:r>
      <w:r>
        <w:rPr>
          <w:color w:val="000000"/>
          <w:spacing w:val="0"/>
          <w:w w:val="100"/>
          <w:position w:val="0"/>
        </w:rPr>
        <w:t>年下半年完成了 免疫检测模块升级以及</w:t>
      </w:r>
      <w:r>
        <w:rPr>
          <w:rFonts w:ascii="Times New Roman" w:eastAsia="Times New Roman" w:hAnsi="Times New Roman" w:cs="Times New Roman"/>
          <w:color w:val="000000"/>
          <w:spacing w:val="0"/>
          <w:w w:val="100"/>
          <w:position w:val="0"/>
        </w:rPr>
        <w:t>DNA</w:t>
      </w:r>
      <w:r>
        <w:rPr>
          <w:color w:val="000000"/>
          <w:spacing w:val="0"/>
          <w:w w:val="100"/>
          <w:position w:val="0"/>
        </w:rPr>
        <w:t>和</w:t>
      </w:r>
      <w:r>
        <w:rPr>
          <w:rFonts w:ascii="Times New Roman" w:eastAsia="Times New Roman" w:hAnsi="Times New Roman" w:cs="Times New Roman"/>
          <w:color w:val="000000"/>
          <w:spacing w:val="0"/>
          <w:w w:val="100"/>
          <w:position w:val="0"/>
        </w:rPr>
        <w:t>RNA</w:t>
      </w:r>
      <w:r>
        <w:rPr>
          <w:color w:val="000000"/>
          <w:spacing w:val="0"/>
          <w:w w:val="100"/>
          <w:position w:val="0"/>
        </w:rPr>
        <w:t>共检的开发，产品更加贴近临床患者需要；该产品血液版在有效测序深度和检测限方面 进行性能提升，为无法取得肿瘤组织的患者提供更加精准的检测。到目前为止，华梵安</w:t>
      </w:r>
      <w:r>
        <w:rPr>
          <w:rFonts w:ascii="Times New Roman" w:eastAsia="Times New Roman" w:hAnsi="Times New Roman" w:cs="Times New Roman"/>
          <w:color w:val="000000"/>
          <w:spacing w:val="0"/>
          <w:w w:val="100"/>
          <w:position w:val="0"/>
        </w:rPr>
        <w:t>™</w:t>
      </w:r>
      <w:r>
        <w:rPr>
          <w:color w:val="000000"/>
          <w:spacing w:val="0"/>
          <w:w w:val="100"/>
          <w:position w:val="0"/>
        </w:rPr>
        <w:t>肿瘤个体化诊疗基因检测已经累计 为数万名肿瘤患者提供精准检测服务，并在报告期内获得了欧盟</w:t>
      </w:r>
      <w:r>
        <w:rPr>
          <w:rFonts w:ascii="Times New Roman" w:eastAsia="Times New Roman" w:hAnsi="Times New Roman" w:cs="Times New Roman"/>
          <w:color w:val="000000"/>
          <w:spacing w:val="0"/>
          <w:w w:val="100"/>
          <w:position w:val="0"/>
        </w:rPr>
        <w:t>CE</w:t>
      </w:r>
      <w:r>
        <w:rPr>
          <w:color w:val="000000"/>
          <w:spacing w:val="0"/>
          <w:w w:val="100"/>
          <w:position w:val="0"/>
        </w:rPr>
        <w:t>准入资质。在</w:t>
      </w:r>
      <w:r>
        <w:rPr>
          <w:rFonts w:ascii="Times New Roman" w:eastAsia="Times New Roman" w:hAnsi="Times New Roman" w:cs="Times New Roman"/>
          <w:color w:val="000000"/>
          <w:spacing w:val="0"/>
          <w:w w:val="100"/>
          <w:position w:val="0"/>
        </w:rPr>
        <w:t>2021</w:t>
      </w:r>
      <w:r>
        <w:rPr>
          <w:color w:val="000000"/>
          <w:spacing w:val="0"/>
          <w:w w:val="100"/>
          <w:position w:val="0"/>
        </w:rPr>
        <w:t>年下半年，公司累积研发</w:t>
      </w:r>
      <w:r>
        <w:rPr>
          <w:rFonts w:ascii="Times New Roman" w:eastAsia="Times New Roman" w:hAnsi="Times New Roman" w:cs="Times New Roman"/>
          <w:color w:val="000000"/>
          <w:spacing w:val="0"/>
          <w:w w:val="100"/>
          <w:position w:val="0"/>
        </w:rPr>
        <w:t>3</w:t>
      </w:r>
      <w:r>
        <w:rPr>
          <w:color w:val="000000"/>
          <w:spacing w:val="0"/>
          <w:w w:val="100"/>
          <w:position w:val="0"/>
        </w:rPr>
        <w:t>年的白血病 基因检测产品</w:t>
      </w:r>
      <w:r>
        <w:rPr>
          <w:rFonts w:ascii="Times New Roman" w:eastAsia="Times New Roman" w:hAnsi="Times New Roman" w:cs="Times New Roman"/>
          <w:color w:val="000000"/>
          <w:spacing w:val="0"/>
          <w:w w:val="100"/>
          <w:position w:val="0"/>
        </w:rPr>
        <w:t>“</w:t>
      </w:r>
      <w:r>
        <w:rPr>
          <w:color w:val="000000"/>
          <w:spacing w:val="0"/>
          <w:w w:val="100"/>
          <w:position w:val="0"/>
        </w:rPr>
        <w:t>华雪安</w:t>
      </w:r>
      <w:r>
        <w:rPr>
          <w:rFonts w:ascii="Times New Roman" w:eastAsia="Times New Roman" w:hAnsi="Times New Roman" w:cs="Times New Roman"/>
          <w:color w:val="000000"/>
          <w:spacing w:val="0"/>
          <w:w w:val="100"/>
          <w:position w:val="0"/>
        </w:rPr>
        <w:t>”</w:t>
      </w:r>
      <w:r>
        <w:rPr>
          <w:color w:val="000000"/>
          <w:spacing w:val="0"/>
          <w:w w:val="100"/>
          <w:position w:val="0"/>
        </w:rPr>
        <w:t>正式上线，可同时实现</w:t>
      </w:r>
      <w:r>
        <w:rPr>
          <w:rFonts w:ascii="Times New Roman" w:eastAsia="Times New Roman" w:hAnsi="Times New Roman" w:cs="Times New Roman"/>
          <w:color w:val="000000"/>
          <w:spacing w:val="0"/>
          <w:w w:val="100"/>
          <w:position w:val="0"/>
        </w:rPr>
        <w:t>DNA</w:t>
      </w:r>
      <w:r>
        <w:rPr>
          <w:color w:val="000000"/>
          <w:spacing w:val="0"/>
          <w:w w:val="100"/>
          <w:position w:val="0"/>
        </w:rPr>
        <w:t>及</w:t>
      </w:r>
      <w:r>
        <w:rPr>
          <w:rFonts w:ascii="Times New Roman" w:eastAsia="Times New Roman" w:hAnsi="Times New Roman" w:cs="Times New Roman"/>
          <w:color w:val="000000"/>
          <w:spacing w:val="0"/>
          <w:w w:val="100"/>
          <w:position w:val="0"/>
        </w:rPr>
        <w:t>RNA</w:t>
      </w:r>
      <w:r>
        <w:rPr>
          <w:color w:val="000000"/>
          <w:spacing w:val="0"/>
          <w:w w:val="100"/>
          <w:position w:val="0"/>
        </w:rPr>
        <w:t>的共同检测，为白血病患者的分子分型、精准用药提供高效的解决 方案。</w:t>
      </w:r>
    </w:p>
    <w:p>
      <w:pPr>
        <w:pStyle w:val="Style17"/>
        <w:keepNext w:val="0"/>
        <w:keepLines w:val="0"/>
        <w:widowControl w:val="0"/>
        <w:shd w:val="clear" w:color="auto" w:fill="auto"/>
        <w:bidi w:val="0"/>
        <w:spacing w:before="0" w:after="40" w:line="314" w:lineRule="exact"/>
        <w:ind w:left="0" w:right="0"/>
        <w:jc w:val="both"/>
      </w:pPr>
      <w:r>
        <w:rPr>
          <w:color w:val="000000"/>
          <w:spacing w:val="0"/>
          <w:w w:val="100"/>
          <w:position w:val="0"/>
        </w:rPr>
        <w:t>在肿瘤复发监测方面，公司推出的华见微</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肿瘤</w:t>
      </w:r>
      <w:r>
        <w:rPr>
          <w:rFonts w:ascii="Times New Roman" w:eastAsia="Times New Roman" w:hAnsi="Times New Roman" w:cs="Times New Roman"/>
          <w:color w:val="000000"/>
          <w:spacing w:val="0"/>
          <w:w w:val="100"/>
          <w:position w:val="0"/>
        </w:rPr>
        <w:t>MRD</w:t>
      </w:r>
      <w:r>
        <w:rPr>
          <w:color w:val="000000"/>
          <w:spacing w:val="0"/>
          <w:w w:val="100"/>
          <w:position w:val="0"/>
        </w:rPr>
        <w:t>定制化检测是国内少数基于全外显子组测序</w:t>
      </w:r>
      <w:r>
        <w:rPr>
          <w:color w:val="000000"/>
          <w:spacing w:val="0"/>
          <w:w w:val="100"/>
          <w:position w:val="0"/>
        </w:rPr>
        <w:t>（</w:t>
      </w:r>
      <w:r>
        <w:rPr>
          <w:rFonts w:ascii="Times New Roman" w:eastAsia="Times New Roman" w:hAnsi="Times New Roman" w:cs="Times New Roman"/>
          <w:color w:val="000000"/>
          <w:spacing w:val="0"/>
          <w:w w:val="100"/>
          <w:position w:val="0"/>
        </w:rPr>
        <w:t>WES</w:t>
      </w:r>
      <w:r>
        <w:rPr>
          <w:color w:val="000000"/>
          <w:spacing w:val="0"/>
          <w:w w:val="100"/>
          <w:position w:val="0"/>
        </w:rPr>
        <w:t>）</w:t>
      </w:r>
      <w:r>
        <w:rPr>
          <w:color w:val="000000"/>
          <w:spacing w:val="0"/>
          <w:w w:val="100"/>
          <w:position w:val="0"/>
        </w:rPr>
        <w:t>分析结果筛选 特定主克隆变异位点、针对患者特性进行个性化</w:t>
      </w:r>
      <w:r>
        <w:rPr>
          <w:rFonts w:ascii="Times New Roman" w:eastAsia="Times New Roman" w:hAnsi="Times New Roman" w:cs="Times New Roman"/>
          <w:color w:val="000000"/>
          <w:spacing w:val="0"/>
          <w:w w:val="100"/>
          <w:position w:val="0"/>
        </w:rPr>
        <w:t>MRD</w:t>
      </w:r>
      <w:r>
        <w:rPr>
          <w:color w:val="000000"/>
          <w:spacing w:val="0"/>
          <w:w w:val="100"/>
          <w:position w:val="0"/>
        </w:rPr>
        <w:t>高灵敏度监测的产品。公司已完成了该产品核心技术结合国产测序平 台的技术转移，于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月正式在国内上市。</w:t>
      </w:r>
    </w:p>
    <w:p>
      <w:pPr>
        <w:pStyle w:val="Style17"/>
        <w:keepNext w:val="0"/>
        <w:keepLines w:val="0"/>
        <w:widowControl w:val="0"/>
        <w:shd w:val="clear" w:color="auto" w:fill="auto"/>
        <w:bidi w:val="0"/>
        <w:spacing w:before="0" w:after="120" w:line="305" w:lineRule="exact"/>
        <w:ind w:left="0" w:right="0"/>
        <w:jc w:val="both"/>
      </w:pPr>
      <w:r>
        <w:rPr>
          <w:color w:val="000000"/>
          <w:spacing w:val="0"/>
          <w:w w:val="100"/>
          <w:position w:val="0"/>
        </w:rPr>
        <w:t>公司从预防、早筛、诊疗、监测四个维度建立了肿瘤基因检测的闭环产品线，在肿瘤防控业务领域的影响力日趋显著， 以具有自主知识产权的核心检测技术及分析算法助力肿瘤精准医疗，实现对患者的普惠。报告期内，肿瘤防控方向参与发表 科研文章</w:t>
      </w:r>
      <w:r>
        <w:rPr>
          <w:rFonts w:ascii="Times New Roman" w:eastAsia="Times New Roman" w:hAnsi="Times New Roman" w:cs="Times New Roman"/>
          <w:color w:val="000000"/>
          <w:spacing w:val="0"/>
          <w:w w:val="100"/>
          <w:position w:val="0"/>
        </w:rPr>
        <w:t>19</w:t>
      </w:r>
      <w:r>
        <w:rPr>
          <w:color w:val="000000"/>
          <w:spacing w:val="0"/>
          <w:w w:val="100"/>
          <w:position w:val="0"/>
        </w:rPr>
        <w:t>篇，累计影响因子为</w:t>
      </w:r>
      <w:r>
        <w:rPr>
          <w:rFonts w:ascii="Times New Roman" w:eastAsia="Times New Roman" w:hAnsi="Times New Roman" w:cs="Times New Roman"/>
          <w:color w:val="000000"/>
          <w:spacing w:val="0"/>
          <w:w w:val="100"/>
          <w:position w:val="0"/>
        </w:rPr>
        <w:t>150.967</w:t>
      </w:r>
      <w:r>
        <w:rPr>
          <w:color w:val="000000"/>
          <w:spacing w:val="0"/>
          <w:w w:val="100"/>
          <w:position w:val="0"/>
        </w:rPr>
        <w:t>。</w:t>
      </w:r>
    </w:p>
    <w:p>
      <w:pPr>
        <w:pStyle w:val="Style17"/>
        <w:keepNext w:val="0"/>
        <w:keepLines w:val="0"/>
        <w:widowControl w:val="0"/>
        <w:numPr>
          <w:ilvl w:val="0"/>
          <w:numId w:val="5"/>
        </w:numPr>
        <w:shd w:val="clear" w:color="auto" w:fill="auto"/>
        <w:tabs>
          <w:tab w:pos="760" w:val="left"/>
        </w:tabs>
        <w:bidi w:val="0"/>
        <w:spacing w:before="0" w:after="120" w:line="310" w:lineRule="exact"/>
        <w:ind w:left="0" w:right="0"/>
        <w:jc w:val="both"/>
      </w:pPr>
      <w:bookmarkStart w:id="130" w:name="bookmark130"/>
      <w:bookmarkEnd w:id="130"/>
      <w:r>
        <w:rPr>
          <w:color w:val="000000"/>
          <w:spacing w:val="0"/>
          <w:w w:val="100"/>
          <w:position w:val="0"/>
        </w:rPr>
        <w:t>感染防控类服务的研发与产品线优势</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感染防控基础研究和临床应用服务方面，公司长期致力于感染性疾病病原学诊断类产品的研发，在病原微生物感染检测 方面具有丰富的产品线。公司在全球范围内率先将宏基因组学分析技术向临床检测应用转化，推出了基于宏基因组高通量测 序技术的主力产品</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病原微生物高通量基因检测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病原微生物高通量基因检测可对感染标本直接进行高通量 测序，通过微生物专用数据库比对和智能化算法分析，获得疑似致病微生物的种属信息，并提供全面深入的报告分析，为疑 难危重感染提供快速精准诊断依据，促进抗生素的合理使用。该产品可直接检测未分离培养的病原体样本，相对传统培养方 法有效缩短了检测时间并且提高了阳性检测率；检测范围覆盖</w:t>
      </w:r>
      <w:r>
        <w:rPr>
          <w:rFonts w:ascii="Times New Roman" w:eastAsia="Times New Roman" w:hAnsi="Times New Roman" w:cs="Times New Roman"/>
          <w:color w:val="000000"/>
          <w:spacing w:val="0"/>
          <w:w w:val="100"/>
          <w:position w:val="0"/>
        </w:rPr>
        <w:t>17,000</w:t>
      </w:r>
      <w:r>
        <w:rPr>
          <w:color w:val="000000"/>
          <w:spacing w:val="0"/>
          <w:w w:val="100"/>
          <w:position w:val="0"/>
        </w:rPr>
        <w:t>余种物种，实现对病原体的广覆盖；检测通量高，可实 现样本的批量检测；检测准确度高，对混合感染以及罕见特殊感染也可实现病原精准检测。</w:t>
      </w:r>
    </w:p>
    <w:p>
      <w:pPr>
        <w:pStyle w:val="Style17"/>
        <w:keepNext w:val="0"/>
        <w:keepLines w:val="0"/>
        <w:widowControl w:val="0"/>
        <w:shd w:val="clear" w:color="auto" w:fill="auto"/>
        <w:bidi w:val="0"/>
        <w:spacing w:before="0" w:after="120" w:line="314" w:lineRule="exact"/>
        <w:ind w:left="0" w:right="0"/>
        <w:jc w:val="both"/>
      </w:pPr>
      <w:r>
        <w:rPr>
          <w:color w:val="000000"/>
          <w:spacing w:val="0"/>
          <w:w w:val="100"/>
          <w:position w:val="0"/>
        </w:rPr>
        <w:t>公司的</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病原微生物高通量基因检测系列产品相配套的病原数据库汇聚了大量病原的基因组序列数据及相关注释 信息，并且引入病毒分型基因数据库，辅助病毒亚型鉴定，提升了病毒亚型精准鉴定的能力；建立了呼吸道定植微生物数据 库，在呼吸道样本的病原体及定植微生物的区分方面起到了重要的作用。丰富的数据库信息为病原微生物感染检测多样化产 品布局的拓展提供了有力的支撑，国际版病原数据库及自动化报告流程的开发也为公司开展国际业务提供了有利工具支撑。</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基于公司长期建设和发展的质谱平台，报告期内推出了基于液相色谱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串联质谱技术的抗菌药物浓度检测产品，旨在降 低临床上在抗细菌和真菌感染治疗过程中的药物不良反应并提高药物的有效性。由于药物浓度与抗菌作用效果和毒副作用 密切相关，对部分安全系数低、毒副作用大以及临床实践中难以凭借经验达到理想治疗效果的药物，精准检测感染患者体内 的抗菌药物浓度，可为临床医生提供及时的用药指导，实现精准的感染用药治疗。目前公司可提供抗菌药物浓度检测服务， 以及</w:t>
      </w:r>
      <w:r>
        <w:rPr>
          <w:rFonts w:ascii="Times New Roman" w:eastAsia="Times New Roman" w:hAnsi="Times New Roman" w:cs="Times New Roman"/>
          <w:color w:val="000000"/>
          <w:spacing w:val="0"/>
          <w:w w:val="100"/>
          <w:position w:val="0"/>
        </w:rPr>
        <w:t>“</w:t>
      </w:r>
      <w:r>
        <w:rPr>
          <w:color w:val="000000"/>
          <w:spacing w:val="0"/>
          <w:w w:val="100"/>
          <w:position w:val="0"/>
        </w:rPr>
        <w:t>仪器</w:t>
      </w:r>
      <w:r>
        <w:rPr>
          <w:rFonts w:ascii="Times New Roman" w:eastAsia="Times New Roman" w:hAnsi="Times New Roman" w:cs="Times New Roman"/>
          <w:color w:val="000000"/>
          <w:spacing w:val="0"/>
          <w:w w:val="100"/>
          <w:position w:val="0"/>
        </w:rPr>
        <w:t>+</w:t>
      </w:r>
      <w:r>
        <w:rPr>
          <w:color w:val="000000"/>
          <w:spacing w:val="0"/>
          <w:w w:val="100"/>
          <w:position w:val="0"/>
        </w:rPr>
        <w:t>试剂</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的临床质谱检测整体解决方案。在检测服务方面，公司推出感染性疾病</w:t>
      </w:r>
      <w:r>
        <w:rPr>
          <w:rFonts w:ascii="Times New Roman" w:eastAsia="Times New Roman" w:hAnsi="Times New Roman" w:cs="Times New Roman"/>
          <w:color w:val="000000"/>
          <w:spacing w:val="0"/>
          <w:w w:val="100"/>
          <w:position w:val="0"/>
        </w:rPr>
        <w:t>“</w:t>
      </w:r>
      <w:r>
        <w:rPr>
          <w:color w:val="000000"/>
          <w:spacing w:val="0"/>
          <w:w w:val="100"/>
          <w:position w:val="0"/>
        </w:rPr>
        <w:t>诊治一体</w:t>
      </w:r>
      <w:r>
        <w:rPr>
          <w:rFonts w:ascii="Times New Roman" w:eastAsia="Times New Roman" w:hAnsi="Times New Roman" w:cs="Times New Roman"/>
          <w:color w:val="000000"/>
          <w:spacing w:val="0"/>
          <w:w w:val="100"/>
          <w:position w:val="0"/>
        </w:rPr>
        <w:t>”</w:t>
      </w:r>
      <w:r>
        <w:rPr>
          <w:color w:val="000000"/>
          <w:spacing w:val="0"/>
          <w:w w:val="100"/>
          <w:position w:val="0"/>
        </w:rPr>
        <w:t>的整体解决方案， 首先利用</w:t>
      </w:r>
      <w:r>
        <w:rPr>
          <w:rFonts w:ascii="Times New Roman" w:eastAsia="Times New Roman" w:hAnsi="Times New Roman" w:cs="Times New Roman"/>
          <w:color w:val="000000"/>
          <w:spacing w:val="0"/>
          <w:w w:val="100"/>
          <w:position w:val="0"/>
        </w:rPr>
        <w:t>PMseq</w:t>
      </w:r>
      <w:r>
        <w:rPr>
          <w:color w:val="000000"/>
          <w:spacing w:val="0"/>
          <w:w w:val="100"/>
          <w:position w:val="0"/>
        </w:rPr>
        <w:t>辅助进行感染病原体的精准诊断，并有针对性地指导感染用药，在治疗过程中全程对患者体内的抗菌药物浓 度进行监控，并根据药物浓度的动态变化指导药物剂量调整，为疑难危重感染患者带来更加精准的个体化医疗选择，提升感 染性疾病诊疗效果。</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报告期内，在应对新冠病毒疫情方面，公司针对多联检检测、核酸快速检测、不同变异株检测的市场需求，加大研发资 源投入，相关检测试剂盒均已获得欧盟</w:t>
      </w:r>
      <w:r>
        <w:rPr>
          <w:rFonts w:ascii="Times New Roman" w:eastAsia="Times New Roman" w:hAnsi="Times New Roman" w:cs="Times New Roman"/>
          <w:color w:val="000000"/>
          <w:spacing w:val="0"/>
          <w:w w:val="100"/>
          <w:position w:val="0"/>
        </w:rPr>
        <w:t>CE</w:t>
      </w:r>
      <w:r>
        <w:rPr>
          <w:color w:val="000000"/>
          <w:spacing w:val="0"/>
          <w:w w:val="100"/>
          <w:position w:val="0"/>
        </w:rPr>
        <w:t>准入资质。目前，公司已形成病毒测序、核酸检测、核酸快检、抗原快检、抗原 自测、抗体快检、中和抗体检测等多产品覆盖体系，可满足多种检测场景需求，是国内新冠检测产品种类较为全面的企业。 报告期内，病原感染方向参与发表科研文章</w:t>
      </w:r>
      <w:r>
        <w:rPr>
          <w:rFonts w:ascii="Times New Roman" w:eastAsia="Times New Roman" w:hAnsi="Times New Roman" w:cs="Times New Roman"/>
          <w:color w:val="000000"/>
          <w:spacing w:val="0"/>
          <w:w w:val="100"/>
          <w:position w:val="0"/>
        </w:rPr>
        <w:t>27</w:t>
      </w:r>
      <w:r>
        <w:rPr>
          <w:color w:val="000000"/>
          <w:spacing w:val="0"/>
          <w:w w:val="100"/>
          <w:position w:val="0"/>
        </w:rPr>
        <w:t>篇，影响因子为</w:t>
      </w:r>
      <w:r>
        <w:rPr>
          <w:rFonts w:ascii="Times New Roman" w:eastAsia="Times New Roman" w:hAnsi="Times New Roman" w:cs="Times New Roman"/>
          <w:color w:val="000000"/>
          <w:spacing w:val="0"/>
          <w:w w:val="100"/>
          <w:position w:val="0"/>
        </w:rPr>
        <w:t>158.26</w:t>
      </w:r>
      <w:r>
        <w:rPr>
          <w:color w:val="000000"/>
          <w:spacing w:val="0"/>
          <w:w w:val="100"/>
          <w:position w:val="0"/>
        </w:rPr>
        <w:t>。</w:t>
      </w:r>
    </w:p>
    <w:p>
      <w:pPr>
        <w:pStyle w:val="Style17"/>
        <w:keepNext w:val="0"/>
        <w:keepLines w:val="0"/>
        <w:widowControl w:val="0"/>
        <w:numPr>
          <w:ilvl w:val="0"/>
          <w:numId w:val="5"/>
        </w:numPr>
        <w:shd w:val="clear" w:color="auto" w:fill="auto"/>
        <w:tabs>
          <w:tab w:pos="765" w:val="left"/>
        </w:tabs>
        <w:bidi w:val="0"/>
        <w:spacing w:before="0" w:after="120" w:line="310" w:lineRule="exact"/>
        <w:ind w:left="0" w:right="0"/>
        <w:jc w:val="both"/>
      </w:pPr>
      <w:bookmarkStart w:id="131" w:name="bookmark131"/>
      <w:bookmarkEnd w:id="131"/>
      <w:r>
        <w:rPr>
          <w:color w:val="000000"/>
          <w:spacing w:val="0"/>
          <w:w w:val="100"/>
          <w:position w:val="0"/>
        </w:rPr>
        <w:t>多组学大数据服务与合成业务的研发与产品线优势</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多组学大数据服务方面，公司率先面向全球提供多组学大数据服务，拥有深厚的科研能力和技术积累。公司拥有全球领 先的多组学大数据服务体系，利用基因测序、质谱、基因合成、大数据、云计算等技术，向客户提供基于基因组学、转录组 学、表观基因组学、单细胞组学、蛋白质组学、代谢组学等多组学的大数据采集、分析和挖掘的综合解决方案服务。截至报 告期末，华大基因多组学大数据业务已经覆盖了全球</w:t>
      </w:r>
      <w:r>
        <w:rPr>
          <w:rFonts w:ascii="Times New Roman" w:eastAsia="Times New Roman" w:hAnsi="Times New Roman" w:cs="Times New Roman"/>
          <w:color w:val="000000"/>
          <w:spacing w:val="0"/>
          <w:w w:val="100"/>
          <w:position w:val="0"/>
        </w:rPr>
        <w:t>100</w:t>
      </w:r>
      <w:r>
        <w:rPr>
          <w:color w:val="000000"/>
          <w:spacing w:val="0"/>
          <w:w w:val="100"/>
          <w:position w:val="0"/>
        </w:rPr>
        <w:t>多个国家和地区，拥有</w:t>
      </w:r>
      <w:r>
        <w:rPr>
          <w:rFonts w:ascii="Times New Roman" w:eastAsia="Times New Roman" w:hAnsi="Times New Roman" w:cs="Times New Roman"/>
          <w:color w:val="000000"/>
          <w:spacing w:val="0"/>
          <w:w w:val="100"/>
          <w:position w:val="0"/>
        </w:rPr>
        <w:t>5,000</w:t>
      </w:r>
      <w:r>
        <w:rPr>
          <w:color w:val="000000"/>
          <w:spacing w:val="0"/>
          <w:w w:val="100"/>
          <w:position w:val="0"/>
        </w:rPr>
        <w:t>多家合作单位，为</w:t>
      </w:r>
      <w:r>
        <w:rPr>
          <w:rFonts w:ascii="Times New Roman" w:eastAsia="Times New Roman" w:hAnsi="Times New Roman" w:cs="Times New Roman"/>
          <w:color w:val="000000"/>
          <w:spacing w:val="0"/>
          <w:w w:val="100"/>
          <w:position w:val="0"/>
        </w:rPr>
        <w:t>20,000</w:t>
      </w:r>
      <w:r>
        <w:rPr>
          <w:color w:val="000000"/>
          <w:spacing w:val="0"/>
          <w:w w:val="100"/>
          <w:position w:val="0"/>
        </w:rPr>
        <w:t>多位合作伙伴 提供了杰出技术服务。在基因组学方面，公司利用独有的</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测序技术、</w:t>
      </w:r>
      <w:r>
        <w:rPr>
          <w:rFonts w:ascii="Times New Roman" w:eastAsia="Times New Roman" w:hAnsi="Times New Roman" w:cs="Times New Roman"/>
          <w:color w:val="000000"/>
          <w:spacing w:val="0"/>
          <w:w w:val="100"/>
          <w:position w:val="0"/>
        </w:rPr>
        <w:t>stLFR</w:t>
      </w:r>
      <w:r>
        <w:rPr>
          <w:color w:val="000000"/>
          <w:spacing w:val="0"/>
          <w:w w:val="100"/>
          <w:position w:val="0"/>
        </w:rPr>
        <w:t>建库技术、</w:t>
      </w:r>
      <w:r>
        <w:rPr>
          <w:rFonts w:ascii="Times New Roman" w:eastAsia="Times New Roman" w:hAnsi="Times New Roman" w:cs="Times New Roman"/>
          <w:color w:val="000000"/>
          <w:spacing w:val="0"/>
          <w:w w:val="100"/>
          <w:position w:val="0"/>
        </w:rPr>
        <w:t>DNBelab C4</w:t>
      </w:r>
      <w:r>
        <w:rPr>
          <w:color w:val="000000"/>
          <w:spacing w:val="0"/>
          <w:w w:val="100"/>
          <w:position w:val="0"/>
        </w:rPr>
        <w:t>单细胞分选自 主平台、</w:t>
      </w:r>
      <w:r>
        <w:rPr>
          <w:rFonts w:ascii="Times New Roman" w:eastAsia="Times New Roman" w:hAnsi="Times New Roman" w:cs="Times New Roman"/>
          <w:color w:val="000000"/>
          <w:spacing w:val="0"/>
          <w:w w:val="100"/>
          <w:position w:val="0"/>
        </w:rPr>
        <w:t>GeneAn</w:t>
      </w:r>
      <w:r>
        <w:rPr>
          <w:color w:val="000000"/>
          <w:spacing w:val="0"/>
          <w:w w:val="100"/>
          <w:position w:val="0"/>
        </w:rPr>
        <w:t>云计算平台等，在全球范围内提供全基因组测序服务。在转录组学、表观基因组学、单细胞组学等多组学 方面，公司依托</w:t>
      </w:r>
      <w:r>
        <w:rPr>
          <w:rFonts w:ascii="Times New Roman" w:eastAsia="Times New Roman" w:hAnsi="Times New Roman" w:cs="Times New Roman"/>
          <w:color w:val="000000"/>
          <w:spacing w:val="0"/>
          <w:w w:val="100"/>
          <w:position w:val="0"/>
        </w:rPr>
        <w:t>DNBSEQ</w:t>
      </w:r>
      <w:r>
        <w:rPr>
          <w:rFonts w:ascii="Times New Roman" w:eastAsia="Times New Roman" w:hAnsi="Times New Roman" w:cs="Times New Roman"/>
          <w:color w:val="000000"/>
          <w:spacing w:val="0"/>
          <w:w w:val="100"/>
          <w:position w:val="0"/>
          <w:vertAlign w:val="superscript"/>
        </w:rPr>
        <w:t>TM</w:t>
      </w:r>
      <w:r>
        <w:rPr>
          <w:color w:val="000000"/>
          <w:spacing w:val="0"/>
          <w:w w:val="100"/>
          <w:position w:val="0"/>
        </w:rPr>
        <w:t>测序技术、</w:t>
      </w:r>
      <w:r>
        <w:rPr>
          <w:rFonts w:ascii="Times New Roman" w:eastAsia="Times New Roman" w:hAnsi="Times New Roman" w:cs="Times New Roman"/>
          <w:color w:val="000000"/>
          <w:spacing w:val="0"/>
          <w:w w:val="100"/>
          <w:position w:val="0"/>
        </w:rPr>
        <w:t>Dr. Tom</w:t>
      </w:r>
      <w:r>
        <w:rPr>
          <w:color w:val="000000"/>
          <w:spacing w:val="0"/>
          <w:w w:val="100"/>
          <w:position w:val="0"/>
        </w:rPr>
        <w:t>多组学数据挖掘系统、</w:t>
      </w:r>
      <w:r>
        <w:rPr>
          <w:rFonts w:ascii="Times New Roman" w:eastAsia="Times New Roman" w:hAnsi="Times New Roman" w:cs="Times New Roman"/>
          <w:color w:val="000000"/>
          <w:spacing w:val="0"/>
          <w:w w:val="100"/>
          <w:position w:val="0"/>
        </w:rPr>
        <w:t>UMI</w:t>
      </w:r>
      <w:r>
        <w:rPr>
          <w:color w:val="000000"/>
          <w:spacing w:val="0"/>
          <w:w w:val="100"/>
          <w:position w:val="0"/>
        </w:rPr>
        <w:t>标签建库技术、单细胞多倍通量全长转录组、双 链环化建库技术等一系列具有自主知识产权的技术，保证了多组学大数据结果的准确性，数据挖掘的高效性和简易度，保持 在全球范围内领先优势。在蛋白质组学和代谢组学方面，公司在国内、美国同时引进先进的高分辨质谱仪</w:t>
      </w:r>
      <w:r>
        <w:rPr>
          <w:rFonts w:ascii="Times New Roman" w:eastAsia="Times New Roman" w:hAnsi="Times New Roman" w:cs="Times New Roman"/>
          <w:color w:val="000000"/>
          <w:spacing w:val="0"/>
          <w:w w:val="100"/>
          <w:position w:val="0"/>
        </w:rPr>
        <w:t>timsTOF Pro</w:t>
      </w:r>
      <w:r>
        <w:rPr>
          <w:color w:val="000000"/>
          <w:spacing w:val="0"/>
          <w:w w:val="100"/>
          <w:position w:val="0"/>
        </w:rPr>
        <w:t xml:space="preserve">与 </w:t>
      </w:r>
      <w:r>
        <w:rPr>
          <w:rFonts w:ascii="Times New Roman" w:eastAsia="Times New Roman" w:hAnsi="Times New Roman" w:cs="Times New Roman"/>
          <w:color w:val="000000"/>
          <w:spacing w:val="0"/>
          <w:w w:val="100"/>
          <w:position w:val="0"/>
        </w:rPr>
        <w:t>Orbitrap Explons</w:t>
      </w:r>
      <w:r>
        <w:rPr>
          <w:rFonts w:ascii="Times New Roman" w:eastAsia="Times New Roman" w:hAnsi="Times New Roman" w:cs="Times New Roman"/>
          <w:color w:val="000000"/>
          <w:spacing w:val="0"/>
          <w:w w:val="100"/>
          <w:position w:val="0"/>
          <w:vertAlign w:val="superscript"/>
        </w:rPr>
        <w:t>TM</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480</w:t>
      </w:r>
      <w:r>
        <w:rPr>
          <w:color w:val="000000"/>
          <w:spacing w:val="0"/>
          <w:w w:val="100"/>
          <w:position w:val="0"/>
        </w:rPr>
        <w:t>，推出</w:t>
      </w:r>
      <w:r>
        <w:rPr>
          <w:rFonts w:ascii="Times New Roman" w:eastAsia="Times New Roman" w:hAnsi="Times New Roman" w:cs="Times New Roman"/>
          <w:color w:val="000000"/>
          <w:spacing w:val="0"/>
          <w:w w:val="100"/>
          <w:position w:val="0"/>
        </w:rPr>
        <w:t>4D</w:t>
      </w:r>
      <w:r>
        <w:rPr>
          <w:color w:val="000000"/>
          <w:spacing w:val="0"/>
          <w:w w:val="100"/>
          <w:position w:val="0"/>
        </w:rPr>
        <w:t>系列蛋白定量产品，进一步提升了原有蛋白质组鉴定深度；同时加大在代谢组学领域研发力 度，先后推出植物广泛靶向代谢组学和疾病领域的</w:t>
      </w:r>
      <w:r>
        <w:rPr>
          <w:rFonts w:ascii="Times New Roman" w:eastAsia="Times New Roman" w:hAnsi="Times New Roman" w:cs="Times New Roman"/>
          <w:color w:val="000000"/>
          <w:spacing w:val="0"/>
          <w:w w:val="100"/>
          <w:position w:val="0"/>
        </w:rPr>
        <w:t>HM350</w:t>
      </w:r>
      <w:r>
        <w:rPr>
          <w:color w:val="000000"/>
          <w:spacing w:val="0"/>
          <w:w w:val="100"/>
          <w:position w:val="0"/>
        </w:rPr>
        <w:t>高通量靶向代谢组学产品，在全球范围内提供相应组学服务。此 外，在分析方面，公司结合各组学的综合优势，提供转录组</w:t>
      </w:r>
      <w:r>
        <w:rPr>
          <w:rFonts w:ascii="Times New Roman" w:eastAsia="Times New Roman" w:hAnsi="Times New Roman" w:cs="Times New Roman"/>
          <w:color w:val="000000"/>
          <w:spacing w:val="0"/>
          <w:w w:val="100"/>
          <w:position w:val="0"/>
        </w:rPr>
        <w:t>+</w:t>
      </w:r>
      <w:r>
        <w:rPr>
          <w:color w:val="000000"/>
          <w:spacing w:val="0"/>
          <w:w w:val="100"/>
          <w:position w:val="0"/>
        </w:rPr>
        <w:t>蛋白组、常规蛋白组</w:t>
      </w:r>
      <w:r>
        <w:rPr>
          <w:rFonts w:ascii="Times New Roman" w:eastAsia="Times New Roman" w:hAnsi="Times New Roman" w:cs="Times New Roman"/>
          <w:color w:val="000000"/>
          <w:spacing w:val="0"/>
          <w:w w:val="100"/>
          <w:position w:val="0"/>
        </w:rPr>
        <w:t>+</w:t>
      </w:r>
      <w:r>
        <w:rPr>
          <w:color w:val="000000"/>
          <w:spacing w:val="0"/>
          <w:w w:val="100"/>
          <w:position w:val="0"/>
        </w:rPr>
        <w:t>磷酸化蛋白组、转录组</w:t>
      </w:r>
      <w:r>
        <w:rPr>
          <w:rFonts w:ascii="Times New Roman" w:eastAsia="Times New Roman" w:hAnsi="Times New Roman" w:cs="Times New Roman"/>
          <w:color w:val="000000"/>
          <w:spacing w:val="0"/>
          <w:w w:val="100"/>
          <w:position w:val="0"/>
        </w:rPr>
        <w:t>+</w:t>
      </w:r>
      <w:r>
        <w:rPr>
          <w:color w:val="000000"/>
          <w:spacing w:val="0"/>
          <w:w w:val="100"/>
          <w:position w:val="0"/>
        </w:rPr>
        <w:t xml:space="preserve">代谢组、蛋白组 </w:t>
      </w:r>
      <w:r>
        <w:rPr>
          <w:rFonts w:ascii="Times New Roman" w:eastAsia="Times New Roman" w:hAnsi="Times New Roman" w:cs="Times New Roman"/>
          <w:color w:val="000000"/>
          <w:spacing w:val="0"/>
          <w:w w:val="100"/>
          <w:position w:val="0"/>
        </w:rPr>
        <w:t>+</w:t>
      </w:r>
      <w:r>
        <w:rPr>
          <w:color w:val="000000"/>
          <w:spacing w:val="0"/>
          <w:w w:val="100"/>
          <w:position w:val="0"/>
        </w:rPr>
        <w:t>代谢组、宏基因组</w:t>
      </w:r>
      <w:r>
        <w:rPr>
          <w:rFonts w:ascii="Times New Roman" w:eastAsia="Times New Roman" w:hAnsi="Times New Roman" w:cs="Times New Roman"/>
          <w:color w:val="000000"/>
          <w:spacing w:val="0"/>
          <w:w w:val="100"/>
          <w:position w:val="0"/>
        </w:rPr>
        <w:t>+</w:t>
      </w:r>
      <w:r>
        <w:rPr>
          <w:color w:val="000000"/>
          <w:spacing w:val="0"/>
          <w:w w:val="100"/>
          <w:position w:val="0"/>
        </w:rPr>
        <w:t>代谢组等一系列多组学关联分析服务。报告期内，多组学大数据与合成业务方向参与发表科研文章</w:t>
      </w:r>
      <w:r>
        <w:rPr>
          <w:rFonts w:ascii="Times New Roman" w:eastAsia="Times New Roman" w:hAnsi="Times New Roman" w:cs="Times New Roman"/>
          <w:color w:val="000000"/>
          <w:spacing w:val="0"/>
          <w:w w:val="100"/>
          <w:position w:val="0"/>
        </w:rPr>
        <w:t xml:space="preserve">54 </w:t>
      </w:r>
      <w:r>
        <w:rPr>
          <w:color w:val="000000"/>
          <w:spacing w:val="0"/>
          <w:w w:val="100"/>
          <w:position w:val="0"/>
        </w:rPr>
        <w:t>篇，累计影响因子为</w:t>
      </w:r>
      <w:r>
        <w:rPr>
          <w:rFonts w:ascii="Times New Roman" w:eastAsia="Times New Roman" w:hAnsi="Times New Roman" w:cs="Times New Roman"/>
          <w:color w:val="000000"/>
          <w:spacing w:val="0"/>
          <w:w w:val="100"/>
          <w:position w:val="0"/>
        </w:rPr>
        <w:t>520.745</w:t>
      </w:r>
      <w:r>
        <w:rPr>
          <w:color w:val="000000"/>
          <w:spacing w:val="0"/>
          <w:w w:val="100"/>
          <w:position w:val="0"/>
        </w:rPr>
        <w:t>。</w:t>
      </w:r>
    </w:p>
    <w:p>
      <w:pPr>
        <w:pStyle w:val="Style17"/>
        <w:keepNext w:val="0"/>
        <w:keepLines w:val="0"/>
        <w:widowControl w:val="0"/>
        <w:shd w:val="clear" w:color="auto" w:fill="auto"/>
        <w:bidi w:val="0"/>
        <w:spacing w:before="0" w:after="120" w:line="302" w:lineRule="exact"/>
        <w:ind w:left="0" w:right="0"/>
        <w:jc w:val="both"/>
      </w:pPr>
      <w:r>
        <w:rPr>
          <w:color w:val="000000"/>
          <w:spacing w:val="0"/>
          <w:w w:val="100"/>
          <w:position w:val="0"/>
        </w:rPr>
        <w:t>合成业务方面，公司持续坚持研发投入与技术升级。报告期内，公司多个生产基地的引物合成产线持续升级，具备对接 工业引物需求的全流程自动化产线，生产环境稳定良好，流程更加均一、稳定、可控。公司持续在基因合成领域进行技术研 发，目前已在</w:t>
      </w:r>
      <w:r>
        <w:rPr>
          <w:rFonts w:ascii="Times New Roman" w:eastAsia="Times New Roman" w:hAnsi="Times New Roman" w:cs="Times New Roman"/>
          <w:color w:val="000000"/>
          <w:spacing w:val="0"/>
          <w:w w:val="100"/>
          <w:position w:val="0"/>
        </w:rPr>
        <w:t>DNA</w:t>
      </w:r>
      <w:r>
        <w:rPr>
          <w:color w:val="000000"/>
          <w:spacing w:val="0"/>
          <w:w w:val="100"/>
          <w:position w:val="0"/>
        </w:rPr>
        <w:t xml:space="preserve">拼接方法方面有了新的突破，拼接效率优于现有的商业化组装方法，此技术已经应用于基因合成产线，有 </w:t>
      </w:r>
      <w:r>
        <w:rPr>
          <w:color w:val="000000"/>
          <w:spacing w:val="0"/>
          <w:w w:val="100"/>
          <w:position w:val="0"/>
        </w:rPr>
        <w:t>效提升了订单的交付及时率。公司对体外基因组拼接技术的研发取得重大突破，体外合成长度超过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00kb</w:t>
      </w:r>
      <w:r>
        <w:rPr>
          <w:color w:val="000000"/>
          <w:spacing w:val="0"/>
          <w:w w:val="100"/>
          <w:position w:val="0"/>
        </w:rPr>
        <w:t>,</w:t>
      </w:r>
      <w:r>
        <w:rPr>
          <w:color w:val="000000"/>
          <w:spacing w:val="0"/>
          <w:w w:val="100"/>
          <w:position w:val="0"/>
        </w:rPr>
        <w:t>利用</w:t>
      </w:r>
      <w:r>
        <w:rPr>
          <w:rFonts w:ascii="Times New Roman" w:eastAsia="Times New Roman" w:hAnsi="Times New Roman" w:cs="Times New Roman"/>
          <w:color w:val="000000"/>
          <w:spacing w:val="0"/>
          <w:w w:val="100"/>
          <w:position w:val="0"/>
        </w:rPr>
        <w:t>DNA</w:t>
      </w:r>
      <w:r>
        <w:rPr>
          <w:color w:val="000000"/>
          <w:spacing w:val="0"/>
          <w:w w:val="100"/>
          <w:position w:val="0"/>
        </w:rPr>
        <w:t>末端操 纵技术实现超长基因的体外合成，使基因组设计合成更加自由、便捷、更易实现，可为基因组合成拼装提供更优的解决方案。 目前华大基因合成生产平台已具备多元化解决方案，将</w:t>
      </w:r>
      <w:r>
        <w:rPr>
          <w:rFonts w:ascii="Times New Roman" w:eastAsia="Times New Roman" w:hAnsi="Times New Roman" w:cs="Times New Roman"/>
          <w:color w:val="000000"/>
          <w:spacing w:val="0"/>
          <w:w w:val="100"/>
          <w:position w:val="0"/>
        </w:rPr>
        <w:t>iBEST</w:t>
      </w:r>
      <w:r>
        <w:rPr>
          <w:color w:val="000000"/>
          <w:spacing w:val="0"/>
          <w:w w:val="100"/>
          <w:position w:val="0"/>
        </w:rPr>
        <w:t>难度基因合成技术与其他技术有机结合，可实现批量短基因快 速交付、攻克长难度基因，拓展了业务交付范围。</w:t>
      </w:r>
    </w:p>
    <w:p>
      <w:pPr>
        <w:pStyle w:val="Style17"/>
        <w:keepNext w:val="0"/>
        <w:keepLines w:val="0"/>
        <w:widowControl w:val="0"/>
        <w:shd w:val="clear" w:color="auto" w:fill="auto"/>
        <w:bidi w:val="0"/>
        <w:spacing w:before="0" w:after="120" w:line="311" w:lineRule="exact"/>
        <w:ind w:left="0" w:right="0"/>
        <w:jc w:val="both"/>
      </w:pPr>
      <w:bookmarkStart w:id="132" w:name="bookmark132"/>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）精准医学检测综合解决方案的研发与产品线优势</w:t>
      </w:r>
    </w:p>
    <w:p>
      <w:pPr>
        <w:pStyle w:val="Style17"/>
        <w:keepNext w:val="0"/>
        <w:keepLines w:val="0"/>
        <w:widowControl w:val="0"/>
        <w:shd w:val="clear" w:color="auto" w:fill="auto"/>
        <w:bidi w:val="0"/>
        <w:spacing w:before="0" w:after="120" w:line="310"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实验室一体化综合解决方案是科技企业应对突发重大公共卫生事件的首创模式，是全球首个可以提供新冠疫情防 控全套解决方案的项目，可以快速解决各国急迫的抗疫需求。基于创新模式和创新实践，截至报告期末，公司在全球</w:t>
      </w:r>
      <w:r>
        <w:rPr>
          <w:rFonts w:ascii="Times New Roman" w:eastAsia="Times New Roman" w:hAnsi="Times New Roman" w:cs="Times New Roman"/>
          <w:color w:val="000000"/>
          <w:spacing w:val="0"/>
          <w:w w:val="100"/>
          <w:position w:val="0"/>
        </w:rPr>
        <w:t>30</w:t>
      </w:r>
      <w:r>
        <w:rPr>
          <w:color w:val="000000"/>
          <w:spacing w:val="0"/>
          <w:w w:val="100"/>
          <w:position w:val="0"/>
        </w:rPr>
        <w:t>余个 国家和地区启动了近</w:t>
      </w:r>
      <w:r>
        <w:rPr>
          <w:rFonts w:ascii="Times New Roman" w:eastAsia="Times New Roman" w:hAnsi="Times New Roman" w:cs="Times New Roman"/>
          <w:color w:val="000000"/>
          <w:spacing w:val="0"/>
          <w:w w:val="100"/>
          <w:position w:val="0"/>
        </w:rPr>
        <w:t>100</w:t>
      </w:r>
      <w:r>
        <w:rPr>
          <w:color w:val="000000"/>
          <w:spacing w:val="0"/>
          <w:w w:val="100"/>
          <w:position w:val="0"/>
        </w:rPr>
        <w:t>个火眼实验室。</w:t>
      </w:r>
    </w:p>
    <w:p>
      <w:pPr>
        <w:pStyle w:val="Style17"/>
        <w:keepNext w:val="0"/>
        <w:keepLines w:val="0"/>
        <w:widowControl w:val="0"/>
        <w:shd w:val="clear" w:color="auto" w:fill="auto"/>
        <w:bidi w:val="0"/>
        <w:spacing w:before="0" w:after="220" w:line="311" w:lineRule="exact"/>
        <w:ind w:left="0" w:right="0"/>
        <w:jc w:val="both"/>
      </w:pPr>
      <w:r>
        <w:rPr>
          <w:color w:val="000000"/>
          <w:spacing w:val="0"/>
          <w:w w:val="100"/>
          <w:position w:val="0"/>
        </w:rPr>
        <w:t>凭借强大的研发能力、丰富的临床转化能力及高性能的自主平台，公司为医疗机构、第三方检验公司提供实验室设计及 其所需的仪器设备、试剂、分析软件、技术转移、人员培训、数据库建设及使用、信息分析及报告解读精准医学检测综合解 决方案，涵盖</w:t>
      </w:r>
      <w:r>
        <w:rPr>
          <w:rFonts w:ascii="Times New Roman" w:eastAsia="Times New Roman" w:hAnsi="Times New Roman" w:cs="Times New Roman"/>
          <w:color w:val="000000"/>
          <w:spacing w:val="0"/>
          <w:w w:val="100"/>
          <w:position w:val="0"/>
        </w:rPr>
        <w:t>“</w:t>
      </w:r>
      <w:r>
        <w:rPr>
          <w:color w:val="000000"/>
          <w:spacing w:val="0"/>
          <w:w w:val="100"/>
          <w:position w:val="0"/>
        </w:rPr>
        <w:t>测序、质谱、传统检验</w:t>
      </w:r>
      <w:r>
        <w:rPr>
          <w:rFonts w:ascii="Times New Roman" w:eastAsia="Times New Roman" w:hAnsi="Times New Roman" w:cs="Times New Roman"/>
          <w:color w:val="000000"/>
          <w:spacing w:val="0"/>
          <w:w w:val="100"/>
          <w:position w:val="0"/>
        </w:rPr>
        <w:t>”</w:t>
      </w:r>
      <w:r>
        <w:rPr>
          <w:color w:val="000000"/>
          <w:spacing w:val="0"/>
          <w:w w:val="100"/>
          <w:position w:val="0"/>
        </w:rPr>
        <w:t>等多组学临床检测系统，贯穿出生缺陷防控、肿瘤精准防控、感染防控等的临床应用。 综合解决方案包含多型号多用途的测序仪、高分辨质谱仪、高性能大数据分析及储存平台</w:t>
      </w:r>
      <w:r>
        <w:rPr>
          <w:rFonts w:ascii="Times New Roman" w:eastAsia="Times New Roman" w:hAnsi="Times New Roman" w:cs="Times New Roman"/>
          <w:color w:val="000000"/>
          <w:spacing w:val="0"/>
          <w:w w:val="100"/>
          <w:position w:val="0"/>
        </w:rPr>
        <w:t>HALOS</w:t>
      </w:r>
      <w:r>
        <w:rPr>
          <w:color w:val="000000"/>
          <w:spacing w:val="0"/>
          <w:w w:val="100"/>
          <w:position w:val="0"/>
        </w:rPr>
        <w:t>、</w:t>
      </w:r>
      <w:r>
        <w:rPr>
          <w:color w:val="000000"/>
          <w:spacing w:val="0"/>
          <w:w w:val="100"/>
          <w:position w:val="0"/>
        </w:rPr>
        <w:t xml:space="preserve">生物信息云计算平台 </w:t>
      </w:r>
      <w:r>
        <w:rPr>
          <w:rFonts w:ascii="Times New Roman" w:eastAsia="Times New Roman" w:hAnsi="Times New Roman" w:cs="Times New Roman"/>
          <w:color w:val="000000"/>
          <w:spacing w:val="0"/>
          <w:w w:val="100"/>
          <w:position w:val="0"/>
        </w:rPr>
        <w:t>GeneAn</w:t>
      </w:r>
      <w:r>
        <w:rPr>
          <w:color w:val="000000"/>
          <w:spacing w:val="0"/>
          <w:w w:val="100"/>
          <w:position w:val="0"/>
        </w:rPr>
        <w:t>、</w:t>
      </w:r>
      <w:r>
        <w:rPr>
          <w:color w:val="000000"/>
          <w:spacing w:val="0"/>
          <w:w w:val="100"/>
          <w:position w:val="0"/>
        </w:rPr>
        <w:t>一站式新生儿疾病筛查的全流程</w:t>
      </w:r>
      <w:r>
        <w:rPr>
          <w:rFonts w:ascii="Times New Roman" w:eastAsia="Times New Roman" w:hAnsi="Times New Roman" w:cs="Times New Roman"/>
          <w:color w:val="000000"/>
          <w:spacing w:val="0"/>
          <w:w w:val="100"/>
          <w:position w:val="0"/>
        </w:rPr>
        <w:t>“</w:t>
      </w:r>
      <w:r>
        <w:rPr>
          <w:color w:val="000000"/>
          <w:spacing w:val="0"/>
          <w:w w:val="100"/>
          <w:position w:val="0"/>
        </w:rPr>
        <w:t>云端</w:t>
      </w:r>
      <w:r>
        <w:rPr>
          <w:rFonts w:ascii="Times New Roman" w:eastAsia="Times New Roman" w:hAnsi="Times New Roman" w:cs="Times New Roman"/>
          <w:color w:val="000000"/>
          <w:spacing w:val="0"/>
          <w:w w:val="100"/>
          <w:position w:val="0"/>
        </w:rPr>
        <w:t>”</w:t>
      </w:r>
      <w:r>
        <w:rPr>
          <w:color w:val="000000"/>
          <w:spacing w:val="0"/>
          <w:w w:val="100"/>
          <w:position w:val="0"/>
        </w:rPr>
        <w:t>信息管理系统及多组学数据挖掘系统</w:t>
      </w:r>
      <w:r>
        <w:rPr>
          <w:rFonts w:ascii="Times New Roman" w:eastAsia="Times New Roman" w:hAnsi="Times New Roman" w:cs="Times New Roman"/>
          <w:color w:val="000000"/>
          <w:spacing w:val="0"/>
          <w:w w:val="100"/>
          <w:position w:val="0"/>
        </w:rPr>
        <w:t>Dr.Tom</w:t>
      </w:r>
      <w:r>
        <w:rPr>
          <w:color w:val="000000"/>
          <w:spacing w:val="0"/>
          <w:w w:val="100"/>
          <w:position w:val="0"/>
        </w:rPr>
        <w:t>等。其中，高性能大数据分析 及储存平台</w:t>
      </w:r>
      <w:r>
        <w:rPr>
          <w:rFonts w:ascii="Times New Roman" w:eastAsia="Times New Roman" w:hAnsi="Times New Roman" w:cs="Times New Roman"/>
          <w:color w:val="000000"/>
          <w:spacing w:val="0"/>
          <w:w w:val="100"/>
          <w:position w:val="0"/>
        </w:rPr>
        <w:t>HALOS</w:t>
      </w:r>
      <w:r>
        <w:rPr>
          <w:color w:val="000000"/>
          <w:spacing w:val="0"/>
          <w:w w:val="100"/>
          <w:position w:val="0"/>
        </w:rPr>
        <w:t>累计发货量超过</w:t>
      </w:r>
      <w:r>
        <w:rPr>
          <w:rFonts w:ascii="Times New Roman" w:eastAsia="Times New Roman" w:hAnsi="Times New Roman" w:cs="Times New Roman"/>
          <w:color w:val="000000"/>
          <w:spacing w:val="0"/>
          <w:w w:val="100"/>
          <w:position w:val="0"/>
        </w:rPr>
        <w:t>400</w:t>
      </w:r>
      <w:r>
        <w:rPr>
          <w:color w:val="000000"/>
          <w:spacing w:val="0"/>
          <w:w w:val="100"/>
          <w:position w:val="0"/>
        </w:rPr>
        <w:t>台。同时，公司为精准医学检测综合解决方案的落地建立了一支涵盖</w:t>
      </w:r>
      <w:r>
        <w:rPr>
          <w:rFonts w:ascii="Times New Roman" w:eastAsia="Times New Roman" w:hAnsi="Times New Roman" w:cs="Times New Roman"/>
          <w:color w:val="000000"/>
          <w:spacing w:val="0"/>
          <w:w w:val="100"/>
          <w:position w:val="0"/>
        </w:rPr>
        <w:t>“</w:t>
      </w:r>
      <w:r>
        <w:rPr>
          <w:color w:val="000000"/>
          <w:spacing w:val="0"/>
          <w:w w:val="100"/>
          <w:position w:val="0"/>
        </w:rPr>
        <w:t>技术专家、临 床应用工程师、售后工程师、数据分析师</w:t>
      </w:r>
      <w:r>
        <w:rPr>
          <w:rFonts w:ascii="Times New Roman" w:eastAsia="Times New Roman" w:hAnsi="Times New Roman" w:cs="Times New Roman"/>
          <w:color w:val="000000"/>
          <w:spacing w:val="0"/>
          <w:w w:val="100"/>
          <w:position w:val="0"/>
        </w:rPr>
        <w:t>”</w:t>
      </w:r>
      <w:r>
        <w:rPr>
          <w:color w:val="000000"/>
          <w:spacing w:val="0"/>
          <w:w w:val="100"/>
          <w:position w:val="0"/>
        </w:rPr>
        <w:t>等的核心技术骨干团队，满足精准医学中心的个性化需求。新冠疫情期间，公司 充分发挥精准医学综合解决方案的优势，推出了</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实验室一体化综合解决方案服务，包括检测试剂盒及检测实验室设计 方案等，在全球范围助力新冠肺炎疫情防控工作。</w:t>
      </w:r>
    </w:p>
    <w:p>
      <w:pPr>
        <w:pStyle w:val="Style17"/>
        <w:keepNext w:val="0"/>
        <w:keepLines w:val="0"/>
        <w:widowControl w:val="0"/>
        <w:shd w:val="clear" w:color="auto" w:fill="auto"/>
        <w:tabs>
          <w:tab w:pos="669" w:val="left"/>
        </w:tabs>
        <w:bidi w:val="0"/>
        <w:spacing w:before="0" w:after="0"/>
        <w:ind w:left="0" w:right="0"/>
        <w:jc w:val="both"/>
      </w:pPr>
      <w:bookmarkStart w:id="133" w:name="bookmark133"/>
      <w:r>
        <w:rPr>
          <w:rFonts w:ascii="Times New Roman" w:eastAsia="Times New Roman" w:hAnsi="Times New Roman" w:cs="Times New Roman"/>
          <w:b/>
          <w:bCs/>
          <w:color w:val="000000"/>
          <w:spacing w:val="0"/>
          <w:w w:val="100"/>
          <w:position w:val="0"/>
        </w:rPr>
        <w:t>4</w:t>
      </w:r>
      <w:bookmarkEnd w:id="133"/>
      <w:r>
        <w:rPr>
          <w:b/>
          <w:bCs/>
          <w:color w:val="000000"/>
          <w:spacing w:val="0"/>
          <w:w w:val="100"/>
          <w:position w:val="0"/>
        </w:rPr>
        <w:t>、</w:t>
        <w:tab/>
        <w:t>推进全球化战略布局，扎根</w:t>
      </w:r>
      <w:r>
        <w:rPr>
          <w:rFonts w:ascii="Times New Roman" w:eastAsia="Times New Roman" w:hAnsi="Times New Roman" w:cs="Times New Roman"/>
          <w:b/>
          <w:bCs/>
          <w:color w:val="000000"/>
          <w:spacing w:val="0"/>
          <w:w w:val="100"/>
          <w:position w:val="0"/>
        </w:rPr>
        <w:t>“</w:t>
      </w:r>
      <w:r>
        <w:rPr>
          <w:b/>
          <w:bCs/>
          <w:color w:val="000000"/>
          <w:spacing w:val="0"/>
          <w:w w:val="100"/>
          <w:position w:val="0"/>
        </w:rPr>
        <w:t>一带一路</w:t>
      </w:r>
      <w:r>
        <w:rPr>
          <w:rFonts w:ascii="Times New Roman" w:eastAsia="Times New Roman" w:hAnsi="Times New Roman" w:cs="Times New Roman"/>
          <w:b/>
          <w:bCs/>
          <w:color w:val="000000"/>
          <w:spacing w:val="0"/>
          <w:w w:val="100"/>
          <w:position w:val="0"/>
        </w:rPr>
        <w:t>”</w:t>
      </w:r>
      <w:r>
        <w:rPr>
          <w:b/>
          <w:bCs/>
          <w:color w:val="000000"/>
          <w:spacing w:val="0"/>
          <w:w w:val="100"/>
          <w:position w:val="0"/>
        </w:rPr>
        <w:t>国家</w:t>
      </w:r>
    </w:p>
    <w:p>
      <w:pPr>
        <w:pStyle w:val="Style17"/>
        <w:keepNext w:val="0"/>
        <w:keepLines w:val="0"/>
        <w:widowControl w:val="0"/>
        <w:shd w:val="clear" w:color="auto" w:fill="auto"/>
        <w:bidi w:val="0"/>
        <w:spacing w:before="0" w:after="40" w:line="310" w:lineRule="exact"/>
        <w:ind w:left="0" w:right="0"/>
        <w:jc w:val="both"/>
      </w:pPr>
      <w:r>
        <w:rPr>
          <w:color w:val="000000"/>
          <w:spacing w:val="0"/>
          <w:w w:val="100"/>
          <w:position w:val="0"/>
        </w:rPr>
        <w:t>公司总部位于中国深圳，在北京、天津、武汉、上海、广州等国内主要城市设有分支机构和医学检验所，并在香港、欧 洲、美洲、亚太等地区设有海外中心和核心实验室，已形成</w:t>
      </w:r>
      <w:r>
        <w:rPr>
          <w:rFonts w:ascii="Times New Roman" w:eastAsia="Times New Roman" w:hAnsi="Times New Roman" w:cs="Times New Roman"/>
          <w:color w:val="000000"/>
          <w:spacing w:val="0"/>
          <w:w w:val="100"/>
          <w:position w:val="0"/>
        </w:rPr>
        <w:t>“</w:t>
      </w:r>
      <w:r>
        <w:rPr>
          <w:color w:val="000000"/>
          <w:spacing w:val="0"/>
          <w:w w:val="100"/>
          <w:position w:val="0"/>
        </w:rPr>
        <w:t>覆盖全国、辐射全球</w:t>
      </w:r>
      <w:r>
        <w:rPr>
          <w:rFonts w:ascii="Times New Roman" w:eastAsia="Times New Roman" w:hAnsi="Times New Roman" w:cs="Times New Roman"/>
          <w:color w:val="000000"/>
          <w:spacing w:val="0"/>
          <w:w w:val="100"/>
          <w:position w:val="0"/>
        </w:rPr>
        <w:t>”</w:t>
      </w:r>
      <w:r>
        <w:rPr>
          <w:color w:val="000000"/>
          <w:spacing w:val="0"/>
          <w:w w:val="100"/>
          <w:position w:val="0"/>
        </w:rPr>
        <w:t>的网络布局，业务遍及全球</w:t>
      </w:r>
      <w:r>
        <w:rPr>
          <w:rFonts w:ascii="Times New Roman" w:eastAsia="Times New Roman" w:hAnsi="Times New Roman" w:cs="Times New Roman"/>
          <w:color w:val="000000"/>
          <w:spacing w:val="0"/>
          <w:w w:val="100"/>
          <w:position w:val="0"/>
        </w:rPr>
        <w:t>100</w:t>
      </w:r>
      <w:r>
        <w:rPr>
          <w:color w:val="000000"/>
          <w:spacing w:val="0"/>
          <w:w w:val="100"/>
          <w:position w:val="0"/>
        </w:rPr>
        <w:t>多个国家 和地区，包括中国境内</w:t>
      </w:r>
      <w:r>
        <w:rPr>
          <w:rFonts w:ascii="Times New Roman" w:eastAsia="Times New Roman" w:hAnsi="Times New Roman" w:cs="Times New Roman"/>
          <w:color w:val="000000"/>
          <w:spacing w:val="0"/>
          <w:w w:val="100"/>
          <w:position w:val="0"/>
        </w:rPr>
        <w:t>2,000</w:t>
      </w:r>
      <w:r>
        <w:rPr>
          <w:color w:val="000000"/>
          <w:spacing w:val="0"/>
          <w:w w:val="100"/>
          <w:position w:val="0"/>
        </w:rPr>
        <w:t>多家科研机构和</w:t>
      </w:r>
      <w:r>
        <w:rPr>
          <w:rFonts w:ascii="Times New Roman" w:eastAsia="Times New Roman" w:hAnsi="Times New Roman" w:cs="Times New Roman"/>
          <w:color w:val="000000"/>
          <w:spacing w:val="0"/>
          <w:w w:val="100"/>
          <w:position w:val="0"/>
        </w:rPr>
        <w:t>2,300</w:t>
      </w:r>
      <w:r>
        <w:rPr>
          <w:color w:val="000000"/>
          <w:spacing w:val="0"/>
          <w:w w:val="100"/>
          <w:position w:val="0"/>
        </w:rPr>
        <w:t>多家医疗机构，其中三甲医院</w:t>
      </w:r>
      <w:r>
        <w:rPr>
          <w:rFonts w:ascii="Times New Roman" w:eastAsia="Times New Roman" w:hAnsi="Times New Roman" w:cs="Times New Roman"/>
          <w:color w:val="000000"/>
          <w:spacing w:val="0"/>
          <w:w w:val="100"/>
          <w:position w:val="0"/>
        </w:rPr>
        <w:t>500</w:t>
      </w:r>
      <w:r>
        <w:rPr>
          <w:color w:val="000000"/>
          <w:spacing w:val="0"/>
          <w:w w:val="100"/>
          <w:position w:val="0"/>
        </w:rPr>
        <w:t>多家；欧洲、美洲、亚太等地区合作的海 外医疗和科研机构超过</w:t>
      </w:r>
      <w:r>
        <w:rPr>
          <w:rFonts w:ascii="Times New Roman" w:eastAsia="Times New Roman" w:hAnsi="Times New Roman" w:cs="Times New Roman"/>
          <w:color w:val="000000"/>
          <w:spacing w:val="0"/>
          <w:w w:val="100"/>
          <w:position w:val="0"/>
        </w:rPr>
        <w:t>3,000</w:t>
      </w:r>
      <w:r>
        <w:rPr>
          <w:color w:val="000000"/>
          <w:spacing w:val="0"/>
          <w:w w:val="100"/>
          <w:position w:val="0"/>
        </w:rPr>
        <w:t>家，与</w:t>
      </w:r>
      <w:r>
        <w:rPr>
          <w:rFonts w:ascii="Times New Roman" w:eastAsia="Times New Roman" w:hAnsi="Times New Roman" w:cs="Times New Roman"/>
          <w:color w:val="000000"/>
          <w:spacing w:val="0"/>
          <w:w w:val="100"/>
          <w:position w:val="0"/>
        </w:rPr>
        <w:t>30</w:t>
      </w:r>
      <w:r>
        <w:rPr>
          <w:color w:val="000000"/>
          <w:spacing w:val="0"/>
          <w:w w:val="100"/>
          <w:position w:val="0"/>
        </w:rPr>
        <w:t>多个国家和地区的卫生主管机构建立了合作关系。</w:t>
      </w:r>
    </w:p>
    <w:p>
      <w:pPr>
        <w:pStyle w:val="Style17"/>
        <w:keepNext w:val="0"/>
        <w:keepLines w:val="0"/>
        <w:widowControl w:val="0"/>
        <w:shd w:val="clear" w:color="auto" w:fill="auto"/>
        <w:bidi w:val="0"/>
        <w:spacing w:before="0" w:after="40" w:line="308" w:lineRule="exact"/>
        <w:ind w:left="0" w:right="0" w:firstLine="480"/>
        <w:jc w:val="both"/>
      </w:pPr>
      <w:r>
        <w:rPr>
          <w:color w:val="000000"/>
          <w:spacing w:val="0"/>
          <w:w w:val="100"/>
          <w:position w:val="0"/>
        </w:rPr>
        <w:t>公司扎根于</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，充分发挥公司在精准医学检测及公共卫生防控方面的经验，致力于提升</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当地国家 医药卫生和大健康产业的生态建设。为推动先进基因技术在</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国家的应用，助力</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国家出生缺陷防控、肿 瘤精准诊疗和传感染疾病防控，公司一直在努力推动中国技术、中国经验、中国标准</w:t>
      </w:r>
      <w:r>
        <w:rPr>
          <w:rFonts w:ascii="Times New Roman" w:eastAsia="Times New Roman" w:hAnsi="Times New Roman" w:cs="Times New Roman"/>
          <w:color w:val="000000"/>
          <w:spacing w:val="0"/>
          <w:w w:val="100"/>
          <w:position w:val="0"/>
        </w:rPr>
        <w:t>“</w:t>
      </w:r>
      <w:r>
        <w:rPr>
          <w:color w:val="000000"/>
          <w:spacing w:val="0"/>
          <w:w w:val="100"/>
          <w:position w:val="0"/>
        </w:rPr>
        <w:t>走出去</w:t>
      </w:r>
      <w:r>
        <w:rPr>
          <w:rFonts w:ascii="Times New Roman" w:eastAsia="Times New Roman" w:hAnsi="Times New Roman" w:cs="Times New Roman"/>
          <w:color w:val="000000"/>
          <w:spacing w:val="0"/>
          <w:w w:val="100"/>
          <w:position w:val="0"/>
        </w:rPr>
        <w:t>”</w:t>
      </w:r>
      <w:r>
        <w:rPr>
          <w:color w:val="000000"/>
          <w:spacing w:val="0"/>
          <w:w w:val="100"/>
          <w:position w:val="0"/>
        </w:rPr>
        <w:t>。为此，公司积极通过共建联 合实验室和技术转移的方式推动先进标准在国际的应用推广，并建立了华大基因标准认证评价体系一</w:t>
      </w:r>
      <w:r>
        <w:rPr>
          <w:rFonts w:ascii="Times New Roman" w:eastAsia="Times New Roman" w:hAnsi="Times New Roman" w:cs="Times New Roman"/>
          <w:color w:val="000000"/>
          <w:spacing w:val="0"/>
          <w:w w:val="100"/>
          <w:position w:val="0"/>
        </w:rPr>
        <w:t>BGI-CSP</w:t>
      </w:r>
      <w:r>
        <w:rPr>
          <w:color w:val="000000"/>
          <w:spacing w:val="0"/>
          <w:w w:val="100"/>
          <w:position w:val="0"/>
        </w:rPr>
        <w:t>，</w:t>
      </w:r>
      <w:r>
        <w:rPr>
          <w:color w:val="000000"/>
          <w:spacing w:val="0"/>
          <w:w w:val="100"/>
          <w:position w:val="0"/>
        </w:rPr>
        <w:t>通过</w:t>
      </w:r>
      <w:r>
        <w:rPr>
          <w:rFonts w:ascii="Times New Roman" w:eastAsia="Times New Roman" w:hAnsi="Times New Roman" w:cs="Times New Roman"/>
          <w:color w:val="000000"/>
          <w:spacing w:val="0"/>
          <w:w w:val="100"/>
          <w:position w:val="0"/>
        </w:rPr>
        <w:t>BGI- CSP</w:t>
      </w:r>
      <w:r>
        <w:rPr>
          <w:color w:val="000000"/>
          <w:spacing w:val="0"/>
          <w:w w:val="100"/>
          <w:position w:val="0"/>
        </w:rPr>
        <w:t>评价模型对标准体系的运行成效和实验室检测能力进行了评估和认证，用标准助推全球精准医学综合能力的提升。</w:t>
      </w:r>
    </w:p>
    <w:p>
      <w:pPr>
        <w:pStyle w:val="Style17"/>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新冠肺炎疫情在全球的蔓延，对全球卫生防控物资、物流和公共卫生应对能力造成了巨大冲击。对于病毒的精准检测 是疫情防控的关键，公司基于</w:t>
      </w:r>
      <w:r>
        <w:rPr>
          <w:rFonts w:ascii="Times New Roman" w:eastAsia="Times New Roman" w:hAnsi="Times New Roman" w:cs="Times New Roman"/>
          <w:color w:val="000000"/>
          <w:spacing w:val="0"/>
          <w:w w:val="100"/>
          <w:position w:val="0"/>
        </w:rPr>
        <w:t>20</w:t>
      </w:r>
      <w:r>
        <w:rPr>
          <w:color w:val="000000"/>
          <w:spacing w:val="0"/>
          <w:w w:val="100"/>
          <w:position w:val="0"/>
        </w:rPr>
        <w:t>多年感染防控的技术积淀及多次参与世界公共卫生防控的经验积累，快速研发出多款新冠病 毒核测试剂盒，同时推出大规模核酸检测综合解决方案一</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实验室，成为全球抗疫的中国力量之一。公司长期积极拓 宽国际多元化业务合作渠道，在新冠疫情期间发挥巨大作用，帮助相关抗疫产品及解决方案及时落地。在助力</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沿 线国家的疫情防控方面，</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实验室已在沙特阿拉伯、塞尔维亚、意大利、加蓬等国启动运营，为当地抗疫工作做出积极 的贡献。截至报告期末，公司新冠检测产品已经覆盖全球超过</w:t>
      </w:r>
      <w:r>
        <w:rPr>
          <w:rFonts w:ascii="Times New Roman" w:eastAsia="Times New Roman" w:hAnsi="Times New Roman" w:cs="Times New Roman"/>
          <w:color w:val="000000"/>
          <w:spacing w:val="0"/>
          <w:w w:val="100"/>
          <w:position w:val="0"/>
        </w:rPr>
        <w:t>180</w:t>
      </w:r>
      <w:r>
        <w:rPr>
          <w:color w:val="000000"/>
          <w:spacing w:val="0"/>
          <w:w w:val="100"/>
          <w:position w:val="0"/>
        </w:rPr>
        <w:t>个国家和地区，累计在海外启动</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实验室近</w:t>
      </w:r>
      <w:r>
        <w:rPr>
          <w:rFonts w:ascii="Times New Roman" w:eastAsia="Times New Roman" w:hAnsi="Times New Roman" w:cs="Times New Roman"/>
          <w:color w:val="000000"/>
          <w:spacing w:val="0"/>
          <w:w w:val="100"/>
          <w:position w:val="0"/>
        </w:rPr>
        <w:t>100</w:t>
      </w:r>
      <w:r>
        <w:rPr>
          <w:color w:val="000000"/>
          <w:spacing w:val="0"/>
          <w:w w:val="100"/>
          <w:position w:val="0"/>
        </w:rPr>
        <w:t>个，分 布在全球</w:t>
      </w:r>
      <w:r>
        <w:rPr>
          <w:rFonts w:ascii="Times New Roman" w:eastAsia="Times New Roman" w:hAnsi="Times New Roman" w:cs="Times New Roman"/>
          <w:color w:val="000000"/>
          <w:spacing w:val="0"/>
          <w:w w:val="100"/>
          <w:position w:val="0"/>
        </w:rPr>
        <w:t>30</w:t>
      </w:r>
      <w:r>
        <w:rPr>
          <w:color w:val="000000"/>
          <w:spacing w:val="0"/>
          <w:w w:val="100"/>
          <w:position w:val="0"/>
        </w:rPr>
        <w:t>余个国家和地区，致力于为各个国家和地区的公众健康做出积极贡献。同时，公司进一步与多国政府、跨国公司、 基金会、非政府组织等建立直接合作关系，布局点</w:t>
      </w:r>
      <w:r>
        <w:rPr>
          <w:rFonts w:ascii="Times New Roman" w:eastAsia="Times New Roman" w:hAnsi="Times New Roman" w:cs="Times New Roman"/>
          <w:color w:val="000000"/>
          <w:spacing w:val="0"/>
          <w:w w:val="100"/>
          <w:position w:val="0"/>
        </w:rPr>
        <w:t>-</w:t>
      </w:r>
      <w:r>
        <w:rPr>
          <w:color w:val="000000"/>
          <w:spacing w:val="0"/>
          <w:w w:val="100"/>
          <w:position w:val="0"/>
        </w:rPr>
        <w:t>线</w:t>
      </w:r>
      <w:r>
        <w:rPr>
          <w:rFonts w:ascii="Times New Roman" w:eastAsia="Times New Roman" w:hAnsi="Times New Roman" w:cs="Times New Roman"/>
          <w:color w:val="000000"/>
          <w:spacing w:val="0"/>
          <w:w w:val="100"/>
          <w:position w:val="0"/>
        </w:rPr>
        <w:t>-</w:t>
      </w:r>
      <w:r>
        <w:rPr>
          <w:color w:val="000000"/>
          <w:spacing w:val="0"/>
          <w:w w:val="100"/>
          <w:position w:val="0"/>
        </w:rPr>
        <w:t>面的政府营商关系网络，更高效地实现产品销售和交付，有望为未来 业务合作打开广阔的空间。</w:t>
      </w:r>
    </w:p>
    <w:p>
      <w:pPr>
        <w:pStyle w:val="Style17"/>
        <w:keepNext w:val="0"/>
        <w:keepLines w:val="0"/>
        <w:widowControl w:val="0"/>
        <w:shd w:val="clear" w:color="auto" w:fill="auto"/>
        <w:tabs>
          <w:tab w:pos="669" w:val="left"/>
        </w:tabs>
        <w:bidi w:val="0"/>
        <w:spacing w:before="0" w:after="0"/>
        <w:ind w:left="0" w:right="0"/>
        <w:jc w:val="both"/>
      </w:pPr>
      <w:bookmarkStart w:id="134" w:name="bookmark134"/>
      <w:r>
        <w:rPr>
          <w:rFonts w:ascii="Times New Roman" w:eastAsia="Times New Roman" w:hAnsi="Times New Roman" w:cs="Times New Roman"/>
          <w:b/>
          <w:bCs/>
          <w:color w:val="000000"/>
          <w:spacing w:val="0"/>
          <w:w w:val="100"/>
          <w:position w:val="0"/>
        </w:rPr>
        <w:t>5</w:t>
      </w:r>
      <w:bookmarkEnd w:id="134"/>
      <w:r>
        <w:rPr>
          <w:b/>
          <w:bCs/>
          <w:color w:val="000000"/>
          <w:spacing w:val="0"/>
          <w:w w:val="100"/>
          <w:position w:val="0"/>
        </w:rPr>
        <w:t>、</w:t>
        <w:tab/>
        <w:t>资本助推业务发展，产业投资构建行业</w:t>
      </w:r>
      <w:r>
        <w:rPr>
          <w:rFonts w:ascii="Times New Roman" w:eastAsia="Times New Roman" w:hAnsi="Times New Roman" w:cs="Times New Roman"/>
          <w:b/>
          <w:bCs/>
          <w:color w:val="000000"/>
          <w:spacing w:val="0"/>
          <w:w w:val="100"/>
          <w:position w:val="0"/>
        </w:rPr>
        <w:t>“</w:t>
      </w:r>
      <w:r>
        <w:rPr>
          <w:b/>
          <w:bCs/>
          <w:color w:val="000000"/>
          <w:spacing w:val="0"/>
          <w:w w:val="100"/>
          <w:position w:val="0"/>
        </w:rPr>
        <w:t>生态圈</w:t>
      </w:r>
      <w:r>
        <w:rPr>
          <w:rFonts w:ascii="Times New Roman" w:eastAsia="Times New Roman" w:hAnsi="Times New Roman" w:cs="Times New Roman"/>
          <w:b/>
          <w:bCs/>
          <w:color w:val="000000"/>
          <w:spacing w:val="0"/>
          <w:w w:val="100"/>
          <w:position w:val="0"/>
        </w:rPr>
        <w:t>”</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公司正处在快速成长期，产能扩充、产品研发、市场开拓需要大量资金支持。公司根据发展需要，在保持稳健型资产负 债结构的同时，不断开拓融资渠道，综合运用多种金融工具，分阶段、低成本地筹措资金，打造以基因测序为核心的生物信 息云计算生态，升级医学检验解决方案平台，提升了原有医学检验业务的生产和交付能力，加强信息技术与基因科技的深度 融合，该等技术积累和基础设施建设为公司在报告期内参与全球抗疫的出色成绩奠定了坚实的基础；开展融资租赁，盘活现 有资产；通过子公司股权融资的方式，引入战略投资者，促进公司肿瘤早筛和感染防控的快速发展；以具备市场优势的票面 </w:t>
      </w:r>
      <w:r>
        <w:rPr>
          <w:color w:val="000000"/>
          <w:spacing w:val="0"/>
          <w:w w:val="100"/>
          <w:position w:val="0"/>
        </w:rPr>
        <w:t>利率发行公司债券；在全力助力全球疫情防控的同时完成向特定对象发行股票，使公司的整体资金实力和偿债能力得到提 升，资本结构得到优化，也将持续推动公司技术创新、产品创新和提升经营能力，进一步增强公司的综合竞争实力，完善公 司的产业布局。上述一系列的融资举措为公司赢得了发展先机。</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公司在生育健康、肿瘤基因检测、基因合成、消费级基因检测、生物信息分析平台、眼科诊疗、宏基因组等产业链内不 同细分领域内进行投资布局，通过直接投资及参与投资产业创投基金两种投资方式来深化公司全产业链、构建行业</w:t>
      </w:r>
      <w:r>
        <w:rPr>
          <w:rFonts w:ascii="Times New Roman" w:eastAsia="Times New Roman" w:hAnsi="Times New Roman" w:cs="Times New Roman"/>
          <w:color w:val="000000"/>
          <w:spacing w:val="0"/>
          <w:w w:val="100"/>
          <w:position w:val="0"/>
        </w:rPr>
        <w:t>“</w:t>
      </w:r>
      <w:r>
        <w:rPr>
          <w:color w:val="000000"/>
          <w:spacing w:val="0"/>
          <w:w w:val="100"/>
          <w:position w:val="0"/>
        </w:rPr>
        <w:t>生态圈</w:t>
      </w:r>
      <w:r>
        <w:rPr>
          <w:rFonts w:ascii="Times New Roman" w:eastAsia="Times New Roman" w:hAnsi="Times New Roman" w:cs="Times New Roman"/>
          <w:color w:val="000000"/>
          <w:spacing w:val="0"/>
          <w:w w:val="100"/>
          <w:position w:val="0"/>
        </w:rPr>
        <w:t>”</w:t>
      </w:r>
      <w:r>
        <w:rPr>
          <w:color w:val="000000"/>
          <w:spacing w:val="0"/>
          <w:w w:val="100"/>
          <w:position w:val="0"/>
        </w:rPr>
        <w:t>， 有利于公司把握最新行业技术方向，借助专业投资机构的优势和投资管理经验，发掘并整合产业链中的优质创新企业。</w:t>
      </w:r>
    </w:p>
    <w:p>
      <w:pPr>
        <w:pStyle w:val="Style17"/>
        <w:keepNext w:val="0"/>
        <w:keepLines w:val="0"/>
        <w:widowControl w:val="0"/>
        <w:shd w:val="clear" w:color="auto" w:fill="auto"/>
        <w:bidi w:val="0"/>
        <w:spacing w:before="0" w:after="0"/>
        <w:ind w:left="0" w:right="0"/>
        <w:jc w:val="both"/>
      </w:pPr>
      <w:bookmarkStart w:id="135" w:name="bookmark135"/>
      <w:r>
        <w:rPr>
          <w:rFonts w:ascii="Times New Roman" w:eastAsia="Times New Roman" w:hAnsi="Times New Roman" w:cs="Times New Roman"/>
          <w:b/>
          <w:bCs/>
          <w:color w:val="000000"/>
          <w:spacing w:val="0"/>
          <w:w w:val="100"/>
          <w:position w:val="0"/>
        </w:rPr>
        <w:t>6</w:t>
      </w:r>
      <w:bookmarkEnd w:id="135"/>
      <w:r>
        <w:rPr>
          <w:b/>
          <w:bCs/>
          <w:color w:val="000000"/>
          <w:spacing w:val="0"/>
          <w:w w:val="100"/>
          <w:position w:val="0"/>
        </w:rPr>
        <w:t>、汇聚行业精英队伍，广纳国际优秀人才</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公司核心管理团队年轻化，具有务实创新、积极开拓、锐意进取、与时俱进的能力与素养，在基因组学相关行业平均从 业年限超过</w:t>
      </w:r>
      <w:r>
        <w:rPr>
          <w:rFonts w:ascii="Times New Roman" w:eastAsia="Times New Roman" w:hAnsi="Times New Roman" w:cs="Times New Roman"/>
          <w:color w:val="000000"/>
          <w:spacing w:val="0"/>
          <w:w w:val="100"/>
          <w:position w:val="0"/>
        </w:rPr>
        <w:t>15</w:t>
      </w:r>
      <w:r>
        <w:rPr>
          <w:color w:val="000000"/>
          <w:spacing w:val="0"/>
          <w:w w:val="100"/>
          <w:position w:val="0"/>
        </w:rPr>
        <w:t>年，良好的专业素质、丰富经验和高度的职业忠诚度能够更好地帮助公司顺应复杂多变的行业环境、把握市场 脉动，并在此基础上把握公司未来发展战略与方向。此外，公司继续加速国际高端销售人才建设，汇聚多国优秀人才，促进 深入洞察国际市场需求，提前做好人才布局，推进更多的优秀人才前移，以业务为中心，贴近业务一线，赋能业务发展。公 司员工整体知识素养水平较高，在学历层次方面，截至报告期末，公司本科学历及以上人员占比为</w:t>
      </w:r>
      <w:r>
        <w:rPr>
          <w:rFonts w:ascii="Times New Roman" w:eastAsia="Times New Roman" w:hAnsi="Times New Roman" w:cs="Times New Roman"/>
          <w:color w:val="000000"/>
          <w:spacing w:val="0"/>
          <w:w w:val="100"/>
          <w:position w:val="0"/>
        </w:rPr>
        <w:t>82%</w:t>
      </w:r>
      <w:r>
        <w:rPr>
          <w:color w:val="000000"/>
          <w:spacing w:val="0"/>
          <w:w w:val="100"/>
          <w:position w:val="0"/>
        </w:rPr>
        <w:t>，硕士学历及以上人 员占比为</w:t>
      </w:r>
      <w:r>
        <w:rPr>
          <w:rFonts w:ascii="Times New Roman" w:eastAsia="Times New Roman" w:hAnsi="Times New Roman" w:cs="Times New Roman"/>
          <w:color w:val="000000"/>
          <w:spacing w:val="0"/>
          <w:w w:val="100"/>
          <w:position w:val="0"/>
        </w:rPr>
        <w:t>30%</w:t>
      </w:r>
      <w:r>
        <w:rPr>
          <w:color w:val="000000"/>
          <w:spacing w:val="0"/>
          <w:w w:val="100"/>
          <w:position w:val="0"/>
        </w:rPr>
        <w:t>，技术人员占比为</w:t>
      </w:r>
      <w:r>
        <w:rPr>
          <w:rFonts w:ascii="Times New Roman" w:eastAsia="Times New Roman" w:hAnsi="Times New Roman" w:cs="Times New Roman"/>
          <w:color w:val="000000"/>
          <w:spacing w:val="0"/>
          <w:w w:val="100"/>
          <w:position w:val="0"/>
        </w:rPr>
        <w:t>26%</w:t>
      </w:r>
      <w:r>
        <w:rPr>
          <w:color w:val="000000"/>
          <w:spacing w:val="0"/>
          <w:w w:val="100"/>
          <w:position w:val="0"/>
        </w:rPr>
        <w:t>；公司销售人员中，本科学历及以上占比为</w:t>
      </w:r>
      <w:r>
        <w:rPr>
          <w:rFonts w:ascii="Times New Roman" w:eastAsia="Times New Roman" w:hAnsi="Times New Roman" w:cs="Times New Roman"/>
          <w:color w:val="000000"/>
          <w:spacing w:val="0"/>
          <w:w w:val="100"/>
          <w:position w:val="0"/>
        </w:rPr>
        <w:t>87%</w:t>
      </w:r>
      <w:r>
        <w:rPr>
          <w:color w:val="000000"/>
          <w:spacing w:val="0"/>
          <w:w w:val="100"/>
          <w:position w:val="0"/>
        </w:rPr>
        <w:t>，硕士学历及以上占比为</w:t>
      </w:r>
      <w:r>
        <w:rPr>
          <w:rFonts w:ascii="Times New Roman" w:eastAsia="Times New Roman" w:hAnsi="Times New Roman" w:cs="Times New Roman"/>
          <w:color w:val="000000"/>
          <w:spacing w:val="0"/>
          <w:w w:val="100"/>
          <w:position w:val="0"/>
        </w:rPr>
        <w:t>35%</w:t>
      </w:r>
      <w:r>
        <w:rPr>
          <w:color w:val="000000"/>
          <w:spacing w:val="0"/>
          <w:w w:val="100"/>
          <w:position w:val="0"/>
        </w:rPr>
        <w:t>，高学历 的专业人才是公司未来发展的重要储备力量。公司始终坚持积极的人才培养及引进战略，建立了良好的长效激励机制，以吸 引人才、留住人才。鼓励和引导员工不断自我学习和发展，提升和培养员工的任职能力，进而同步提高员工及组织核心竞争 力，这构成公司突出的人才优势与核心竞争力。通过上述人才培养战略有效实施，中层及以上的员工司龄占其职业生涯年限 的比例达到</w:t>
      </w:r>
      <w:r>
        <w:rPr>
          <w:rFonts w:ascii="Times New Roman" w:eastAsia="Times New Roman" w:hAnsi="Times New Roman" w:cs="Times New Roman"/>
          <w:color w:val="000000"/>
          <w:spacing w:val="0"/>
          <w:w w:val="100"/>
          <w:position w:val="0"/>
        </w:rPr>
        <w:t>63%</w:t>
      </w:r>
      <w:r>
        <w:rPr>
          <w:color w:val="000000"/>
          <w:spacing w:val="0"/>
          <w:w w:val="100"/>
          <w:position w:val="0"/>
        </w:rPr>
        <w:t>以上，员工的稳定性和归属感有了较大提升。与国内同行对比来说，华大基因的人才特点是高学历、年轻化、 人才来源多元化，具有交叉学科的复合专业背景优势。同时公司重视员工职业教育，已建立了全方位的培训教育体系，员工 忠诚度高且适应性强，具有较强的文化价值观认同和组织大目标导向认同。</w:t>
      </w:r>
    </w:p>
    <w:p>
      <w:pPr>
        <w:pStyle w:val="Style24"/>
        <w:keepNext/>
        <w:keepLines/>
        <w:widowControl w:val="0"/>
        <w:shd w:val="clear" w:color="auto" w:fill="auto"/>
        <w:bidi w:val="0"/>
        <w:spacing w:before="0" w:after="36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4"/>
          <w:szCs w:val="24"/>
        </w:rPr>
        <w:t>四</w:t>
      </w:r>
      <w:bookmarkEnd w:id="138"/>
      <w:r>
        <w:rPr>
          <w:color w:val="000000"/>
          <w:spacing w:val="0"/>
          <w:w w:val="100"/>
          <w:position w:val="0"/>
          <w:sz w:val="24"/>
          <w:szCs w:val="24"/>
        </w:rPr>
        <w:t>、主营业务分析</w:t>
      </w:r>
      <w:bookmarkEnd w:id="136"/>
      <w:bookmarkEnd w:id="137"/>
      <w:bookmarkEnd w:id="139"/>
    </w:p>
    <w:p>
      <w:pPr>
        <w:pStyle w:val="Style30"/>
        <w:keepNext/>
        <w:keepLines/>
        <w:widowControl w:val="0"/>
        <w:shd w:val="clear" w:color="auto" w:fill="auto"/>
        <w:tabs>
          <w:tab w:pos="311" w:val="left"/>
        </w:tabs>
        <w:bidi w:val="0"/>
        <w:spacing w:before="0" w:after="26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1</w:t>
      </w:r>
      <w:bookmarkEnd w:id="142"/>
      <w:r>
        <w:rPr>
          <w:color w:val="000000"/>
          <w:spacing w:val="0"/>
          <w:w w:val="100"/>
          <w:position w:val="0"/>
        </w:rPr>
        <w:t>、</w:t>
        <w:tab/>
        <w:t>概述</w:t>
      </w:r>
      <w:bookmarkEnd w:id="140"/>
      <w:bookmarkEnd w:id="141"/>
      <w:bookmarkEnd w:id="143"/>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参见第三节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0"/>
        <w:keepNext/>
        <w:keepLines/>
        <w:widowControl w:val="0"/>
        <w:shd w:val="clear" w:color="auto" w:fill="auto"/>
        <w:tabs>
          <w:tab w:pos="321" w:val="left"/>
        </w:tabs>
        <w:bidi w:val="0"/>
        <w:spacing w:before="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2</w:t>
      </w:r>
      <w:bookmarkEnd w:id="146"/>
      <w:r>
        <w:rPr>
          <w:color w:val="000000"/>
          <w:spacing w:val="0"/>
          <w:w w:val="100"/>
          <w:position w:val="0"/>
        </w:rPr>
        <w:t>、</w:t>
        <w:tab/>
        <w:t>收入与成本</w:t>
      </w:r>
      <w:bookmarkEnd w:id="144"/>
      <w:bookmarkEnd w:id="145"/>
      <w:bookmarkEnd w:id="147"/>
    </w:p>
    <w:p>
      <w:pPr>
        <w:pStyle w:val="Style30"/>
        <w:keepNext/>
        <w:keepLines/>
        <w:widowControl w:val="0"/>
        <w:shd w:val="clear" w:color="auto" w:fill="auto"/>
        <w:bidi w:val="0"/>
        <w:spacing w:before="0" w:after="260" w:line="240" w:lineRule="auto"/>
        <w:ind w:left="0" w:right="0" w:firstLine="0"/>
        <w:jc w:val="both"/>
      </w:pPr>
      <w:bookmarkStart w:id="144" w:name="bookmark144"/>
      <w:bookmarkStart w:id="145" w:name="bookmark145"/>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44"/>
      <w:bookmarkEnd w:id="145"/>
      <w:bookmarkEnd w:id="149"/>
    </w:p>
    <w:p>
      <w:pPr>
        <w:pStyle w:val="Style1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营业收入整体情况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6,766,137,315.11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8,397,230,002.83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基因组学应用行业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6,754,390,875.00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8,386,922,285.47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11,746,440.11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生育健康基础研究 和临床应用服务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1,192,492,862.98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1,177,896,346.71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肿瘤防控及转化医 学类服务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379,778,659.87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351,242,349.13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感染防控基础研究 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1,158,406,959.48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669,570,471.10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多组学大数据服务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与合成业务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641,590,091.11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625,923,966.99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精准医学检测综合 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3,382,122,301.56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5,562,289,151.54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11,746,440.11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中国大陆（不含中 国港澳台）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2,884,583,106.73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2,798,390,071.99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欧洲及非洲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938,752,055.65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989,698,700.79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432,133,047.25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832,545,665.39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亚洲（含中国港澳 台）及大洋洲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2,510,669,105.48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3,776,595,564.66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1,549,864,100.28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761,649,030.21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103.49%</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5,216,273,214.83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7,635,580,972.62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50"/>
      <w:bookmarkEnd w:id="151"/>
      <w:bookmarkEnd w:id="153"/>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171"/>
        <w:gridCol w:w="1368"/>
        <w:gridCol w:w="1363"/>
        <w:gridCol w:w="1368"/>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基因组学应用行业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675,439.09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283,023.91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生育健康基础研究 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119,249.29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55,646.81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感染防控基础研究 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45,098.74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精准医学检测综合 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338,212.23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117,585.3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中国大陆（不含中 国港澳台）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288,458.31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148,037.57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bl>
    <w:p>
      <w:pPr>
        <w:spacing w:lineRule="exact" w:line="1"/>
        <w:rPr>
          <w:sz w:val="2"/>
          <w:szCs w:val="2"/>
        </w:rPr>
      </w:pPr>
      <w:r>
        <w:br w:type="page"/>
      </w:r>
    </w:p>
    <w:tbl>
      <w:tblPr>
        <w:tblOverlap w:val="never"/>
        <w:jc w:val="center"/>
        <w:tblLayout w:type="fixed"/>
      </w:tblPr>
      <w:tblGrid>
        <w:gridCol w:w="1570"/>
        <w:gridCol w:w="1171"/>
        <w:gridCol w:w="1368"/>
        <w:gridCol w:w="1363"/>
        <w:gridCol w:w="1368"/>
        <w:gridCol w:w="1368"/>
        <w:gridCol w:w="138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欧洲及非洲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93,875.21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42,122.05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亚洲（含中国港澳 台）及大洋洲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251,066.91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80,935.26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154,986.41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59,253.96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521,627.32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224,288.3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54"/>
      <w:bookmarkEnd w:id="155"/>
      <w:bookmarkEnd w:id="157"/>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493"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58"/>
      <w:bookmarkEnd w:id="159"/>
      <w:bookmarkEnd w:id="161"/>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已签订的重大销售合同截至本报告期的履行情况</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515" w:right="0" w:firstLine="0"/>
        <w:jc w:val="left"/>
      </w:pPr>
      <w:r>
        <w:rPr>
          <w:color w:val="000000"/>
          <w:spacing w:val="0"/>
          <w:w w:val="100"/>
          <w:position w:val="0"/>
        </w:rPr>
        <w:t>单位：万美元</w:t>
      </w:r>
    </w:p>
    <w:tbl>
      <w:tblPr>
        <w:tblOverlap w:val="never"/>
        <w:jc w:val="center"/>
        <w:tblLayout w:type="fixed"/>
      </w:tblPr>
      <w:tblGrid>
        <w:gridCol w:w="715"/>
        <w:gridCol w:w="763"/>
        <w:gridCol w:w="797"/>
        <w:gridCol w:w="850"/>
        <w:gridCol w:w="854"/>
        <w:gridCol w:w="850"/>
        <w:gridCol w:w="850"/>
        <w:gridCol w:w="850"/>
        <w:gridCol w:w="850"/>
        <w:gridCol w:w="427"/>
        <w:gridCol w:w="710"/>
        <w:gridCol w:w="706"/>
        <w:gridCol w:w="576"/>
      </w:tblGrid>
      <w:tr>
        <w:trPr>
          <w:trHeight w:val="22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对方当 事人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合同总金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合计已履 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待履行金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 的销售收 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累计确认 的销售收 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应收账款</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回款情况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正常 履行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影响重 大合同 履行的 各项条 件是否 发生重 大变化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是否存</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在合同</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无法履</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行的重</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大风险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合同 未正 常履 行的 说明</w:t>
            </w:r>
          </w:p>
        </w:tc>
      </w:tr>
      <w:tr>
        <w:trPr>
          <w:trHeight w:val="7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精准医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National</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Unified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07"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综合解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决方案</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Procurem ent</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Company</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52,437.38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34,813.61</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16,139.18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17,623.77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16,139.18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34,813.61</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46,224.22</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已签订的重大采购合同截至本报告期的履行情况</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62"/>
      <w:bookmarkEnd w:id="163"/>
      <w:bookmarkEnd w:id="1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基因组学应用行业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1,582,975,632.88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2,156,782,081.94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w:t>
            </w:r>
          </w:p>
        </w:tc>
      </w:tr>
    </w:tbl>
    <w:p>
      <w:pPr>
        <w:spacing w:lineRule="exact" w:line="1"/>
        <w:rPr>
          <w:sz w:val="2"/>
          <w:szCs w:val="2"/>
        </w:rPr>
      </w:pPr>
      <w:r>
        <w:br w:type="page"/>
      </w:r>
    </w:p>
    <w:tbl>
      <w:tblPr>
        <w:tblOverlap w:val="never"/>
        <w:jc w:val="center"/>
        <w:tblLayout w:type="fixed"/>
      </w:tblPr>
      <w:tblGrid>
        <w:gridCol w:w="1570"/>
        <w:gridCol w:w="1176"/>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基因组学应用行业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445,607,979.25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514,045,630.55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基因组学应用行业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801,655,457.70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678,400,680.64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w:t>
            </w:r>
          </w:p>
        </w:tc>
      </w:tr>
    </w:tbl>
    <w:p>
      <w:pPr>
        <w:widowControl w:val="0"/>
        <w:spacing w:after="359" w:line="1" w:lineRule="exact"/>
      </w:pPr>
    </w:p>
    <w:p>
      <w:pPr>
        <w:pStyle w:val="Style30"/>
        <w:keepNext/>
        <w:keepLines/>
        <w:widowControl w:val="0"/>
        <w:shd w:val="clear" w:color="auto" w:fill="auto"/>
        <w:tabs>
          <w:tab w:pos="493" w:val="left"/>
        </w:tabs>
        <w:bidi w:val="0"/>
        <w:spacing w:before="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6"/>
      <w:bookmarkEnd w:id="167"/>
      <w:bookmarkEnd w:id="169"/>
    </w:p>
    <w:p>
      <w:pPr>
        <w:pStyle w:val="Style1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本年度合并财务报表范围变化参见第十节财务报告附注</w:t>
      </w:r>
      <w:r>
        <w:rPr>
          <w:rFonts w:ascii="Times New Roman" w:eastAsia="Times New Roman" w:hAnsi="Times New Roman" w:cs="Times New Roman"/>
          <w:color w:val="000000"/>
          <w:spacing w:val="0"/>
          <w:w w:val="100"/>
          <w:position w:val="0"/>
        </w:rPr>
        <w:t>“</w:t>
      </w:r>
      <w:r>
        <w:rPr>
          <w:color w:val="000000"/>
          <w:spacing w:val="0"/>
          <w:w w:val="100"/>
          <w:position w:val="0"/>
        </w:rPr>
        <w:t>八、合并范围的变更七</w:t>
      </w:r>
    </w:p>
    <w:p>
      <w:pPr>
        <w:pStyle w:val="Style30"/>
        <w:keepNext/>
        <w:keepLines/>
        <w:widowControl w:val="0"/>
        <w:shd w:val="clear" w:color="auto" w:fill="auto"/>
        <w:tabs>
          <w:tab w:pos="493"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0"/>
      <w:bookmarkEnd w:id="171"/>
      <w:bookmarkEnd w:id="173"/>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74"/>
      <w:bookmarkEnd w:id="175"/>
      <w:bookmarkEnd w:id="177"/>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2,176,216,429.99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1,042,920,865.84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15.41%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458,398,314.26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282,759,656.22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218,354,365.67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173,783,228.00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2.57%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2,176,216,429.99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32.16%</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1,156,964,389.87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31.32%</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661,012,550.78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31.32%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333,735,536.75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15.82%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62,860,546.14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2.98%</w:t>
            </w:r>
          </w:p>
        </w:tc>
      </w:tr>
    </w:tbl>
    <w:p>
      <w:pPr>
        <w:spacing w:lineRule="exact" w:line="1"/>
        <w:rPr>
          <w:sz w:val="2"/>
          <w:szCs w:val="2"/>
        </w:rPr>
      </w:pPr>
      <w:r>
        <w:br w:type="page"/>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49,990,293.71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49,365,462.49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1,156,964,389.87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54.83%</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上述供应商一是属于同受最终控制方控制的关联方，详见第十节财务报告附注</w:t>
      </w:r>
      <w:r>
        <w:rPr>
          <w:rFonts w:ascii="Times New Roman" w:eastAsia="Times New Roman" w:hAnsi="Times New Roman" w:cs="Times New Roman"/>
          <w:color w:val="000000"/>
          <w:spacing w:val="0"/>
          <w:w w:val="100"/>
          <w:position w:val="0"/>
        </w:rPr>
        <w:t>“</w:t>
      </w:r>
      <w:r>
        <w:rPr>
          <w:color w:val="000000"/>
          <w:spacing w:val="0"/>
          <w:w w:val="100"/>
          <w:position w:val="0"/>
        </w:rPr>
        <w:t>十二、关联方及关联交易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、费用</w:t>
      </w:r>
      <w:bookmarkEnd w:id="178"/>
      <w:bookmarkEnd w:id="179"/>
      <w:bookmarkEnd w:id="1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1,238,310,798.94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1,078,444,108.59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386,697,353.30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543,150,553.44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104,262,117.95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212,789,299.89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主要系外币汇率变动致汇兑损失减 少所致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487,147,967.73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619,642,359.34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、研发投入</w:t>
      </w:r>
      <w:bookmarkEnd w:id="182"/>
      <w:bookmarkEnd w:id="183"/>
      <w:bookmarkEnd w:id="185"/>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1982"/>
        <w:gridCol w:w="1661"/>
        <w:gridCol w:w="2170"/>
        <w:gridCol w:w="234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全外及全基因组 产品优化升级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持续优化以全基因组测 序、全外显子组测序为 核心的系列产品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完成技术优化及产 品迭代升级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通过实验技术的迭代和自 主研发分析算法的优化， 不断拓展检测范围，优化 检测性能，提升单基因病 检测产品检出率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产品迭代升级，实现功能拓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展和性能优化</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全因</w:t>
            </w:r>
            <w:r>
              <w:rPr>
                <w:rFonts w:ascii="Times New Roman" w:eastAsia="Times New Roman" w:hAnsi="Times New Roman" w:cs="Times New Roman"/>
                <w:color w:val="000000"/>
                <w:spacing w:val="0"/>
                <w:w w:val="100"/>
                <w:position w:val="0"/>
              </w:rPr>
              <w:t>1.0</w:t>
            </w:r>
            <w:r>
              <w:rPr>
                <w:color w:val="000000"/>
                <w:spacing w:val="0"/>
                <w:w w:val="100"/>
                <w:position w:val="0"/>
              </w:rPr>
              <w:t>优化升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持续对</w:t>
            </w:r>
            <w:r>
              <w:rPr>
                <w:rFonts w:ascii="Times New Roman" w:eastAsia="Times New Roman" w:hAnsi="Times New Roman" w:cs="Times New Roman"/>
                <w:color w:val="000000"/>
                <w:spacing w:val="0"/>
                <w:w w:val="100"/>
                <w:position w:val="0"/>
              </w:rPr>
              <w:t>NIFTY</w:t>
            </w:r>
            <w:r>
              <w:rPr>
                <w:color w:val="000000"/>
                <w:spacing w:val="0"/>
                <w:w w:val="100"/>
                <w:position w:val="0"/>
              </w:rPr>
              <w:t>及全因系 列产品优化升级，综合 提升</w:t>
            </w:r>
            <w:r>
              <w:rPr>
                <w:rFonts w:ascii="Times New Roman" w:eastAsia="Times New Roman" w:hAnsi="Times New Roman" w:cs="Times New Roman"/>
                <w:color w:val="000000"/>
                <w:spacing w:val="0"/>
                <w:w w:val="100"/>
                <w:position w:val="0"/>
              </w:rPr>
              <w:t>NIFTY</w:t>
            </w:r>
            <w:r>
              <w:rPr>
                <w:color w:val="000000"/>
                <w:spacing w:val="0"/>
                <w:w w:val="100"/>
                <w:position w:val="0"/>
              </w:rPr>
              <w:t>及全因系列 产品的整体检测性能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完成技术优化及产 品迭代升级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通过实验技术优化迭代、 数据分析算法和报告逻辑 优化等方式，完成全因</w:t>
            </w:r>
            <w:r>
              <w:rPr>
                <w:rFonts w:ascii="Times New Roman" w:eastAsia="Times New Roman" w:hAnsi="Times New Roman" w:cs="Times New Roman"/>
                <w:color w:val="000000"/>
                <w:spacing w:val="0"/>
                <w:w w:val="100"/>
                <w:position w:val="0"/>
              </w:rPr>
              <w:t xml:space="preserve">1.0 </w:t>
            </w:r>
            <w:r>
              <w:rPr>
                <w:color w:val="000000"/>
                <w:spacing w:val="0"/>
                <w:w w:val="100"/>
                <w:position w:val="0"/>
              </w:rPr>
              <w:t>产品技术优化及产品迭代 升级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产品迭代升级，降低成本， 提高市场竞争力</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镰刀型贫血症基 因检测产品开发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构建镰刀型细胞贫血症 基因检测产品管线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完成两款试剂盒产 品开发并完成</w:t>
            </w:r>
            <w:r>
              <w:rPr>
                <w:rFonts w:ascii="Times New Roman" w:eastAsia="Times New Roman" w:hAnsi="Times New Roman" w:cs="Times New Roman"/>
                <w:color w:val="000000"/>
                <w:spacing w:val="0"/>
                <w:w w:val="100"/>
                <w:position w:val="0"/>
              </w:rPr>
              <w:t>CE</w:t>
            </w:r>
            <w:r>
              <w:rPr>
                <w:color w:val="000000"/>
                <w:spacing w:val="0"/>
                <w:w w:val="100"/>
                <w:position w:val="0"/>
              </w:rPr>
              <w:t>注 册，获得欧盟准入 资质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开发镰刀型贫血基因检测 产品及试剂盒，并获得欧 盟准入资质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新产品布局，拓展盈利空 间，助力公司海外布局</w:t>
            </w:r>
          </w:p>
        </w:tc>
      </w:tr>
      <w:tr>
        <w:trPr>
          <w:trHeight w:val="13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地贫基因检测产 品优化升级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实现地贫基因检测产品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迭代升级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完成技术优化和产</w:t>
            </w:r>
          </w:p>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品开发，启动试剂 盒</w:t>
            </w:r>
            <w:r>
              <w:rPr>
                <w:rFonts w:ascii="Times New Roman" w:eastAsia="Times New Roman" w:hAnsi="Times New Roman" w:cs="Times New Roman"/>
                <w:color w:val="000000"/>
                <w:spacing w:val="0"/>
                <w:w w:val="100"/>
                <w:position w:val="0"/>
              </w:rPr>
              <w:t>CE</w:t>
            </w:r>
            <w:r>
              <w:rPr>
                <w:color w:val="000000"/>
                <w:spacing w:val="0"/>
                <w:w w:val="100"/>
                <w:position w:val="0"/>
              </w:rPr>
              <w:t>资质申报工作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通过技术优化，提升产品 检测性能，尤其适配海外 市场需求，实现地贫基因 检测技术的优化和产品迭</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产品迭代升级，优化性能， 降低成本，助力海外布局</w:t>
            </w:r>
          </w:p>
        </w:tc>
      </w:tr>
    </w:tbl>
    <w:p>
      <w:pPr>
        <w:spacing w:lineRule="exact" w:line="1"/>
        <w:rPr>
          <w:sz w:val="2"/>
          <w:szCs w:val="2"/>
        </w:rPr>
      </w:pPr>
      <w:r>
        <w:br w:type="page"/>
      </w:r>
    </w:p>
    <w:tbl>
      <w:tblPr>
        <w:tblOverlap w:val="never"/>
        <w:jc w:val="center"/>
        <w:tblLayout w:type="fixed"/>
      </w:tblPr>
      <w:tblGrid>
        <w:gridCol w:w="1426"/>
        <w:gridCol w:w="1982"/>
        <w:gridCol w:w="1661"/>
        <w:gridCol w:w="2170"/>
        <w:gridCol w:w="23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代</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携带者筛查产品 优化项目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携带者筛查产品进行优 化升级，拓展疾病种类 和报告范围，打造差异 化产品，持续提高领域 内产品综合竞争力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完成技术优化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进一步拓展筛查疾病种 类，并增加安全用药指导 等增值服务内容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产品迭代升级，提高性能， 增强竞争力</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中国多中心新生 儿遗传病基因筛 查研究项目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通过全国多中心项目，</w:t>
            </w:r>
          </w:p>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评价基因检测应用于新 筛的临床效益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已累计检测近</w:t>
            </w:r>
          </w:p>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30,000</w:t>
            </w:r>
            <w:r>
              <w:rPr>
                <w:color w:val="000000"/>
                <w:spacing w:val="0"/>
                <w:w w:val="100"/>
                <w:position w:val="0"/>
              </w:rPr>
              <w:t>例；同时加 速新生儿基因筛查 产品的优化升级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通过高通量测序方法，对 新生儿开展多种疾病基因 筛查，以建立新生儿遗传 病基因筛查系统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升级新生儿基因筛查产品，</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进一步赋能出生缺陷三级防 控体系</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基于全基因组测 序的</w:t>
            </w:r>
            <w:r>
              <w:rPr>
                <w:rFonts w:ascii="Times New Roman" w:eastAsia="Times New Roman" w:hAnsi="Times New Roman" w:cs="Times New Roman"/>
                <w:color w:val="000000"/>
                <w:spacing w:val="0"/>
                <w:w w:val="100"/>
                <w:position w:val="0"/>
              </w:rPr>
              <w:t>PGT</w:t>
            </w:r>
            <w:r>
              <w:rPr>
                <w:color w:val="000000"/>
                <w:spacing w:val="0"/>
                <w:w w:val="100"/>
                <w:position w:val="0"/>
              </w:rPr>
              <w:t>产品开 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开发基于全基因组测序 的</w:t>
            </w:r>
            <w:r>
              <w:rPr>
                <w:rFonts w:ascii="Times New Roman" w:eastAsia="Times New Roman" w:hAnsi="Times New Roman" w:cs="Times New Roman"/>
                <w:color w:val="000000"/>
                <w:spacing w:val="0"/>
                <w:w w:val="100"/>
                <w:position w:val="0"/>
              </w:rPr>
              <w:t>PGT-M</w:t>
            </w:r>
            <w:r>
              <w:rPr>
                <w:color w:val="000000"/>
                <w:spacing w:val="0"/>
                <w:w w:val="100"/>
                <w:position w:val="0"/>
              </w:rPr>
              <w:t>的一体化解决 方案，以适应当前携带 者筛查受检人群增加， 病种增加检出的碰对高 风险夫妻的辅助生殖需 求，形成闭环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建立技术路线，进 行性能优化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同时检测</w:t>
            </w:r>
            <w:r>
              <w:rPr>
                <w:rFonts w:ascii="Times New Roman" w:eastAsia="Times New Roman" w:hAnsi="Times New Roman" w:cs="Times New Roman"/>
                <w:color w:val="000000"/>
                <w:spacing w:val="0"/>
                <w:w w:val="100"/>
                <w:position w:val="0"/>
              </w:rPr>
              <w:t>PGT-M</w:t>
            </w:r>
            <w:r>
              <w:rPr>
                <w:color w:val="000000"/>
                <w:spacing w:val="0"/>
                <w:w w:val="100"/>
                <w:position w:val="0"/>
              </w:rPr>
              <w:t>、</w:t>
            </w:r>
            <w:r>
              <w:rPr>
                <w:rFonts w:ascii="Times New Roman" w:eastAsia="Times New Roman" w:hAnsi="Times New Roman" w:cs="Times New Roman"/>
                <w:color w:val="000000"/>
                <w:spacing w:val="0"/>
                <w:w w:val="100"/>
                <w:position w:val="0"/>
              </w:rPr>
              <w:t xml:space="preserve">PGT-A </w:t>
            </w:r>
            <w:r>
              <w:rPr>
                <w:color w:val="000000"/>
                <w:spacing w:val="0"/>
                <w:w w:val="100"/>
                <w:position w:val="0"/>
              </w:rPr>
              <w:t>和</w:t>
            </w:r>
            <w:r>
              <w:rPr>
                <w:rFonts w:ascii="Times New Roman" w:eastAsia="Times New Roman" w:hAnsi="Times New Roman" w:cs="Times New Roman"/>
                <w:color w:val="000000"/>
                <w:spacing w:val="0"/>
                <w:w w:val="100"/>
                <w:position w:val="0"/>
              </w:rPr>
              <w:t>PGT-SR</w:t>
            </w:r>
            <w:r>
              <w:rPr>
                <w:color w:val="000000"/>
                <w:spacing w:val="0"/>
                <w:w w:val="100"/>
                <w:position w:val="0"/>
              </w:rPr>
              <w:t>，</w:t>
            </w:r>
            <w:r>
              <w:rPr>
                <w:color w:val="000000"/>
                <w:spacing w:val="0"/>
                <w:w w:val="100"/>
                <w:position w:val="0"/>
              </w:rPr>
              <w:t>不仅拓展检测 疾病种类，还可实现无需 先证者</w:t>
            </w:r>
            <w:r>
              <w:rPr>
                <w:rFonts w:ascii="Times New Roman" w:eastAsia="Times New Roman" w:hAnsi="Times New Roman" w:cs="Times New Roman"/>
                <w:color w:val="000000"/>
                <w:spacing w:val="0"/>
                <w:w w:val="100"/>
                <w:position w:val="0"/>
              </w:rPr>
              <w:t>/</w:t>
            </w:r>
            <w:r>
              <w:rPr>
                <w:color w:val="000000"/>
                <w:spacing w:val="0"/>
                <w:w w:val="100"/>
                <w:position w:val="0"/>
              </w:rPr>
              <w:t>家系成员直接构建 单倍体型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新产品布局，率先占领国内 市场，完善胚胎植入前检测 产品管线，拓展盈利空间</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基于培养液的无 创植入前检测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开发基于培养液的无创 植入前检测技术并孵化 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建立技术路线，进 行性能优化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开发基于胚胎培养液的植 入前非整倍体检测技术， 为下一代植入前胚胎遗传 学检测储备技术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新产品布局，率先占领国内 市场，拓展盈利空间</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药物基因组系列</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产品开发及升级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建立健全高中低配多产 品管线技术平台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完成单药类系列产 品开发及发布，实 现了极速交付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开发多技术平台，多适用 场景的药物基因组检测产 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拓展产品也业务布局方向， 丰富产品管线，增加盈利空 间</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生育遗传数据库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开发生育遗传数据库系 统，并对数据库进行规 范化、结构化建设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持续进行数据库建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设及系统开发工作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从遗传病致病基因、致病 变异、遗传病相关表型和 真实临床患者表型</w:t>
            </w:r>
            <w:r>
              <w:rPr>
                <w:rFonts w:ascii="Times New Roman" w:eastAsia="Times New Roman" w:hAnsi="Times New Roman" w:cs="Times New Roman"/>
                <w:color w:val="000000"/>
                <w:spacing w:val="0"/>
                <w:w w:val="100"/>
                <w:position w:val="0"/>
              </w:rPr>
              <w:t>-</w:t>
            </w:r>
            <w:r>
              <w:rPr>
                <w:color w:val="000000"/>
                <w:spacing w:val="0"/>
                <w:w w:val="100"/>
                <w:position w:val="0"/>
              </w:rPr>
              <w:t>基因型 数据等维度进行遗传病数 据库（即</w:t>
            </w:r>
            <w:r>
              <w:rPr>
                <w:rFonts w:ascii="Times New Roman" w:eastAsia="Times New Roman" w:hAnsi="Times New Roman" w:cs="Times New Roman"/>
                <w:color w:val="000000"/>
                <w:spacing w:val="0"/>
                <w:w w:val="100"/>
                <w:position w:val="0"/>
              </w:rPr>
              <w:t>"</w:t>
            </w:r>
            <w:r>
              <w:rPr>
                <w:color w:val="000000"/>
                <w:spacing w:val="0"/>
                <w:w w:val="100"/>
                <w:position w:val="0"/>
              </w:rPr>
              <w:t>凤凰数据库</w:t>
            </w:r>
            <w:r>
              <w:rPr>
                <w:rFonts w:ascii="Times New Roman" w:eastAsia="Times New Roman" w:hAnsi="Times New Roman" w:cs="Times New Roman"/>
                <w:color w:val="000000"/>
                <w:spacing w:val="0"/>
                <w:w w:val="100"/>
                <w:position w:val="0"/>
              </w:rPr>
              <w:t>"</w:t>
            </w:r>
            <w:r>
              <w:rPr>
                <w:color w:val="000000"/>
                <w:spacing w:val="0"/>
                <w:w w:val="100"/>
                <w:position w:val="0"/>
              </w:rPr>
              <w:t>） 的建设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提高产品性能，降低产品成 本，优化产品交付周期</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氨基酸和肉碱检 测试剂盒（液相 色谱</w:t>
            </w:r>
            <w:r>
              <w:rPr>
                <w:rFonts w:ascii="Times New Roman" w:eastAsia="Times New Roman" w:hAnsi="Times New Roman" w:cs="Times New Roman"/>
                <w:color w:val="000000"/>
                <w:spacing w:val="0"/>
                <w:w w:val="100"/>
                <w:position w:val="0"/>
              </w:rPr>
              <w:t>-</w:t>
            </w:r>
            <w:r>
              <w:rPr>
                <w:color w:val="000000"/>
                <w:spacing w:val="0"/>
                <w:w w:val="100"/>
                <w:position w:val="0"/>
              </w:rPr>
              <w:t>串联质谱 法）延续注册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延续新筛</w:t>
            </w:r>
            <w:r>
              <w:rPr>
                <w:rFonts w:ascii="Times New Roman" w:eastAsia="Times New Roman" w:hAnsi="Times New Roman" w:cs="Times New Roman"/>
                <w:color w:val="000000"/>
                <w:spacing w:val="0"/>
                <w:w w:val="100"/>
                <w:position w:val="0"/>
              </w:rPr>
              <w:t>III</w:t>
            </w:r>
            <w:r>
              <w:rPr>
                <w:color w:val="000000"/>
                <w:spacing w:val="0"/>
                <w:w w:val="100"/>
                <w:position w:val="0"/>
              </w:rPr>
              <w:t>类</w:t>
            </w:r>
            <w:r>
              <w:rPr>
                <w:rFonts w:ascii="Times New Roman" w:eastAsia="Times New Roman" w:hAnsi="Times New Roman" w:cs="Times New Roman"/>
                <w:color w:val="000000"/>
                <w:spacing w:val="0"/>
                <w:w w:val="100"/>
                <w:position w:val="0"/>
              </w:rPr>
              <w:t>IVD</w:t>
            </w:r>
            <w:r>
              <w:rPr>
                <w:color w:val="000000"/>
                <w:spacing w:val="0"/>
                <w:w w:val="100"/>
                <w:position w:val="0"/>
              </w:rPr>
              <w:t>试</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剂盒资质，在新筛领域 持续发力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已完成续证相关材 料提交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获得新筛衍生试剂盒延续 注册证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维持和稳定现有新筛业务</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新生儿先天性肾 上腺皮质增生症 检测（串联质谱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在新生儿先天性肾上腺 皮质增生症质谱筛查方 向取得资质领先优势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临床试验准备中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基于串联质谱法的新生儿 先天性肾上腺皮质增生症 检测试剂盒获批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丰富新生儿筛查内容</w:t>
            </w:r>
            <w:r>
              <w:rPr>
                <w:color w:val="000000"/>
                <w:spacing w:val="0"/>
                <w:w w:val="100"/>
                <w:position w:val="0"/>
              </w:rPr>
              <w:t>，</w:t>
            </w:r>
            <w:r>
              <w:rPr>
                <w:color w:val="000000"/>
                <w:spacing w:val="0"/>
                <w:w w:val="100"/>
                <w:position w:val="0"/>
              </w:rPr>
              <w:t>布局二 级筛查市场，提升产品质 量，拓展盈利空间</w:t>
            </w:r>
          </w:p>
        </w:tc>
      </w:tr>
      <w:tr>
        <w:trPr>
          <w:trHeight w:val="13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泛癌种多基因检 测试剂盒申报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配套</w:t>
            </w:r>
            <w:r>
              <w:rPr>
                <w:rFonts w:ascii="Times New Roman" w:eastAsia="Times New Roman" w:hAnsi="Times New Roman" w:cs="Times New Roman"/>
                <w:color w:val="000000"/>
                <w:spacing w:val="0"/>
                <w:w w:val="100"/>
                <w:position w:val="0"/>
              </w:rPr>
              <w:t>MGISEQ-2000</w:t>
            </w:r>
            <w:r>
              <w:rPr>
                <w:color w:val="000000"/>
                <w:spacing w:val="0"/>
                <w:w w:val="100"/>
                <w:position w:val="0"/>
              </w:rPr>
              <w:t>测序 仪推出泛癌种个体化诊 疗基因检测产品，并对 该产品进行资质的注册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进入</w:t>
            </w:r>
            <w:r>
              <w:rPr>
                <w:rFonts w:ascii="Times New Roman" w:eastAsia="Times New Roman" w:hAnsi="Times New Roman" w:cs="Times New Roman"/>
                <w:color w:val="000000"/>
                <w:spacing w:val="0"/>
                <w:w w:val="100"/>
                <w:position w:val="0"/>
              </w:rPr>
              <w:t>NMPA</w:t>
            </w:r>
            <w:r>
              <w:rPr>
                <w:color w:val="000000"/>
                <w:spacing w:val="0"/>
                <w:w w:val="100"/>
                <w:position w:val="0"/>
              </w:rPr>
              <w:t>注册检 验阶段，且核酸提 取试剂及建库试剂 均获得</w:t>
            </w:r>
            <w:r>
              <w:rPr>
                <w:rFonts w:ascii="Times New Roman" w:eastAsia="Times New Roman" w:hAnsi="Times New Roman" w:cs="Times New Roman"/>
                <w:color w:val="000000"/>
                <w:spacing w:val="0"/>
                <w:w w:val="100"/>
                <w:position w:val="0"/>
              </w:rPr>
              <w:t>CE-IVDD</w:t>
            </w:r>
            <w:r>
              <w:rPr>
                <w:color w:val="000000"/>
                <w:spacing w:val="0"/>
                <w:w w:val="100"/>
                <w:position w:val="0"/>
              </w:rPr>
              <w:t>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获得</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 及国外资质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产品注册申报有助于进一步 提升和验证产品性能，开拓 产品入院渠道，提升肿瘤临 床产品资质结构，增强产品</w:t>
            </w:r>
          </w:p>
        </w:tc>
      </w:tr>
    </w:tbl>
    <w:p>
      <w:pPr>
        <w:spacing w:lineRule="exact" w:line="1"/>
        <w:rPr>
          <w:sz w:val="2"/>
          <w:szCs w:val="2"/>
        </w:rPr>
      </w:pPr>
      <w:r>
        <w:br w:type="page"/>
      </w:r>
    </w:p>
    <w:tbl>
      <w:tblPr>
        <w:tblOverlap w:val="never"/>
        <w:jc w:val="center"/>
        <w:tblLayout w:type="fixed"/>
      </w:tblPr>
      <w:tblGrid>
        <w:gridCol w:w="1426"/>
        <w:gridCol w:w="1982"/>
        <w:gridCol w:w="1661"/>
        <w:gridCol w:w="2170"/>
        <w:gridCol w:w="234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申报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竞争力；</w:t>
            </w:r>
            <w:r>
              <w:rPr>
                <w:rFonts w:ascii="Times New Roman" w:eastAsia="Times New Roman" w:hAnsi="Times New Roman" w:cs="Times New Roman"/>
                <w:color w:val="000000"/>
                <w:spacing w:val="0"/>
                <w:w w:val="100"/>
                <w:position w:val="0"/>
              </w:rPr>
              <w:t>CE</w:t>
            </w:r>
            <w:r>
              <w:rPr>
                <w:color w:val="000000"/>
                <w:spacing w:val="0"/>
                <w:w w:val="100"/>
                <w:position w:val="0"/>
              </w:rPr>
              <w:t>准入资质的获得 将为肿瘤产品迈向国际市场 提供基础</w:t>
            </w:r>
          </w:p>
        </w:tc>
      </w:tr>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乳腺癌、卵巢癌 </w:t>
            </w:r>
            <w:r>
              <w:rPr>
                <w:rFonts w:ascii="Times New Roman" w:eastAsia="Times New Roman" w:hAnsi="Times New Roman" w:cs="Times New Roman"/>
                <w:color w:val="000000"/>
                <w:spacing w:val="0"/>
                <w:w w:val="100"/>
                <w:position w:val="0"/>
              </w:rPr>
              <w:t>BRCA1/2</w:t>
            </w:r>
            <w:r>
              <w:rPr>
                <w:color w:val="000000"/>
                <w:spacing w:val="0"/>
                <w:w w:val="100"/>
                <w:position w:val="0"/>
              </w:rPr>
              <w:t>基因突 变检测试剂盒申</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对乳腺癌、卵巢癌</w:t>
            </w:r>
          </w:p>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BRCA1/2</w:t>
            </w:r>
            <w:r>
              <w:rPr>
                <w:color w:val="000000"/>
                <w:spacing w:val="0"/>
                <w:w w:val="100"/>
                <w:position w:val="0"/>
              </w:rPr>
              <w:t>基因突变检测 试剂盒进行申报，切合 市场需求，丰富公司的 肿瘤检测产品线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已进入</w:t>
            </w:r>
            <w:r>
              <w:rPr>
                <w:rFonts w:ascii="Times New Roman" w:eastAsia="Times New Roman" w:hAnsi="Times New Roman" w:cs="Times New Roman"/>
                <w:color w:val="000000"/>
                <w:spacing w:val="0"/>
                <w:w w:val="100"/>
                <w:position w:val="0"/>
              </w:rPr>
              <w:t>NMPA-III</w:t>
            </w:r>
            <w:r>
              <w:rPr>
                <w:color w:val="000000"/>
                <w:spacing w:val="0"/>
                <w:w w:val="100"/>
                <w:position w:val="0"/>
              </w:rPr>
              <w:t xml:space="preserve">类 注册发补阶段；配 套的核酸提取试剂 盒和分析软件获得 </w:t>
            </w:r>
            <w:r>
              <w:rPr>
                <w:rFonts w:ascii="Times New Roman" w:eastAsia="Times New Roman" w:hAnsi="Times New Roman" w:cs="Times New Roman"/>
                <w:color w:val="000000"/>
                <w:spacing w:val="0"/>
                <w:w w:val="100"/>
                <w:position w:val="0"/>
              </w:rPr>
              <w:t>CE-IVDD</w:t>
            </w:r>
            <w:r>
              <w:rPr>
                <w:color w:val="000000"/>
                <w:spacing w:val="0"/>
                <w:w w:val="100"/>
                <w:position w:val="0"/>
              </w:rPr>
              <w:t>认证，实 现全检测流程</w:t>
            </w:r>
            <w:r>
              <w:rPr>
                <w:rFonts w:ascii="Times New Roman" w:eastAsia="Times New Roman" w:hAnsi="Times New Roman" w:cs="Times New Roman"/>
                <w:color w:val="000000"/>
                <w:spacing w:val="0"/>
                <w:w w:val="100"/>
                <w:position w:val="0"/>
              </w:rPr>
              <w:t>CE- IVDD</w:t>
            </w:r>
            <w:r>
              <w:rPr>
                <w:color w:val="000000"/>
                <w:spacing w:val="0"/>
                <w:w w:val="100"/>
                <w:position w:val="0"/>
              </w:rPr>
              <w:t xml:space="preserve">资质；建库试 剂盒和软件进行 </w:t>
            </w:r>
            <w:r>
              <w:rPr>
                <w:rFonts w:ascii="Times New Roman" w:eastAsia="Times New Roman" w:hAnsi="Times New Roman" w:cs="Times New Roman"/>
                <w:color w:val="000000"/>
                <w:spacing w:val="0"/>
                <w:w w:val="100"/>
                <w:position w:val="0"/>
              </w:rPr>
              <w:t>IVDR</w:t>
            </w:r>
            <w:r>
              <w:rPr>
                <w:color w:val="000000"/>
                <w:spacing w:val="0"/>
                <w:w w:val="100"/>
                <w:position w:val="0"/>
              </w:rPr>
              <w:t>技术文档完整 性审查；配套的分 析软件获得沙特阿 拉伯资质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申报及获得国外资质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乳腺癌、卵巢癌</w:t>
            </w:r>
            <w:r>
              <w:rPr>
                <w:rFonts w:ascii="Times New Roman" w:eastAsia="Times New Roman" w:hAnsi="Times New Roman" w:cs="Times New Roman"/>
                <w:color w:val="000000"/>
                <w:spacing w:val="0"/>
                <w:w w:val="100"/>
                <w:position w:val="0"/>
              </w:rPr>
              <w:t>BRCA1/2</w:t>
            </w:r>
            <w:r>
              <w:rPr>
                <w:color w:val="000000"/>
                <w:spacing w:val="0"/>
                <w:w w:val="100"/>
                <w:position w:val="0"/>
              </w:rPr>
              <w:t>基 因突变检测试剂盒的资质申 请，将有助于进一步打通和 拓展肿瘤患者检测的渠道， 提升肿瘤临床产品资质结 构，增强产品竞争力；</w:t>
            </w:r>
            <w:r>
              <w:rPr>
                <w:rFonts w:ascii="Times New Roman" w:eastAsia="Times New Roman" w:hAnsi="Times New Roman" w:cs="Times New Roman"/>
                <w:color w:val="000000"/>
                <w:spacing w:val="0"/>
                <w:w w:val="100"/>
                <w:position w:val="0"/>
              </w:rPr>
              <w:t>CE</w:t>
            </w:r>
            <w:r>
              <w:rPr>
                <w:color w:val="000000"/>
                <w:spacing w:val="0"/>
                <w:w w:val="100"/>
                <w:position w:val="0"/>
              </w:rPr>
              <w:t>等 国外准入资质的获得将为肿 瘤产品迈向国际市场提供基 础</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非小细胞肺癌 </w:t>
            </w:r>
            <w:r>
              <w:rPr>
                <w:rFonts w:ascii="Times New Roman" w:eastAsia="Times New Roman" w:hAnsi="Times New Roman" w:cs="Times New Roman"/>
                <w:color w:val="000000"/>
                <w:spacing w:val="0"/>
                <w:w w:val="100"/>
                <w:position w:val="0"/>
              </w:rPr>
              <w:t>ctDNA</w:t>
            </w:r>
            <w:r>
              <w:rPr>
                <w:color w:val="000000"/>
                <w:spacing w:val="0"/>
                <w:w w:val="100"/>
                <w:position w:val="0"/>
              </w:rPr>
              <w:t>检测试剂 盒</w:t>
            </w:r>
            <w:r>
              <w:rPr>
                <w:rFonts w:ascii="Times New Roman" w:eastAsia="Times New Roman" w:hAnsi="Times New Roman" w:cs="Times New Roman"/>
                <w:color w:val="000000"/>
                <w:spacing w:val="0"/>
                <w:w w:val="100"/>
                <w:position w:val="0"/>
              </w:rPr>
              <w:t>（NGS）</w:t>
            </w:r>
            <w:r>
              <w:rPr>
                <w:color w:val="000000"/>
                <w:spacing w:val="0"/>
                <w:w w:val="100"/>
                <w:position w:val="0"/>
              </w:rPr>
              <w:t>注册申 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向</w:t>
            </w:r>
            <w:r>
              <w:rPr>
                <w:rFonts w:ascii="Times New Roman" w:eastAsia="Times New Roman" w:hAnsi="Times New Roman" w:cs="Times New Roman"/>
                <w:color w:val="000000"/>
                <w:spacing w:val="0"/>
                <w:w w:val="100"/>
                <w:position w:val="0"/>
              </w:rPr>
              <w:t>NMPA</w:t>
            </w:r>
            <w:r>
              <w:rPr>
                <w:color w:val="000000"/>
                <w:spacing w:val="0"/>
                <w:w w:val="100"/>
                <w:position w:val="0"/>
              </w:rPr>
              <w:t>及国外药品监 督管理机构进行注册申 报，使该试剂盒能够更 好的应用于临床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已获得国内</w:t>
            </w:r>
            <w:r>
              <w:rPr>
                <w:rFonts w:ascii="Times New Roman" w:eastAsia="Times New Roman" w:hAnsi="Times New Roman" w:cs="Times New Roman"/>
                <w:color w:val="000000"/>
                <w:spacing w:val="0"/>
                <w:w w:val="100"/>
                <w:position w:val="0"/>
              </w:rPr>
              <w:t xml:space="preserve">NMPA </w:t>
            </w:r>
            <w:r>
              <w:rPr>
                <w:color w:val="000000"/>
                <w:spacing w:val="0"/>
                <w:w w:val="100"/>
                <w:position w:val="0"/>
              </w:rPr>
              <w:t>注册检验报告；核 酸提取试剂及建库 试剂均获得</w:t>
            </w:r>
            <w:r>
              <w:rPr>
                <w:rFonts w:ascii="Times New Roman" w:eastAsia="Times New Roman" w:hAnsi="Times New Roman" w:cs="Times New Roman"/>
                <w:color w:val="000000"/>
                <w:spacing w:val="0"/>
                <w:w w:val="100"/>
                <w:position w:val="0"/>
              </w:rPr>
              <w:t>CE- IVDD</w:t>
            </w:r>
            <w:r>
              <w:rPr>
                <w:color w:val="000000"/>
                <w:spacing w:val="0"/>
                <w:w w:val="100"/>
                <w:position w:val="0"/>
              </w:rPr>
              <w:t>认证。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获得</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 证及国外资质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进一步完善肿瘤临床检测产 品资质布局，全面提升肿瘤 产品竞争力</w:t>
            </w:r>
          </w:p>
        </w:tc>
      </w:tr>
      <w:tr>
        <w:trPr>
          <w:trHeight w:val="28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人乳头瘤病毒</w:t>
            </w:r>
          </w:p>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color w:val="000000"/>
                <w:spacing w:val="0"/>
                <w:w w:val="100"/>
                <w:position w:val="0"/>
              </w:rPr>
              <w:t>核酸分 型检测试剂盒</w:t>
            </w:r>
          </w:p>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（联合探针锚定 聚合测序法）研 发及注册申报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为了适应</w:t>
            </w:r>
            <w:r>
              <w:rPr>
                <w:rFonts w:ascii="Times New Roman" w:eastAsia="Times New Roman" w:hAnsi="Times New Roman" w:cs="Times New Roman"/>
                <w:color w:val="000000"/>
                <w:spacing w:val="0"/>
                <w:w w:val="100"/>
                <w:position w:val="0"/>
              </w:rPr>
              <w:t>NMPA</w:t>
            </w:r>
            <w:r>
              <w:rPr>
                <w:color w:val="000000"/>
                <w:spacing w:val="0"/>
                <w:w w:val="100"/>
                <w:position w:val="0"/>
              </w:rPr>
              <w:t>发布的 《人乳头瘤病毒</w:t>
            </w:r>
          </w:p>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color w:val="000000"/>
                <w:spacing w:val="0"/>
                <w:w w:val="100"/>
                <w:position w:val="0"/>
              </w:rPr>
              <w:t xml:space="preserve">核酸检测及基 因分型、试剂技术审查 指导原则》和民生项目 在 </w:t>
            </w:r>
            <w:r>
              <w:rPr>
                <w:rFonts w:ascii="Times New Roman" w:eastAsia="Times New Roman" w:hAnsi="Times New Roman" w:cs="Times New Roman"/>
                <w:color w:val="000000"/>
                <w:spacing w:val="0"/>
                <w:w w:val="100"/>
                <w:position w:val="0"/>
              </w:rPr>
              <w:t>MGISEQ-200</w:t>
            </w:r>
            <w:r>
              <w:rPr>
                <w:color w:val="000000"/>
                <w:spacing w:val="0"/>
                <w:w w:val="100"/>
                <w:position w:val="0"/>
              </w:rPr>
              <w:t xml:space="preserve">、 </w:t>
            </w:r>
            <w:r>
              <w:rPr>
                <w:rFonts w:ascii="Times New Roman" w:eastAsia="Times New Roman" w:hAnsi="Times New Roman" w:cs="Times New Roman"/>
                <w:color w:val="000000"/>
                <w:spacing w:val="0"/>
                <w:w w:val="100"/>
                <w:position w:val="0"/>
              </w:rPr>
              <w:t>MGISEQ-2000</w:t>
            </w:r>
            <w:r>
              <w:rPr>
                <w:color w:val="000000"/>
                <w:spacing w:val="0"/>
                <w:w w:val="100"/>
                <w:position w:val="0"/>
              </w:rPr>
              <w:t>自主平台 的目标布局，进行该试 剂盒的研发和注册申报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已通过体系考核，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正在进行注册评审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 申报及国外资质申报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产品基于升级的新一代检测 产品开展</w:t>
            </w:r>
            <w:r>
              <w:rPr>
                <w:rFonts w:ascii="Times New Roman" w:eastAsia="Times New Roman" w:hAnsi="Times New Roman" w:cs="Times New Roman"/>
                <w:color w:val="000000"/>
                <w:spacing w:val="0"/>
                <w:w w:val="100"/>
                <w:position w:val="0"/>
              </w:rPr>
              <w:t>NMPA</w:t>
            </w:r>
            <w:r>
              <w:rPr>
                <w:color w:val="000000"/>
                <w:spacing w:val="0"/>
                <w:w w:val="100"/>
                <w:position w:val="0"/>
              </w:rPr>
              <w:t>医疗器械注 册申报研究，相关工作将有 助于提升</w:t>
            </w:r>
            <w:r>
              <w:rPr>
                <w:rFonts w:ascii="Times New Roman" w:eastAsia="Times New Roman" w:hAnsi="Times New Roman" w:cs="Times New Roman"/>
                <w:color w:val="000000"/>
                <w:spacing w:val="0"/>
                <w:w w:val="100"/>
                <w:position w:val="0"/>
              </w:rPr>
              <w:t>HPV</w:t>
            </w:r>
            <w:r>
              <w:rPr>
                <w:color w:val="000000"/>
                <w:spacing w:val="0"/>
                <w:w w:val="100"/>
                <w:position w:val="0"/>
              </w:rPr>
              <w:t>检测产品的影 响力，开拓入院渠道，提供 支持，同时将有利于公司在 全国推广</w:t>
            </w:r>
            <w:r>
              <w:rPr>
                <w:rFonts w:ascii="Times New Roman" w:eastAsia="Times New Roman" w:hAnsi="Times New Roman" w:cs="Times New Roman"/>
                <w:color w:val="000000"/>
                <w:spacing w:val="0"/>
                <w:w w:val="100"/>
                <w:position w:val="0"/>
              </w:rPr>
              <w:t>HPV</w:t>
            </w:r>
            <w:r>
              <w:rPr>
                <w:color w:val="000000"/>
                <w:spacing w:val="0"/>
                <w:w w:val="100"/>
                <w:position w:val="0"/>
              </w:rPr>
              <w:t>全民筛查，进 一步提升产品市场竞争力</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肿瘤术后复发监 测产品自主平台 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通过全外显子</w:t>
            </w:r>
            <w:r>
              <w:rPr>
                <w:rFonts w:ascii="Times New Roman" w:eastAsia="Times New Roman" w:hAnsi="Times New Roman" w:cs="Times New Roman"/>
                <w:color w:val="000000"/>
                <w:spacing w:val="0"/>
                <w:w w:val="100"/>
                <w:position w:val="0"/>
              </w:rPr>
              <w:t>WES</w:t>
            </w:r>
            <w:r>
              <w:rPr>
                <w:color w:val="000000"/>
                <w:spacing w:val="0"/>
                <w:w w:val="100"/>
                <w:position w:val="0"/>
              </w:rPr>
              <w:t>测序 全面了解患者患病时的 肿瘤突变状态，随后利 用基于多重</w:t>
            </w:r>
            <w:r>
              <w:rPr>
                <w:rFonts w:ascii="Times New Roman" w:eastAsia="Times New Roman" w:hAnsi="Times New Roman" w:cs="Times New Roman"/>
                <w:color w:val="000000"/>
                <w:spacing w:val="0"/>
                <w:w w:val="100"/>
                <w:position w:val="0"/>
              </w:rPr>
              <w:t>PCR</w:t>
            </w:r>
            <w:r>
              <w:rPr>
                <w:color w:val="000000"/>
                <w:spacing w:val="0"/>
                <w:w w:val="100"/>
                <w:position w:val="0"/>
              </w:rPr>
              <w:t xml:space="preserve">的超过 </w:t>
            </w:r>
            <w:r>
              <w:rPr>
                <w:rFonts w:ascii="Times New Roman" w:eastAsia="Times New Roman" w:hAnsi="Times New Roman" w:cs="Times New Roman"/>
                <w:color w:val="000000"/>
                <w:spacing w:val="0"/>
                <w:w w:val="100"/>
                <w:position w:val="0"/>
              </w:rPr>
              <w:t>100000X</w:t>
            </w:r>
            <w:r>
              <w:rPr>
                <w:color w:val="000000"/>
                <w:spacing w:val="0"/>
                <w:w w:val="100"/>
                <w:position w:val="0"/>
              </w:rPr>
              <w:t>的超高深度测 序，捕捉患者血液中肿 瘤残留病灶信号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MGISEQ</w:t>
            </w:r>
            <w:r>
              <w:rPr>
                <w:color w:val="000000"/>
                <w:spacing w:val="0"/>
                <w:w w:val="100"/>
                <w:position w:val="0"/>
              </w:rPr>
              <w:t>转平台可 行性测试已完成， 数据表现良好，正 在开展算法训练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开发基于自主平台无创肿 瘤复发监测技术产品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产品的推出有助于公司完善 肿瘤产品布局，填补国内在 肿瘤复发及愈后检测方面的 产品空白，为患者提供更全 面的愈后保障</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BRCA1/2</w:t>
            </w:r>
            <w:r>
              <w:rPr>
                <w:color w:val="000000"/>
                <w:spacing w:val="0"/>
                <w:w w:val="100"/>
                <w:position w:val="0"/>
              </w:rPr>
              <w:t>软件报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为了大规模推广该检测 软件，进而提升公司的 品牌形象和产品收益， 对该软件进行注册申报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处于注册发补阶段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NMPA</w:t>
            </w:r>
            <w:r>
              <w:rPr>
                <w:color w:val="000000"/>
                <w:spacing w:val="0"/>
                <w:w w:val="100"/>
                <w:position w:val="0"/>
              </w:rPr>
              <w:t>医疗器械注册 申报及国外资质申报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w:t>
            </w:r>
            <w:r>
              <w:rPr>
                <w:rFonts w:ascii="Times New Roman" w:eastAsia="Times New Roman" w:hAnsi="Times New Roman" w:cs="Times New Roman"/>
                <w:color w:val="000000"/>
                <w:spacing w:val="0"/>
                <w:w w:val="100"/>
                <w:position w:val="0"/>
              </w:rPr>
              <w:t>BRCA1/2</w:t>
            </w:r>
            <w:r>
              <w:rPr>
                <w:color w:val="000000"/>
                <w:spacing w:val="0"/>
                <w:w w:val="100"/>
                <w:position w:val="0"/>
              </w:rPr>
              <w:t>检测试剂盒资 质申报的软件，是试剂盒报 证获批的重要组成部分</w:t>
            </w: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HRD</w:t>
            </w:r>
            <w:r>
              <w:rPr>
                <w:color w:val="000000"/>
                <w:spacing w:val="0"/>
                <w:w w:val="100"/>
                <w:position w:val="0"/>
              </w:rPr>
              <w:t>产品升级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基于杂合性缺失</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（LOH）</w:t>
            </w:r>
            <w:r>
              <w:rPr>
                <w:color w:val="000000"/>
                <w:spacing w:val="0"/>
                <w:w w:val="100"/>
                <w:position w:val="0"/>
              </w:rPr>
              <w:t>、</w:t>
            </w:r>
            <w:r>
              <w:rPr>
                <w:color w:val="000000"/>
                <w:spacing w:val="0"/>
                <w:w w:val="100"/>
                <w:position w:val="0"/>
              </w:rPr>
              <w:t>端粒等位基因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完成</w:t>
            </w:r>
            <w:r>
              <w:rPr>
                <w:rFonts w:ascii="Times New Roman" w:eastAsia="Times New Roman" w:hAnsi="Times New Roman" w:cs="Times New Roman"/>
                <w:color w:val="000000"/>
                <w:spacing w:val="0"/>
                <w:w w:val="100"/>
                <w:position w:val="0"/>
              </w:rPr>
              <w:t>HRD+HRR</w:t>
            </w:r>
            <w:r>
              <w:rPr>
                <w:color w:val="000000"/>
                <w:spacing w:val="0"/>
                <w:w w:val="100"/>
                <w:position w:val="0"/>
              </w:rPr>
              <w:t>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检产品开发及方法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HRD</w:t>
            </w:r>
            <w:r>
              <w:rPr>
                <w:color w:val="000000"/>
                <w:spacing w:val="0"/>
                <w:w w:val="100"/>
                <w:position w:val="0"/>
              </w:rPr>
              <w:t>算法验证和优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化，进一步对产品性能进</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产品将通过升级优化，进一 步拓展检测范围，有助于帮</w:t>
            </w:r>
          </w:p>
        </w:tc>
      </w:tr>
    </w:tbl>
    <w:p>
      <w:pPr>
        <w:spacing w:lineRule="exact" w:line="1"/>
        <w:rPr>
          <w:sz w:val="2"/>
          <w:szCs w:val="2"/>
        </w:rPr>
      </w:pPr>
      <w:r>
        <w:br w:type="page"/>
      </w:r>
    </w:p>
    <w:tbl>
      <w:tblPr>
        <w:tblOverlap w:val="never"/>
        <w:jc w:val="center"/>
        <w:tblLayout w:type="fixed"/>
      </w:tblPr>
      <w:tblGrid>
        <w:gridCol w:w="1426"/>
        <w:gridCol w:w="1982"/>
        <w:gridCol w:w="1661"/>
        <w:gridCol w:w="2170"/>
        <w:gridCol w:w="2347"/>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不平衡</w:t>
            </w:r>
            <w:r>
              <w:rPr>
                <w:rFonts w:ascii="Times New Roman" w:eastAsia="Times New Roman" w:hAnsi="Times New Roman" w:cs="Times New Roman"/>
                <w:color w:val="000000"/>
                <w:spacing w:val="0"/>
                <w:w w:val="100"/>
                <w:position w:val="0"/>
              </w:rPr>
              <w:t>（TAI）</w:t>
            </w:r>
            <w:r>
              <w:rPr>
                <w:color w:val="000000"/>
                <w:spacing w:val="0"/>
                <w:w w:val="100"/>
                <w:position w:val="0"/>
              </w:rPr>
              <w:t>和大区段的 扩增、缺失</w:t>
            </w:r>
            <w:r>
              <w:rPr>
                <w:color w:val="000000"/>
                <w:spacing w:val="0"/>
                <w:w w:val="100"/>
                <w:position w:val="0"/>
              </w:rPr>
              <w:t>（</w:t>
            </w:r>
            <w:r>
              <w:rPr>
                <w:rFonts w:ascii="Times New Roman" w:eastAsia="Times New Roman" w:hAnsi="Times New Roman" w:cs="Times New Roman"/>
                <w:color w:val="000000"/>
                <w:spacing w:val="0"/>
                <w:w w:val="100"/>
                <w:position w:val="0"/>
              </w:rPr>
              <w:t>LST</w:t>
            </w:r>
            <w:r>
              <w:rPr>
                <w:color w:val="000000"/>
                <w:spacing w:val="0"/>
                <w:w w:val="100"/>
                <w:position w:val="0"/>
              </w:rPr>
              <w:t xml:space="preserve">）这 三个维度的指标以及肿 瘤纯度校正和染色体倍 数校正，量化评价同源 重组缺陷程度及建立对 </w:t>
            </w:r>
            <w:r>
              <w:rPr>
                <w:rFonts w:ascii="Times New Roman" w:eastAsia="Times New Roman" w:hAnsi="Times New Roman" w:cs="Times New Roman"/>
                <w:color w:val="000000"/>
                <w:spacing w:val="0"/>
                <w:w w:val="100"/>
                <w:position w:val="0"/>
              </w:rPr>
              <w:t>PARP</w:t>
            </w:r>
            <w:r>
              <w:rPr>
                <w:color w:val="000000"/>
                <w:spacing w:val="0"/>
                <w:w w:val="100"/>
                <w:position w:val="0"/>
              </w:rPr>
              <w:t>抑制剂敏感度的相 关性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学测试，进行</w:t>
            </w:r>
            <w:r>
              <w:rPr>
                <w:rFonts w:ascii="Times New Roman" w:eastAsia="Times New Roman" w:hAnsi="Times New Roman" w:cs="Times New Roman"/>
                <w:color w:val="000000"/>
                <w:spacing w:val="0"/>
                <w:w w:val="100"/>
                <w:position w:val="0"/>
              </w:rPr>
              <w:t xml:space="preserve">HRD </w:t>
            </w:r>
            <w:r>
              <w:rPr>
                <w:color w:val="000000"/>
                <w:spacing w:val="0"/>
                <w:w w:val="100"/>
                <w:position w:val="0"/>
              </w:rPr>
              <w:t xml:space="preserve">标准化项目以及 </w:t>
            </w:r>
            <w:r>
              <w:rPr>
                <w:rFonts w:ascii="Times New Roman" w:eastAsia="Times New Roman" w:hAnsi="Times New Roman" w:cs="Times New Roman"/>
                <w:color w:val="000000"/>
                <w:spacing w:val="0"/>
                <w:w w:val="100"/>
                <w:position w:val="0"/>
              </w:rPr>
              <w:t>HRD</w:t>
            </w:r>
            <w:r>
              <w:rPr>
                <w:color w:val="000000"/>
                <w:spacing w:val="0"/>
                <w:w w:val="100"/>
                <w:position w:val="0"/>
              </w:rPr>
              <w:t>自动化流程开 发，与临床</w:t>
            </w:r>
            <w:r>
              <w:rPr>
                <w:rFonts w:ascii="Times New Roman" w:eastAsia="Times New Roman" w:hAnsi="Times New Roman" w:cs="Times New Roman"/>
                <w:color w:val="000000"/>
                <w:spacing w:val="0"/>
                <w:w w:val="100"/>
                <w:position w:val="0"/>
              </w:rPr>
              <w:t>PI</w:t>
            </w:r>
            <w:r>
              <w:rPr>
                <w:color w:val="000000"/>
                <w:spacing w:val="0"/>
                <w:w w:val="100"/>
                <w:position w:val="0"/>
              </w:rPr>
              <w:t>合作 进行</w:t>
            </w:r>
            <w:r>
              <w:rPr>
                <w:rFonts w:ascii="Times New Roman" w:eastAsia="Times New Roman" w:hAnsi="Times New Roman" w:cs="Times New Roman"/>
                <w:color w:val="000000"/>
                <w:spacing w:val="0"/>
                <w:w w:val="100"/>
                <w:position w:val="0"/>
              </w:rPr>
              <w:t>3</w:t>
            </w:r>
            <w:r>
              <w:rPr>
                <w:color w:val="000000"/>
                <w:spacing w:val="0"/>
                <w:w w:val="100"/>
                <w:position w:val="0"/>
              </w:rPr>
              <w:t xml:space="preserve">个癌种的 </w:t>
            </w:r>
            <w:r>
              <w:rPr>
                <w:rFonts w:ascii="Times New Roman" w:eastAsia="Times New Roman" w:hAnsi="Times New Roman" w:cs="Times New Roman"/>
                <w:color w:val="000000"/>
                <w:spacing w:val="0"/>
                <w:w w:val="100"/>
                <w:position w:val="0"/>
              </w:rPr>
              <w:t>HRD</w:t>
            </w:r>
            <w:r>
              <w:rPr>
                <w:color w:val="000000"/>
                <w:spacing w:val="0"/>
                <w:w w:val="100"/>
                <w:position w:val="0"/>
              </w:rPr>
              <w:t>回顾性研究项 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行优化升级，提升产品竞 争力；实现</w:t>
            </w:r>
            <w:r>
              <w:rPr>
                <w:rFonts w:ascii="Times New Roman" w:eastAsia="Times New Roman" w:hAnsi="Times New Roman" w:cs="Times New Roman"/>
                <w:color w:val="000000"/>
                <w:spacing w:val="0"/>
                <w:w w:val="100"/>
                <w:position w:val="0"/>
              </w:rPr>
              <w:t>HRR</w:t>
            </w:r>
            <w:r>
              <w:rPr>
                <w:color w:val="000000"/>
                <w:spacing w:val="0"/>
                <w:w w:val="100"/>
                <w:position w:val="0"/>
              </w:rPr>
              <w:t>及</w:t>
            </w:r>
            <w:r>
              <w:rPr>
                <w:rFonts w:ascii="Times New Roman" w:eastAsia="Times New Roman" w:hAnsi="Times New Roman" w:cs="Times New Roman"/>
                <w:color w:val="000000"/>
                <w:spacing w:val="0"/>
                <w:w w:val="100"/>
                <w:position w:val="0"/>
              </w:rPr>
              <w:t xml:space="preserve">HRD </w:t>
            </w:r>
            <w:r>
              <w:rPr>
                <w:color w:val="000000"/>
                <w:spacing w:val="0"/>
                <w:w w:val="100"/>
                <w:position w:val="0"/>
              </w:rPr>
              <w:t>共同检测；实现</w:t>
            </w:r>
            <w:r>
              <w:rPr>
                <w:rFonts w:ascii="Times New Roman" w:eastAsia="Times New Roman" w:hAnsi="Times New Roman" w:cs="Times New Roman"/>
                <w:color w:val="000000"/>
                <w:spacing w:val="0"/>
                <w:w w:val="100"/>
                <w:position w:val="0"/>
              </w:rPr>
              <w:t>BRCA1</w:t>
            </w:r>
            <w:r>
              <w:rPr>
                <w:color w:val="000000"/>
                <w:spacing w:val="0"/>
                <w:w w:val="100"/>
                <w:position w:val="0"/>
              </w:rPr>
              <w:t>甲 基化检测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助更多患者发现用药指征， 从而完善肿瘤精准治疗产品 布局，提升肿瘤产品的市场 竞争力</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Pancancer-Drug </w:t>
            </w:r>
            <w:r>
              <w:rPr>
                <w:color w:val="000000"/>
                <w:spacing w:val="0"/>
                <w:w w:val="100"/>
                <w:position w:val="0"/>
              </w:rPr>
              <w:t>低频技术开发与 产品转化（原名 称为低频降噪液 体活检技术及产 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w:t>
            </w:r>
            <w:r>
              <w:rPr>
                <w:rFonts w:ascii="Times New Roman" w:eastAsia="Times New Roman" w:hAnsi="Times New Roman" w:cs="Times New Roman"/>
                <w:color w:val="000000"/>
                <w:spacing w:val="0"/>
                <w:w w:val="100"/>
                <w:position w:val="0"/>
              </w:rPr>
              <w:t>16*16CoBox</w:t>
            </w:r>
            <w:r>
              <w:rPr>
                <w:color w:val="000000"/>
                <w:spacing w:val="0"/>
                <w:w w:val="100"/>
                <w:position w:val="0"/>
              </w:rPr>
              <w:t>分子 标签达到降噪和降低检 测线的目的，实现液体 活检产品</w:t>
            </w:r>
            <w:r>
              <w:rPr>
                <w:rFonts w:ascii="Times New Roman" w:eastAsia="Times New Roman" w:hAnsi="Times New Roman" w:cs="Times New Roman"/>
                <w:color w:val="000000"/>
                <w:spacing w:val="0"/>
                <w:w w:val="100"/>
                <w:position w:val="0"/>
              </w:rPr>
              <w:t>0.5%</w:t>
            </w:r>
            <w:r>
              <w:rPr>
                <w:color w:val="000000"/>
                <w:spacing w:val="0"/>
                <w:w w:val="100"/>
                <w:position w:val="0"/>
              </w:rPr>
              <w:t>的检测线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已完成产品开发并 发布，</w:t>
            </w:r>
            <w:r>
              <w:rPr>
                <w:rFonts w:ascii="Times New Roman" w:eastAsia="Times New Roman" w:hAnsi="Times New Roman" w:cs="Times New Roman"/>
                <w:color w:val="000000"/>
                <w:spacing w:val="0"/>
                <w:w w:val="100"/>
                <w:position w:val="0"/>
              </w:rPr>
              <w:t>"688</w:t>
            </w:r>
            <w:r>
              <w:rPr>
                <w:color w:val="000000"/>
                <w:spacing w:val="0"/>
                <w:w w:val="100"/>
                <w:position w:val="0"/>
              </w:rPr>
              <w:t>血浆低 频产品升级</w:t>
            </w:r>
            <w:r>
              <w:rPr>
                <w:rFonts w:ascii="Times New Roman" w:eastAsia="Times New Roman" w:hAnsi="Times New Roman" w:cs="Times New Roman"/>
                <w:color w:val="000000"/>
                <w:spacing w:val="0"/>
                <w:w w:val="100"/>
                <w:position w:val="0"/>
              </w:rPr>
              <w:t>"</w:t>
            </w:r>
            <w:r>
              <w:rPr>
                <w:color w:val="000000"/>
                <w:spacing w:val="0"/>
                <w:w w:val="100"/>
                <w:position w:val="0"/>
              </w:rPr>
              <w:t>转产后 跟进，血浆自动化 待转产，国产采血 管完成阶段测试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泛癌种检测产品将开发 </w:t>
            </w:r>
            <w:r>
              <w:rPr>
                <w:rFonts w:ascii="Times New Roman" w:eastAsia="Times New Roman" w:hAnsi="Times New Roman" w:cs="Times New Roman"/>
                <w:color w:val="000000"/>
                <w:spacing w:val="0"/>
                <w:w w:val="100"/>
                <w:position w:val="0"/>
              </w:rPr>
              <w:t>ctDNA</w:t>
            </w:r>
            <w:r>
              <w:rPr>
                <w:color w:val="000000"/>
                <w:spacing w:val="0"/>
                <w:w w:val="100"/>
                <w:position w:val="0"/>
              </w:rPr>
              <w:t>的超低频检测技术 并转产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基于泛癌种肿瘤检测技术进 一步提升</w:t>
            </w:r>
            <w:r>
              <w:rPr>
                <w:rFonts w:ascii="Times New Roman" w:eastAsia="Times New Roman" w:hAnsi="Times New Roman" w:cs="Times New Roman"/>
                <w:color w:val="000000"/>
                <w:spacing w:val="0"/>
                <w:w w:val="100"/>
                <w:position w:val="0"/>
              </w:rPr>
              <w:t>ctDNA</w:t>
            </w:r>
            <w:r>
              <w:rPr>
                <w:color w:val="000000"/>
                <w:spacing w:val="0"/>
                <w:w w:val="100"/>
                <w:position w:val="0"/>
              </w:rPr>
              <w:t>检测的灵敏 度，提升产品竞争力，增加 适用样本类型，提供临床更 多选择。相关产品的开发将 使低质量样本检测成为可 能，将提升样本送样量，提 升相关检测的业务量</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白血病基因检测 与分子分型产品 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开发一款</w:t>
            </w:r>
            <w:r>
              <w:rPr>
                <w:rFonts w:ascii="Times New Roman" w:eastAsia="Times New Roman" w:hAnsi="Times New Roman" w:cs="Times New Roman"/>
                <w:color w:val="000000"/>
                <w:spacing w:val="0"/>
                <w:w w:val="100"/>
                <w:position w:val="0"/>
              </w:rPr>
              <w:t>DNA/RNA</w:t>
            </w:r>
            <w:r>
              <w:rPr>
                <w:color w:val="000000"/>
                <w:spacing w:val="0"/>
                <w:w w:val="100"/>
                <w:position w:val="0"/>
              </w:rPr>
              <w:t>共 检的白血病基因检测产 品，</w:t>
            </w:r>
            <w:r>
              <w:rPr>
                <w:rFonts w:ascii="Times New Roman" w:eastAsia="Times New Roman" w:hAnsi="Times New Roman" w:cs="Times New Roman"/>
                <w:color w:val="000000"/>
                <w:spacing w:val="0"/>
                <w:w w:val="100"/>
                <w:position w:val="0"/>
              </w:rPr>
              <w:t>DNA</w:t>
            </w:r>
            <w:r>
              <w:rPr>
                <w:color w:val="000000"/>
                <w:spacing w:val="0"/>
                <w:w w:val="100"/>
                <w:position w:val="0"/>
              </w:rPr>
              <w:t>检测利用目标 区域捕获技术，一次性 对白血病相关的</w:t>
            </w:r>
            <w:r>
              <w:rPr>
                <w:rFonts w:ascii="Times New Roman" w:eastAsia="Times New Roman" w:hAnsi="Times New Roman" w:cs="Times New Roman"/>
                <w:color w:val="000000"/>
                <w:spacing w:val="0"/>
                <w:w w:val="100"/>
                <w:position w:val="0"/>
              </w:rPr>
              <w:t>200</w:t>
            </w:r>
            <w:r>
              <w:rPr>
                <w:color w:val="000000"/>
                <w:spacing w:val="0"/>
                <w:w w:val="100"/>
                <w:position w:val="0"/>
              </w:rPr>
              <w:t>个 基因进行检测及全面解 读；</w:t>
            </w:r>
            <w:r>
              <w:rPr>
                <w:rFonts w:ascii="Times New Roman" w:eastAsia="Times New Roman" w:hAnsi="Times New Roman" w:cs="Times New Roman"/>
                <w:color w:val="000000"/>
                <w:spacing w:val="0"/>
                <w:w w:val="100"/>
                <w:position w:val="0"/>
              </w:rPr>
              <w:t>RNA</w:t>
            </w:r>
            <w:r>
              <w:rPr>
                <w:color w:val="000000"/>
                <w:spacing w:val="0"/>
                <w:w w:val="100"/>
                <w:position w:val="0"/>
              </w:rPr>
              <w:t>检测利用全转 录组测序技术，最大程 度检测融合突变，辅助 分型及用药指导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处于转产阶段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开发一款白血病基因基因 检测产品并转产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产品具有高灵敏度和高通量 的优势，可实现快速准确的 白血病图谱分析。为白血病 患者的分子诊断提供精准的 指导</w:t>
            </w:r>
          </w:p>
        </w:tc>
      </w:tr>
      <w:tr>
        <w:trPr>
          <w:trHeight w:val="3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肿瘤早筛/早诊 产品开发和应用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开发国际领先的肿瘤筛 查</w:t>
            </w:r>
            <w:r>
              <w:rPr>
                <w:rFonts w:ascii="Times New Roman" w:eastAsia="Times New Roman" w:hAnsi="Times New Roman" w:cs="Times New Roman"/>
                <w:color w:val="000000"/>
                <w:spacing w:val="0"/>
                <w:w w:val="100"/>
                <w:position w:val="0"/>
              </w:rPr>
              <w:t>/</w:t>
            </w:r>
            <w:r>
              <w:rPr>
                <w:color w:val="000000"/>
                <w:spacing w:val="0"/>
                <w:w w:val="100"/>
                <w:position w:val="0"/>
              </w:rPr>
              <w:t>辅助诊断产品，为肿 瘤早筛早诊提供全面解 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完成肠癌检测产品 大规模前瞻性应用 第一阶段随访及数 据总结并继续开拓 更大规模前瞻性队 列验证；完成肝癌 多组学技术原型开 发，推进产品转产 及落地；消化系统 多癌早筛产品继续 推进扩大临床验证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早筛/早诊新技术产品投 入全球多中心临床样本测 试和应用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增强肿瘤防控产品竞争力， 扩宽业务发展领域</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肠癌辅助诊断产 品注册申报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开发肠癌辅助诊断试剂 盒，获得医疗器械注册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临床实验阶段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获得</w:t>
            </w:r>
            <w:r>
              <w:rPr>
                <w:rFonts w:ascii="Times New Roman" w:eastAsia="Times New Roman" w:hAnsi="Times New Roman" w:cs="Times New Roman"/>
                <w:color w:val="000000"/>
                <w:spacing w:val="0"/>
                <w:w w:val="100"/>
                <w:position w:val="0"/>
              </w:rPr>
              <w:t>NM^</w:t>
            </w:r>
            <w:r>
              <w:rPr>
                <w:color w:val="000000"/>
                <w:spacing w:val="0"/>
                <w:w w:val="100"/>
                <w:position w:val="0"/>
              </w:rPr>
              <w:t>医疗器械注册 证和国外资质申报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将有利于公司在国内外推广 肠癌早期辅助诊断新技术的 应用，进一步提升产品市场 竞争力</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病原快速 检测试剂盒开发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获取中枢神经系统感染 检测试剂盒的市场准入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临床试验完成，立 卷发补中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获得医疗器械注册证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满足一线临床中枢神经系统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感染诊断和鉴别诊断需求，</w:t>
            </w:r>
          </w:p>
        </w:tc>
      </w:tr>
    </w:tbl>
    <w:p>
      <w:pPr>
        <w:spacing w:lineRule="exact" w:line="1"/>
        <w:rPr>
          <w:sz w:val="2"/>
          <w:szCs w:val="2"/>
        </w:rPr>
      </w:pPr>
      <w:r>
        <w:br w:type="page"/>
      </w:r>
    </w:p>
    <w:tbl>
      <w:tblPr>
        <w:tblOverlap w:val="never"/>
        <w:jc w:val="center"/>
        <w:tblLayout w:type="fixed"/>
      </w:tblPr>
      <w:tblGrid>
        <w:gridCol w:w="1426"/>
        <w:gridCol w:w="1982"/>
        <w:gridCol w:w="1661"/>
        <w:gridCol w:w="2170"/>
        <w:gridCol w:w="2347"/>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（中枢神经系统 感染）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资质，完善病原产品线 布局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提高市场竞争力</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病原快速 检测试剂盒配套 软件系统开发</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（中枢神经系统 感染）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获取中枢神经系统感染 检测试剂盒配套软件的 市场准入资质，完善病 原产品线布局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临床试验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开发中枢神经系统病原体 核酸检测试剂盒配套软 件，完成</w:t>
            </w:r>
            <w:r>
              <w:rPr>
                <w:rFonts w:ascii="Times New Roman" w:eastAsia="Times New Roman" w:hAnsi="Times New Roman" w:cs="Times New Roman"/>
                <w:color w:val="000000"/>
                <w:spacing w:val="0"/>
                <w:w w:val="100"/>
                <w:position w:val="0"/>
              </w:rPr>
              <w:t>NMPA</w:t>
            </w:r>
            <w:r>
              <w:rPr>
                <w:color w:val="000000"/>
                <w:spacing w:val="0"/>
                <w:w w:val="100"/>
                <w:position w:val="0"/>
              </w:rPr>
              <w:t>注册申报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满足一线临床中枢神经系统 感染诊断和鉴别诊断需求， 提高市场竞争力</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病原快速 检测试剂盒开发 （血流感染）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获取血流感染检测试剂 盒的市场准入资质，完 善病原产品线布局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注册检验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获得医疗器械注册证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获取临床产品资质，完善病 原产品线布局，提高市场竞 争力</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病原快速 检测试剂盒配套 软件系统开发</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（血流感染）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获取血流感染检测试剂 盒配套软件的市场准入 资质，完善病原产品线 布局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注册检验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开发血流感染产品试剂盒 配套软件，并完成</w:t>
            </w:r>
            <w:r>
              <w:rPr>
                <w:rFonts w:ascii="Times New Roman" w:eastAsia="Times New Roman" w:hAnsi="Times New Roman" w:cs="Times New Roman"/>
                <w:color w:val="000000"/>
                <w:spacing w:val="0"/>
                <w:w w:val="100"/>
                <w:position w:val="0"/>
              </w:rPr>
              <w:t xml:space="preserve">NMPA </w:t>
            </w:r>
            <w:r>
              <w:rPr>
                <w:color w:val="000000"/>
                <w:spacing w:val="0"/>
                <w:w w:val="100"/>
                <w:position w:val="0"/>
              </w:rPr>
              <w:t>注册申报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满足一线临床血流感染诊断 和鉴别诊断需求，提高市场 竞争力</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基于高通量测序 的结核鉴定与多 线耐药基因检测 平台的产业化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获取结核耐药基因检测 产品的市场准入资质， 完善病原产品线布局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试剂盒拿到注检报 告，配套分析软件 获取注册证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分析软件获取注册证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提高市场竞争力</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病原微生 物检测产品生产 流程优化升级</w:t>
            </w:r>
            <w:r>
              <w:rPr>
                <w:rFonts w:ascii="Times New Roman" w:eastAsia="Times New Roman" w:hAnsi="Times New Roman" w:cs="Times New Roman"/>
                <w:color w:val="000000"/>
                <w:spacing w:val="0"/>
                <w:w w:val="100"/>
                <w:position w:val="0"/>
              </w:rPr>
              <w:t>V4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提升产品性能，满足多 样化的临床需求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V4</w:t>
            </w:r>
            <w:r>
              <w:rPr>
                <w:color w:val="000000"/>
                <w:spacing w:val="0"/>
                <w:w w:val="100"/>
                <w:position w:val="0"/>
              </w:rPr>
              <w:t>版产品完成转产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针对</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系列产品实验 流程持续优化升级，提高 产品性能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提升产品的市场竞争力</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PMDB_V6.0 </w:t>
            </w:r>
            <w:r>
              <w:rPr>
                <w:color w:val="000000"/>
                <w:spacing w:val="0"/>
                <w:w w:val="100"/>
                <w:position w:val="0"/>
              </w:rPr>
              <w:t>数据 库优化升级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持续优化升级</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 原数据库，扩大产品检 测范围，提升产品检测 性能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V6</w:t>
            </w:r>
            <w:r>
              <w:rPr>
                <w:color w:val="000000"/>
                <w:spacing w:val="0"/>
                <w:w w:val="100"/>
                <w:position w:val="0"/>
              </w:rPr>
              <w:t>版数据库已上线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优化升级</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病原体数 据库</w:t>
            </w:r>
            <w:r>
              <w:rPr>
                <w:rFonts w:ascii="Times New Roman" w:eastAsia="Times New Roman" w:hAnsi="Times New Roman" w:cs="Times New Roman"/>
                <w:color w:val="000000"/>
                <w:spacing w:val="0"/>
                <w:w w:val="100"/>
                <w:position w:val="0"/>
              </w:rPr>
              <w:t>V6.0</w:t>
            </w:r>
            <w:r>
              <w:rPr>
                <w:color w:val="000000"/>
                <w:spacing w:val="0"/>
                <w:w w:val="100"/>
                <w:position w:val="0"/>
              </w:rPr>
              <w:t>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提高产品的市场竞争力</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新型冠状病毒</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2019-nCoV </w:t>
            </w:r>
            <w:r>
              <w:rPr>
                <w:color w:val="000000"/>
                <w:spacing w:val="0"/>
                <w:w w:val="100"/>
                <w:position w:val="0"/>
              </w:rPr>
              <w:t>检测</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试剂盒系列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获取新冠检测市场的准 入资质，完善公司感染 防控业务产品线，提高 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部分产品已获得</w:t>
            </w:r>
          </w:p>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NMPA</w:t>
            </w:r>
            <w:r>
              <w:rPr>
                <w:color w:val="000000"/>
                <w:spacing w:val="0"/>
                <w:w w:val="100"/>
                <w:position w:val="0"/>
              </w:rPr>
              <w:t>医疗器械注 册证，海外获得欧 盟</w:t>
            </w:r>
            <w:r>
              <w:rPr>
                <w:rFonts w:ascii="Times New Roman" w:eastAsia="Times New Roman" w:hAnsi="Times New Roman" w:cs="Times New Roman"/>
                <w:color w:val="000000"/>
                <w:spacing w:val="0"/>
                <w:w w:val="100"/>
                <w:position w:val="0"/>
              </w:rPr>
              <w:t>CE</w:t>
            </w:r>
            <w:r>
              <w:rPr>
                <w:color w:val="000000"/>
                <w:spacing w:val="0"/>
                <w:w w:val="100"/>
                <w:position w:val="0"/>
              </w:rPr>
              <w:t>准入等多国资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获得国内医疗器械注册证 及多国准入资质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丰富了公司感染防控业务产 品线，实现对新冠病毒感染 的肺炎疑似病例等需要进行 新型冠状病毒感染诊断或鉴 别诊断者进行更快、更全面 的检测，提高市场竞争力</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耐药基因核酸多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重检测产品开发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开发细菌耐药核酸多重 检测产品，为细菌耐药 快速</w:t>
            </w:r>
            <w:r>
              <w:rPr>
                <w:rFonts w:ascii="Times New Roman" w:eastAsia="Times New Roman" w:hAnsi="Times New Roman" w:cs="Times New Roman"/>
                <w:color w:val="000000"/>
                <w:spacing w:val="0"/>
                <w:w w:val="100"/>
                <w:position w:val="0"/>
              </w:rPr>
              <w:t>POCT</w:t>
            </w:r>
            <w:r>
              <w:rPr>
                <w:color w:val="000000"/>
                <w:spacing w:val="0"/>
                <w:w w:val="100"/>
                <w:position w:val="0"/>
              </w:rPr>
              <w:t>检测提供技 术解决方案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产品获得</w:t>
            </w:r>
            <w:r>
              <w:rPr>
                <w:rFonts w:ascii="Times New Roman" w:eastAsia="Times New Roman" w:hAnsi="Times New Roman" w:cs="Times New Roman"/>
                <w:color w:val="000000"/>
                <w:spacing w:val="0"/>
                <w:w w:val="100"/>
                <w:position w:val="0"/>
              </w:rPr>
              <w:t>CE</w:t>
            </w:r>
            <w:r>
              <w:rPr>
                <w:color w:val="000000"/>
                <w:spacing w:val="0"/>
                <w:w w:val="100"/>
                <w:position w:val="0"/>
              </w:rPr>
              <w:t>产品资 质，</w:t>
            </w:r>
            <w:r>
              <w:rPr>
                <w:rFonts w:ascii="Times New Roman" w:eastAsia="Times New Roman" w:hAnsi="Times New Roman" w:cs="Times New Roman"/>
                <w:color w:val="000000"/>
                <w:spacing w:val="0"/>
                <w:w w:val="100"/>
                <w:position w:val="0"/>
              </w:rPr>
              <w:t>NMPA</w:t>
            </w:r>
            <w:r>
              <w:rPr>
                <w:color w:val="000000"/>
                <w:spacing w:val="0"/>
                <w:w w:val="100"/>
                <w:position w:val="0"/>
              </w:rPr>
              <w:t>申报正 在进行注册检验前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完成产品开发，获得医疗 器械注册证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获取临床产品资质，完善病 原产品线布局，提高市场竞 争力</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血流感染病原体 核酸多重检测产 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开发血流感染核酸多重 检测产品，为血流感染 快速</w:t>
            </w:r>
            <w:r>
              <w:rPr>
                <w:rFonts w:ascii="Times New Roman" w:eastAsia="Times New Roman" w:hAnsi="Times New Roman" w:cs="Times New Roman"/>
                <w:color w:val="000000"/>
                <w:spacing w:val="0"/>
                <w:w w:val="100"/>
                <w:position w:val="0"/>
              </w:rPr>
              <w:t>POCT</w:t>
            </w:r>
            <w:r>
              <w:rPr>
                <w:color w:val="000000"/>
                <w:spacing w:val="0"/>
                <w:w w:val="100"/>
                <w:position w:val="0"/>
              </w:rPr>
              <w:t>检测提供技 术解决方案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完成产品开发，获得医疗 器械注册证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获取临床产品资质，完善病 原产品线布局，提高市场竞 争力</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脑炎病原体核酸 多重检测产品开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开发脑炎核酸多重检测 产品，为中枢神经系统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产品获得</w:t>
            </w:r>
            <w:r>
              <w:rPr>
                <w:rFonts w:ascii="Times New Roman" w:eastAsia="Times New Roman" w:hAnsi="Times New Roman" w:cs="Times New Roman"/>
                <w:color w:val="000000"/>
                <w:spacing w:val="0"/>
                <w:w w:val="100"/>
                <w:position w:val="0"/>
              </w:rPr>
              <w:t>CE</w:t>
            </w:r>
            <w:r>
              <w:rPr>
                <w:color w:val="000000"/>
                <w:spacing w:val="0"/>
                <w:w w:val="100"/>
                <w:position w:val="0"/>
              </w:rPr>
              <w:t>产品资 质，</w:t>
            </w:r>
            <w:r>
              <w:rPr>
                <w:rFonts w:ascii="Times New Roman" w:eastAsia="Times New Roman" w:hAnsi="Times New Roman" w:cs="Times New Roman"/>
                <w:color w:val="000000"/>
                <w:spacing w:val="0"/>
                <w:w w:val="100"/>
                <w:position w:val="0"/>
              </w:rPr>
              <w:t>NMPA</w:t>
            </w:r>
            <w:r>
              <w:rPr>
                <w:color w:val="000000"/>
                <w:spacing w:val="0"/>
                <w:w w:val="100"/>
                <w:position w:val="0"/>
              </w:rPr>
              <w:t>申报正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完成产品开发，获得医疗 器械注册证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获取临床产品资质，完善病</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原产品线布局，提高市场竞</w:t>
            </w:r>
          </w:p>
        </w:tc>
      </w:tr>
    </w:tbl>
    <w:p>
      <w:pPr>
        <w:spacing w:lineRule="exact" w:line="1"/>
        <w:rPr>
          <w:sz w:val="2"/>
          <w:szCs w:val="2"/>
        </w:rPr>
      </w:pPr>
      <w:r>
        <w:br w:type="page"/>
      </w:r>
    </w:p>
    <w:tbl>
      <w:tblPr>
        <w:tblOverlap w:val="never"/>
        <w:jc w:val="center"/>
        <w:tblLayout w:type="fixed"/>
      </w:tblPr>
      <w:tblGrid>
        <w:gridCol w:w="1426"/>
        <w:gridCol w:w="1982"/>
        <w:gridCol w:w="1661"/>
        <w:gridCol w:w="2170"/>
        <w:gridCol w:w="2347"/>
      </w:tblGrid>
      <w:tr>
        <w:trPr>
          <w:trHeight w:val="67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感染快速</w:t>
            </w:r>
            <w:r>
              <w:rPr>
                <w:rFonts w:ascii="Times New Roman" w:eastAsia="Times New Roman" w:hAnsi="Times New Roman" w:cs="Times New Roman"/>
                <w:color w:val="000000"/>
                <w:spacing w:val="0"/>
                <w:w w:val="100"/>
                <w:position w:val="0"/>
              </w:rPr>
              <w:t>POCT</w:t>
            </w:r>
            <w:r>
              <w:rPr>
                <w:color w:val="000000"/>
                <w:spacing w:val="0"/>
                <w:w w:val="100"/>
                <w:position w:val="0"/>
              </w:rPr>
              <w:t>检测提</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供技术解决方案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在进行注册检验前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争力</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呼吸道感染病原 体多联核酸检测 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开发呼吸道感染核酸多 重检测产品，为呼吸道 感染快速</w:t>
            </w:r>
            <w:r>
              <w:rPr>
                <w:rFonts w:ascii="Times New Roman" w:eastAsia="Times New Roman" w:hAnsi="Times New Roman" w:cs="Times New Roman"/>
                <w:color w:val="000000"/>
                <w:spacing w:val="0"/>
                <w:w w:val="100"/>
                <w:position w:val="0"/>
              </w:rPr>
              <w:t>POCT</w:t>
            </w:r>
            <w:r>
              <w:rPr>
                <w:color w:val="000000"/>
                <w:spacing w:val="0"/>
                <w:w w:val="100"/>
                <w:position w:val="0"/>
              </w:rPr>
              <w:t>检测提 供技术解决方案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产品获得</w:t>
            </w:r>
            <w:r>
              <w:rPr>
                <w:rFonts w:ascii="Times New Roman" w:eastAsia="Times New Roman" w:hAnsi="Times New Roman" w:cs="Times New Roman"/>
                <w:color w:val="000000"/>
                <w:spacing w:val="0"/>
                <w:w w:val="100"/>
                <w:position w:val="0"/>
              </w:rPr>
              <w:t>CE</w:t>
            </w:r>
            <w:r>
              <w:rPr>
                <w:color w:val="000000"/>
                <w:spacing w:val="0"/>
                <w:w w:val="100"/>
                <w:position w:val="0"/>
              </w:rPr>
              <w:t>产品资 质，</w:t>
            </w:r>
            <w:r>
              <w:rPr>
                <w:rFonts w:ascii="Times New Roman" w:eastAsia="Times New Roman" w:hAnsi="Times New Roman" w:cs="Times New Roman"/>
                <w:color w:val="000000"/>
                <w:spacing w:val="0"/>
                <w:w w:val="100"/>
                <w:position w:val="0"/>
              </w:rPr>
              <w:t>NMPA</w:t>
            </w:r>
            <w:r>
              <w:rPr>
                <w:color w:val="000000"/>
                <w:spacing w:val="0"/>
                <w:w w:val="100"/>
                <w:position w:val="0"/>
              </w:rPr>
              <w:t>申报正 在进行注册检验前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完成产品开发，获得医疗 器械注册证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获取临床产品资质，完善病 原产品线布局，提高市场竞 争力</w:t>
            </w:r>
          </w:p>
        </w:tc>
      </w:tr>
      <w:tr>
        <w:trPr>
          <w:trHeight w:val="601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DNBSEQ</w:t>
            </w:r>
            <w:r>
              <w:rPr>
                <w:color w:val="000000"/>
                <w:spacing w:val="0"/>
                <w:w w:val="100"/>
                <w:position w:val="0"/>
              </w:rPr>
              <w:t>平 台的应用开发和 产品升级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扩大</w:t>
            </w:r>
            <w:r>
              <w:rPr>
                <w:rFonts w:ascii="Times New Roman" w:eastAsia="Times New Roman" w:hAnsi="Times New Roman" w:cs="Times New Roman"/>
                <w:color w:val="000000"/>
                <w:spacing w:val="0"/>
                <w:w w:val="100"/>
                <w:position w:val="0"/>
              </w:rPr>
              <w:t>DNBSEQ</w:t>
            </w:r>
            <w:r>
              <w:rPr>
                <w:color w:val="000000"/>
                <w:spacing w:val="0"/>
                <w:w w:val="100"/>
                <w:position w:val="0"/>
              </w:rPr>
              <w:t>平台在科 服产品上的运用，进一 步提升科服产品质量和 技术指标，提高科技业 务在国内外市场的整体 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DNBSEQ-T7</w:t>
            </w:r>
            <w:r>
              <w:rPr>
                <w:color w:val="000000"/>
                <w:spacing w:val="0"/>
                <w:w w:val="100"/>
                <w:position w:val="0"/>
              </w:rPr>
              <w:t>平台已 完成性能测试，并 开展了商业测序服 务。完成</w:t>
            </w:r>
            <w:r>
              <w:rPr>
                <w:rFonts w:ascii="Times New Roman" w:eastAsia="Times New Roman" w:hAnsi="Times New Roman" w:cs="Times New Roman"/>
                <w:color w:val="000000"/>
                <w:spacing w:val="0"/>
                <w:w w:val="100"/>
                <w:position w:val="0"/>
              </w:rPr>
              <w:t>WGBS</w:t>
            </w:r>
            <w:r>
              <w:rPr>
                <w:color w:val="000000"/>
                <w:spacing w:val="0"/>
                <w:w w:val="100"/>
                <w:position w:val="0"/>
              </w:rPr>
              <w:t>自 动化建库流程、宏 基因组实验技术优 化、</w:t>
            </w:r>
            <w:r>
              <w:rPr>
                <w:rFonts w:ascii="Times New Roman" w:eastAsia="Times New Roman" w:hAnsi="Times New Roman" w:cs="Times New Roman"/>
                <w:color w:val="000000"/>
                <w:spacing w:val="0"/>
                <w:w w:val="100"/>
                <w:position w:val="0"/>
              </w:rPr>
              <w:t>FFPE</w:t>
            </w:r>
            <w:r>
              <w:rPr>
                <w:color w:val="000000"/>
                <w:spacing w:val="0"/>
                <w:w w:val="100"/>
                <w:position w:val="0"/>
              </w:rPr>
              <w:t xml:space="preserve">样本质量 检测技术的开发并 投入生产；完成捕 获探针升级和双端 建库标签引入的技 术开发；开展全基 因组超低深度测序 数据的变异检测分 析流程开发；优化 了 </w:t>
            </w:r>
            <w:r>
              <w:rPr>
                <w:rFonts w:ascii="Times New Roman" w:eastAsia="Times New Roman" w:hAnsi="Times New Roman" w:cs="Times New Roman"/>
                <w:color w:val="000000"/>
                <w:spacing w:val="0"/>
                <w:w w:val="100"/>
                <w:position w:val="0"/>
              </w:rPr>
              <w:t>RNA</w:t>
            </w:r>
            <w:r>
              <w:rPr>
                <w:color w:val="000000"/>
                <w:spacing w:val="0"/>
                <w:w w:val="100"/>
                <w:position w:val="0"/>
              </w:rPr>
              <w:t>超低起始量 建库技术；药厂项 目的自动化实验流 程持续优化中。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DNBSEQ</w:t>
            </w:r>
            <w:r>
              <w:rPr>
                <w:color w:val="000000"/>
                <w:spacing w:val="0"/>
                <w:w w:val="100"/>
                <w:position w:val="0"/>
              </w:rPr>
              <w:t>测序平台， 实现</w:t>
            </w:r>
            <w:r>
              <w:rPr>
                <w:rFonts w:ascii="Times New Roman" w:eastAsia="Times New Roman" w:hAnsi="Times New Roman" w:cs="Times New Roman"/>
                <w:color w:val="000000"/>
                <w:spacing w:val="0"/>
                <w:w w:val="100"/>
                <w:position w:val="0"/>
              </w:rPr>
              <w:t>DNBSEQ-T7</w:t>
            </w:r>
            <w:r>
              <w:rPr>
                <w:color w:val="000000"/>
                <w:spacing w:val="0"/>
                <w:w w:val="100"/>
                <w:position w:val="0"/>
              </w:rPr>
              <w:t>超高通 量测序平台的商业化服 务，开发低起始量、全流 程自动化、数据质量更优 的建库技术，开发新产品 类型，进一步提高产品质 量和技术指标，提高整体 竞争力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DNBSEQ</w:t>
            </w:r>
            <w:r>
              <w:rPr>
                <w:color w:val="000000"/>
                <w:spacing w:val="0"/>
                <w:w w:val="100"/>
                <w:position w:val="0"/>
              </w:rPr>
              <w:t xml:space="preserve">测序平台，拓 展平台适用产品，提升服务 质量和交付周期，形成 </w:t>
            </w:r>
            <w:r>
              <w:rPr>
                <w:rFonts w:ascii="Times New Roman" w:eastAsia="Times New Roman" w:hAnsi="Times New Roman" w:cs="Times New Roman"/>
                <w:color w:val="000000"/>
                <w:spacing w:val="0"/>
                <w:w w:val="100"/>
                <w:position w:val="0"/>
              </w:rPr>
              <w:t>DNBSEQ</w:t>
            </w:r>
            <w:r>
              <w:rPr>
                <w:color w:val="000000"/>
                <w:spacing w:val="0"/>
                <w:w w:val="100"/>
                <w:position w:val="0"/>
              </w:rPr>
              <w:t>平台的优势市场地 位，进一步提升平台的市场 竞争力和占有率</w:t>
            </w:r>
          </w:p>
        </w:tc>
      </w:tr>
      <w:tr>
        <w:trPr>
          <w:trHeight w:val="35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多组学数据库优 化升级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丰富数据库产品的技术 模块，增加及升级软件 工具，扩大数据库产品 的物种及技术覆盖度， 扩大产品应用范畴，进 一步拓展相关市场。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完成泛基因组与变 异组学的关联开 发、泛基因组区域 转化与比对可视化 工具设计与开发、 基于区域转化后的 数据统计的工具的 开发，完成基于基 因组、基因可视化 层面的标准化解决 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新增单细胞模块；完成遗 传模块的升级；完成遗传 学相关可视化工具与泛基 因组相关统计工具的开 发，提供基因、基因表 达、遗传、性状的相互关 联的科学依据，实现数据 类型覆盖全、种类丰富的 多组学数据库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提高多组学数据库产品的竞 争力，为不同研究领域的科 研客户提供数据整合展示和 数据权限管理，联合合作客 户完善多组学大数据的收集 和应用开发</w:t>
            </w:r>
          </w:p>
        </w:tc>
      </w:tr>
      <w:tr>
        <w:trPr>
          <w:trHeight w:val="22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单细胞高通量多 组学产品开发与 优化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综合提升公司在高通量 单细胞多组学方面的技 术储备，持续进行产品 升级，提升产品的竞争 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完成单分子</w:t>
            </w:r>
            <w:r>
              <w:rPr>
                <w:rFonts w:ascii="Times New Roman" w:eastAsia="Times New Roman" w:hAnsi="Times New Roman" w:cs="Times New Roman"/>
                <w:color w:val="000000"/>
                <w:spacing w:val="0"/>
                <w:w w:val="100"/>
                <w:position w:val="0"/>
              </w:rPr>
              <w:t>HiC</w:t>
            </w:r>
            <w:r>
              <w:rPr>
                <w:color w:val="000000"/>
                <w:spacing w:val="0"/>
                <w:w w:val="100"/>
                <w:position w:val="0"/>
              </w:rPr>
              <w:t xml:space="preserve">联 合染色质开放性检 测技术开发，基于 融合蛋白的单分子 组蛋白修饰联合 </w:t>
            </w:r>
            <w:r>
              <w:rPr>
                <w:rFonts w:ascii="Times New Roman" w:eastAsia="Times New Roman" w:hAnsi="Times New Roman" w:cs="Times New Roman"/>
                <w:color w:val="000000"/>
                <w:spacing w:val="0"/>
                <w:w w:val="100"/>
                <w:position w:val="0"/>
              </w:rPr>
              <w:t>DNA</w:t>
            </w:r>
            <w:r>
              <w:rPr>
                <w:color w:val="000000"/>
                <w:spacing w:val="0"/>
                <w:w w:val="100"/>
                <w:position w:val="0"/>
              </w:rPr>
              <w:t>结合蛋白检测 技术开发。完成基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基于现有技术平台的高通 量单细胞多组学测序技术 开发，包含单分子染色质 修饰检测技术、高通量单 细胞</w:t>
            </w:r>
            <w:r>
              <w:rPr>
                <w:rFonts w:ascii="Times New Roman" w:eastAsia="Times New Roman" w:hAnsi="Times New Roman" w:cs="Times New Roman"/>
                <w:color w:val="000000"/>
                <w:spacing w:val="0"/>
                <w:w w:val="100"/>
                <w:position w:val="0"/>
              </w:rPr>
              <w:t>ONT</w:t>
            </w:r>
            <w:r>
              <w:rPr>
                <w:color w:val="000000"/>
                <w:spacing w:val="0"/>
                <w:w w:val="100"/>
                <w:position w:val="0"/>
              </w:rPr>
              <w:t>全长转录组测序 技术、高通量单细胞转录 组</w:t>
            </w:r>
            <w:r>
              <w:rPr>
                <w:rFonts w:ascii="Times New Roman" w:eastAsia="Times New Roman" w:hAnsi="Times New Roman" w:cs="Times New Roman"/>
                <w:color w:val="000000"/>
                <w:spacing w:val="0"/>
                <w:w w:val="100"/>
                <w:position w:val="0"/>
              </w:rPr>
              <w:t>PolyA</w:t>
            </w:r>
            <w:r>
              <w:rPr>
                <w:color w:val="000000"/>
                <w:spacing w:val="0"/>
                <w:w w:val="100"/>
                <w:position w:val="0"/>
              </w:rPr>
              <w:t>全长测序技术、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建立起不同梯度搭配的单细</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胞多组学测序服务产品线，</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满足客户的多元化单细胞多 组学测序需求，提升公司单 细胞测序领域的产品竞争力</w:t>
            </w:r>
          </w:p>
        </w:tc>
      </w:tr>
    </w:tbl>
    <w:p>
      <w:pPr>
        <w:spacing w:lineRule="exact" w:line="1"/>
        <w:rPr>
          <w:sz w:val="2"/>
          <w:szCs w:val="2"/>
        </w:rPr>
      </w:pPr>
      <w:r>
        <w:br w:type="page"/>
      </w:r>
    </w:p>
    <w:tbl>
      <w:tblPr>
        <w:tblOverlap w:val="never"/>
        <w:jc w:val="center"/>
        <w:tblLayout w:type="fixed"/>
      </w:tblPr>
      <w:tblGrid>
        <w:gridCol w:w="1426"/>
        <w:gridCol w:w="1982"/>
        <w:gridCol w:w="1661"/>
        <w:gridCol w:w="2170"/>
        <w:gridCol w:w="2347"/>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于现有单细胞测序 平台的：</w:t>
            </w:r>
            <w:r>
              <w:rPr>
                <w:rFonts w:ascii="Times New Roman" w:eastAsia="Times New Roman" w:hAnsi="Times New Roman" w:cs="Times New Roman"/>
                <w:color w:val="000000"/>
                <w:spacing w:val="0"/>
                <w:w w:val="100"/>
                <w:position w:val="0"/>
              </w:rPr>
              <w:t>1</w:t>
            </w:r>
            <w:r>
              <w:rPr>
                <w:color w:val="000000"/>
                <w:spacing w:val="0"/>
                <w:w w:val="100"/>
                <w:position w:val="0"/>
              </w:rPr>
              <w:t>）高通量 单细胞新生转录组 联合</w:t>
            </w:r>
            <w:r>
              <w:rPr>
                <w:rFonts w:ascii="Times New Roman" w:eastAsia="Times New Roman" w:hAnsi="Times New Roman" w:cs="Times New Roman"/>
                <w:color w:val="000000"/>
                <w:spacing w:val="0"/>
                <w:w w:val="100"/>
                <w:position w:val="0"/>
              </w:rPr>
              <w:t>RNA</w:t>
            </w:r>
            <w:r>
              <w:rPr>
                <w:color w:val="000000"/>
                <w:spacing w:val="0"/>
                <w:w w:val="100"/>
                <w:position w:val="0"/>
              </w:rPr>
              <w:t xml:space="preserve">全长转录 组测序技术开发； </w:t>
            </w:r>
            <w:r>
              <w:rPr>
                <w:rFonts w:ascii="Times New Roman" w:eastAsia="Times New Roman" w:hAnsi="Times New Roman" w:cs="Times New Roman"/>
                <w:color w:val="000000"/>
                <w:spacing w:val="0"/>
                <w:w w:val="100"/>
                <w:position w:val="0"/>
              </w:rPr>
              <w:t>2</w:t>
            </w:r>
            <w:r>
              <w:rPr>
                <w:color w:val="000000"/>
                <w:spacing w:val="0"/>
                <w:w w:val="100"/>
                <w:position w:val="0"/>
              </w:rPr>
              <w:t>）高通量单细胞新 生转录组联合转录 组甲基化多组学动 态测序实验技术开 发；</w:t>
            </w:r>
            <w:r>
              <w:rPr>
                <w:rFonts w:ascii="Times New Roman" w:eastAsia="Times New Roman" w:hAnsi="Times New Roman" w:cs="Times New Roman"/>
                <w:color w:val="000000"/>
                <w:spacing w:val="0"/>
                <w:w w:val="100"/>
                <w:position w:val="0"/>
              </w:rPr>
              <w:t>3</w:t>
            </w:r>
            <w:r>
              <w:rPr>
                <w:color w:val="000000"/>
                <w:spacing w:val="0"/>
                <w:w w:val="100"/>
                <w:position w:val="0"/>
              </w:rPr>
              <w:t>）高通量单细 胞转录组</w:t>
            </w:r>
            <w:r>
              <w:rPr>
                <w:rFonts w:ascii="Times New Roman" w:eastAsia="Times New Roman" w:hAnsi="Times New Roman" w:cs="Times New Roman"/>
                <w:color w:val="000000"/>
                <w:spacing w:val="0"/>
                <w:w w:val="100"/>
                <w:position w:val="0"/>
              </w:rPr>
              <w:t>PolyA</w:t>
            </w:r>
            <w:r>
              <w:rPr>
                <w:color w:val="000000"/>
                <w:spacing w:val="0"/>
                <w:w w:val="100"/>
                <w:position w:val="0"/>
              </w:rPr>
              <w:t xml:space="preserve">全 长测序技术开发； </w:t>
            </w:r>
            <w:r>
              <w:rPr>
                <w:rFonts w:ascii="Times New Roman" w:eastAsia="Times New Roman" w:hAnsi="Times New Roman" w:cs="Times New Roman"/>
                <w:color w:val="000000"/>
                <w:spacing w:val="0"/>
                <w:w w:val="100"/>
                <w:position w:val="0"/>
              </w:rPr>
              <w:t>4</w:t>
            </w:r>
            <w:r>
              <w:rPr>
                <w:color w:val="000000"/>
                <w:spacing w:val="0"/>
                <w:w w:val="100"/>
                <w:position w:val="0"/>
              </w:rPr>
              <w:t>）单细胞高覆盖度 甲基化测序技术开 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高通量单细胞新生转录组 联合甲基化多组学动态分 析测序技术等</w:t>
            </w: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单细胞多平台信 息分析流程升级 及模块开发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实现单细胞方向多平台 多组学布局，丰富单细 胞产品类型，提升产品 的市场竞争力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完成了高通量单细 胞</w:t>
            </w:r>
            <w:r>
              <w:rPr>
                <w:rFonts w:ascii="Times New Roman" w:eastAsia="Times New Roman" w:hAnsi="Times New Roman" w:cs="Times New Roman"/>
                <w:color w:val="000000"/>
                <w:spacing w:val="0"/>
                <w:w w:val="100"/>
                <w:position w:val="0"/>
              </w:rPr>
              <w:t>RNA-Seq</w:t>
            </w:r>
            <w:r>
              <w:rPr>
                <w:color w:val="000000"/>
                <w:spacing w:val="0"/>
                <w:w w:val="100"/>
                <w:position w:val="0"/>
              </w:rPr>
              <w:t xml:space="preserve">产品的 信息分析流程全面 升级：新增多项分 析内容，并对部分 结果与展现形式进 行了优化。完成了 空间转录组产品， 以及与单细胞联合 分析流程的开发； 完成了 </w:t>
            </w:r>
            <w:r>
              <w:rPr>
                <w:rFonts w:ascii="Times New Roman" w:eastAsia="Times New Roman" w:hAnsi="Times New Roman" w:cs="Times New Roman"/>
                <w:color w:val="000000"/>
                <w:spacing w:val="0"/>
                <w:w w:val="100"/>
                <w:position w:val="0"/>
              </w:rPr>
              <w:t xml:space="preserve">DNBelab C4 </w:t>
            </w:r>
            <w:r>
              <w:rPr>
                <w:color w:val="000000"/>
                <w:spacing w:val="0"/>
                <w:w w:val="100"/>
                <w:position w:val="0"/>
              </w:rPr>
              <w:t>的测试评估、分析 流程搭建与产品开 发。以上研发内容 均实现了商业转 产，并提供持续的 技术支持服务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对已有单细胞产品进行持 续优化与迭代升级，拓展 样本处理类型，丰富信息 分析的内容；对单细胞新 技术新平台进行测试评估 与引入，并进行分析流程 搭建与产品开发，实现单 细胞方向多平台多组学布 局，并提高整体的产品竞 争力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实现单细胞多平台、多组学 的布局，丰富单细胞产品 线，为客户提供更多选择， 为项目整体解决方案提供技 术与产品基础；分析内容的 升级提高了产品的市场竞争 力，模块化的标准信息分析 流程降低了人工投入，提高 了项目执行效率</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Dr. Tom</w:t>
            </w:r>
            <w:r>
              <w:rPr>
                <w:color w:val="000000"/>
                <w:spacing w:val="0"/>
                <w:w w:val="100"/>
                <w:position w:val="0"/>
              </w:rPr>
              <w:t>多组学数 据挖掘系统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实现核心产品统一 </w:t>
            </w:r>
            <w:r>
              <w:rPr>
                <w:rFonts w:ascii="Times New Roman" w:eastAsia="Times New Roman" w:hAnsi="Times New Roman" w:cs="Times New Roman"/>
                <w:color w:val="000000"/>
                <w:spacing w:val="0"/>
                <w:w w:val="100"/>
                <w:position w:val="0"/>
              </w:rPr>
              <w:t>Dr.Tom</w:t>
            </w:r>
            <w:r>
              <w:rPr>
                <w:color w:val="000000"/>
                <w:spacing w:val="0"/>
                <w:w w:val="100"/>
                <w:position w:val="0"/>
              </w:rPr>
              <w:t>交付，打造全球 领先的分析平台与数据 挖掘平台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升级了 </w:t>
            </w:r>
            <w:r>
              <w:rPr>
                <w:rFonts w:ascii="Times New Roman" w:eastAsia="Times New Roman" w:hAnsi="Times New Roman" w:cs="Times New Roman"/>
                <w:color w:val="000000"/>
                <w:spacing w:val="0"/>
                <w:w w:val="100"/>
                <w:position w:val="0"/>
              </w:rPr>
              <w:t>60</w:t>
            </w:r>
            <w:r>
              <w:rPr>
                <w:color w:val="000000"/>
                <w:spacing w:val="0"/>
                <w:w w:val="100"/>
                <w:position w:val="0"/>
              </w:rPr>
              <w:t>项功能， 包括新增单细胞转 录组产品、新增图 库等，支持细胞、 基因、蛋白等多维 度关联转换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、用户可在线查看分析报 告，同时利用分析工具可 全面、深入地进行数据挖 掘和多组学关联分析；</w:t>
            </w:r>
            <w:r>
              <w:rPr>
                <w:rFonts w:ascii="Times New Roman" w:eastAsia="Times New Roman" w:hAnsi="Times New Roman" w:cs="Times New Roman"/>
                <w:color w:val="000000"/>
                <w:spacing w:val="0"/>
                <w:w w:val="100"/>
                <w:position w:val="0"/>
              </w:rPr>
              <w:t>2</w:t>
            </w:r>
            <w:r>
              <w:rPr>
                <w:color w:val="000000"/>
                <w:spacing w:val="0"/>
                <w:w w:val="100"/>
                <w:position w:val="0"/>
              </w:rPr>
              <w:t>、 支持用户上传原始数据启 动标准分析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在全球范围内站立于交付与 数据挖掘平台的制高点，全 面提升公司在交付和数据挖 掘平台方面的影响力，提升 高通量测序产品的市场竞争 力</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植物广泛靶向代 谢平台搭建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为植物代谢研究提供高 精度、高灵敏度、高通 量的技术平台，为后续 植物多组学的贯穿分析 提供数据支持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建立了 </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多种植 物代谢物的高通量 靶标检测定量方 法，可以一次检测 </w:t>
            </w:r>
            <w:r>
              <w:rPr>
                <w:rFonts w:ascii="Times New Roman" w:eastAsia="Times New Roman" w:hAnsi="Times New Roman" w:cs="Times New Roman"/>
                <w:color w:val="000000"/>
                <w:spacing w:val="0"/>
                <w:w w:val="100"/>
                <w:position w:val="0"/>
              </w:rPr>
              <w:t>2,000</w:t>
            </w:r>
            <w:r>
              <w:rPr>
                <w:color w:val="000000"/>
                <w:spacing w:val="0"/>
                <w:w w:val="100"/>
                <w:position w:val="0"/>
              </w:rPr>
              <w:t>多种植物代谢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建立植物靶向代谢高通量 检测定量平台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拓展了植物产品维度，丰富 了产品种类，提高了公司在 植物代谢中的市场占有率和 竞争力，为植物多组学贯穿 服务提供了基础</w:t>
            </w:r>
          </w:p>
        </w:tc>
      </w:tr>
    </w:tbl>
    <w:p>
      <w:pPr>
        <w:spacing w:lineRule="exact" w:line="1"/>
        <w:rPr>
          <w:sz w:val="2"/>
          <w:szCs w:val="2"/>
        </w:rPr>
      </w:pPr>
      <w:r>
        <w:br w:type="page"/>
      </w:r>
    </w:p>
    <w:tbl>
      <w:tblPr>
        <w:tblOverlap w:val="never"/>
        <w:jc w:val="center"/>
        <w:tblLayout w:type="fixed"/>
      </w:tblPr>
      <w:tblGrid>
        <w:gridCol w:w="1426"/>
        <w:gridCol w:w="1982"/>
        <w:gridCol w:w="1661"/>
        <w:gridCol w:w="2170"/>
        <w:gridCol w:w="234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物，目前已投产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血清</w:t>
            </w:r>
            <w:r>
              <w:rPr>
                <w:rFonts w:ascii="Times New Roman" w:eastAsia="Times New Roman" w:hAnsi="Times New Roman" w:cs="Times New Roman"/>
                <w:color w:val="000000"/>
                <w:spacing w:val="0"/>
                <w:w w:val="100"/>
                <w:position w:val="0"/>
              </w:rPr>
              <w:t>/</w:t>
            </w:r>
            <w:r>
              <w:rPr>
                <w:color w:val="000000"/>
                <w:spacing w:val="0"/>
                <w:w w:val="100"/>
                <w:position w:val="0"/>
              </w:rPr>
              <w:t>血浆蛋白质 组及外泌体蛋白 质组技术开发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开发体液样本的外泌体 分离技术，优化质谱检 测技术，对外泌体蛋白 组提供高通量、特异性 的定量分析，突破目前 血清</w:t>
            </w:r>
            <w:r>
              <w:rPr>
                <w:rFonts w:ascii="Times New Roman" w:eastAsia="Times New Roman" w:hAnsi="Times New Roman" w:cs="Times New Roman"/>
                <w:color w:val="000000"/>
                <w:spacing w:val="0"/>
                <w:w w:val="100"/>
                <w:position w:val="0"/>
              </w:rPr>
              <w:t>/</w:t>
            </w:r>
            <w:r>
              <w:rPr>
                <w:color w:val="000000"/>
                <w:spacing w:val="0"/>
                <w:w w:val="100"/>
                <w:position w:val="0"/>
              </w:rPr>
              <w:t>血浆蛋白质组鉴定 和定量蛋白数目较少的 技术瓶颈，实现高通 量、高蛋白数的稳定定 量分析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已实现多样本类型 （血清、尿液、羊 水）外泌体富集和 质谱检测技术重复 性测试及信息分析 流程；技术指标已 达国内外领先水 平，已完成血清</w:t>
            </w:r>
            <w:r>
              <w:rPr>
                <w:rFonts w:ascii="Times New Roman" w:eastAsia="Times New Roman" w:hAnsi="Times New Roman" w:cs="Times New Roman"/>
                <w:color w:val="000000"/>
                <w:spacing w:val="0"/>
                <w:w w:val="100"/>
                <w:position w:val="0"/>
              </w:rPr>
              <w:t>/</w:t>
            </w:r>
            <w:r>
              <w:rPr>
                <w:color w:val="000000"/>
                <w:spacing w:val="0"/>
                <w:w w:val="100"/>
                <w:position w:val="0"/>
              </w:rPr>
              <w:t>血 浆蛋白质组学定量 产品第一阶段转产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建立血清</w:t>
            </w:r>
            <w:r>
              <w:rPr>
                <w:rFonts w:ascii="Times New Roman" w:eastAsia="Times New Roman" w:hAnsi="Times New Roman" w:cs="Times New Roman"/>
                <w:color w:val="000000"/>
                <w:spacing w:val="0"/>
                <w:w w:val="100"/>
                <w:position w:val="0"/>
              </w:rPr>
              <w:t>/</w:t>
            </w:r>
            <w:r>
              <w:rPr>
                <w:color w:val="000000"/>
                <w:spacing w:val="0"/>
                <w:w w:val="100"/>
                <w:position w:val="0"/>
              </w:rPr>
              <w:t>血浆样本中外泌 体的有效分离技术，实现 高通量、特异性外泌体蛋 白组定量分析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4" w:lineRule="exact"/>
              <w:ind w:left="0" w:right="0" w:firstLine="0"/>
              <w:jc w:val="left"/>
            </w:pPr>
            <w:r>
              <w:rPr>
                <w:color w:val="000000"/>
                <w:spacing w:val="0"/>
                <w:w w:val="100"/>
                <w:position w:val="0"/>
              </w:rPr>
              <w:t>针对临床上易于获得的大量 血样样本开发的国内外领 先、具有应用价值的多组学 技术，提高公司科技服务市 场占有率，拓展盈利空间</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HM </w:t>
            </w:r>
            <w:r>
              <w:rPr>
                <w:rFonts w:ascii="Times New Roman" w:eastAsia="Times New Roman" w:hAnsi="Times New Roman" w:cs="Times New Roman"/>
                <w:color w:val="000000"/>
                <w:spacing w:val="0"/>
                <w:w w:val="100"/>
                <w:position w:val="0"/>
              </w:rPr>
              <w:t>350</w:t>
            </w:r>
            <w:r>
              <w:rPr>
                <w:color w:val="000000"/>
                <w:spacing w:val="0"/>
                <w:w w:val="100"/>
                <w:position w:val="0"/>
              </w:rPr>
              <w:t>靶向代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谢新产品开发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对多种重要代谢物和核 心代谢通路的代谢物进 行深度解读，广泛覆 盖，充分反映代谢表型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建立了 </w:t>
            </w:r>
            <w:r>
              <w:rPr>
                <w:rFonts w:ascii="Times New Roman" w:eastAsia="Times New Roman" w:hAnsi="Times New Roman" w:cs="Times New Roman"/>
                <w:color w:val="000000"/>
                <w:spacing w:val="0"/>
                <w:w w:val="100"/>
                <w:position w:val="0"/>
              </w:rPr>
              <w:t>300</w:t>
            </w:r>
            <w:r>
              <w:rPr>
                <w:color w:val="000000"/>
                <w:spacing w:val="0"/>
                <w:w w:val="100"/>
                <w:position w:val="0"/>
              </w:rPr>
              <w:t>余种肠 道菌群代谢物的靶 向定量</w:t>
            </w:r>
            <w:r>
              <w:rPr>
                <w:rFonts w:ascii="Times New Roman" w:eastAsia="Times New Roman" w:hAnsi="Times New Roman" w:cs="Times New Roman"/>
                <w:color w:val="000000"/>
                <w:spacing w:val="0"/>
                <w:w w:val="100"/>
                <w:position w:val="0"/>
              </w:rPr>
              <w:t>Panel</w:t>
            </w:r>
            <w:r>
              <w:rPr>
                <w:color w:val="000000"/>
                <w:spacing w:val="0"/>
                <w:w w:val="100"/>
                <w:position w:val="0"/>
              </w:rPr>
              <w:t>，</w:t>
            </w:r>
            <w:r>
              <w:rPr>
                <w:color w:val="000000"/>
                <w:spacing w:val="0"/>
                <w:w w:val="100"/>
                <w:position w:val="0"/>
              </w:rPr>
              <w:t>并已 正式投产，可一次 性检测</w:t>
            </w:r>
            <w:r>
              <w:rPr>
                <w:rFonts w:ascii="Times New Roman" w:eastAsia="Times New Roman" w:hAnsi="Times New Roman" w:cs="Times New Roman"/>
                <w:color w:val="000000"/>
                <w:spacing w:val="0"/>
                <w:w w:val="100"/>
                <w:position w:val="0"/>
              </w:rPr>
              <w:t>300</w:t>
            </w:r>
            <w:r>
              <w:rPr>
                <w:color w:val="000000"/>
                <w:spacing w:val="0"/>
                <w:w w:val="100"/>
                <w:position w:val="0"/>
              </w:rPr>
              <w:t>余种肠 道菌群代谢物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采用衍生化策略建立靶向 检测氨基酸、脂肪酸（包 括短链脂肪酸）、有机酸、 胆汁酸、碳水化合物、肉 碱、吲哚等多个不同类别 的共计</w:t>
            </w:r>
            <w:r>
              <w:rPr>
                <w:rFonts w:ascii="Times New Roman" w:eastAsia="Times New Roman" w:hAnsi="Times New Roman" w:cs="Times New Roman"/>
                <w:color w:val="000000"/>
                <w:spacing w:val="0"/>
                <w:w w:val="100"/>
                <w:position w:val="0"/>
              </w:rPr>
              <w:t>350</w:t>
            </w:r>
            <w:r>
              <w:rPr>
                <w:color w:val="000000"/>
                <w:spacing w:val="0"/>
                <w:w w:val="100"/>
                <w:position w:val="0"/>
              </w:rPr>
              <w:t>多种代谢物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提升公司在靶向代谢组学科 技服务市场的竞争力，同 时，有利于和宏基因产品进 行关联分析，为多组学服务 提供基础</w:t>
            </w:r>
          </w:p>
        </w:tc>
      </w:tr>
      <w:tr>
        <w:trPr>
          <w:trHeight w:val="290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蛋白磷酸化修饰 定量产品优化升 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通过非标定量</w:t>
            </w:r>
            <w:r>
              <w:rPr>
                <w:rFonts w:ascii="Times New Roman" w:eastAsia="Times New Roman" w:hAnsi="Times New Roman" w:cs="Times New Roman"/>
                <w:color w:val="000000"/>
                <w:spacing w:val="0"/>
                <w:w w:val="100"/>
                <w:position w:val="0"/>
              </w:rPr>
              <w:t>DIA</w:t>
            </w:r>
            <w:r>
              <w:rPr>
                <w:color w:val="000000"/>
                <w:spacing w:val="0"/>
                <w:w w:val="100"/>
                <w:position w:val="0"/>
              </w:rPr>
              <w:t>技术 的应用解决磷酸化高通 量定量问题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建立了新的磷酸化 样本制备方法和实 验流程，采用了 </w:t>
            </w:r>
            <w:r>
              <w:rPr>
                <w:rFonts w:ascii="Times New Roman" w:eastAsia="Times New Roman" w:hAnsi="Times New Roman" w:cs="Times New Roman"/>
                <w:color w:val="000000"/>
                <w:spacing w:val="0"/>
                <w:w w:val="100"/>
                <w:position w:val="0"/>
              </w:rPr>
              <w:t xml:space="preserve">timsTOF Pro 4D </w:t>
            </w:r>
            <w:r>
              <w:rPr>
                <w:color w:val="000000"/>
                <w:spacing w:val="0"/>
                <w:w w:val="100"/>
                <w:position w:val="0"/>
              </w:rPr>
              <w:t>质 谱仪进行分析，升 级了磷酸化数据分 析方法，实现了深 度覆盖的磷酸化检 测技术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优化磷酸化样本富集方法 和实验操作流程，基于</w:t>
            </w:r>
            <w:r>
              <w:rPr>
                <w:rFonts w:ascii="Times New Roman" w:eastAsia="Times New Roman" w:hAnsi="Times New Roman" w:cs="Times New Roman"/>
                <w:color w:val="000000"/>
                <w:spacing w:val="0"/>
                <w:w w:val="100"/>
                <w:position w:val="0"/>
              </w:rPr>
              <w:t xml:space="preserve">4D </w:t>
            </w:r>
            <w:r>
              <w:rPr>
                <w:color w:val="000000"/>
                <w:spacing w:val="0"/>
                <w:w w:val="100"/>
                <w:position w:val="0"/>
              </w:rPr>
              <w:t>质谱仪开发新的检测方 法，实现对</w:t>
            </w:r>
            <w:r>
              <w:rPr>
                <w:rFonts w:ascii="Times New Roman" w:eastAsia="Times New Roman" w:hAnsi="Times New Roman" w:cs="Times New Roman"/>
                <w:color w:val="000000"/>
                <w:spacing w:val="0"/>
                <w:w w:val="100"/>
                <w:position w:val="0"/>
              </w:rPr>
              <w:t>4D</w:t>
            </w:r>
            <w:r>
              <w:rPr>
                <w:color w:val="000000"/>
                <w:spacing w:val="0"/>
                <w:w w:val="100"/>
                <w:position w:val="0"/>
              </w:rPr>
              <w:t>磷酸化数 据的分析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left"/>
            </w:pPr>
            <w:r>
              <w:rPr>
                <w:color w:val="000000"/>
                <w:spacing w:val="0"/>
                <w:w w:val="100"/>
                <w:position w:val="0"/>
              </w:rPr>
              <w:t>实现了深度磷酸化检测目 的，单针磷酸化肽段检测深 度已达到国内外领先水平， 显著提升了公司在蛋白磷酸 化修饰市场上的竞争力，有 利于提高磷酸化修饰市场的 占有率，增大盈利空间</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542,190,239.79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636,468,421.01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334,402,153.84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研发支出资本化的金额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55,042,272.06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16,826,061.67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17,086,824.92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r>
    </w:tbl>
    <w:p>
      <w:pPr>
        <w:pStyle w:val="Style17"/>
        <w:keepNext w:val="0"/>
        <w:keepLines w:val="0"/>
        <w:widowControl w:val="0"/>
        <w:shd w:val="clear" w:color="auto" w:fill="auto"/>
        <w:bidi w:val="0"/>
        <w:spacing w:before="0" w:after="140" w:line="317" w:lineRule="exact"/>
        <w:ind w:left="260" w:right="0" w:firstLine="20"/>
        <w:jc w:val="left"/>
      </w:pPr>
      <w:r>
        <w:rPr>
          <w:color w:val="000000"/>
          <w:spacing w:val="0"/>
          <w:w w:val="100"/>
          <w:position w:val="0"/>
        </w:rPr>
        <w:t>公司研发人员构成发生重大变化的原因及影响</w:t>
      </w:r>
    </w:p>
    <w:p>
      <w:pPr>
        <w:pStyle w:val="Style17"/>
        <w:keepNext w:val="0"/>
        <w:keepLines w:val="0"/>
        <w:widowControl w:val="0"/>
        <w:shd w:val="clear" w:color="auto" w:fill="auto"/>
        <w:bidi w:val="0"/>
        <w:spacing w:before="0" w:after="0"/>
        <w:ind w:left="2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40" w:line="317" w:lineRule="exact"/>
        <w:ind w:left="260" w:right="0" w:firstLine="20"/>
        <w:jc w:val="left"/>
      </w:pPr>
      <w:r>
        <w:rPr>
          <w:color w:val="000000"/>
          <w:spacing w:val="0"/>
          <w:w w:val="100"/>
          <w:position w:val="0"/>
        </w:rPr>
        <w:t>研发投入总额占营业收入的比重较上年发生显著变化的原因</w:t>
      </w:r>
    </w:p>
    <w:p>
      <w:pPr>
        <w:pStyle w:val="Style17"/>
        <w:keepNext w:val="0"/>
        <w:keepLines w:val="0"/>
        <w:widowControl w:val="0"/>
        <w:shd w:val="clear" w:color="auto" w:fill="auto"/>
        <w:bidi w:val="0"/>
        <w:spacing w:before="0" w:after="0"/>
        <w:ind w:left="2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40" w:line="317" w:lineRule="exact"/>
        <w:ind w:left="260" w:right="0" w:firstLine="20"/>
        <w:jc w:val="left"/>
      </w:pPr>
      <w:r>
        <w:rPr>
          <w:color w:val="000000"/>
          <w:spacing w:val="0"/>
          <w:w w:val="100"/>
          <w:position w:val="0"/>
        </w:rPr>
        <w:t>研发投入资本化率大幅变动的原因及其合理性说明</w:t>
      </w:r>
    </w:p>
    <w:p>
      <w:pPr>
        <w:pStyle w:val="Style17"/>
        <w:keepNext w:val="0"/>
        <w:keepLines w:val="0"/>
        <w:widowControl w:val="0"/>
        <w:shd w:val="clear" w:color="auto" w:fill="auto"/>
        <w:bidi w:val="0"/>
        <w:spacing w:before="0" w:after="0"/>
        <w:ind w:left="2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260" w:right="0" w:firstLine="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医疗器械业务</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7"/>
        <w:keepNext w:val="0"/>
        <w:keepLines w:val="0"/>
        <w:widowControl w:val="0"/>
        <w:shd w:val="clear" w:color="auto" w:fill="auto"/>
        <w:bidi w:val="0"/>
        <w:spacing w:before="0" w:after="140" w:line="317" w:lineRule="exact"/>
        <w:ind w:left="260" w:right="0" w:firstLine="20"/>
        <w:jc w:val="left"/>
      </w:pPr>
      <w:r>
        <w:rPr>
          <w:color w:val="000000"/>
          <w:spacing w:val="0"/>
          <w:w w:val="100"/>
          <w:position w:val="0"/>
        </w:rPr>
        <w:t>医疗器械产品相关情况</w:t>
      </w:r>
    </w:p>
    <w:p>
      <w:pPr>
        <w:pStyle w:val="Style17"/>
        <w:keepNext w:val="0"/>
        <w:keepLines w:val="0"/>
        <w:widowControl w:val="0"/>
        <w:shd w:val="clear" w:color="auto" w:fill="auto"/>
        <w:bidi w:val="0"/>
        <w:spacing w:before="0" w:after="140"/>
        <w:ind w:left="260" w:right="0" w:firstLine="2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7"/>
        <w:keepNext w:val="0"/>
        <w:keepLines w:val="0"/>
        <w:widowControl w:val="0"/>
        <w:shd w:val="clear" w:color="auto" w:fill="auto"/>
        <w:bidi w:val="0"/>
        <w:spacing w:before="0" w:after="140" w:line="317" w:lineRule="exact"/>
        <w:ind w:left="260" w:right="0" w:firstLine="20"/>
        <w:jc w:val="left"/>
      </w:pPr>
      <w:bookmarkStart w:id="186" w:name="bookmark186"/>
      <w:r>
        <w:rPr>
          <w:rFonts w:ascii="Times New Roman" w:eastAsia="Times New Roman" w:hAnsi="Times New Roman" w:cs="Times New Roman"/>
          <w:b/>
          <w:bCs/>
          <w:color w:val="000000"/>
          <w:spacing w:val="0"/>
          <w:w w:val="100"/>
          <w:position w:val="0"/>
        </w:rPr>
        <w:t>1</w:t>
      </w:r>
      <w:bookmarkEnd w:id="186"/>
      <w:r>
        <w:rPr>
          <w:b/>
          <w:bCs/>
          <w:color w:val="000000"/>
          <w:spacing w:val="0"/>
          <w:w w:val="100"/>
          <w:position w:val="0"/>
        </w:rPr>
        <w:t>、处于注册申请中的医疗器械名称、注册分类、临床用途、注册所处的阶段、进展情况、是否按照国家食品药品监督管理 部门的相关规定申报创新医疗器械</w:t>
      </w:r>
    </w:p>
    <w:p>
      <w:pPr>
        <w:pStyle w:val="Style26"/>
        <w:keepNext w:val="0"/>
        <w:keepLines w:val="0"/>
        <w:widowControl w:val="0"/>
        <w:shd w:val="clear" w:color="auto" w:fill="auto"/>
        <w:bidi w:val="0"/>
        <w:spacing w:before="0" w:after="0" w:line="240" w:lineRule="auto"/>
        <w:ind w:left="662"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日，处于注册申请中的</w:t>
      </w:r>
      <w:r>
        <w:rPr>
          <w:rFonts w:ascii="Times New Roman" w:eastAsia="Times New Roman" w:hAnsi="Times New Roman" w:cs="Times New Roman"/>
          <w:color w:val="000000"/>
          <w:spacing w:val="0"/>
          <w:w w:val="100"/>
          <w:position w:val="0"/>
          <w:sz w:val="20"/>
          <w:szCs w:val="20"/>
        </w:rPr>
        <w:t>II</w:t>
      </w:r>
      <w:r>
        <w:rPr>
          <w:color w:val="000000"/>
          <w:spacing w:val="0"/>
          <w:w w:val="100"/>
          <w:position w:val="0"/>
          <w:sz w:val="20"/>
          <w:szCs w:val="20"/>
        </w:rPr>
        <w:t>类、</w:t>
      </w:r>
      <w:r>
        <w:rPr>
          <w:rFonts w:ascii="Times New Roman" w:eastAsia="Times New Roman" w:hAnsi="Times New Roman" w:cs="Times New Roman"/>
          <w:color w:val="000000"/>
          <w:spacing w:val="0"/>
          <w:w w:val="100"/>
          <w:position w:val="0"/>
          <w:sz w:val="20"/>
          <w:szCs w:val="20"/>
        </w:rPr>
        <w:t>III</w:t>
      </w:r>
      <w:r>
        <w:rPr>
          <w:color w:val="000000"/>
          <w:spacing w:val="0"/>
          <w:w w:val="100"/>
          <w:position w:val="0"/>
          <w:sz w:val="20"/>
          <w:szCs w:val="20"/>
        </w:rPr>
        <w:t>类医疗器械注册证共计</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项。具体信息详见下表:</w:t>
      </w:r>
    </w:p>
    <w:tbl>
      <w:tblPr>
        <w:tblOverlap w:val="never"/>
        <w:jc w:val="center"/>
        <w:tblLayout w:type="fixed"/>
      </w:tblPr>
      <w:tblGrid>
        <w:gridCol w:w="581"/>
        <w:gridCol w:w="2270"/>
        <w:gridCol w:w="850"/>
        <w:gridCol w:w="3984"/>
        <w:gridCol w:w="979"/>
        <w:gridCol w:w="566"/>
        <w:gridCol w:w="998"/>
      </w:tblGrid>
      <w:tr>
        <w:trPr>
          <w:trHeight w:val="6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注册所处阶 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进展情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center"/>
            </w:pPr>
            <w:r>
              <w:rPr>
                <w:b/>
                <w:bCs/>
                <w:color w:val="000000"/>
                <w:spacing w:val="0"/>
                <w:w w:val="100"/>
                <w:position w:val="0"/>
              </w:rPr>
              <w:t>是否申报创</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新医疗器械</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BRCA1/2</w:t>
            </w:r>
            <w:r>
              <w:rPr>
                <w:color w:val="000000"/>
                <w:spacing w:val="0"/>
                <w:w w:val="100"/>
                <w:position w:val="0"/>
              </w:rPr>
              <w:t>基因突变检测试剂 盒（联合探针锚定聚合测序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本试剂盒用于定性检测经临床确诊为卵巢癌</w:t>
            </w:r>
            <w:r>
              <w:rPr>
                <w:rFonts w:ascii="Times New Roman" w:eastAsia="Times New Roman" w:hAnsi="Times New Roman" w:cs="Times New Roman"/>
                <w:color w:val="000000"/>
                <w:spacing w:val="0"/>
                <w:w w:val="100"/>
                <w:position w:val="0"/>
              </w:rPr>
              <w:t>（</w:t>
            </w:r>
            <w:r>
              <w:rPr>
                <w:color w:val="000000"/>
                <w:spacing w:val="0"/>
                <w:w w:val="100"/>
                <w:position w:val="0"/>
              </w:rPr>
              <w:t>及乳 腺癌</w:t>
            </w:r>
            <w:r>
              <w:rPr>
                <w:rFonts w:ascii="Times New Roman" w:eastAsia="Times New Roman" w:hAnsi="Times New Roman" w:cs="Times New Roman"/>
                <w:color w:val="000000"/>
                <w:spacing w:val="0"/>
                <w:w w:val="100"/>
                <w:position w:val="0"/>
              </w:rPr>
              <w:t>）</w:t>
            </w:r>
            <w:r>
              <w:rPr>
                <w:color w:val="000000"/>
                <w:spacing w:val="0"/>
                <w:w w:val="100"/>
                <w:position w:val="0"/>
              </w:rPr>
              <w:t>患者的血液样本中的</w:t>
            </w:r>
            <w:r>
              <w:rPr>
                <w:rFonts w:ascii="Times New Roman" w:eastAsia="Times New Roman" w:hAnsi="Times New Roman" w:cs="Times New Roman"/>
                <w:color w:val="000000"/>
                <w:spacing w:val="0"/>
                <w:w w:val="100"/>
                <w:position w:val="0"/>
              </w:rPr>
              <w:t>BRCA1/2</w:t>
            </w:r>
            <w:r>
              <w:rPr>
                <w:color w:val="000000"/>
                <w:spacing w:val="0"/>
                <w:w w:val="100"/>
                <w:position w:val="0"/>
              </w:rPr>
              <w:t>基因生殖系变 异，包括</w:t>
            </w:r>
            <w:r>
              <w:rPr>
                <w:rFonts w:ascii="Times New Roman" w:eastAsia="Times New Roman" w:hAnsi="Times New Roman" w:cs="Times New Roman"/>
                <w:color w:val="000000"/>
                <w:spacing w:val="0"/>
                <w:w w:val="100"/>
                <w:position w:val="0"/>
              </w:rPr>
              <w:t>BRCA1/2</w:t>
            </w:r>
            <w:r>
              <w:rPr>
                <w:color w:val="000000"/>
                <w:spacing w:val="0"/>
                <w:w w:val="100"/>
                <w:position w:val="0"/>
              </w:rPr>
              <w:t>基因外显子区的移码突变、无义 突变以及邻近</w:t>
            </w:r>
            <w:r>
              <w:rPr>
                <w:rFonts w:ascii="Times New Roman" w:eastAsia="Times New Roman" w:hAnsi="Times New Roman" w:cs="Times New Roman"/>
                <w:color w:val="000000"/>
                <w:spacing w:val="0"/>
                <w:w w:val="100"/>
                <w:position w:val="0"/>
              </w:rPr>
              <w:t>15bp</w:t>
            </w:r>
            <w:r>
              <w:rPr>
                <w:color w:val="000000"/>
                <w:spacing w:val="0"/>
                <w:w w:val="100"/>
                <w:position w:val="0"/>
              </w:rPr>
              <w:t>内含子区的剪切位点突变。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22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遗传性</w:t>
            </w:r>
            <w:r>
              <w:rPr>
                <w:rFonts w:ascii="Times New Roman" w:eastAsia="Times New Roman" w:hAnsi="Times New Roman" w:cs="Times New Roman"/>
                <w:color w:val="000000"/>
                <w:spacing w:val="0"/>
                <w:w w:val="100"/>
                <w:position w:val="0"/>
              </w:rPr>
              <w:t>BRCA</w:t>
            </w:r>
            <w:r>
              <w:rPr>
                <w:color w:val="000000"/>
                <w:spacing w:val="0"/>
                <w:w w:val="100"/>
                <w:position w:val="0"/>
              </w:rPr>
              <w:t>基因分析注释 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本产品适用于遗传性</w:t>
            </w:r>
            <w:r>
              <w:rPr>
                <w:rFonts w:ascii="Times New Roman" w:eastAsia="Times New Roman" w:hAnsi="Times New Roman" w:cs="Times New Roman"/>
                <w:color w:val="000000"/>
                <w:spacing w:val="0"/>
                <w:w w:val="100"/>
                <w:position w:val="0"/>
              </w:rPr>
              <w:t>BRCA</w:t>
            </w:r>
            <w:r>
              <w:rPr>
                <w:color w:val="000000"/>
                <w:spacing w:val="0"/>
                <w:w w:val="100"/>
                <w:position w:val="0"/>
              </w:rPr>
              <w:t>基因检测数据的分析和 注释，通过对测序</w:t>
            </w:r>
            <w:r>
              <w:rPr>
                <w:color w:val="000000"/>
                <w:spacing w:val="0"/>
                <w:w w:val="100"/>
                <w:position w:val="0"/>
              </w:rPr>
              <w:t>（</w:t>
            </w:r>
            <w:r>
              <w:rPr>
                <w:rFonts w:ascii="Times New Roman" w:eastAsia="Times New Roman" w:hAnsi="Times New Roman" w:cs="Times New Roman"/>
                <w:color w:val="000000"/>
                <w:spacing w:val="0"/>
                <w:w w:val="100"/>
                <w:position w:val="0"/>
              </w:rPr>
              <w:t>NGS</w:t>
            </w:r>
            <w:r>
              <w:rPr>
                <w:color w:val="000000"/>
                <w:spacing w:val="0"/>
                <w:w w:val="100"/>
                <w:position w:val="0"/>
              </w:rPr>
              <w:t>）</w:t>
            </w:r>
            <w:r>
              <w:rPr>
                <w:color w:val="000000"/>
                <w:spacing w:val="0"/>
                <w:w w:val="100"/>
                <w:position w:val="0"/>
              </w:rPr>
              <w:t>数据的质控、过滤、比 对，获得对应参考序列比对结果。基于比对结果， 进行变异分析，得到</w:t>
            </w:r>
            <w:r>
              <w:rPr>
                <w:rFonts w:ascii="Times New Roman" w:eastAsia="Times New Roman" w:hAnsi="Times New Roman" w:cs="Times New Roman"/>
                <w:color w:val="000000"/>
                <w:spacing w:val="0"/>
                <w:w w:val="100"/>
                <w:position w:val="0"/>
              </w:rPr>
              <w:t>BRCA1/2</w:t>
            </w:r>
            <w:r>
              <w:rPr>
                <w:color w:val="000000"/>
                <w:spacing w:val="0"/>
                <w:w w:val="100"/>
                <w:position w:val="0"/>
              </w:rPr>
              <w:t>基因突变的分析结果， 包含</w:t>
            </w:r>
            <w:r>
              <w:rPr>
                <w:rFonts w:ascii="Times New Roman" w:eastAsia="Times New Roman" w:hAnsi="Times New Roman" w:cs="Times New Roman"/>
                <w:color w:val="000000"/>
                <w:spacing w:val="0"/>
                <w:w w:val="100"/>
                <w:position w:val="0"/>
              </w:rPr>
              <w:t>SNP</w:t>
            </w:r>
            <w:r>
              <w:rPr>
                <w:color w:val="000000"/>
                <w:spacing w:val="0"/>
                <w:w w:val="100"/>
                <w:position w:val="0"/>
              </w:rPr>
              <w:t>、</w:t>
            </w:r>
            <w:r>
              <w:rPr>
                <w:rFonts w:ascii="Times New Roman" w:eastAsia="Times New Roman" w:hAnsi="Times New Roman" w:cs="Times New Roman"/>
                <w:color w:val="000000"/>
                <w:spacing w:val="0"/>
                <w:w w:val="100"/>
                <w:position w:val="0"/>
              </w:rPr>
              <w:t>InDel</w:t>
            </w:r>
            <w:r>
              <w:rPr>
                <w:color w:val="000000"/>
                <w:spacing w:val="0"/>
                <w:w w:val="100"/>
                <w:position w:val="0"/>
              </w:rPr>
              <w:t>、</w:t>
            </w:r>
            <w:r>
              <w:rPr>
                <w:rFonts w:ascii="Times New Roman" w:eastAsia="Times New Roman" w:hAnsi="Times New Roman" w:cs="Times New Roman"/>
                <w:color w:val="000000"/>
                <w:spacing w:val="0"/>
                <w:w w:val="100"/>
                <w:position w:val="0"/>
              </w:rPr>
              <w:t>CNV</w:t>
            </w:r>
            <w:r>
              <w:rPr>
                <w:color w:val="000000"/>
                <w:spacing w:val="0"/>
                <w:w w:val="100"/>
                <w:position w:val="0"/>
              </w:rPr>
              <w:t>三种突变类型，并对突变检 测结果进行注释，预测蛋白质层面的序列改变，进 而对突变致病性进行分级。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22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和</w:t>
            </w:r>
            <w:r>
              <w:rPr>
                <w:color w:val="000000"/>
                <w:spacing w:val="0"/>
                <w:w w:val="100"/>
                <w:position w:val="0"/>
              </w:rPr>
              <w:t>「</w:t>
            </w:r>
            <w:r>
              <w:rPr>
                <w:color w:val="000000"/>
                <w:spacing w:val="0"/>
                <w:w w:val="100"/>
                <w:position w:val="0"/>
              </w:rPr>
              <w:t>地中海贫血基因检测试 剂盒（联合探针锚定聚合测 序法）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本试剂盒用于文库构建，采用高通量测序技术</w:t>
            </w:r>
            <w:r>
              <w:rPr>
                <w:rFonts w:ascii="Times New Roman" w:eastAsia="Times New Roman" w:hAnsi="Times New Roman" w:cs="Times New Roman"/>
                <w:color w:val="000000"/>
                <w:spacing w:val="0"/>
                <w:w w:val="100"/>
                <w:position w:val="0"/>
              </w:rPr>
              <w:t>（</w:t>
            </w:r>
            <w:r>
              <w:rPr>
                <w:color w:val="000000"/>
                <w:spacing w:val="0"/>
                <w:w w:val="100"/>
                <w:position w:val="0"/>
              </w:rPr>
              <w:t>联合 探针锚定聚合测序法</w:t>
            </w:r>
            <w:r>
              <w:rPr>
                <w:rFonts w:ascii="Times New Roman" w:eastAsia="Times New Roman" w:hAnsi="Times New Roman" w:cs="Times New Roman"/>
                <w:color w:val="000000"/>
                <w:spacing w:val="0"/>
                <w:w w:val="100"/>
                <w:position w:val="0"/>
              </w:rPr>
              <w:t>）</w:t>
            </w:r>
            <w:r>
              <w:rPr>
                <w:color w:val="000000"/>
                <w:spacing w:val="0"/>
                <w:w w:val="100"/>
                <w:position w:val="0"/>
              </w:rPr>
              <w:t>定性检测人外周血样本中基 因组</w:t>
            </w:r>
            <w:r>
              <w:rPr>
                <w:rFonts w:ascii="Times New Roman" w:eastAsia="Times New Roman" w:hAnsi="Times New Roman" w:cs="Times New Roman"/>
                <w:color w:val="000000"/>
                <w:spacing w:val="0"/>
                <w:w w:val="100"/>
                <w:position w:val="0"/>
              </w:rPr>
              <w:t>DNA</w:t>
            </w:r>
            <w:r>
              <w:rPr>
                <w:color w:val="000000"/>
                <w:spacing w:val="0"/>
                <w:w w:val="100"/>
                <w:position w:val="0"/>
              </w:rPr>
              <w:t>的</w:t>
            </w:r>
            <w:r>
              <w:rPr>
                <w:rFonts w:ascii="Times New Roman" w:eastAsia="Times New Roman" w:hAnsi="Times New Roman" w:cs="Times New Roman"/>
                <w:color w:val="000000"/>
                <w:spacing w:val="0"/>
                <w:w w:val="100"/>
                <w:position w:val="0"/>
              </w:rPr>
              <w:t>4</w:t>
            </w:r>
            <w:r>
              <w:rPr>
                <w:color w:val="000000"/>
                <w:spacing w:val="0"/>
                <w:w w:val="100"/>
                <w:position w:val="0"/>
              </w:rPr>
              <w:t>种</w:t>
            </w:r>
            <w:r>
              <w:rPr>
                <w:color w:val="000000"/>
                <w:spacing w:val="0"/>
                <w:w w:val="100"/>
                <w:position w:val="0"/>
                <w:sz w:val="18"/>
                <w:szCs w:val="18"/>
              </w:rPr>
              <w:t xml:space="preserve">a </w:t>
            </w:r>
            <w:r>
              <w:rPr>
                <w:rFonts w:ascii="Times New Roman" w:eastAsia="Times New Roman" w:hAnsi="Times New Roman" w:cs="Times New Roman"/>
                <w:color w:val="000000"/>
                <w:spacing w:val="0"/>
                <w:w w:val="100"/>
                <w:position w:val="0"/>
              </w:rPr>
              <w:t>-</w:t>
            </w:r>
            <w:r>
              <w:rPr>
                <w:color w:val="000000"/>
                <w:spacing w:val="0"/>
                <w:w w:val="100"/>
                <w:position w:val="0"/>
              </w:rPr>
              <w:t>地贫缺失型、</w:t>
            </w:r>
            <w:r>
              <w:rPr>
                <w:rFonts w:ascii="Times New Roman" w:eastAsia="Times New Roman" w:hAnsi="Times New Roman" w:cs="Times New Roman"/>
                <w:color w:val="000000"/>
                <w:spacing w:val="0"/>
                <w:w w:val="100"/>
                <w:position w:val="0"/>
              </w:rPr>
              <w:t>2</w:t>
            </w:r>
            <w:r>
              <w:rPr>
                <w:color w:val="000000"/>
                <w:spacing w:val="0"/>
                <w:w w:val="100"/>
                <w:position w:val="0"/>
              </w:rPr>
              <w:t>种</w:t>
            </w:r>
            <w:r>
              <w:rPr>
                <w:color w:val="000000"/>
                <w:spacing w:val="0"/>
                <w:w w:val="100"/>
                <w:position w:val="0"/>
                <w:sz w:val="18"/>
                <w:szCs w:val="18"/>
              </w:rPr>
              <w:t xml:space="preserve">B </w:t>
            </w:r>
            <w:r>
              <w:rPr>
                <w:rFonts w:ascii="Times New Roman" w:eastAsia="Times New Roman" w:hAnsi="Times New Roman" w:cs="Times New Roman"/>
                <w:color w:val="000000"/>
                <w:spacing w:val="0"/>
                <w:w w:val="100"/>
                <w:position w:val="0"/>
              </w:rPr>
              <w:t>-</w:t>
            </w:r>
            <w:r>
              <w:rPr>
                <w:color w:val="000000"/>
                <w:spacing w:val="0"/>
                <w:w w:val="100"/>
                <w:position w:val="0"/>
              </w:rPr>
              <w:t xml:space="preserve">地贫缺失型、 </w:t>
            </w:r>
            <w:r>
              <w:rPr>
                <w:rFonts w:ascii="Times New Roman" w:eastAsia="Times New Roman" w:hAnsi="Times New Roman" w:cs="Times New Roman"/>
                <w:color w:val="000000"/>
                <w:spacing w:val="0"/>
                <w:w w:val="100"/>
                <w:position w:val="0"/>
              </w:rPr>
              <w:t>3</w:t>
            </w:r>
            <w:r>
              <w:rPr>
                <w:color w:val="000000"/>
                <w:spacing w:val="0"/>
                <w:w w:val="100"/>
                <w:position w:val="0"/>
              </w:rPr>
              <w:t>种</w:t>
            </w:r>
            <w:r>
              <w:rPr>
                <w:color w:val="000000"/>
                <w:spacing w:val="0"/>
                <w:w w:val="100"/>
                <w:position w:val="0"/>
                <w:sz w:val="18"/>
                <w:szCs w:val="18"/>
              </w:rPr>
              <w:t>a</w:t>
            </w:r>
            <w:r>
              <w:rPr>
                <w:rFonts w:ascii="Times New Roman" w:eastAsia="Times New Roman" w:hAnsi="Times New Roman" w:cs="Times New Roman"/>
                <w:color w:val="000000"/>
                <w:spacing w:val="0"/>
                <w:w w:val="100"/>
                <w:position w:val="0"/>
              </w:rPr>
              <w:t>-</w:t>
            </w:r>
            <w:r>
              <w:rPr>
                <w:color w:val="000000"/>
                <w:spacing w:val="0"/>
                <w:w w:val="100"/>
                <w:position w:val="0"/>
              </w:rPr>
              <w:t>地贫非缺失型和</w:t>
            </w:r>
            <w:r>
              <w:rPr>
                <w:rFonts w:ascii="Times New Roman" w:eastAsia="Times New Roman" w:hAnsi="Times New Roman" w:cs="Times New Roman"/>
                <w:color w:val="000000"/>
                <w:spacing w:val="0"/>
                <w:w w:val="100"/>
                <w:position w:val="0"/>
              </w:rPr>
              <w:t>16</w:t>
            </w:r>
            <w:r>
              <w:rPr>
                <w:color w:val="000000"/>
                <w:spacing w:val="0"/>
                <w:w w:val="100"/>
                <w:position w:val="0"/>
              </w:rPr>
              <w:t>种</w:t>
            </w:r>
            <w:r>
              <w:rPr>
                <w:color w:val="000000"/>
                <w:spacing w:val="0"/>
                <w:w w:val="100"/>
                <w:position w:val="0"/>
                <w:sz w:val="18"/>
                <w:szCs w:val="18"/>
              </w:rPr>
              <w:t>B</w:t>
            </w:r>
            <w:r>
              <w:rPr>
                <w:rFonts w:ascii="Times New Roman" w:eastAsia="Times New Roman" w:hAnsi="Times New Roman" w:cs="Times New Roman"/>
                <w:color w:val="000000"/>
                <w:spacing w:val="0"/>
                <w:w w:val="100"/>
                <w:position w:val="0"/>
              </w:rPr>
              <w:t>-</w:t>
            </w:r>
            <w:r>
              <w:rPr>
                <w:color w:val="000000"/>
                <w:spacing w:val="0"/>
                <w:w w:val="100"/>
                <w:position w:val="0"/>
              </w:rPr>
              <w:t xml:space="preserve">地贫非缺失型。用于 </w:t>
            </w:r>
            <w:r>
              <w:rPr>
                <w:color w:val="000000"/>
                <w:spacing w:val="0"/>
                <w:w w:val="100"/>
                <w:position w:val="0"/>
                <w:sz w:val="18"/>
                <w:szCs w:val="18"/>
              </w:rPr>
              <w:t>a</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或</w:t>
            </w:r>
            <w:r>
              <w:rPr>
                <w:color w:val="000000"/>
                <w:spacing w:val="0"/>
                <w:w w:val="100"/>
                <w:position w:val="0"/>
                <w:sz w:val="18"/>
                <w:szCs w:val="18"/>
              </w:rPr>
              <w:t>B</w:t>
            </w:r>
            <w:r>
              <w:rPr>
                <w:color w:val="000000"/>
                <w:spacing w:val="0"/>
                <w:w w:val="100"/>
                <w:position w:val="0"/>
              </w:rPr>
              <w:t>地贫的辅助诊断</w:t>
            </w:r>
            <w:r>
              <w:rPr>
                <w:rFonts w:ascii="Times New Roman" w:eastAsia="Times New Roman" w:hAnsi="Times New Roman" w:cs="Times New Roman"/>
                <w:color w:val="000000"/>
                <w:spacing w:val="0"/>
                <w:w w:val="100"/>
                <w:position w:val="0"/>
              </w:rPr>
              <w:t>（</w:t>
            </w:r>
            <w:r>
              <w:rPr>
                <w:color w:val="000000"/>
                <w:spacing w:val="0"/>
                <w:w w:val="100"/>
                <w:position w:val="0"/>
              </w:rPr>
              <w:t>遗传诊断</w:t>
            </w:r>
            <w:r>
              <w:rPr>
                <w:rFonts w:ascii="Times New Roman" w:eastAsia="Times New Roman" w:hAnsi="Times New Roman" w:cs="Times New Roman"/>
                <w:color w:val="000000"/>
                <w:spacing w:val="0"/>
                <w:w w:val="100"/>
                <w:position w:val="0"/>
              </w:rPr>
              <w:t>）</w:t>
            </w:r>
            <w:r>
              <w:rPr>
                <w:color w:val="000000"/>
                <w:spacing w:val="0"/>
                <w:w w:val="100"/>
                <w:position w:val="0"/>
              </w:rPr>
              <w:t>。本试剂盒检 测结果不作为地中海贫血临床诊断的唯一依据，仅 供临床参考。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染色体非整倍体检测试剂盒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本试剂盒用于体外定性检测人流产组织样本中</w:t>
            </w:r>
            <w:r>
              <w:rPr>
                <w:rFonts w:ascii="Times New Roman" w:eastAsia="Times New Roman" w:hAnsi="Times New Roman" w:cs="Times New Roman"/>
                <w:color w:val="000000"/>
                <w:spacing w:val="0"/>
                <w:w w:val="100"/>
                <w:position w:val="0"/>
              </w:rPr>
              <w:t>13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注册审评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581"/>
        <w:gridCol w:w="2270"/>
        <w:gridCol w:w="850"/>
        <w:gridCol w:w="3984"/>
        <w:gridCol w:w="979"/>
        <w:gridCol w:w="566"/>
        <w:gridCol w:w="998"/>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（联合探针锚定聚合测序 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X</w:t>
            </w:r>
            <w:r>
              <w:rPr>
                <w:color w:val="000000"/>
                <w:spacing w:val="0"/>
                <w:w w:val="100"/>
                <w:position w:val="0"/>
              </w:rPr>
              <w:t>和</w:t>
            </w:r>
            <w:r>
              <w:rPr>
                <w:rFonts w:ascii="Times New Roman" w:eastAsia="Times New Roman" w:hAnsi="Times New Roman" w:cs="Times New Roman"/>
                <w:color w:val="000000"/>
                <w:spacing w:val="0"/>
                <w:w w:val="100"/>
                <w:position w:val="0"/>
              </w:rPr>
              <w:t>Y</w:t>
            </w:r>
            <w:r>
              <w:rPr>
                <w:color w:val="000000"/>
                <w:spacing w:val="0"/>
                <w:w w:val="100"/>
                <w:position w:val="0"/>
              </w:rPr>
              <w:t>染色体非整倍体的文库构建。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本试剂盒检测结果仅供临床参考。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柯萨奇病毒</w:t>
            </w:r>
            <w:r>
              <w:rPr>
                <w:rFonts w:ascii="Times New Roman" w:eastAsia="Times New Roman" w:hAnsi="Times New Roman" w:cs="Times New Roman"/>
                <w:color w:val="000000"/>
                <w:spacing w:val="0"/>
                <w:w w:val="100"/>
                <w:position w:val="0"/>
              </w:rPr>
              <w:t>A6</w:t>
            </w:r>
            <w:r>
              <w:rPr>
                <w:color w:val="000000"/>
                <w:spacing w:val="0"/>
                <w:w w:val="100"/>
                <w:position w:val="0"/>
              </w:rPr>
              <w:t>型</w:t>
            </w:r>
            <w:r>
              <w:rPr>
                <w:rFonts w:ascii="Times New Roman" w:eastAsia="Times New Roman" w:hAnsi="Times New Roman" w:cs="Times New Roman"/>
                <w:color w:val="000000"/>
                <w:spacing w:val="0"/>
                <w:w w:val="100"/>
                <w:position w:val="0"/>
              </w:rPr>
              <w:t>/A10</w:t>
            </w:r>
            <w:r>
              <w:rPr>
                <w:color w:val="000000"/>
                <w:spacing w:val="0"/>
                <w:w w:val="100"/>
                <w:position w:val="0"/>
              </w:rPr>
              <w:t>型检测 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本试剂盒适用于体外定性检测人咽拭子样本中柯萨 奇病毒</w:t>
            </w:r>
            <w:r>
              <w:rPr>
                <w:rFonts w:ascii="Times New Roman" w:eastAsia="Times New Roman" w:hAnsi="Times New Roman" w:cs="Times New Roman"/>
                <w:color w:val="000000"/>
                <w:spacing w:val="0"/>
                <w:w w:val="100"/>
                <w:position w:val="0"/>
              </w:rPr>
              <w:t>A6</w:t>
            </w:r>
            <w:r>
              <w:rPr>
                <w:color w:val="000000"/>
                <w:spacing w:val="0"/>
                <w:w w:val="100"/>
                <w:position w:val="0"/>
              </w:rPr>
              <w:t>型</w:t>
            </w:r>
            <w:r>
              <w:rPr>
                <w:rFonts w:ascii="Times New Roman" w:eastAsia="Times New Roman" w:hAnsi="Times New Roman" w:cs="Times New Roman"/>
                <w:color w:val="000000"/>
                <w:spacing w:val="0"/>
                <w:w w:val="100"/>
                <w:position w:val="0"/>
              </w:rPr>
              <w:t>/A10</w:t>
            </w:r>
            <w:r>
              <w:rPr>
                <w:color w:val="000000"/>
                <w:spacing w:val="0"/>
                <w:w w:val="100"/>
                <w:position w:val="0"/>
              </w:rPr>
              <w:t>型核酸。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15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游离前列腺特异性抗原测定</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试剂盒（磁微粒化学发光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用于体外定量检测人体血清或血浆中游离前列腺特 异性抗原。主要用于对恶性肿瘤患者进行动态监测 以辅助判断疾病进程或治疗效果，不能作为恶性肿 瘤早期诊断或确诊的依据，不宜用于普通人群的肿 瘤筛查。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总前列腺特异性抗原测定试 剂盒（磁微粒化学发光法）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用于体外定量检测人血清或血浆中总前列腺特异性 抗原</w:t>
            </w:r>
            <w:r>
              <w:rPr>
                <w:color w:val="000000"/>
                <w:spacing w:val="0"/>
                <w:w w:val="100"/>
                <w:position w:val="0"/>
              </w:rPr>
              <w:t>（</w:t>
            </w:r>
            <w:r>
              <w:rPr>
                <w:rFonts w:ascii="Times New Roman" w:eastAsia="Times New Roman" w:hAnsi="Times New Roman" w:cs="Times New Roman"/>
                <w:color w:val="000000"/>
                <w:spacing w:val="0"/>
                <w:w w:val="100"/>
                <w:position w:val="0"/>
              </w:rPr>
              <w:t>prostate specific antigen</w:t>
            </w:r>
            <w:r>
              <w:rPr>
                <w:color w:val="000000"/>
                <w:spacing w:val="0"/>
                <w:w w:val="100"/>
                <w:position w:val="0"/>
              </w:rPr>
              <w:t>，</w:t>
            </w:r>
            <w:r>
              <w:rPr>
                <w:rFonts w:ascii="Times New Roman" w:eastAsia="Times New Roman" w:hAnsi="Times New Roman" w:cs="Times New Roman"/>
                <w:color w:val="000000"/>
                <w:spacing w:val="0"/>
                <w:w w:val="100"/>
                <w:position w:val="0"/>
              </w:rPr>
              <w:t>PSA</w:t>
            </w:r>
            <w:r>
              <w:rPr>
                <w:color w:val="000000"/>
                <w:spacing w:val="0"/>
                <w:w w:val="100"/>
                <w:position w:val="0"/>
              </w:rPr>
              <w:t>）</w:t>
            </w:r>
            <w:r>
              <w:rPr>
                <w:color w:val="000000"/>
                <w:spacing w:val="0"/>
                <w:w w:val="100"/>
                <w:position w:val="0"/>
              </w:rPr>
              <w:t>。主要用于对 恶性肿瘤患者进行动态监测以辅助判断疾病进程或 治疗效果，不能作为恶性肿瘤早期诊断或确诊的依 据，不宜用于普通人群的肿瘤筛查。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白介素</w:t>
            </w:r>
            <w:r>
              <w:rPr>
                <w:rFonts w:ascii="Times New Roman" w:eastAsia="Times New Roman" w:hAnsi="Times New Roman" w:cs="Times New Roman"/>
                <w:color w:val="000000"/>
                <w:spacing w:val="0"/>
                <w:w w:val="100"/>
                <w:position w:val="0"/>
              </w:rPr>
              <w:t>6</w:t>
            </w:r>
            <w:r>
              <w:rPr>
                <w:color w:val="000000"/>
                <w:spacing w:val="0"/>
                <w:w w:val="100"/>
                <w:position w:val="0"/>
              </w:rPr>
              <w:t>测定试剂盒（磁微 粒化学发光法）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用于体外定量测定人血清或血浆中白介素</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IL-6</w:t>
            </w:r>
            <w:r>
              <w:rPr>
                <w:color w:val="000000"/>
                <w:spacing w:val="0"/>
                <w:w w:val="100"/>
                <w:position w:val="0"/>
              </w:rPr>
              <w:t xml:space="preserve">） </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降钙素原测定试剂盒（磁微 粒化学发光法）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用于体外定量测定人血清或血浆中降钙素原</w:t>
            </w:r>
            <w:r>
              <w:rPr>
                <w:color w:val="000000"/>
                <w:spacing w:val="0"/>
                <w:w w:val="100"/>
                <w:position w:val="0"/>
              </w:rPr>
              <w:t>（</w:t>
            </w:r>
            <w:r>
              <w:rPr>
                <w:rFonts w:ascii="Times New Roman" w:eastAsia="Times New Roman" w:hAnsi="Times New Roman" w:cs="Times New Roman"/>
                <w:color w:val="000000"/>
                <w:spacing w:val="0"/>
                <w:w w:val="100"/>
                <w:position w:val="0"/>
              </w:rPr>
              <w:t>PCT</w:t>
            </w:r>
            <w:r>
              <w:rPr>
                <w:color w:val="000000"/>
                <w:spacing w:val="0"/>
                <w:w w:val="100"/>
                <w:position w:val="0"/>
              </w:rPr>
              <w:t xml:space="preserve">） </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全程</w:t>
            </w:r>
            <w:r>
              <w:rPr>
                <w:rFonts w:ascii="Times New Roman" w:eastAsia="Times New Roman" w:hAnsi="Times New Roman" w:cs="Times New Roman"/>
                <w:color w:val="000000"/>
                <w:spacing w:val="0"/>
                <w:w w:val="100"/>
                <w:position w:val="0"/>
              </w:rPr>
              <w:t>C</w:t>
            </w:r>
            <w:r>
              <w:rPr>
                <w:color w:val="000000"/>
                <w:spacing w:val="0"/>
                <w:w w:val="100"/>
                <w:position w:val="0"/>
              </w:rPr>
              <w:t>反应蛋白测定试剂盒</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（磁微粒化学发光法）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用于体外定量测定人血清、血浆中</w:t>
            </w:r>
            <w:r>
              <w:rPr>
                <w:rFonts w:ascii="Times New Roman" w:eastAsia="Times New Roman" w:hAnsi="Times New Roman" w:cs="Times New Roman"/>
                <w:color w:val="000000"/>
                <w:spacing w:val="0"/>
                <w:w w:val="100"/>
                <w:position w:val="0"/>
              </w:rPr>
              <w:t>C</w:t>
            </w:r>
            <w:r>
              <w:rPr>
                <w:color w:val="000000"/>
                <w:spacing w:val="0"/>
                <w:w w:val="100"/>
                <w:position w:val="0"/>
              </w:rPr>
              <w:t xml:space="preserve">反应蛋白 </w:t>
            </w:r>
            <w:r>
              <w:rPr>
                <w:color w:val="000000"/>
                <w:spacing w:val="0"/>
                <w:w w:val="100"/>
                <w:position w:val="0"/>
              </w:rPr>
              <w:t>（</w:t>
            </w:r>
            <w:r>
              <w:rPr>
                <w:rFonts w:ascii="Times New Roman" w:eastAsia="Times New Roman" w:hAnsi="Times New Roman" w:cs="Times New Roman"/>
                <w:color w:val="000000"/>
                <w:spacing w:val="0"/>
                <w:w w:val="100"/>
                <w:position w:val="0"/>
              </w:rPr>
              <w:t>CRP</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血清淀粉样蛋白</w:t>
            </w:r>
            <w:r>
              <w:rPr>
                <w:rFonts w:ascii="Times New Roman" w:eastAsia="Times New Roman" w:hAnsi="Times New Roman" w:cs="Times New Roman"/>
                <w:color w:val="000000"/>
                <w:spacing w:val="0"/>
                <w:w w:val="100"/>
                <w:position w:val="0"/>
              </w:rPr>
              <w:t>A</w:t>
            </w:r>
            <w:r>
              <w:rPr>
                <w:color w:val="000000"/>
                <w:spacing w:val="0"/>
                <w:w w:val="100"/>
                <w:position w:val="0"/>
              </w:rPr>
              <w:t>测定试剂</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盒（磁微粒化学发光法）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用于体外定量测定人血清或血浆中血清淀粉样蛋白 </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SAA</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二聚体测定试剂盒（磁微 粒化学发光免疫分析法）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用于体外定量测定人血浆或全血中</w:t>
            </w:r>
            <w:r>
              <w:rPr>
                <w:rFonts w:ascii="Times New Roman" w:eastAsia="Times New Roman" w:hAnsi="Times New Roman" w:cs="Times New Roman"/>
                <w:color w:val="000000"/>
                <w:spacing w:val="0"/>
                <w:w w:val="100"/>
                <w:position w:val="0"/>
              </w:rPr>
              <w:t>D</w:t>
            </w:r>
            <w:r>
              <w:rPr>
                <w:rFonts w:ascii="Times New Roman" w:eastAsia="Times New Roman" w:hAnsi="Times New Roman" w:cs="Times New Roman"/>
                <w:color w:val="000000"/>
                <w:spacing w:val="0"/>
                <w:w w:val="100"/>
                <w:position w:val="0"/>
              </w:rPr>
              <w:t>-</w:t>
            </w:r>
            <w:r>
              <w:rPr>
                <w:color w:val="000000"/>
                <w:spacing w:val="0"/>
                <w:w w:val="100"/>
                <w:position w:val="0"/>
              </w:rPr>
              <w:t>二聚体</w:t>
            </w:r>
            <w:r>
              <w:rPr>
                <w:color w:val="000000"/>
                <w:spacing w:val="0"/>
                <w:w w:val="100"/>
                <w:position w:val="0"/>
              </w:rPr>
              <w:t>（</w:t>
            </w:r>
            <w:r>
              <w:rPr>
                <w:rFonts w:ascii="Times New Roman" w:eastAsia="Times New Roman" w:hAnsi="Times New Roman" w:cs="Times New Roman"/>
                <w:color w:val="000000"/>
                <w:spacing w:val="0"/>
                <w:w w:val="100"/>
                <w:position w:val="0"/>
              </w:rPr>
              <w:t>D- Dimer</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抗缪勒氏管激素测定试剂盒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（磁微粒化学发光免疫分析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用于体外定量测定人血清、血浆或全血中抗缪勒氏 管激素</w:t>
            </w:r>
            <w:r>
              <w:rPr>
                <w:color w:val="000000"/>
                <w:spacing w:val="0"/>
                <w:w w:val="100"/>
                <w:position w:val="0"/>
              </w:rPr>
              <w:t>（</w:t>
            </w:r>
            <w:r>
              <w:rPr>
                <w:rFonts w:ascii="Times New Roman" w:eastAsia="Times New Roman" w:hAnsi="Times New Roman" w:cs="Times New Roman"/>
                <w:color w:val="000000"/>
                <w:spacing w:val="0"/>
                <w:w w:val="100"/>
                <w:position w:val="0"/>
              </w:rPr>
              <w:t>AMH</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胃泌素</w:t>
            </w:r>
            <w:r>
              <w:rPr>
                <w:rFonts w:ascii="Times New Roman" w:eastAsia="Times New Roman" w:hAnsi="Times New Roman" w:cs="Times New Roman"/>
                <w:color w:val="000000"/>
                <w:spacing w:val="0"/>
                <w:w w:val="100"/>
                <w:position w:val="0"/>
              </w:rPr>
              <w:t>17</w:t>
            </w:r>
            <w:r>
              <w:rPr>
                <w:color w:val="000000"/>
                <w:spacing w:val="0"/>
                <w:w w:val="100"/>
                <w:position w:val="0"/>
              </w:rPr>
              <w:t>测定试剂盒（磁微 粒化学发光免疫分析法）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用于体外定量测定人血清、血浆或全血中胃泌素</w:t>
            </w:r>
            <w:r>
              <w:rPr>
                <w:rFonts w:ascii="Times New Roman" w:eastAsia="Times New Roman" w:hAnsi="Times New Roman" w:cs="Times New Roman"/>
                <w:color w:val="000000"/>
                <w:spacing w:val="0"/>
                <w:w w:val="100"/>
                <w:position w:val="0"/>
              </w:rPr>
              <w:t>17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G-17</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水溶性维生素复合校准品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本产品与本公司生产的水溶性维生素样本释放剂 （液相色谱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串联质谱法）配套使用，用于水溶性维 生素项目维生素</w:t>
            </w:r>
            <w:r>
              <w:rPr>
                <w:rFonts w:ascii="Times New Roman" w:eastAsia="Times New Roman" w:hAnsi="Times New Roman" w:cs="Times New Roman"/>
                <w:color w:val="000000"/>
                <w:spacing w:val="0"/>
                <w:w w:val="100"/>
                <w:position w:val="0"/>
              </w:rPr>
              <w:t>B1</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 xml:space="preserve">B2 </w:t>
            </w:r>
            <w:r>
              <w:rPr>
                <w:color w:val="000000"/>
                <w:spacing w:val="0"/>
                <w:w w:val="100"/>
                <w:position w:val="0"/>
              </w:rPr>
              <w:t xml:space="preserve">（核黄素）、维生素 </w:t>
            </w:r>
            <w:r>
              <w:rPr>
                <w:rFonts w:ascii="Times New Roman" w:eastAsia="Times New Roman" w:hAnsi="Times New Roman" w:cs="Times New Roman"/>
                <w:color w:val="000000"/>
                <w:spacing w:val="0"/>
                <w:w w:val="100"/>
                <w:position w:val="0"/>
              </w:rPr>
              <w:t xml:space="preserve">B3 </w:t>
            </w:r>
            <w:r>
              <w:rPr>
                <w:color w:val="000000"/>
                <w:spacing w:val="0"/>
                <w:w w:val="100"/>
                <w:position w:val="0"/>
              </w:rPr>
              <w:t>（烟酰胺）、维生素</w:t>
            </w:r>
            <w:r>
              <w:rPr>
                <w:rFonts w:ascii="Times New Roman" w:eastAsia="Times New Roman" w:hAnsi="Times New Roman" w:cs="Times New Roman"/>
                <w:color w:val="000000"/>
                <w:spacing w:val="0"/>
                <w:w w:val="100"/>
                <w:position w:val="0"/>
              </w:rPr>
              <w:t>B5</w:t>
            </w:r>
            <w:r>
              <w:rPr>
                <w:color w:val="000000"/>
                <w:spacing w:val="0"/>
                <w:w w:val="100"/>
                <w:position w:val="0"/>
              </w:rPr>
              <w:t>、</w:t>
            </w:r>
            <w:r>
              <w:rPr>
                <w:color w:val="000000"/>
                <w:spacing w:val="0"/>
                <w:w w:val="100"/>
                <w:position w:val="0"/>
              </w:rPr>
              <w:t>吡哆酸</w:t>
            </w:r>
            <w:r>
              <w:rPr>
                <w:color w:val="000000"/>
                <w:spacing w:val="0"/>
                <w:w w:val="100"/>
                <w:position w:val="0"/>
              </w:rPr>
              <w:t>（</w:t>
            </w:r>
            <w:r>
              <w:rPr>
                <w:rFonts w:ascii="Times New Roman" w:eastAsia="Times New Roman" w:hAnsi="Times New Roman" w:cs="Times New Roman"/>
                <w:color w:val="000000"/>
                <w:spacing w:val="0"/>
                <w:w w:val="100"/>
                <w:position w:val="0"/>
              </w:rPr>
              <w:t>VB6PA</w:t>
            </w:r>
            <w:r>
              <w:rPr>
                <w:color w:val="000000"/>
                <w:spacing w:val="0"/>
                <w:w w:val="100"/>
                <w:position w:val="0"/>
              </w:rPr>
              <w:t>）、维 生素</w:t>
            </w:r>
            <w:r>
              <w:rPr>
                <w:rFonts w:ascii="Times New Roman" w:eastAsia="Times New Roman" w:hAnsi="Times New Roman" w:cs="Times New Roman"/>
                <w:color w:val="000000"/>
                <w:spacing w:val="0"/>
                <w:w w:val="100"/>
                <w:position w:val="0"/>
              </w:rPr>
              <w:t xml:space="preserve">B7 </w:t>
            </w:r>
            <w:r>
              <w:rPr>
                <w:color w:val="000000"/>
                <w:spacing w:val="0"/>
                <w:w w:val="100"/>
                <w:position w:val="0"/>
              </w:rPr>
              <w:t>（生物素）、</w:t>
            </w:r>
            <w:r>
              <w:rPr>
                <w:rFonts w:ascii="Times New Roman" w:eastAsia="Times New Roman" w:hAnsi="Times New Roman" w:cs="Times New Roman"/>
                <w:color w:val="000000"/>
                <w:spacing w:val="0"/>
                <w:w w:val="100"/>
                <w:position w:val="0"/>
              </w:rPr>
              <w:t>5-</w:t>
            </w:r>
            <w:r>
              <w:rPr>
                <w:color w:val="000000"/>
                <w:spacing w:val="0"/>
                <w:w w:val="100"/>
                <w:position w:val="0"/>
              </w:rPr>
              <w:t>甲基四氢叶酸</w:t>
            </w:r>
            <w:r>
              <w:rPr>
                <w:color w:val="000000"/>
                <w:spacing w:val="0"/>
                <w:w w:val="100"/>
                <w:position w:val="0"/>
              </w:rPr>
              <w:t>（</w:t>
            </w:r>
            <w:r>
              <w:rPr>
                <w:rFonts w:ascii="Times New Roman" w:eastAsia="Times New Roman" w:hAnsi="Times New Roman" w:cs="Times New Roman"/>
                <w:color w:val="000000"/>
                <w:spacing w:val="0"/>
                <w:w w:val="100"/>
                <w:position w:val="0"/>
              </w:rPr>
              <w:t>5-MTHF</w:t>
            </w:r>
            <w:r>
              <w:rPr>
                <w:color w:val="000000"/>
                <w:spacing w:val="0"/>
                <w:w w:val="100"/>
                <w:position w:val="0"/>
              </w:rPr>
              <w:t xml:space="preserve">）、 </w:t>
            </w:r>
            <w:r>
              <w:rPr>
                <w:color w:val="000000"/>
                <w:spacing w:val="0"/>
                <w:w w:val="100"/>
                <w:position w:val="0"/>
              </w:rPr>
              <w:t>甲基丙二酸的系统校准。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19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水溶性维生素复合质控品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本产品与本公司生产的水溶性维生素样本释放剂 （液相色谱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串联质谱法）配套使用，用于水溶性维 生素项目维生素</w:t>
            </w:r>
            <w:r>
              <w:rPr>
                <w:rFonts w:ascii="Times New Roman" w:eastAsia="Times New Roman" w:hAnsi="Times New Roman" w:cs="Times New Roman"/>
                <w:color w:val="000000"/>
                <w:spacing w:val="0"/>
                <w:w w:val="100"/>
                <w:position w:val="0"/>
              </w:rPr>
              <w:t>B1</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 xml:space="preserve">B2 </w:t>
            </w:r>
            <w:r>
              <w:rPr>
                <w:color w:val="000000"/>
                <w:spacing w:val="0"/>
                <w:w w:val="100"/>
                <w:position w:val="0"/>
              </w:rPr>
              <w:t xml:space="preserve">（核黄素）、维生素 </w:t>
            </w:r>
            <w:r>
              <w:rPr>
                <w:rFonts w:ascii="Times New Roman" w:eastAsia="Times New Roman" w:hAnsi="Times New Roman" w:cs="Times New Roman"/>
                <w:color w:val="000000"/>
                <w:spacing w:val="0"/>
                <w:w w:val="100"/>
                <w:position w:val="0"/>
              </w:rPr>
              <w:t xml:space="preserve">B3 </w:t>
            </w:r>
            <w:r>
              <w:rPr>
                <w:color w:val="000000"/>
                <w:spacing w:val="0"/>
                <w:w w:val="100"/>
                <w:position w:val="0"/>
              </w:rPr>
              <w:t>（烟酰胺）、维生素</w:t>
            </w:r>
            <w:r>
              <w:rPr>
                <w:rFonts w:ascii="Times New Roman" w:eastAsia="Times New Roman" w:hAnsi="Times New Roman" w:cs="Times New Roman"/>
                <w:color w:val="000000"/>
                <w:spacing w:val="0"/>
                <w:w w:val="100"/>
                <w:position w:val="0"/>
              </w:rPr>
              <w:t>B5</w:t>
            </w:r>
            <w:r>
              <w:rPr>
                <w:color w:val="000000"/>
                <w:spacing w:val="0"/>
                <w:w w:val="100"/>
                <w:position w:val="0"/>
              </w:rPr>
              <w:t>、</w:t>
            </w:r>
            <w:r>
              <w:rPr>
                <w:color w:val="000000"/>
                <w:spacing w:val="0"/>
                <w:w w:val="100"/>
                <w:position w:val="0"/>
              </w:rPr>
              <w:t>吡哆酸</w:t>
            </w:r>
            <w:r>
              <w:rPr>
                <w:color w:val="000000"/>
                <w:spacing w:val="0"/>
                <w:w w:val="100"/>
                <w:position w:val="0"/>
              </w:rPr>
              <w:t>（</w:t>
            </w:r>
            <w:r>
              <w:rPr>
                <w:rFonts w:ascii="Times New Roman" w:eastAsia="Times New Roman" w:hAnsi="Times New Roman" w:cs="Times New Roman"/>
                <w:color w:val="000000"/>
                <w:spacing w:val="0"/>
                <w:w w:val="100"/>
                <w:position w:val="0"/>
              </w:rPr>
              <w:t>VB6PA</w:t>
            </w:r>
            <w:r>
              <w:rPr>
                <w:color w:val="000000"/>
                <w:spacing w:val="0"/>
                <w:w w:val="100"/>
                <w:position w:val="0"/>
              </w:rPr>
              <w:t>）、维 生素</w:t>
            </w:r>
            <w:r>
              <w:rPr>
                <w:rFonts w:ascii="Times New Roman" w:eastAsia="Times New Roman" w:hAnsi="Times New Roman" w:cs="Times New Roman"/>
                <w:color w:val="000000"/>
                <w:spacing w:val="0"/>
                <w:w w:val="100"/>
                <w:position w:val="0"/>
              </w:rPr>
              <w:t xml:space="preserve">B7 </w:t>
            </w:r>
            <w:r>
              <w:rPr>
                <w:color w:val="000000"/>
                <w:spacing w:val="0"/>
                <w:w w:val="100"/>
                <w:position w:val="0"/>
              </w:rPr>
              <w:t>（生物素）、</w:t>
            </w:r>
            <w:r>
              <w:rPr>
                <w:rFonts w:ascii="Times New Roman" w:eastAsia="Times New Roman" w:hAnsi="Times New Roman" w:cs="Times New Roman"/>
                <w:color w:val="000000"/>
                <w:spacing w:val="0"/>
                <w:w w:val="100"/>
                <w:position w:val="0"/>
              </w:rPr>
              <w:t>5-</w:t>
            </w:r>
            <w:r>
              <w:rPr>
                <w:color w:val="000000"/>
                <w:spacing w:val="0"/>
                <w:w w:val="100"/>
                <w:position w:val="0"/>
              </w:rPr>
              <w:t>甲基四氢叶酸</w:t>
            </w:r>
            <w:r>
              <w:rPr>
                <w:color w:val="000000"/>
                <w:spacing w:val="0"/>
                <w:w w:val="100"/>
                <w:position w:val="0"/>
              </w:rPr>
              <w:t>（</w:t>
            </w:r>
            <w:r>
              <w:rPr>
                <w:rFonts w:ascii="Times New Roman" w:eastAsia="Times New Roman" w:hAnsi="Times New Roman" w:cs="Times New Roman"/>
                <w:color w:val="000000"/>
                <w:spacing w:val="0"/>
                <w:w w:val="100"/>
                <w:position w:val="0"/>
              </w:rPr>
              <w:t>5-MTHF</w:t>
            </w:r>
            <w:r>
              <w:rPr>
                <w:color w:val="000000"/>
                <w:spacing w:val="0"/>
                <w:w w:val="100"/>
                <w:position w:val="0"/>
              </w:rPr>
              <w:t xml:space="preserve">）、 </w:t>
            </w:r>
            <w:r>
              <w:rPr>
                <w:color w:val="000000"/>
                <w:spacing w:val="0"/>
                <w:w w:val="100"/>
                <w:position w:val="0"/>
              </w:rPr>
              <w:t>甲基丙二酸的质谱法检测，进行室内质量控制。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技术审评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619" w:right="0" w:firstLine="0"/>
        <w:jc w:val="left"/>
      </w:pPr>
      <w:r>
        <w:rPr>
          <w:color w:val="000000"/>
          <w:spacing w:val="0"/>
          <w:w w:val="100"/>
          <w:position w:val="0"/>
        </w:rPr>
        <w:t>注：上述第</w:t>
      </w:r>
      <w:r>
        <w:rPr>
          <w:rFonts w:ascii="Times New Roman" w:eastAsia="Times New Roman" w:hAnsi="Times New Roman" w:cs="Times New Roman"/>
          <w:color w:val="000000"/>
          <w:spacing w:val="0"/>
          <w:w w:val="100"/>
          <w:position w:val="0"/>
        </w:rPr>
        <w:t>3</w:t>
      </w:r>
      <w:r>
        <w:rPr>
          <w:color w:val="000000"/>
          <w:spacing w:val="0"/>
          <w:w w:val="100"/>
          <w:position w:val="0"/>
        </w:rPr>
        <w:t>项产品已于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日获得国家药品监督管理局颁发的三类医疗器械注册证，第</w:t>
      </w:r>
      <w:r>
        <w:rPr>
          <w:rFonts w:ascii="Times New Roman" w:eastAsia="Times New Roman" w:hAnsi="Times New Roman" w:cs="Times New Roman"/>
          <w:color w:val="000000"/>
          <w:spacing w:val="0"/>
          <w:w w:val="100"/>
          <w:position w:val="0"/>
        </w:rPr>
        <w:t>5</w:t>
      </w:r>
      <w:r>
        <w:rPr>
          <w:color w:val="000000"/>
          <w:spacing w:val="0"/>
          <w:w w:val="100"/>
          <w:position w:val="0"/>
        </w:rPr>
        <w:t>项产品已于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br w:type="page"/>
      </w:r>
    </w:p>
    <w:p>
      <w:pPr>
        <w:pStyle w:val="Style17"/>
        <w:keepNext w:val="0"/>
        <w:keepLines w:val="0"/>
        <w:widowControl w:val="0"/>
        <w:shd w:val="clear" w:color="auto" w:fill="auto"/>
        <w:bidi w:val="0"/>
        <w:spacing w:before="0" w:after="320" w:line="326"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日获得国家药品监督管理局颁发的三类医疗器械注册证，第</w:t>
      </w:r>
      <w:r>
        <w:rPr>
          <w:rFonts w:ascii="Times New Roman" w:eastAsia="Times New Roman" w:hAnsi="Times New Roman" w:cs="Times New Roman"/>
          <w:color w:val="000000"/>
          <w:spacing w:val="0"/>
          <w:w w:val="100"/>
          <w:position w:val="0"/>
        </w:rPr>
        <w:t>8-14</w:t>
      </w:r>
      <w:r>
        <w:rPr>
          <w:color w:val="000000"/>
          <w:spacing w:val="0"/>
          <w:w w:val="100"/>
          <w:position w:val="0"/>
        </w:rPr>
        <w:t>项产品已于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日获得北京市药品监督管理局颁发 的二类医疗器械注册证。</w:t>
      </w:r>
    </w:p>
    <w:p>
      <w:pPr>
        <w:pStyle w:val="Style17"/>
        <w:keepNext w:val="0"/>
        <w:keepLines w:val="0"/>
        <w:widowControl w:val="0"/>
        <w:shd w:val="clear" w:color="auto" w:fill="auto"/>
        <w:bidi w:val="0"/>
        <w:spacing w:before="0" w:after="140" w:line="240" w:lineRule="auto"/>
        <w:ind w:left="0" w:right="0" w:firstLine="0"/>
        <w:jc w:val="left"/>
      </w:pPr>
      <w:bookmarkStart w:id="187" w:name="bookmark187"/>
      <w:r>
        <w:rPr>
          <w:rFonts w:ascii="Times New Roman" w:eastAsia="Times New Roman" w:hAnsi="Times New Roman" w:cs="Times New Roman"/>
          <w:b/>
          <w:bCs/>
          <w:color w:val="000000"/>
          <w:spacing w:val="0"/>
          <w:w w:val="100"/>
          <w:position w:val="0"/>
        </w:rPr>
        <w:t>2</w:t>
      </w:r>
      <w:bookmarkEnd w:id="187"/>
      <w:r>
        <w:rPr>
          <w:b/>
          <w:bCs/>
          <w:color w:val="000000"/>
          <w:spacing w:val="0"/>
          <w:w w:val="100"/>
          <w:position w:val="0"/>
        </w:rPr>
        <w:t>、已获得药品注册证产品的基本情况</w:t>
      </w:r>
    </w:p>
    <w:p>
      <w:pPr>
        <w:pStyle w:val="Style17"/>
        <w:keepNext w:val="0"/>
        <w:keepLines w:val="0"/>
        <w:widowControl w:val="0"/>
        <w:shd w:val="clear" w:color="auto" w:fill="auto"/>
        <w:bidi w:val="0"/>
        <w:spacing w:before="0" w:after="20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日，公司及其全资、控股子公司获得的药品注册证共计</w:t>
      </w:r>
      <w:r>
        <w:rPr>
          <w:rFonts w:ascii="Times New Roman" w:eastAsia="Times New Roman" w:hAnsi="Times New Roman" w:cs="Times New Roman"/>
          <w:color w:val="000000"/>
          <w:spacing w:val="0"/>
          <w:w w:val="100"/>
          <w:position w:val="0"/>
        </w:rPr>
        <w:t>5</w:t>
      </w:r>
      <w:r>
        <w:rPr>
          <w:color w:val="000000"/>
          <w:spacing w:val="0"/>
          <w:w w:val="100"/>
          <w:position w:val="0"/>
        </w:rPr>
        <w:t>项。具体信息详见下表:</w:t>
      </w:r>
    </w:p>
    <w:tbl>
      <w:tblPr>
        <w:tblOverlap w:val="never"/>
        <w:jc w:val="center"/>
        <w:tblLayout w:type="fixed"/>
      </w:tblPr>
      <w:tblGrid>
        <w:gridCol w:w="730"/>
        <w:gridCol w:w="1906"/>
        <w:gridCol w:w="888"/>
        <w:gridCol w:w="3134"/>
        <w:gridCol w:w="1133"/>
        <w:gridCol w:w="994"/>
        <w:gridCol w:w="859"/>
      </w:tblGrid>
      <w:tr>
        <w:trPr>
          <w:trHeight w:val="6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药品分类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注册证有效期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注册证批准 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注册类型</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人类免疫缺陷病毒</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HIV</w:t>
            </w:r>
            <w:r>
              <w:rPr>
                <w:color w:val="000000"/>
                <w:spacing w:val="0"/>
                <w:w w:val="100"/>
                <w:position w:val="0"/>
              </w:rPr>
              <w:t>）</w:t>
            </w:r>
            <w:r>
              <w:rPr>
                <w:color w:val="000000"/>
                <w:spacing w:val="0"/>
                <w:w w:val="100"/>
                <w:position w:val="0"/>
              </w:rPr>
              <w:t>抗原抗体诊断</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试剂盒（酶联免疫法）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按药品管 理的体外 诊断试剂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本试剂盒可定性检测人血清或血浆中的 人类免疫缺陷病毒（</w:t>
            </w:r>
            <w:r>
              <w:rPr>
                <w:rFonts w:ascii="Times New Roman" w:eastAsia="Times New Roman" w:hAnsi="Times New Roman" w:cs="Times New Roman"/>
                <w:color w:val="000000"/>
                <w:spacing w:val="0"/>
                <w:w w:val="100"/>
                <w:position w:val="0"/>
              </w:rPr>
              <w:t>HIV</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型）抗 体和</w:t>
            </w:r>
            <w:r>
              <w:rPr>
                <w:rFonts w:ascii="Times New Roman" w:eastAsia="Times New Roman" w:hAnsi="Times New Roman" w:cs="Times New Roman"/>
                <w:color w:val="000000"/>
                <w:spacing w:val="0"/>
                <w:w w:val="100"/>
                <w:position w:val="0"/>
              </w:rPr>
              <w:t>HIV-1 p24</w:t>
            </w:r>
            <w:r>
              <w:rPr>
                <w:color w:val="000000"/>
                <w:spacing w:val="0"/>
                <w:w w:val="100"/>
                <w:position w:val="0"/>
              </w:rPr>
              <w:t>抗原，用于献血员筛查、 血液制品检测和</w:t>
            </w:r>
            <w:r>
              <w:rPr>
                <w:rFonts w:ascii="Times New Roman" w:eastAsia="Times New Roman" w:hAnsi="Times New Roman" w:cs="Times New Roman"/>
                <w:color w:val="000000"/>
                <w:spacing w:val="0"/>
                <w:w w:val="100"/>
                <w:position w:val="0"/>
              </w:rPr>
              <w:t>HIV</w:t>
            </w:r>
            <w:r>
              <w:rPr>
                <w:color w:val="000000"/>
                <w:spacing w:val="0"/>
                <w:w w:val="100"/>
                <w:position w:val="0"/>
              </w:rPr>
              <w:t>感染的辅助诊断。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再注册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丙型肝炎病毒抗体诊断 试剂盒（酶联免疫法）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按药品管</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理的体外</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诊断试剂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本试剂盒可定性检测人血清或血浆中的 丙型肝炎病毒</w:t>
            </w:r>
            <w:r>
              <w:rPr>
                <w:color w:val="000000"/>
                <w:spacing w:val="0"/>
                <w:w w:val="100"/>
                <w:position w:val="0"/>
              </w:rPr>
              <w:t>（</w:t>
            </w:r>
            <w:r>
              <w:rPr>
                <w:rFonts w:ascii="Times New Roman" w:eastAsia="Times New Roman" w:hAnsi="Times New Roman" w:cs="Times New Roman"/>
                <w:color w:val="000000"/>
                <w:spacing w:val="0"/>
                <w:w w:val="100"/>
                <w:position w:val="0"/>
              </w:rPr>
              <w:t>HCV</w:t>
            </w:r>
            <w:r>
              <w:rPr>
                <w:color w:val="000000"/>
                <w:spacing w:val="0"/>
                <w:w w:val="100"/>
                <w:position w:val="0"/>
              </w:rPr>
              <w:t>）</w:t>
            </w:r>
            <w:r>
              <w:rPr>
                <w:color w:val="000000"/>
                <w:spacing w:val="0"/>
                <w:w w:val="100"/>
                <w:position w:val="0"/>
              </w:rPr>
              <w:t>抗体，用于献血员 筛查、临床丙型肝炎病毒感染的辅助诊 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再注册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梅毒螺旋体抗体诊断试 剂盒</w:t>
            </w:r>
            <w:r>
              <w:rPr>
                <w:rFonts w:ascii="Times New Roman" w:eastAsia="Times New Roman" w:hAnsi="Times New Roman" w:cs="Times New Roman"/>
                <w:color w:val="000000"/>
                <w:spacing w:val="0"/>
                <w:w w:val="100"/>
                <w:position w:val="0"/>
              </w:rPr>
              <w:t>（</w:t>
            </w:r>
            <w:r>
              <w:rPr>
                <w:color w:val="000000"/>
                <w:spacing w:val="0"/>
                <w:w w:val="100"/>
                <w:position w:val="0"/>
              </w:rPr>
              <w:t>酶联免疫法</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按药品管</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理的体外</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诊断试剂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本试剂盒可定性检测人血清或血浆中的 梅毒螺旋体（</w:t>
            </w:r>
            <w:r>
              <w:rPr>
                <w:rFonts w:ascii="Times New Roman" w:eastAsia="Times New Roman" w:hAnsi="Times New Roman" w:cs="Times New Roman"/>
                <w:color w:val="000000"/>
                <w:spacing w:val="0"/>
                <w:w w:val="100"/>
                <w:position w:val="0"/>
              </w:rPr>
              <w:t>TP</w:t>
            </w:r>
            <w:r>
              <w:rPr>
                <w:color w:val="000000"/>
                <w:spacing w:val="0"/>
                <w:w w:val="100"/>
                <w:position w:val="0"/>
              </w:rPr>
              <w:t>）</w:t>
            </w:r>
            <w:r>
              <w:rPr>
                <w:color w:val="000000"/>
                <w:spacing w:val="0"/>
                <w:w w:val="100"/>
                <w:position w:val="0"/>
              </w:rPr>
              <w:t>抗体，用于献血员筛 查、血液制品检测和</w:t>
            </w:r>
            <w:r>
              <w:rPr>
                <w:rFonts w:ascii="Times New Roman" w:eastAsia="Times New Roman" w:hAnsi="Times New Roman" w:cs="Times New Roman"/>
                <w:color w:val="000000"/>
                <w:spacing w:val="0"/>
                <w:w w:val="100"/>
                <w:position w:val="0"/>
              </w:rPr>
              <w:t>TP</w:t>
            </w:r>
            <w:r>
              <w:rPr>
                <w:color w:val="000000"/>
                <w:spacing w:val="0"/>
                <w:w w:val="100"/>
                <w:position w:val="0"/>
              </w:rPr>
              <w:t>感染高危人群中 血清学诊断。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再注册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人类免疫缺陷病毒抗体 诊断试剂盒（酶联免疫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按药品管</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理的体外</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诊断试剂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本试剂盒可定性检测人血清或血浆中的 人类免疫缺陷病毒（</w:t>
            </w:r>
            <w:r>
              <w:rPr>
                <w:rFonts w:ascii="Times New Roman" w:eastAsia="Times New Roman" w:hAnsi="Times New Roman" w:cs="Times New Roman"/>
                <w:color w:val="000000"/>
                <w:spacing w:val="0"/>
                <w:w w:val="100"/>
                <w:position w:val="0"/>
              </w:rPr>
              <w:t>HIV</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w:t>
            </w:r>
            <w:r>
              <w:rPr>
                <w:color w:val="000000"/>
                <w:spacing w:val="0"/>
                <w:w w:val="100"/>
                <w:position w:val="0"/>
              </w:rPr>
              <w:t>型）抗 体，用于献血员筛查和临床人类免疫缺 陷病毒感染的辅助诊断。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2020/6/12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再注册</w:t>
            </w:r>
          </w:p>
        </w:tc>
      </w:tr>
      <w:tr>
        <w:trPr>
          <w:trHeight w:val="129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乙型肝炎病毒表面抗原 诊断试剂盒（酶联免疫 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按药品管</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理的体外</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诊断试剂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本试剂盒可定性检测人血清或血浆中的 乙型肝炎病毒表面抗原</w:t>
            </w:r>
            <w:r>
              <w:rPr>
                <w:color w:val="000000"/>
                <w:spacing w:val="0"/>
                <w:w w:val="100"/>
                <w:position w:val="0"/>
              </w:rPr>
              <w:t>（</w:t>
            </w:r>
            <w:r>
              <w:rPr>
                <w:rFonts w:ascii="Times New Roman" w:eastAsia="Times New Roman" w:hAnsi="Times New Roman" w:cs="Times New Roman"/>
                <w:color w:val="000000"/>
                <w:spacing w:val="0"/>
                <w:w w:val="100"/>
                <w:position w:val="0"/>
              </w:rPr>
              <w:t>HBsAg</w:t>
            </w:r>
            <w:r>
              <w:rPr>
                <w:color w:val="000000"/>
                <w:spacing w:val="0"/>
                <w:w w:val="100"/>
                <w:position w:val="0"/>
              </w:rPr>
              <w:t>）</w:t>
            </w:r>
            <w:r>
              <w:rPr>
                <w:color w:val="000000"/>
                <w:spacing w:val="0"/>
                <w:w w:val="100"/>
                <w:position w:val="0"/>
              </w:rPr>
              <w:t>，用于 献血员筛查、血液制品检测和临床辅助 诊断。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2025/6/15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2020/6/16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再注册</w:t>
            </w:r>
          </w:p>
        </w:tc>
      </w:tr>
    </w:tbl>
    <w:p>
      <w:pPr>
        <w:widowControl w:val="0"/>
        <w:spacing w:after="199" w:line="1" w:lineRule="exact"/>
      </w:pPr>
    </w:p>
    <w:p>
      <w:pPr>
        <w:pStyle w:val="Style17"/>
        <w:keepNext w:val="0"/>
        <w:keepLines w:val="0"/>
        <w:widowControl w:val="0"/>
        <w:shd w:val="clear" w:color="auto" w:fill="auto"/>
        <w:bidi w:val="0"/>
        <w:spacing w:before="0" w:after="140" w:line="310" w:lineRule="exact"/>
        <w:ind w:left="0" w:right="0" w:firstLine="0"/>
        <w:jc w:val="left"/>
      </w:pPr>
      <w:bookmarkStart w:id="188" w:name="bookmark188"/>
      <w:r>
        <w:rPr>
          <w:rFonts w:ascii="Times New Roman" w:eastAsia="Times New Roman" w:hAnsi="Times New Roman" w:cs="Times New Roman"/>
          <w:b/>
          <w:bCs/>
          <w:color w:val="000000"/>
          <w:spacing w:val="0"/>
          <w:w w:val="100"/>
          <w:position w:val="0"/>
        </w:rPr>
        <w:t>3</w:t>
      </w:r>
      <w:bookmarkEnd w:id="188"/>
      <w:r>
        <w:rPr>
          <w:b/>
          <w:bCs/>
          <w:color w:val="000000"/>
          <w:spacing w:val="0"/>
          <w:w w:val="100"/>
          <w:position w:val="0"/>
        </w:rPr>
        <w:t>、已获得医疗器械注册证产品的基本情况</w:t>
      </w:r>
    </w:p>
    <w:p>
      <w:pPr>
        <w:pStyle w:val="Style17"/>
        <w:keepNext w:val="0"/>
        <w:keepLines w:val="0"/>
        <w:widowControl w:val="0"/>
        <w:shd w:val="clear" w:color="auto" w:fill="auto"/>
        <w:bidi w:val="0"/>
        <w:spacing w:before="0" w:after="260" w:line="310"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日，公司及其全资、控股子公司获得的医疗器械注册证书和备案凭证共计</w:t>
      </w:r>
      <w:r>
        <w:rPr>
          <w:rFonts w:ascii="Times New Roman" w:eastAsia="Times New Roman" w:hAnsi="Times New Roman" w:cs="Times New Roman"/>
          <w:color w:val="000000"/>
          <w:spacing w:val="0"/>
          <w:w w:val="100"/>
          <w:position w:val="0"/>
        </w:rPr>
        <w:t>199</w:t>
      </w:r>
      <w:r>
        <w:rPr>
          <w:color w:val="000000"/>
          <w:spacing w:val="0"/>
          <w:w w:val="100"/>
          <w:position w:val="0"/>
        </w:rPr>
        <w:t>项，其中医疗器械注册 证</w:t>
      </w:r>
      <w:r>
        <w:rPr>
          <w:rFonts w:ascii="Times New Roman" w:eastAsia="Times New Roman" w:hAnsi="Times New Roman" w:cs="Times New Roman"/>
          <w:color w:val="000000"/>
          <w:spacing w:val="0"/>
          <w:w w:val="100"/>
          <w:position w:val="0"/>
        </w:rPr>
        <w:t>14 7</w:t>
      </w:r>
      <w:r>
        <w:rPr>
          <w:color w:val="000000"/>
          <w:spacing w:val="0"/>
          <w:w w:val="100"/>
          <w:position w:val="0"/>
        </w:rPr>
        <w:t>项，备案凭证</w:t>
      </w:r>
      <w:r>
        <w:rPr>
          <w:rFonts w:ascii="Times New Roman" w:eastAsia="Times New Roman" w:hAnsi="Times New Roman" w:cs="Times New Roman"/>
          <w:color w:val="000000"/>
          <w:spacing w:val="0"/>
          <w:w w:val="100"/>
          <w:position w:val="0"/>
        </w:rPr>
        <w:t>52</w:t>
      </w:r>
      <w:r>
        <w:rPr>
          <w:color w:val="000000"/>
          <w:spacing w:val="0"/>
          <w:w w:val="100"/>
          <w:position w:val="0"/>
        </w:rPr>
        <w:t>项。报告期内，公司及其全资、控股子公司新增医疗器械注册证和备案凭证共计</w:t>
      </w:r>
      <w:r>
        <w:rPr>
          <w:rFonts w:ascii="Times New Roman" w:eastAsia="Times New Roman" w:hAnsi="Times New Roman" w:cs="Times New Roman"/>
          <w:color w:val="000000"/>
          <w:spacing w:val="0"/>
          <w:w w:val="100"/>
          <w:position w:val="0"/>
        </w:rPr>
        <w:t>71</w:t>
      </w:r>
      <w:r>
        <w:rPr>
          <w:color w:val="000000"/>
          <w:spacing w:val="0"/>
          <w:w w:val="100"/>
          <w:position w:val="0"/>
        </w:rPr>
        <w:t>项，其中医疗器械 注册证</w:t>
      </w:r>
      <w:r>
        <w:rPr>
          <w:rFonts w:ascii="Times New Roman" w:eastAsia="Times New Roman" w:hAnsi="Times New Roman" w:cs="Times New Roman"/>
          <w:color w:val="000000"/>
          <w:spacing w:val="0"/>
          <w:w w:val="100"/>
          <w:position w:val="0"/>
        </w:rPr>
        <w:t>42</w:t>
      </w:r>
      <w:r>
        <w:rPr>
          <w:color w:val="000000"/>
          <w:spacing w:val="0"/>
          <w:w w:val="100"/>
          <w:position w:val="0"/>
        </w:rPr>
        <w:t>项，备案凭证</w:t>
      </w:r>
      <w:r>
        <w:rPr>
          <w:rFonts w:ascii="Times New Roman" w:eastAsia="Times New Roman" w:hAnsi="Times New Roman" w:cs="Times New Roman"/>
          <w:color w:val="000000"/>
          <w:spacing w:val="0"/>
          <w:w w:val="100"/>
          <w:position w:val="0"/>
        </w:rPr>
        <w:t>29</w:t>
      </w:r>
      <w:r>
        <w:rPr>
          <w:color w:val="000000"/>
          <w:spacing w:val="0"/>
          <w:w w:val="100"/>
          <w:position w:val="0"/>
        </w:rPr>
        <w:t>项。</w:t>
      </w:r>
    </w:p>
    <w:p>
      <w:pPr>
        <w:pStyle w:val="Style26"/>
        <w:keepNext w:val="0"/>
        <w:keepLines w:val="0"/>
        <w:widowControl w:val="0"/>
        <w:shd w:val="clear" w:color="auto" w:fill="auto"/>
        <w:bidi w:val="0"/>
        <w:spacing w:before="0" w:after="0" w:line="240" w:lineRule="auto"/>
        <w:ind w:left="312"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日，公司及其全资、控股子公司获得的医疗器械注册证详见下表:</w:t>
      </w:r>
    </w:p>
    <w:tbl>
      <w:tblPr>
        <w:tblOverlap w:val="never"/>
        <w:jc w:val="center"/>
        <w:tblLayout w:type="fixed"/>
      </w:tblPr>
      <w:tblGrid>
        <w:gridCol w:w="562"/>
        <w:gridCol w:w="1704"/>
        <w:gridCol w:w="422"/>
        <w:gridCol w:w="4397"/>
        <w:gridCol w:w="989"/>
        <w:gridCol w:w="994"/>
        <w:gridCol w:w="576"/>
      </w:tblGrid>
      <w:tr>
        <w:trPr>
          <w:trHeight w:val="67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b/>
                <w:bCs/>
                <w:color w:val="000000"/>
                <w:spacing w:val="0"/>
                <w:w w:val="100"/>
                <w:position w:val="0"/>
              </w:rPr>
              <w:t>注册</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临床用途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注册证有效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注册证批准 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注册类 型</w:t>
            </w: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基因测序仪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该产品采用联合探针锚定聚合测序技术，在临床上用于 对来源于人体样本的脱氧核糖核酸</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w:t>
            </w:r>
            <w:r>
              <w:rPr>
                <w:color w:val="000000"/>
                <w:spacing w:val="0"/>
                <w:w w:val="100"/>
                <w:position w:val="0"/>
              </w:rPr>
              <w:t>进行测序， 以检测基因变化，这些基因变化可能导致存在疾病或易 感性。该仪器在临床上仅限于与国家食品药品监督管理 总局批准的体外诊断试剂以及仪器配套随机软件配合使 用，且不用于人类全基因组的测序或从头测序。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延续注 册</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生物芯片阅读仪</w:t>
            </w:r>
            <w:r>
              <w:rPr>
                <w:rFonts w:ascii="Times New Roman" w:eastAsia="Times New Roman" w:hAnsi="Times New Roman" w:cs="Times New Roman"/>
                <w:color w:val="000000"/>
                <w:spacing w:val="0"/>
                <w:w w:val="100"/>
                <w:position w:val="0"/>
              </w:rPr>
              <w:t>（AE-</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AE-1000</w:t>
            </w:r>
            <w:r>
              <w:rPr>
                <w:color w:val="000000"/>
                <w:spacing w:val="0"/>
                <w:w w:val="100"/>
                <w:position w:val="0"/>
              </w:rPr>
              <w:t>生物芯片阅读仪与本公司已上市的微阵列酶联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延续注</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免疫法的体外诊断试剂配套使用，适用于临床机构对人 液体样本中的被分析物进行体外检测。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超声多普勒胎儿心率 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用于胎儿心率监测。适用于医疗机构及家庭使用。该产 品的检测结果只能用于初步评估胎儿状态，不作为诊断 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9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胎儿染色体非整倍体</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T21</w:t>
            </w:r>
            <w:r>
              <w:rPr>
                <w:color w:val="000000"/>
                <w:spacing w:val="0"/>
                <w:w w:val="100"/>
                <w:position w:val="0"/>
              </w:rPr>
              <w:t xml:space="preserve">、 </w:t>
            </w:r>
            <w:r>
              <w:rPr>
                <w:rFonts w:ascii="Times New Roman" w:eastAsia="Times New Roman" w:hAnsi="Times New Roman" w:cs="Times New Roman"/>
                <w:color w:val="000000"/>
                <w:spacing w:val="0"/>
                <w:w w:val="100"/>
                <w:position w:val="0"/>
              </w:rPr>
              <w:t>T18</w:t>
            </w:r>
            <w:r>
              <w:rPr>
                <w:color w:val="000000"/>
                <w:spacing w:val="0"/>
                <w:w w:val="100"/>
                <w:position w:val="0"/>
              </w:rPr>
              <w:t xml:space="preserve">、 </w:t>
            </w:r>
            <w:r>
              <w:rPr>
                <w:rFonts w:ascii="Times New Roman" w:eastAsia="Times New Roman" w:hAnsi="Times New Roman" w:cs="Times New Roman"/>
                <w:color w:val="000000"/>
                <w:spacing w:val="0"/>
                <w:w w:val="100"/>
                <w:position w:val="0"/>
              </w:rPr>
              <w:t>T13</w:t>
            </w:r>
            <w:r>
              <w:rPr>
                <w:color w:val="000000"/>
                <w:spacing w:val="0"/>
                <w:w w:val="100"/>
                <w:position w:val="0"/>
              </w:rPr>
              <w:t>）</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检测试剂盒（联合探</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针锚定聚合测序法）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该产品用于定性检测孕周</w:t>
            </w:r>
            <w:r>
              <w:rPr>
                <w:rFonts w:ascii="Times New Roman" w:eastAsia="Times New Roman" w:hAnsi="Times New Roman" w:cs="Times New Roman"/>
                <w:color w:val="000000"/>
                <w:spacing w:val="0"/>
                <w:w w:val="100"/>
                <w:position w:val="0"/>
              </w:rPr>
              <w:t>12</w:t>
            </w:r>
            <w:r>
              <w:rPr>
                <w:color w:val="000000"/>
                <w:spacing w:val="0"/>
                <w:w w:val="100"/>
                <w:position w:val="0"/>
              </w:rPr>
              <w:t>周以上的高危孕妇外周血血 浆中的游离脱氧核糖核酸</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w:t>
            </w:r>
            <w:r>
              <w:rPr>
                <w:color w:val="000000"/>
                <w:spacing w:val="0"/>
                <w:w w:val="100"/>
                <w:position w:val="0"/>
              </w:rPr>
              <w:t>通过分析样本中胎 儿游离</w:t>
            </w:r>
            <w:r>
              <w:rPr>
                <w:rFonts w:ascii="Times New Roman" w:eastAsia="Times New Roman" w:hAnsi="Times New Roman" w:cs="Times New Roman"/>
                <w:color w:val="000000"/>
                <w:spacing w:val="0"/>
                <w:w w:val="100"/>
                <w:position w:val="0"/>
              </w:rPr>
              <w:t>DNA</w:t>
            </w:r>
            <w:r>
              <w:rPr>
                <w:color w:val="000000"/>
                <w:spacing w:val="0"/>
                <w:w w:val="100"/>
                <w:position w:val="0"/>
              </w:rPr>
              <w:t>的</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18</w:t>
            </w:r>
            <w:r>
              <w:rPr>
                <w:color w:val="000000"/>
                <w:spacing w:val="0"/>
                <w:w w:val="100"/>
                <w:position w:val="0"/>
              </w:rPr>
              <w:t>号及</w:t>
            </w:r>
            <w:r>
              <w:rPr>
                <w:rFonts w:ascii="Times New Roman" w:eastAsia="Times New Roman" w:hAnsi="Times New Roman" w:cs="Times New Roman"/>
                <w:color w:val="000000"/>
                <w:spacing w:val="0"/>
                <w:w w:val="100"/>
                <w:position w:val="0"/>
              </w:rPr>
              <w:t>13</w:t>
            </w:r>
            <w:r>
              <w:rPr>
                <w:color w:val="000000"/>
                <w:spacing w:val="0"/>
                <w:w w:val="100"/>
                <w:position w:val="0"/>
              </w:rPr>
              <w:t>号染色体数量的差异，对 胎儿染色体非整倍体疾病</w:t>
            </w:r>
            <w:r>
              <w:rPr>
                <w:rFonts w:ascii="Times New Roman" w:eastAsia="Times New Roman" w:hAnsi="Times New Roman" w:cs="Times New Roman"/>
                <w:color w:val="000000"/>
                <w:spacing w:val="0"/>
                <w:w w:val="100"/>
                <w:position w:val="0"/>
              </w:rPr>
              <w:t>21-</w:t>
            </w:r>
            <w:r>
              <w:rPr>
                <w:color w:val="000000"/>
                <w:spacing w:val="0"/>
                <w:w w:val="100"/>
                <w:position w:val="0"/>
              </w:rPr>
              <w:t>三体综合征、</w:t>
            </w:r>
            <w:r>
              <w:rPr>
                <w:rFonts w:ascii="Times New Roman" w:eastAsia="Times New Roman" w:hAnsi="Times New Roman" w:cs="Times New Roman"/>
                <w:color w:val="000000"/>
                <w:spacing w:val="0"/>
                <w:w w:val="100"/>
                <w:position w:val="0"/>
              </w:rPr>
              <w:t>18-</w:t>
            </w:r>
            <w:r>
              <w:rPr>
                <w:color w:val="000000"/>
                <w:spacing w:val="0"/>
                <w:w w:val="100"/>
                <w:position w:val="0"/>
              </w:rPr>
              <w:t>三体综合 征和</w:t>
            </w:r>
            <w:r>
              <w:rPr>
                <w:rFonts w:ascii="Times New Roman" w:eastAsia="Times New Roman" w:hAnsi="Times New Roman" w:cs="Times New Roman"/>
                <w:color w:val="000000"/>
                <w:spacing w:val="0"/>
                <w:w w:val="100"/>
                <w:position w:val="0"/>
              </w:rPr>
              <w:t>13-</w:t>
            </w:r>
            <w:r>
              <w:rPr>
                <w:color w:val="000000"/>
                <w:spacing w:val="0"/>
                <w:w w:val="100"/>
                <w:position w:val="0"/>
              </w:rPr>
              <w:t>三体综合征进行产前辅助判断。该产品用途为 构建测序文库。该产品应按照行业规范进行使用。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2027/1/12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28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EGFR/KRAS/ALK </w:t>
            </w:r>
            <w:r>
              <w:rPr>
                <w:color w:val="000000"/>
                <w:spacing w:val="0"/>
                <w:w w:val="100"/>
                <w:position w:val="0"/>
              </w:rPr>
              <w:t>基 因突变联合检测试剂 盒（联合探针锚定聚 合测序法）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本试剂盒用于定性检测经临床确诊为非小细胞肺癌患者 的福尔马林固定石蜡包埋（简称</w:t>
            </w:r>
            <w:r>
              <w:rPr>
                <w:rFonts w:ascii="Times New Roman" w:eastAsia="Times New Roman" w:hAnsi="Times New Roman" w:cs="Times New Roman"/>
                <w:color w:val="000000"/>
                <w:spacing w:val="0"/>
                <w:w w:val="100"/>
                <w:position w:val="0"/>
              </w:rPr>
              <w:t>FFPE</w:t>
            </w:r>
            <w:r>
              <w:rPr>
                <w:color w:val="000000"/>
                <w:spacing w:val="0"/>
                <w:w w:val="100"/>
                <w:position w:val="0"/>
              </w:rPr>
              <w:t xml:space="preserve">）病理组织样本 </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KRAS</w:t>
            </w:r>
            <w:r>
              <w:rPr>
                <w:color w:val="000000"/>
                <w:spacing w:val="0"/>
                <w:w w:val="100"/>
                <w:position w:val="0"/>
              </w:rPr>
              <w:t>基因和</w:t>
            </w:r>
            <w:r>
              <w:rPr>
                <w:rFonts w:ascii="Times New Roman" w:eastAsia="Times New Roman" w:hAnsi="Times New Roman" w:cs="Times New Roman"/>
                <w:color w:val="000000"/>
                <w:spacing w:val="0"/>
                <w:w w:val="100"/>
                <w:position w:val="0"/>
              </w:rPr>
              <w:t>ALK</w:t>
            </w:r>
            <w:r>
              <w:rPr>
                <w:color w:val="000000"/>
                <w:spacing w:val="0"/>
                <w:w w:val="100"/>
                <w:position w:val="0"/>
              </w:rPr>
              <w:t xml:space="preserve">基因中发生的突变，包括 </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L858R</w:t>
            </w:r>
            <w:r>
              <w:rPr>
                <w:color w:val="000000"/>
                <w:spacing w:val="0"/>
                <w:w w:val="100"/>
                <w:position w:val="0"/>
              </w:rPr>
              <w:t>、</w:t>
            </w:r>
            <w:r>
              <w:rPr>
                <w:rFonts w:ascii="Times New Roman" w:eastAsia="Times New Roman" w:hAnsi="Times New Roman" w:cs="Times New Roman"/>
                <w:color w:val="000000"/>
                <w:spacing w:val="0"/>
                <w:w w:val="100"/>
                <w:position w:val="0"/>
              </w:rPr>
              <w:t>T790M</w:t>
            </w:r>
            <w:r>
              <w:rPr>
                <w:color w:val="000000"/>
                <w:spacing w:val="0"/>
                <w:w w:val="100"/>
                <w:position w:val="0"/>
              </w:rPr>
              <w:t>、</w:t>
            </w:r>
            <w:r>
              <w:rPr>
                <w:rFonts w:ascii="Times New Roman" w:eastAsia="Times New Roman" w:hAnsi="Times New Roman" w:cs="Times New Roman"/>
                <w:color w:val="000000"/>
                <w:spacing w:val="0"/>
                <w:w w:val="100"/>
                <w:position w:val="0"/>
              </w:rPr>
              <w:t>G719X</w:t>
            </w:r>
            <w:r>
              <w:rPr>
                <w:color w:val="000000"/>
                <w:spacing w:val="0"/>
                <w:w w:val="100"/>
                <w:position w:val="0"/>
              </w:rPr>
              <w:t>突变，</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 xml:space="preserve">19 </w:t>
            </w:r>
            <w:r>
              <w:rPr>
                <w:color w:val="000000"/>
                <w:spacing w:val="0"/>
                <w:w w:val="100"/>
                <w:position w:val="0"/>
              </w:rPr>
              <w:t>外显子缺失（</w:t>
            </w:r>
            <w:r>
              <w:rPr>
                <w:rFonts w:ascii="Times New Roman" w:eastAsia="Times New Roman" w:hAnsi="Times New Roman" w:cs="Times New Roman"/>
                <w:color w:val="000000"/>
                <w:spacing w:val="0"/>
                <w:w w:val="100"/>
                <w:position w:val="0"/>
              </w:rPr>
              <w:t>19del</w:t>
            </w:r>
            <w:r>
              <w:rPr>
                <w:color w:val="000000"/>
                <w:spacing w:val="0"/>
                <w:w w:val="100"/>
                <w:position w:val="0"/>
              </w:rPr>
              <w:t>），</w:t>
            </w:r>
            <w:r>
              <w:rPr>
                <w:rFonts w:ascii="Times New Roman" w:eastAsia="Times New Roman" w:hAnsi="Times New Roman" w:cs="Times New Roman"/>
                <w:color w:val="000000"/>
                <w:spacing w:val="0"/>
                <w:w w:val="100"/>
                <w:position w:val="0"/>
              </w:rPr>
              <w:t>KRAS</w:t>
            </w:r>
            <w:r>
              <w:rPr>
                <w:color w:val="000000"/>
                <w:spacing w:val="0"/>
                <w:w w:val="100"/>
                <w:position w:val="0"/>
              </w:rPr>
              <w:t>基因</w:t>
            </w:r>
            <w:r>
              <w:rPr>
                <w:rFonts w:ascii="Times New Roman" w:eastAsia="Times New Roman" w:hAnsi="Times New Roman" w:cs="Times New Roman"/>
                <w:color w:val="000000"/>
                <w:spacing w:val="0"/>
                <w:w w:val="100"/>
                <w:position w:val="0"/>
              </w:rPr>
              <w:t>G12D</w:t>
            </w:r>
            <w:r>
              <w:rPr>
                <w:color w:val="000000"/>
                <w:spacing w:val="0"/>
                <w:w w:val="100"/>
                <w:position w:val="0"/>
              </w:rPr>
              <w:t>突变和</w:t>
            </w:r>
            <w:r>
              <w:rPr>
                <w:rFonts w:ascii="Times New Roman" w:eastAsia="Times New Roman" w:hAnsi="Times New Roman" w:cs="Times New Roman"/>
                <w:color w:val="000000"/>
                <w:spacing w:val="0"/>
                <w:w w:val="100"/>
                <w:position w:val="0"/>
              </w:rPr>
              <w:t>ALK</w:t>
            </w:r>
            <w:r>
              <w:rPr>
                <w:color w:val="000000"/>
                <w:spacing w:val="0"/>
                <w:w w:val="100"/>
                <w:position w:val="0"/>
              </w:rPr>
              <w:t>融 合基因。其中，</w:t>
            </w:r>
            <w:r>
              <w:rPr>
                <w:rFonts w:ascii="Times New Roman" w:eastAsia="Times New Roman" w:hAnsi="Times New Roman" w:cs="Times New Roman"/>
                <w:color w:val="000000"/>
                <w:spacing w:val="0"/>
                <w:w w:val="100"/>
                <w:position w:val="0"/>
              </w:rPr>
              <w:t>EGFR</w:t>
            </w:r>
            <w:r>
              <w:rPr>
                <w:color w:val="000000"/>
                <w:spacing w:val="0"/>
                <w:w w:val="100"/>
                <w:position w:val="0"/>
              </w:rPr>
              <w:t>基因中</w:t>
            </w:r>
            <w:r>
              <w:rPr>
                <w:rFonts w:ascii="Times New Roman" w:eastAsia="Times New Roman" w:hAnsi="Times New Roman" w:cs="Times New Roman"/>
                <w:color w:val="000000"/>
                <w:spacing w:val="0"/>
                <w:w w:val="100"/>
                <w:position w:val="0"/>
              </w:rPr>
              <w:t>L858R</w:t>
            </w:r>
            <w:r>
              <w:rPr>
                <w:color w:val="000000"/>
                <w:spacing w:val="0"/>
                <w:w w:val="100"/>
                <w:position w:val="0"/>
              </w:rPr>
              <w:t>突变、</w:t>
            </w:r>
            <w:r>
              <w:rPr>
                <w:rFonts w:ascii="Times New Roman" w:eastAsia="Times New Roman" w:hAnsi="Times New Roman" w:cs="Times New Roman"/>
                <w:color w:val="000000"/>
                <w:spacing w:val="0"/>
                <w:w w:val="100"/>
                <w:position w:val="0"/>
              </w:rPr>
              <w:t>19</w:t>
            </w:r>
            <w:r>
              <w:rPr>
                <w:color w:val="000000"/>
                <w:spacing w:val="0"/>
                <w:w w:val="100"/>
                <w:position w:val="0"/>
              </w:rPr>
              <w:t>号外显子 缺失、</w:t>
            </w:r>
            <w:r>
              <w:rPr>
                <w:rFonts w:ascii="Times New Roman" w:eastAsia="Times New Roman" w:hAnsi="Times New Roman" w:cs="Times New Roman"/>
                <w:color w:val="000000"/>
                <w:spacing w:val="0"/>
                <w:w w:val="100"/>
                <w:position w:val="0"/>
              </w:rPr>
              <w:t>G719X</w:t>
            </w:r>
            <w:r>
              <w:rPr>
                <w:color w:val="000000"/>
                <w:spacing w:val="0"/>
                <w:w w:val="100"/>
                <w:position w:val="0"/>
              </w:rPr>
              <w:t>突变用于吉非替尼片、盐酸埃克替尼片的 伴随诊断检测；</w:t>
            </w:r>
            <w:r>
              <w:rPr>
                <w:rFonts w:ascii="Times New Roman" w:eastAsia="Times New Roman" w:hAnsi="Times New Roman" w:cs="Times New Roman"/>
                <w:color w:val="000000"/>
                <w:spacing w:val="0"/>
                <w:w w:val="100"/>
                <w:position w:val="0"/>
              </w:rPr>
              <w:t>ALK</w:t>
            </w:r>
            <w:r>
              <w:rPr>
                <w:color w:val="000000"/>
                <w:spacing w:val="0"/>
                <w:w w:val="100"/>
                <w:position w:val="0"/>
              </w:rPr>
              <w:t>融合基因用于克唑替尼胶囊的伴随 诊断检测。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首次注 册</w:t>
            </w: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人乳头瘤病毒（</w:t>
            </w:r>
            <w:r>
              <w:rPr>
                <w:rFonts w:ascii="Times New Roman" w:eastAsia="Times New Roman" w:hAnsi="Times New Roman" w:cs="Times New Roman"/>
                <w:color w:val="000000"/>
                <w:spacing w:val="0"/>
                <w:w w:val="100"/>
                <w:position w:val="0"/>
              </w:rPr>
              <w:t>16</w:t>
            </w:r>
            <w:r>
              <w:rPr>
                <w:color w:val="000000"/>
                <w:spacing w:val="0"/>
                <w:w w:val="100"/>
                <w:position w:val="0"/>
              </w:rPr>
              <w:t>种 型别）核酸分型检测 试剂盒（半导体测序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该产品用于人乳头瘤病毒核酸分型检测时文库的构建， 与已批准的核酸纯化试剂、测序反应通用试剂盒（半导 体测序法）、人乳头瘤病毒核酸分型分析软件联合使 用，用于女性宫颈脱落细胞中的</w:t>
            </w:r>
            <w:r>
              <w:rPr>
                <w:rFonts w:ascii="Times New Roman" w:eastAsia="Times New Roman" w:hAnsi="Times New Roman" w:cs="Times New Roman"/>
                <w:color w:val="000000"/>
                <w:spacing w:val="0"/>
                <w:w w:val="100"/>
                <w:position w:val="0"/>
              </w:rPr>
              <w:t>16</w:t>
            </w:r>
            <w:r>
              <w:rPr>
                <w:color w:val="000000"/>
                <w:spacing w:val="0"/>
                <w:w w:val="100"/>
                <w:position w:val="0"/>
              </w:rPr>
              <w:t>种人乳头瘤病毒</w:t>
            </w:r>
          </w:p>
          <w:p>
            <w:pPr>
              <w:pStyle w:val="Style20"/>
              <w:keepNext w:val="0"/>
              <w:keepLines w:val="0"/>
              <w:widowControl w:val="0"/>
              <w:shd w:val="clear" w:color="auto" w:fill="auto"/>
              <w:bidi w:val="0"/>
              <w:spacing w:before="0" w:after="12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HPV6</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56</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w:t>
            </w:r>
            <w:r>
              <w:rPr>
                <w:rFonts w:ascii="Times New Roman" w:eastAsia="Times New Roman" w:hAnsi="Times New Roman" w:cs="Times New Roman"/>
                <w:color w:val="000000"/>
                <w:spacing w:val="0"/>
                <w:w w:val="100"/>
                <w:position w:val="0"/>
              </w:rPr>
              <w:t>59</w:t>
            </w:r>
            <w:r>
              <w:rPr>
                <w:color w:val="000000"/>
                <w:spacing w:val="0"/>
                <w:w w:val="100"/>
                <w:position w:val="0"/>
              </w:rPr>
              <w:t>、</w:t>
            </w:r>
            <w:r>
              <w:rPr>
                <w:rFonts w:ascii="Times New Roman" w:eastAsia="Times New Roman" w:hAnsi="Times New Roman" w:cs="Times New Roman"/>
                <w:color w:val="000000"/>
                <w:spacing w:val="0"/>
                <w:w w:val="100"/>
                <w:position w:val="0"/>
              </w:rPr>
              <w:t>66</w:t>
            </w:r>
            <w:r>
              <w:rPr>
                <w:color w:val="000000"/>
                <w:spacing w:val="0"/>
                <w:w w:val="100"/>
                <w:position w:val="0"/>
              </w:rPr>
              <w:t>、</w:t>
            </w:r>
            <w:r>
              <w:rPr>
                <w:rFonts w:ascii="Times New Roman" w:eastAsia="Times New Roman" w:hAnsi="Times New Roman" w:cs="Times New Roman"/>
                <w:color w:val="000000"/>
                <w:spacing w:val="0"/>
                <w:w w:val="100"/>
                <w:position w:val="0"/>
              </w:rPr>
              <w:t>68</w:t>
            </w:r>
            <w:r>
              <w:rPr>
                <w:color w:val="000000"/>
                <w:spacing w:val="0"/>
                <w:w w:val="100"/>
                <w:position w:val="0"/>
              </w:rPr>
              <w:t>）核酸的定性和分型检测。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册中</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遗传性耳聋基因检测 试剂盒（联合探针锚 定聚合测序法）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本试剂盒用于体外定性检测干血片样本中人基因组</w:t>
            </w:r>
            <w:r>
              <w:rPr>
                <w:rFonts w:ascii="Times New Roman" w:eastAsia="Times New Roman" w:hAnsi="Times New Roman" w:cs="Times New Roman"/>
                <w:color w:val="000000"/>
                <w:spacing w:val="0"/>
                <w:w w:val="100"/>
                <w:position w:val="0"/>
              </w:rPr>
              <w:t xml:space="preserve">DNA </w:t>
            </w:r>
            <w:r>
              <w:rPr>
                <w:color w:val="000000"/>
                <w:spacing w:val="0"/>
                <w:w w:val="100"/>
                <w:position w:val="0"/>
              </w:rPr>
              <w:t>的</w:t>
            </w:r>
            <w:r>
              <w:rPr>
                <w:rFonts w:ascii="Times New Roman" w:eastAsia="Times New Roman" w:hAnsi="Times New Roman" w:cs="Times New Roman"/>
                <w:color w:val="000000"/>
                <w:spacing w:val="0"/>
                <w:w w:val="100"/>
                <w:position w:val="0"/>
              </w:rPr>
              <w:t>4</w:t>
            </w:r>
            <w:r>
              <w:rPr>
                <w:color w:val="000000"/>
                <w:spacing w:val="0"/>
                <w:w w:val="100"/>
                <w:position w:val="0"/>
              </w:rPr>
              <w:t>个遗传性耳聋基因的</w:t>
            </w:r>
            <w:r>
              <w:rPr>
                <w:rFonts w:ascii="Times New Roman" w:eastAsia="Times New Roman" w:hAnsi="Times New Roman" w:cs="Times New Roman"/>
                <w:color w:val="000000"/>
                <w:spacing w:val="0"/>
                <w:w w:val="100"/>
                <w:position w:val="0"/>
              </w:rPr>
              <w:t>20</w:t>
            </w:r>
            <w:r>
              <w:rPr>
                <w:color w:val="000000"/>
                <w:spacing w:val="0"/>
                <w:w w:val="100"/>
                <w:position w:val="0"/>
              </w:rPr>
              <w:t>个位点的突变，检测结果用 于耳聋的辅助诊断，本产品用于构建测序文库。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弓形虫</w:t>
            </w:r>
            <w:r>
              <w:rPr>
                <w:rFonts w:ascii="Times New Roman" w:eastAsia="Times New Roman" w:hAnsi="Times New Roman" w:cs="Times New Roman"/>
                <w:color w:val="000000"/>
                <w:spacing w:val="0"/>
                <w:w w:val="100"/>
                <w:position w:val="0"/>
              </w:rPr>
              <w:t>IgM</w:t>
            </w:r>
            <w:r>
              <w:rPr>
                <w:color w:val="000000"/>
                <w:spacing w:val="0"/>
                <w:w w:val="100"/>
                <w:position w:val="0"/>
              </w:rPr>
              <w:t>抗体检测 试剂盒（酶联免疫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该产品用于体外定性检测人血清或血浆中弓形虫的特异 性</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巨细胞病毒</w:t>
            </w:r>
            <w:r>
              <w:rPr>
                <w:rFonts w:ascii="Times New Roman" w:eastAsia="Times New Roman" w:hAnsi="Times New Roman" w:cs="Times New Roman"/>
                <w:color w:val="000000"/>
                <w:spacing w:val="0"/>
                <w:w w:val="100"/>
                <w:position w:val="0"/>
              </w:rPr>
              <w:t>IgM</w:t>
            </w:r>
            <w:r>
              <w:rPr>
                <w:color w:val="000000"/>
                <w:spacing w:val="0"/>
                <w:w w:val="100"/>
                <w:position w:val="0"/>
              </w:rPr>
              <w:t>抗体 检测试剂盒（酶联免 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本试剂盒用于体外定性检测人血清或血浆中巨细胞病毒 的特异性</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风疹病毒</w:t>
            </w:r>
            <w:r>
              <w:rPr>
                <w:rFonts w:ascii="Times New Roman" w:eastAsia="Times New Roman" w:hAnsi="Times New Roman" w:cs="Times New Roman"/>
                <w:color w:val="000000"/>
                <w:spacing w:val="0"/>
                <w:w w:val="100"/>
                <w:position w:val="0"/>
              </w:rPr>
              <w:t>IgM</w:t>
            </w:r>
            <w:r>
              <w:rPr>
                <w:color w:val="000000"/>
                <w:spacing w:val="0"/>
                <w:w w:val="100"/>
                <w:position w:val="0"/>
              </w:rPr>
              <w:t>抗体检 测试剂盒（酶联免疫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本试剂盒用于体外定性检测人血清或血浆中风疹病毒的 特异性</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单纯疱疹病毒（</w:t>
            </w:r>
            <w:r>
              <w:rPr>
                <w:rFonts w:ascii="Times New Roman" w:eastAsia="Times New Roman" w:hAnsi="Times New Roman" w:cs="Times New Roman"/>
                <w:color w:val="000000"/>
                <w:spacing w:val="0"/>
                <w:w w:val="100"/>
                <w:position w:val="0"/>
              </w:rPr>
              <w:t>I</w:t>
            </w:r>
            <w:r>
              <w:rPr>
                <w:color w:val="000000"/>
                <w:spacing w:val="0"/>
                <w:w w:val="100"/>
                <w:position w:val="0"/>
              </w:rPr>
              <w:t>型）</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IgM</w:t>
            </w:r>
            <w:r>
              <w:rPr>
                <w:color w:val="000000"/>
                <w:spacing w:val="0"/>
                <w:w w:val="100"/>
                <w:position w:val="0"/>
              </w:rPr>
              <w:t>抗体检测试剂盒</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（酶联免疫法）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本试剂盒用于体外定性检测人血清或血浆中的单纯疱疹 病毒（</w:t>
            </w:r>
            <w:r>
              <w:rPr>
                <w:rFonts w:ascii="Times New Roman" w:eastAsia="Times New Roman" w:hAnsi="Times New Roman" w:cs="Times New Roman"/>
                <w:color w:val="000000"/>
                <w:spacing w:val="0"/>
                <w:w w:val="100"/>
                <w:position w:val="0"/>
              </w:rPr>
              <w:t>I</w:t>
            </w:r>
            <w:r>
              <w:rPr>
                <w:color w:val="000000"/>
                <w:spacing w:val="0"/>
                <w:w w:val="100"/>
                <w:position w:val="0"/>
              </w:rPr>
              <w:t>型）</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单纯疱疹病毒</w:t>
            </w:r>
            <w:r>
              <w:rPr>
                <w:color w:val="000000"/>
                <w:spacing w:val="0"/>
                <w:w w:val="100"/>
                <w:position w:val="0"/>
              </w:rPr>
              <w:t>（</w:t>
            </w:r>
            <w:r>
              <w:rPr>
                <w:rFonts w:ascii="Times New Roman" w:eastAsia="Times New Roman" w:hAnsi="Times New Roman" w:cs="Times New Roman"/>
                <w:color w:val="000000"/>
                <w:spacing w:val="0"/>
                <w:w w:val="100"/>
                <w:position w:val="0"/>
              </w:rPr>
              <w:t xml:space="preserve">II </w:t>
            </w:r>
            <w:r>
              <w:rPr>
                <w:color w:val="000000"/>
                <w:spacing w:val="0"/>
                <w:w w:val="100"/>
                <w:position w:val="0"/>
              </w:rPr>
              <w:t>型）</w:t>
            </w:r>
            <w:r>
              <w:rPr>
                <w:rFonts w:ascii="Times New Roman" w:eastAsia="Times New Roman" w:hAnsi="Times New Roman" w:cs="Times New Roman"/>
                <w:color w:val="000000"/>
                <w:spacing w:val="0"/>
                <w:w w:val="100"/>
                <w:position w:val="0"/>
              </w:rPr>
              <w:t>IgM</w:t>
            </w:r>
            <w:r>
              <w:rPr>
                <w:color w:val="000000"/>
                <w:spacing w:val="0"/>
                <w:w w:val="100"/>
                <w:position w:val="0"/>
              </w:rPr>
              <w:t>抗体检测试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本试剂盒用于体外定性检测人血清或血浆中的单纯疱疹 病毒</w:t>
            </w:r>
            <w:r>
              <w:rPr>
                <w:color w:val="000000"/>
                <w:spacing w:val="0"/>
                <w:w w:val="100"/>
                <w:position w:val="0"/>
              </w:rPr>
              <w:t>（</w:t>
            </w:r>
            <w:r>
              <w:rPr>
                <w:rFonts w:ascii="Times New Roman" w:eastAsia="Times New Roman" w:hAnsi="Times New Roman" w:cs="Times New Roman"/>
                <w:color w:val="000000"/>
                <w:spacing w:val="0"/>
                <w:w w:val="100"/>
                <w:position w:val="0"/>
              </w:rPr>
              <w:t>II</w:t>
            </w:r>
            <w:r>
              <w:rPr>
                <w:color w:val="000000"/>
                <w:spacing w:val="0"/>
                <w:w w:val="100"/>
                <w:position w:val="0"/>
              </w:rPr>
              <w:t>型）</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2018/4/16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剂盒（酶联免疫法）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甲型肝炎病毒</w:t>
            </w:r>
            <w:r>
              <w:rPr>
                <w:rFonts w:ascii="Times New Roman" w:eastAsia="Times New Roman" w:hAnsi="Times New Roman" w:cs="Times New Roman"/>
                <w:color w:val="000000"/>
                <w:spacing w:val="0"/>
                <w:w w:val="100"/>
                <w:position w:val="0"/>
              </w:rPr>
              <w:t>IgM</w:t>
            </w:r>
            <w:r>
              <w:rPr>
                <w:color w:val="000000"/>
                <w:spacing w:val="0"/>
                <w:w w:val="100"/>
                <w:position w:val="0"/>
              </w:rPr>
              <w:t>抗 体检测试剂盒（酶联 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本试剂盒可定性检测人血清或血浆中的甲型肝炎病毒 </w:t>
            </w:r>
            <w:r>
              <w:rPr>
                <w:color w:val="000000"/>
                <w:spacing w:val="0"/>
                <w:w w:val="100"/>
                <w:position w:val="0"/>
              </w:rPr>
              <w:t>（</w:t>
            </w:r>
            <w:r>
              <w:rPr>
                <w:rFonts w:ascii="Times New Roman" w:eastAsia="Times New Roman" w:hAnsi="Times New Roman" w:cs="Times New Roman"/>
                <w:color w:val="000000"/>
                <w:spacing w:val="0"/>
                <w:w w:val="100"/>
                <w:position w:val="0"/>
              </w:rPr>
              <w:t>HAV</w:t>
            </w:r>
            <w:r>
              <w:rPr>
                <w:color w:val="000000"/>
                <w:spacing w:val="0"/>
                <w:w w:val="100"/>
                <w:position w:val="0"/>
              </w:rPr>
              <w:t>）</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乙型肝炎病毒</w:t>
            </w:r>
            <w:r>
              <w:rPr>
                <w:rFonts w:ascii="Times New Roman" w:eastAsia="Times New Roman" w:hAnsi="Times New Roman" w:cs="Times New Roman"/>
                <w:color w:val="000000"/>
                <w:spacing w:val="0"/>
                <w:w w:val="100"/>
                <w:position w:val="0"/>
              </w:rPr>
              <w:t>e</w:t>
            </w:r>
            <w:r>
              <w:rPr>
                <w:color w:val="000000"/>
                <w:spacing w:val="0"/>
                <w:w w:val="100"/>
                <w:position w:val="0"/>
              </w:rPr>
              <w:t>抗体 检测试剂盒（酶联免 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本产品用于体外定性检测人血清或血浆中的乙型肝炎病 毒</w:t>
            </w:r>
            <w:r>
              <w:rPr>
                <w:rFonts w:ascii="Times New Roman" w:eastAsia="Times New Roman" w:hAnsi="Times New Roman" w:cs="Times New Roman"/>
                <w:color w:val="000000"/>
                <w:spacing w:val="0"/>
                <w:w w:val="100"/>
                <w:position w:val="0"/>
              </w:rPr>
              <w:t>e</w:t>
            </w:r>
            <w:r>
              <w:rPr>
                <w:color w:val="000000"/>
                <w:spacing w:val="0"/>
                <w:w w:val="100"/>
                <w:position w:val="0"/>
              </w:rPr>
              <w:t>抗体（抗</w:t>
            </w:r>
            <w:r>
              <w:rPr>
                <w:rFonts w:ascii="Times New Roman" w:eastAsia="Times New Roman" w:hAnsi="Times New Roman" w:cs="Times New Roman"/>
                <w:color w:val="000000"/>
                <w:spacing w:val="0"/>
                <w:w w:val="100"/>
                <w:position w:val="0"/>
              </w:rPr>
              <w:t>-HBe</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乙型肝炎病毒</w:t>
            </w:r>
            <w:r>
              <w:rPr>
                <w:rFonts w:ascii="Times New Roman" w:eastAsia="Times New Roman" w:hAnsi="Times New Roman" w:cs="Times New Roman"/>
                <w:color w:val="000000"/>
                <w:spacing w:val="0"/>
                <w:w w:val="100"/>
                <w:position w:val="0"/>
              </w:rPr>
              <w:t>e</w:t>
            </w:r>
            <w:r>
              <w:rPr>
                <w:color w:val="000000"/>
                <w:spacing w:val="0"/>
                <w:w w:val="100"/>
                <w:position w:val="0"/>
              </w:rPr>
              <w:t>抗原 检测试剂盒（酶联免 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本产品用于体外定性检测人血清或血浆中的乙型肝炎病 毒</w:t>
            </w:r>
            <w:r>
              <w:rPr>
                <w:rFonts w:ascii="Times New Roman" w:eastAsia="Times New Roman" w:hAnsi="Times New Roman" w:cs="Times New Roman"/>
                <w:color w:val="000000"/>
                <w:spacing w:val="0"/>
                <w:w w:val="100"/>
                <w:position w:val="0"/>
              </w:rPr>
              <w:t>e</w:t>
            </w:r>
            <w:r>
              <w:rPr>
                <w:color w:val="000000"/>
                <w:spacing w:val="0"/>
                <w:w w:val="100"/>
                <w:position w:val="0"/>
              </w:rPr>
              <w:t>抗原（</w:t>
            </w:r>
            <w:r>
              <w:rPr>
                <w:rFonts w:ascii="Times New Roman" w:eastAsia="Times New Roman" w:hAnsi="Times New Roman" w:cs="Times New Roman"/>
                <w:color w:val="000000"/>
                <w:spacing w:val="0"/>
                <w:w w:val="100"/>
                <w:position w:val="0"/>
              </w:rPr>
              <w:t>HBeAg</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乙型肝炎病毒表面抗 体检测试剂盒（酶联 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本产品用于体外定性检测人血清或血浆中的乙型肝炎病 毒表面抗体（抗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HBs</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乙型肝炎病毒核心抗 体检测试剂盒（酶联 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本产品用于体外定性检测人血清或血浆中的乙型肝炎病 毒核心抗体（抗</w:t>
            </w:r>
            <w:r>
              <w:rPr>
                <w:rFonts w:ascii="Times New Roman" w:eastAsia="Times New Roman" w:hAnsi="Times New Roman" w:cs="Times New Roman"/>
                <w:color w:val="000000"/>
                <w:spacing w:val="0"/>
                <w:w w:val="100"/>
                <w:position w:val="0"/>
              </w:rPr>
              <w:t>-HBc</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戊型肝炎病毒</w:t>
            </w:r>
            <w:r>
              <w:rPr>
                <w:rFonts w:ascii="Times New Roman" w:eastAsia="Times New Roman" w:hAnsi="Times New Roman" w:cs="Times New Roman"/>
                <w:color w:val="000000"/>
                <w:spacing w:val="0"/>
                <w:w w:val="100"/>
                <w:position w:val="0"/>
              </w:rPr>
              <w:t>IgM</w:t>
            </w:r>
            <w:r>
              <w:rPr>
                <w:color w:val="000000"/>
                <w:spacing w:val="0"/>
                <w:w w:val="100"/>
                <w:position w:val="0"/>
              </w:rPr>
              <w:t>抗 体检测试剂盒（酶联 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本试剂盒可定性检测人血清或血浆中的戊型肝炎病毒 </w:t>
            </w:r>
            <w:r>
              <w:rPr>
                <w:color w:val="000000"/>
                <w:spacing w:val="0"/>
                <w:w w:val="100"/>
                <w:position w:val="0"/>
              </w:rPr>
              <w:t>（</w:t>
            </w:r>
            <w:r>
              <w:rPr>
                <w:rFonts w:ascii="Times New Roman" w:eastAsia="Times New Roman" w:hAnsi="Times New Roman" w:cs="Times New Roman"/>
                <w:color w:val="000000"/>
                <w:spacing w:val="0"/>
                <w:w w:val="100"/>
                <w:position w:val="0"/>
              </w:rPr>
              <w:t>HEV</w:t>
            </w:r>
            <w:r>
              <w:rPr>
                <w:color w:val="000000"/>
                <w:spacing w:val="0"/>
                <w:w w:val="100"/>
                <w:position w:val="0"/>
              </w:rPr>
              <w:t>）</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戊型肝炎病毒</w:t>
            </w:r>
            <w:r>
              <w:rPr>
                <w:rFonts w:ascii="Times New Roman" w:eastAsia="Times New Roman" w:hAnsi="Times New Roman" w:cs="Times New Roman"/>
                <w:color w:val="000000"/>
                <w:spacing w:val="0"/>
                <w:w w:val="100"/>
                <w:position w:val="0"/>
              </w:rPr>
              <w:t>IgG</w:t>
            </w:r>
            <w:r>
              <w:rPr>
                <w:color w:val="000000"/>
                <w:spacing w:val="0"/>
                <w:w w:val="100"/>
                <w:position w:val="0"/>
              </w:rPr>
              <w:t>抗 体检测试剂盒（酶联 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本试剂盒可定性检测人血清或血浆中的戊型肝炎病毒 </w:t>
            </w:r>
            <w:r>
              <w:rPr>
                <w:color w:val="000000"/>
                <w:spacing w:val="0"/>
                <w:w w:val="100"/>
                <w:position w:val="0"/>
              </w:rPr>
              <w:t>（</w:t>
            </w:r>
            <w:r>
              <w:rPr>
                <w:rFonts w:ascii="Times New Roman" w:eastAsia="Times New Roman" w:hAnsi="Times New Roman" w:cs="Times New Roman"/>
                <w:color w:val="000000"/>
                <w:spacing w:val="0"/>
                <w:w w:val="100"/>
                <w:position w:val="0"/>
              </w:rPr>
              <w:t>HEV</w:t>
            </w:r>
            <w:r>
              <w:rPr>
                <w:color w:val="000000"/>
                <w:spacing w:val="0"/>
                <w:w w:val="100"/>
                <w:position w:val="0"/>
              </w:rPr>
              <w:t>）</w:t>
            </w:r>
            <w:r>
              <w:rPr>
                <w:rFonts w:ascii="Times New Roman" w:eastAsia="Times New Roman" w:hAnsi="Times New Roman" w:cs="Times New Roman"/>
                <w:color w:val="000000"/>
                <w:spacing w:val="0"/>
                <w:w w:val="100"/>
                <w:position w:val="0"/>
              </w:rPr>
              <w:t>IgG</w:t>
            </w:r>
            <w:r>
              <w:rPr>
                <w:color w:val="000000"/>
                <w:spacing w:val="0"/>
                <w:w w:val="100"/>
                <w:position w:val="0"/>
              </w:rPr>
              <w:t>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登革热病毒</w:t>
            </w:r>
            <w:r>
              <w:rPr>
                <w:rFonts w:ascii="Times New Roman" w:eastAsia="Times New Roman" w:hAnsi="Times New Roman" w:cs="Times New Roman"/>
                <w:color w:val="000000"/>
                <w:spacing w:val="0"/>
                <w:w w:val="100"/>
                <w:position w:val="0"/>
              </w:rPr>
              <w:t>IgG</w:t>
            </w:r>
            <w:r>
              <w:rPr>
                <w:color w:val="000000"/>
                <w:spacing w:val="0"/>
                <w:w w:val="100"/>
                <w:position w:val="0"/>
              </w:rPr>
              <w:t>抗体 检测试剂盒（酶联免 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本试剂盒用于体外定性检测人血清中登革热病毒的特异 性</w:t>
            </w:r>
            <w:r>
              <w:rPr>
                <w:rFonts w:ascii="Times New Roman" w:eastAsia="Times New Roman" w:hAnsi="Times New Roman" w:cs="Times New Roman"/>
                <w:color w:val="000000"/>
                <w:spacing w:val="0"/>
                <w:w w:val="100"/>
                <w:position w:val="0"/>
              </w:rPr>
              <w:t>IgG</w:t>
            </w:r>
            <w:r>
              <w:rPr>
                <w:color w:val="000000"/>
                <w:spacing w:val="0"/>
                <w:w w:val="100"/>
                <w:position w:val="0"/>
              </w:rPr>
              <w:t>抗体。</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20" w:after="0" w:line="240" w:lineRule="auto"/>
              <w:ind w:left="0" w:right="0" w:firstLine="0"/>
              <w:jc w:val="left"/>
            </w:pPr>
            <w:r>
              <w:rPr>
                <w:rFonts w:ascii="Times New Roman" w:eastAsia="Times New Roman" w:hAnsi="Times New Roman" w:cs="Times New Roman"/>
                <w:color w:val="000000"/>
                <w:spacing w:val="0"/>
                <w:w w:val="100"/>
                <w:position w:val="0"/>
              </w:rPr>
              <w:t>2027/8/29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汉坦病毒</w:t>
            </w:r>
            <w:r>
              <w:rPr>
                <w:rFonts w:ascii="Times New Roman" w:eastAsia="Times New Roman" w:hAnsi="Times New Roman" w:cs="Times New Roman"/>
                <w:color w:val="000000"/>
                <w:spacing w:val="0"/>
                <w:w w:val="100"/>
                <w:position w:val="0"/>
              </w:rPr>
              <w:t>IgG</w:t>
            </w:r>
            <w:r>
              <w:rPr>
                <w:color w:val="000000"/>
                <w:spacing w:val="0"/>
                <w:w w:val="100"/>
                <w:position w:val="0"/>
              </w:rPr>
              <w:t>抗体检 测试剂盒（酶联免疫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本试剂盒用于体外定性检测人血清中汉坦病毒的特异性 </w:t>
            </w:r>
            <w:r>
              <w:rPr>
                <w:rFonts w:ascii="Times New Roman" w:eastAsia="Times New Roman" w:hAnsi="Times New Roman" w:cs="Times New Roman"/>
                <w:color w:val="000000"/>
                <w:spacing w:val="0"/>
                <w:w w:val="100"/>
                <w:position w:val="0"/>
              </w:rPr>
              <w:t>IgG</w:t>
            </w:r>
            <w:r>
              <w:rPr>
                <w:color w:val="000000"/>
                <w:spacing w:val="0"/>
                <w:w w:val="100"/>
                <w:position w:val="0"/>
              </w:rPr>
              <w:t>抗体。</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20" w:after="0" w:line="240" w:lineRule="auto"/>
              <w:ind w:left="0" w:right="0" w:firstLine="0"/>
              <w:jc w:val="left"/>
            </w:pPr>
            <w:r>
              <w:rPr>
                <w:rFonts w:ascii="Times New Roman" w:eastAsia="Times New Roman" w:hAnsi="Times New Roman" w:cs="Times New Roman"/>
                <w:color w:val="000000"/>
                <w:spacing w:val="0"/>
                <w:w w:val="100"/>
                <w:position w:val="0"/>
              </w:rPr>
              <w:t>2027/8/29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2021/11/17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8" w:lineRule="exact"/>
              <w:ind w:left="180" w:right="0" w:hanging="180"/>
              <w:jc w:val="left"/>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乙型脑炎病毒</w:t>
            </w:r>
            <w:r>
              <w:rPr>
                <w:rFonts w:ascii="Times New Roman" w:eastAsia="Times New Roman" w:hAnsi="Times New Roman" w:cs="Times New Roman"/>
                <w:color w:val="000000"/>
                <w:spacing w:val="0"/>
                <w:w w:val="100"/>
                <w:position w:val="0"/>
              </w:rPr>
              <w:t>IgM</w:t>
            </w:r>
            <w:r>
              <w:rPr>
                <w:color w:val="000000"/>
                <w:spacing w:val="0"/>
                <w:w w:val="100"/>
                <w:position w:val="0"/>
              </w:rPr>
              <w:t>抗 体检测试剂盒（酶联 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本试剂盒用于体外定性检测人血清中乙型脑炎病毒的特 异性</w:t>
            </w:r>
            <w:r>
              <w:rPr>
                <w:rFonts w:ascii="Times New Roman" w:eastAsia="Times New Roman" w:hAnsi="Times New Roman" w:cs="Times New Roman"/>
                <w:color w:val="000000"/>
                <w:spacing w:val="0"/>
                <w:w w:val="100"/>
                <w:position w:val="0"/>
              </w:rPr>
              <w:t>IgM</w:t>
            </w:r>
            <w:r>
              <w:rPr>
                <w:color w:val="000000"/>
                <w:spacing w:val="0"/>
                <w:w w:val="100"/>
                <w:position w:val="0"/>
              </w:rPr>
              <w:t>抗体。</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20" w:after="0" w:line="240" w:lineRule="auto"/>
              <w:ind w:left="0" w:right="0" w:firstLine="0"/>
              <w:jc w:val="left"/>
            </w:pPr>
            <w:r>
              <w:rPr>
                <w:rFonts w:ascii="Times New Roman" w:eastAsia="Times New Roman" w:hAnsi="Times New Roman" w:cs="Times New Roman"/>
                <w:color w:val="000000"/>
                <w:spacing w:val="0"/>
                <w:w w:val="100"/>
                <w:position w:val="0"/>
              </w:rPr>
              <w:t>2027/8/29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98" w:lineRule="exact"/>
              <w:ind w:left="180" w:right="0" w:hanging="180"/>
              <w:jc w:val="left"/>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EB</w:t>
            </w:r>
            <w:r>
              <w:rPr>
                <w:color w:val="000000"/>
                <w:spacing w:val="0"/>
                <w:w w:val="100"/>
                <w:position w:val="0"/>
              </w:rPr>
              <w:t>病毒衣壳抗原</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VCA</w:t>
            </w:r>
            <w:r>
              <w:rPr>
                <w:color w:val="000000"/>
                <w:spacing w:val="0"/>
                <w:w w:val="100"/>
                <w:position w:val="0"/>
              </w:rPr>
              <w:t>）</w:t>
            </w:r>
            <w:r>
              <w:rPr>
                <w:rFonts w:ascii="Times New Roman" w:eastAsia="Times New Roman" w:hAnsi="Times New Roman" w:cs="Times New Roman"/>
                <w:color w:val="000000"/>
                <w:spacing w:val="0"/>
                <w:w w:val="100"/>
                <w:position w:val="0"/>
              </w:rPr>
              <w:t>IgA</w:t>
            </w:r>
            <w:r>
              <w:rPr>
                <w:color w:val="000000"/>
                <w:spacing w:val="0"/>
                <w:w w:val="100"/>
                <w:position w:val="0"/>
              </w:rPr>
              <w:t>抗体检 测试剂盒（酶联免疫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本试剂盒用于定性检测人血清或血浆中</w:t>
            </w:r>
            <w:r>
              <w:rPr>
                <w:rFonts w:ascii="Times New Roman" w:eastAsia="Times New Roman" w:hAnsi="Times New Roman" w:cs="Times New Roman"/>
                <w:color w:val="000000"/>
                <w:spacing w:val="0"/>
                <w:w w:val="100"/>
                <w:position w:val="0"/>
              </w:rPr>
              <w:t>EBV VCA IgA</w:t>
            </w:r>
            <w:r>
              <w:rPr>
                <w:color w:val="000000"/>
                <w:spacing w:val="0"/>
                <w:w w:val="100"/>
                <w:position w:val="0"/>
              </w:rPr>
              <w:t>抗 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总三碘甲状腺原氨酸 测定试剂盒（化学发 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本试剂盒用于体外定量测定人血清中总三碘甲状腺原氨 酸</w:t>
            </w:r>
            <w:r>
              <w:rPr>
                <w:color w:val="000000"/>
                <w:spacing w:val="0"/>
                <w:w w:val="100"/>
                <w:position w:val="0"/>
              </w:rPr>
              <w:t>（</w:t>
            </w:r>
            <w:r>
              <w:rPr>
                <w:rFonts w:ascii="Times New Roman" w:eastAsia="Times New Roman" w:hAnsi="Times New Roman" w:cs="Times New Roman"/>
                <w:color w:val="000000"/>
                <w:spacing w:val="0"/>
                <w:w w:val="100"/>
                <w:position w:val="0"/>
              </w:rPr>
              <w:t>T3</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游离三碘甲状腺原氨 酸测定试剂盒（化学 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本试剂盒用于体外定量测定人血清中游离三碘甲状腺原 氨酸</w:t>
            </w:r>
            <w:r>
              <w:rPr>
                <w:color w:val="000000"/>
                <w:spacing w:val="0"/>
                <w:w w:val="100"/>
                <w:position w:val="0"/>
              </w:rPr>
              <w:t>（</w:t>
            </w:r>
            <w:r>
              <w:rPr>
                <w:rFonts w:ascii="Times New Roman" w:eastAsia="Times New Roman" w:hAnsi="Times New Roman" w:cs="Times New Roman"/>
                <w:color w:val="000000"/>
                <w:spacing w:val="0"/>
                <w:w w:val="100"/>
                <w:position w:val="0"/>
              </w:rPr>
              <w:t>FT3</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延续注 册</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总甲状腺素测定试剂 盒（化学发光免疫分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本试剂盒用于体外定量测定人血清中甲状腺素</w:t>
            </w:r>
            <w:r>
              <w:rPr>
                <w:color w:val="000000"/>
                <w:spacing w:val="0"/>
                <w:w w:val="100"/>
                <w:position w:val="0"/>
              </w:rPr>
              <w:t>（</w:t>
            </w:r>
            <w:r>
              <w:rPr>
                <w:rFonts w:ascii="Times New Roman" w:eastAsia="Times New Roman" w:hAnsi="Times New Roman" w:cs="Times New Roman"/>
                <w:color w:val="000000"/>
                <w:spacing w:val="0"/>
                <w:w w:val="100"/>
                <w:position w:val="0"/>
              </w:rPr>
              <w:t>T4</w:t>
            </w:r>
            <w:r>
              <w:rPr>
                <w:color w:val="000000"/>
                <w:spacing w:val="0"/>
                <w:w w:val="100"/>
                <w:position w:val="0"/>
              </w:rPr>
              <w:t>）</w:t>
            </w:r>
            <w:r>
              <w:rPr>
                <w:color w:val="000000"/>
                <w:spacing w:val="0"/>
                <w:w w:val="100"/>
                <w:position w:val="0"/>
              </w:rPr>
              <w:t>的 含量。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析法）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游离甲状腺素测定试 剂盒（化学发光免疫 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本试剂盒用于体外定量测定人血清中游离甲状腺素 </w:t>
            </w:r>
            <w:r>
              <w:rPr>
                <w:color w:val="000000"/>
                <w:spacing w:val="0"/>
                <w:w w:val="100"/>
                <w:position w:val="0"/>
              </w:rPr>
              <w:t>（</w:t>
            </w:r>
            <w:r>
              <w:rPr>
                <w:rFonts w:ascii="Times New Roman" w:eastAsia="Times New Roman" w:hAnsi="Times New Roman" w:cs="Times New Roman"/>
                <w:color w:val="000000"/>
                <w:spacing w:val="0"/>
                <w:w w:val="100"/>
                <w:position w:val="0"/>
              </w:rPr>
              <w:t>FT4</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促甲状腺素测定试剂 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本试剂盒用于体外定量测定人血清中促甲状腺素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TSH</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抗甲状腺微粒抗体测 定试剂盒（化学发光 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本试剂盒用于体外定量测定人血清中抗甲状腺微粒抗体 </w:t>
            </w:r>
            <w:r>
              <w:rPr>
                <w:color w:val="000000"/>
                <w:spacing w:val="0"/>
                <w:w w:val="100"/>
                <w:position w:val="0"/>
              </w:rPr>
              <w:t>（</w:t>
            </w:r>
            <w:r>
              <w:rPr>
                <w:rFonts w:ascii="Times New Roman" w:eastAsia="Times New Roman" w:hAnsi="Times New Roman" w:cs="Times New Roman"/>
                <w:color w:val="000000"/>
                <w:spacing w:val="0"/>
                <w:w w:val="100"/>
                <w:position w:val="0"/>
              </w:rPr>
              <w:t>TM-Ab</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抗甲状腺过氧化物酶 抗体测定试剂盒（化 学发光免疫分析法）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本试剂盒用于体外定量测定人血清中抗甲状腺过氧化物 酶抗体（</w:t>
            </w:r>
            <w:r>
              <w:rPr>
                <w:rFonts w:ascii="Times New Roman" w:eastAsia="Times New Roman" w:hAnsi="Times New Roman" w:cs="Times New Roman"/>
                <w:color w:val="000000"/>
                <w:spacing w:val="0"/>
                <w:w w:val="100"/>
                <w:position w:val="0"/>
              </w:rPr>
              <w:t>TPO-Ab</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抗甲状腺球蛋白抗体</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TG-Ab</w:t>
            </w:r>
            <w:r>
              <w:rPr>
                <w:color w:val="000000"/>
                <w:spacing w:val="0"/>
                <w:w w:val="100"/>
                <w:position w:val="0"/>
              </w:rPr>
              <w:t>）测定试剂 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本试剂盒用于体外定量测定人血清中抗甲状腺球蛋白抗 体</w:t>
            </w:r>
            <w:r>
              <w:rPr>
                <w:color w:val="000000"/>
                <w:spacing w:val="0"/>
                <w:w w:val="100"/>
                <w:position w:val="0"/>
              </w:rPr>
              <w:t>（</w:t>
            </w:r>
            <w:r>
              <w:rPr>
                <w:rFonts w:ascii="Times New Roman" w:eastAsia="Times New Roman" w:hAnsi="Times New Roman" w:cs="Times New Roman"/>
                <w:color w:val="000000"/>
                <w:spacing w:val="0"/>
                <w:w w:val="100"/>
                <w:position w:val="0"/>
              </w:rPr>
              <w:t>TG-Ab</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雌二醇测定试剂盒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本试剂盒用于体外定量测定人血清中雌二醇（</w:t>
            </w:r>
            <w:r>
              <w:rPr>
                <w:rFonts w:ascii="Times New Roman" w:eastAsia="Times New Roman" w:hAnsi="Times New Roman" w:cs="Times New Roman"/>
                <w:color w:val="000000"/>
                <w:spacing w:val="0"/>
                <w:w w:val="100"/>
                <w:position w:val="0"/>
              </w:rPr>
              <w:t>£2</w:t>
            </w:r>
            <w:r>
              <w:rPr>
                <w:color w:val="000000"/>
                <w:spacing w:val="0"/>
                <w:w w:val="100"/>
                <w:position w:val="0"/>
              </w:rPr>
              <w:t>）的含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P</w:t>
            </w:r>
            <w:r>
              <w:rPr>
                <w:color w:val="000000"/>
                <w:spacing w:val="0"/>
                <w:w w:val="100"/>
                <w:position w:val="0"/>
              </w:rPr>
              <w:t>绒毛膜促性腺激素 测定试剂盒（化学发 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本试剂盒用于体外定量测定人血清中</w:t>
            </w:r>
            <w:r>
              <w:rPr>
                <w:rFonts w:ascii="Times New Roman" w:eastAsia="Times New Roman" w:hAnsi="Times New Roman" w:cs="Times New Roman"/>
                <w:color w:val="000000"/>
                <w:spacing w:val="0"/>
                <w:w w:val="100"/>
                <w:position w:val="0"/>
              </w:rPr>
              <w:t>P</w:t>
            </w:r>
            <w:r>
              <w:rPr>
                <w:color w:val="000000"/>
                <w:spacing w:val="0"/>
                <w:w w:val="100"/>
                <w:position w:val="0"/>
              </w:rPr>
              <w:t>绒毛膜促性腺激 素</w:t>
            </w:r>
            <w:r>
              <w:rPr>
                <w:color w:val="000000"/>
                <w:spacing w:val="0"/>
                <w:w w:val="100"/>
                <w:position w:val="0"/>
              </w:rPr>
              <w:t>（</w:t>
            </w:r>
            <w:r>
              <w:rPr>
                <w:rFonts w:ascii="Times New Roman" w:eastAsia="Times New Roman" w:hAnsi="Times New Roman" w:cs="Times New Roman"/>
                <w:color w:val="000000"/>
                <w:spacing w:val="0"/>
                <w:w w:val="100"/>
                <w:position w:val="0"/>
              </w:rPr>
              <w:t>P-HCG</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促黄体生成素测定试 剂盒（化学发光免疫 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本试剂盒用于体外定量测定人血清中黄体生成激素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LH</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泌乳素测定试剂盒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本试剂盒用于体外定量测定人血清中泌乳素</w:t>
            </w:r>
            <w:r>
              <w:rPr>
                <w:color w:val="000000"/>
                <w:spacing w:val="0"/>
                <w:w w:val="100"/>
                <w:position w:val="0"/>
              </w:rPr>
              <w:t>（</w:t>
            </w:r>
            <w:r>
              <w:rPr>
                <w:rFonts w:ascii="Times New Roman" w:eastAsia="Times New Roman" w:hAnsi="Times New Roman" w:cs="Times New Roman"/>
                <w:color w:val="000000"/>
                <w:spacing w:val="0"/>
                <w:w w:val="100"/>
                <w:position w:val="0"/>
              </w:rPr>
              <w:t>PRL</w:t>
            </w:r>
            <w:r>
              <w:rPr>
                <w:color w:val="000000"/>
                <w:spacing w:val="0"/>
                <w:w w:val="100"/>
                <w:position w:val="0"/>
              </w:rPr>
              <w:t>）</w:t>
            </w:r>
            <w:r>
              <w:rPr>
                <w:color w:val="000000"/>
                <w:spacing w:val="0"/>
                <w:w w:val="100"/>
                <w:position w:val="0"/>
              </w:rPr>
              <w:t>的 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孕酮测定试剂盒（化 学发光免疫分析法）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本试剂盒用于体外定量测定人血清中孕酮</w:t>
            </w:r>
            <w:r>
              <w:rPr>
                <w:color w:val="000000"/>
                <w:spacing w:val="0"/>
                <w:w w:val="100"/>
                <w:position w:val="0"/>
              </w:rPr>
              <w:t>（</w:t>
            </w:r>
            <w:r>
              <w:rPr>
                <w:rFonts w:ascii="Times New Roman" w:eastAsia="Times New Roman" w:hAnsi="Times New Roman" w:cs="Times New Roman"/>
                <w:color w:val="000000"/>
                <w:spacing w:val="0"/>
                <w:w w:val="100"/>
                <w:position w:val="0"/>
              </w:rPr>
              <w:t>P</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睾酮测定试剂盒（化 学发光免疫分析法）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本试剂盒用于体外定量测定人血清中睾酮</w:t>
            </w:r>
            <w:r>
              <w:rPr>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促卵泡激素测定试剂 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本试剂盒用于体外定量测定人血清中促卵泡激素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FSH</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胰岛素测定试剂盒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本试剂盒用于体外定量测定人血清中胰岛素（</w:t>
            </w:r>
            <w:r>
              <w:rPr>
                <w:rFonts w:ascii="Times New Roman" w:eastAsia="Times New Roman" w:hAnsi="Times New Roman" w:cs="Times New Roman"/>
                <w:color w:val="000000"/>
                <w:spacing w:val="0"/>
                <w:w w:val="100"/>
                <w:position w:val="0"/>
              </w:rPr>
              <w:t>Ins</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肽测定试剂盒（化 学发光免疫分析法）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本试剂盒用于体外定量测定人血清中</w:t>
            </w:r>
            <w:r>
              <w:rPr>
                <w:color w:val="000000"/>
                <w:spacing w:val="0"/>
                <w:w w:val="100"/>
                <w:position w:val="0"/>
              </w:rPr>
              <w:t>。</w:t>
            </w:r>
            <w:r>
              <w:rPr>
                <w:color w:val="000000"/>
                <w:spacing w:val="0"/>
                <w:w w:val="100"/>
                <w:position w:val="0"/>
              </w:rPr>
              <w:t>肽（</w:t>
            </w:r>
            <w:r>
              <w:rPr>
                <w:rFonts w:ascii="Times New Roman" w:eastAsia="Times New Roman" w:hAnsi="Times New Roman" w:cs="Times New Roman"/>
                <w:color w:val="000000"/>
                <w:spacing w:val="0"/>
                <w:w w:val="100"/>
                <w:position w:val="0"/>
              </w:rPr>
              <w:t>C-P</w:t>
            </w:r>
            <w:r>
              <w:rPr>
                <w:color w:val="000000"/>
                <w:spacing w:val="0"/>
                <w:w w:val="100"/>
                <w:position w:val="0"/>
              </w:rPr>
              <w:t>）的含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层粘蛋白测定试剂盒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本试剂盒用于体外定量测定人血清中层粘蛋白</w:t>
            </w:r>
            <w:r>
              <w:rPr>
                <w:color w:val="000000"/>
                <w:spacing w:val="0"/>
                <w:w w:val="100"/>
                <w:position w:val="0"/>
              </w:rPr>
              <w:t>（</w:t>
            </w:r>
            <w:r>
              <w:rPr>
                <w:rFonts w:ascii="Times New Roman" w:eastAsia="Times New Roman" w:hAnsi="Times New Roman" w:cs="Times New Roman"/>
                <w:color w:val="000000"/>
                <w:spacing w:val="0"/>
                <w:w w:val="100"/>
                <w:position w:val="0"/>
              </w:rPr>
              <w:t>LN</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延续注</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（化学发光免疫分析 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的含量。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型前胶原测定试剂 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本试剂盒用于体外定量测定人血清中</w:t>
            </w:r>
            <w:r>
              <w:rPr>
                <w:rFonts w:ascii="Times New Roman" w:eastAsia="Times New Roman" w:hAnsi="Times New Roman" w:cs="Times New Roman"/>
                <w:color w:val="000000"/>
                <w:spacing w:val="0"/>
                <w:w w:val="100"/>
                <w:position w:val="0"/>
              </w:rPr>
              <w:t>III</w:t>
            </w:r>
            <w:r>
              <w:rPr>
                <w:color w:val="000000"/>
                <w:spacing w:val="0"/>
                <w:w w:val="100"/>
                <w:position w:val="0"/>
              </w:rPr>
              <w:t xml:space="preserve">型前胶原 </w:t>
            </w:r>
            <w:r>
              <w:rPr>
                <w:color w:val="000000"/>
                <w:spacing w:val="0"/>
                <w:w w:val="100"/>
                <w:position w:val="0"/>
              </w:rPr>
              <w:t>（</w:t>
            </w:r>
            <w:r>
              <w:rPr>
                <w:rFonts w:ascii="Times New Roman" w:eastAsia="Times New Roman" w:hAnsi="Times New Roman" w:cs="Times New Roman"/>
                <w:color w:val="000000"/>
                <w:spacing w:val="0"/>
                <w:w w:val="100"/>
                <w:position w:val="0"/>
              </w:rPr>
              <w:t>PCII</w:t>
            </w:r>
            <w:r>
              <w:rPr>
                <w:rFonts w:ascii="Times New Roman" w:eastAsia="Times New Roman" w:hAnsi="Times New Roman" w:cs="Times New Roman"/>
                <w:color w:val="000000"/>
                <w:spacing w:val="0"/>
                <w:w w:val="100"/>
                <w:position w:val="0"/>
              </w:rPr>
              <w:t>I</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i/>
                <w:iCs/>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透明质酸测定试剂盒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本试剂盒用于体外定量测定人血清中透明质酸</w:t>
            </w:r>
            <w:r>
              <w:rPr>
                <w:color w:val="000000"/>
                <w:spacing w:val="0"/>
                <w:w w:val="100"/>
                <w:position w:val="0"/>
              </w:rPr>
              <w:t>（</w:t>
            </w:r>
            <w:r>
              <w:rPr>
                <w:rFonts w:ascii="Times New Roman" w:eastAsia="Times New Roman" w:hAnsi="Times New Roman" w:cs="Times New Roman"/>
                <w:color w:val="000000"/>
                <w:spacing w:val="0"/>
                <w:w w:val="100"/>
                <w:position w:val="0"/>
              </w:rPr>
              <w:t>HA</w:t>
            </w:r>
            <w:r>
              <w:rPr>
                <w:color w:val="000000"/>
                <w:spacing w:val="0"/>
                <w:w w:val="100"/>
                <w:position w:val="0"/>
              </w:rPr>
              <w:t xml:space="preserve">） </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IV</w:t>
            </w:r>
            <w:r>
              <w:rPr>
                <w:color w:val="000000"/>
                <w:spacing w:val="0"/>
                <w:w w:val="100"/>
                <w:position w:val="0"/>
              </w:rPr>
              <w:t>型胶原测定试剂盒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本试剂盒用于体外定量测定人血清中</w:t>
            </w:r>
            <w:r>
              <w:rPr>
                <w:rFonts w:ascii="Times New Roman" w:eastAsia="Times New Roman" w:hAnsi="Times New Roman" w:cs="Times New Roman"/>
                <w:color w:val="000000"/>
                <w:spacing w:val="0"/>
                <w:w w:val="100"/>
                <w:position w:val="0"/>
              </w:rPr>
              <w:t>IV</w:t>
            </w:r>
            <w:r>
              <w:rPr>
                <w:color w:val="000000"/>
                <w:spacing w:val="0"/>
                <w:w w:val="100"/>
                <w:position w:val="0"/>
              </w:rPr>
              <w:t>型胶原（</w:t>
            </w:r>
            <w:r>
              <w:rPr>
                <w:rFonts w:ascii="Times New Roman" w:eastAsia="Times New Roman" w:hAnsi="Times New Roman" w:cs="Times New Roman"/>
                <w:color w:val="000000"/>
                <w:spacing w:val="0"/>
                <w:w w:val="100"/>
                <w:position w:val="0"/>
              </w:rPr>
              <w:t>C-IV</w:t>
            </w:r>
            <w:r>
              <w:rPr>
                <w:color w:val="000000"/>
                <w:spacing w:val="0"/>
                <w:w w:val="100"/>
                <w:position w:val="0"/>
              </w:rPr>
              <w:t xml:space="preserve">） </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i/>
                <w:iCs/>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242</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CA242</w:t>
            </w:r>
            <w:r>
              <w:rPr>
                <w:color w:val="000000"/>
                <w:spacing w:val="0"/>
                <w:w w:val="100"/>
                <w:position w:val="0"/>
              </w:rPr>
              <w:t>）测定试剂 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本试剂盒用于体外定量检测人血清或血浆中糖类抗原 </w:t>
            </w:r>
            <w:r>
              <w:rPr>
                <w:rFonts w:ascii="Times New Roman" w:eastAsia="Times New Roman" w:hAnsi="Times New Roman" w:cs="Times New Roman"/>
                <w:color w:val="000000"/>
                <w:spacing w:val="0"/>
                <w:w w:val="100"/>
                <w:position w:val="0"/>
              </w:rPr>
              <w:t>242</w:t>
            </w:r>
            <w:r>
              <w:rPr>
                <w:color w:val="000000"/>
                <w:spacing w:val="0"/>
                <w:w w:val="100"/>
                <w:position w:val="0"/>
              </w:rPr>
              <w:t>（</w:t>
            </w:r>
            <w:r>
              <w:rPr>
                <w:rFonts w:ascii="Times New Roman" w:eastAsia="Times New Roman" w:hAnsi="Times New Roman" w:cs="Times New Roman"/>
                <w:color w:val="000000"/>
                <w:spacing w:val="0"/>
                <w:w w:val="100"/>
                <w:position w:val="0"/>
              </w:rPr>
              <w:t>CA242</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i/>
                <w:iCs/>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人生长激素（</w:t>
            </w:r>
            <w:r>
              <w:rPr>
                <w:rFonts w:ascii="Times New Roman" w:eastAsia="Times New Roman" w:hAnsi="Times New Roman" w:cs="Times New Roman"/>
                <w:color w:val="000000"/>
                <w:spacing w:val="0"/>
                <w:w w:val="100"/>
                <w:position w:val="0"/>
              </w:rPr>
              <w:t>hGH</w:t>
            </w:r>
            <w:r>
              <w:rPr>
                <w:color w:val="000000"/>
                <w:spacing w:val="0"/>
                <w:w w:val="100"/>
                <w:position w:val="0"/>
              </w:rPr>
              <w:t xml:space="preserve">） </w:t>
            </w:r>
            <w:r>
              <w:rPr>
                <w:color w:val="000000"/>
                <w:spacing w:val="0"/>
                <w:w w:val="100"/>
                <w:position w:val="0"/>
              </w:rPr>
              <w:t>测定试剂盒（化学发 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本试剂盒用于体外定量检测人血清或血浆中人生长激素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hGH</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i/>
                <w:iCs/>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125</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CA125</w:t>
            </w:r>
            <w:r>
              <w:rPr>
                <w:color w:val="000000"/>
                <w:spacing w:val="0"/>
                <w:w w:val="100"/>
                <w:position w:val="0"/>
              </w:rPr>
              <w:t>）测定试剂 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本试剂盒用于体外定量检测人血清或血浆中糖类抗原 </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CA125</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人附睾蛋白</w:t>
            </w:r>
            <w:r>
              <w:rPr>
                <w:rFonts w:ascii="Times New Roman" w:eastAsia="Times New Roman" w:hAnsi="Times New Roman" w:cs="Times New Roman"/>
                <w:color w:val="000000"/>
                <w:spacing w:val="0"/>
                <w:w w:val="100"/>
                <w:position w:val="0"/>
              </w:rPr>
              <w:t>4（HE-4）</w:t>
            </w:r>
            <w:r>
              <w:rPr>
                <w:color w:val="000000"/>
                <w:spacing w:val="0"/>
                <w:w w:val="100"/>
                <w:position w:val="0"/>
              </w:rPr>
              <w:t>测 定试剂盒（化学发光 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该产品用于体外定量检测人血清或血浆中人附睾蛋白</w:t>
            </w:r>
            <w:r>
              <w:rPr>
                <w:rFonts w:ascii="Times New Roman" w:eastAsia="Times New Roman" w:hAnsi="Times New Roman" w:cs="Times New Roman"/>
                <w:color w:val="000000"/>
                <w:spacing w:val="0"/>
                <w:w w:val="100"/>
                <w:position w:val="0"/>
              </w:rPr>
              <w:t xml:space="preserve">4 </w:t>
            </w:r>
            <w:r>
              <w:rPr>
                <w:color w:val="000000"/>
                <w:spacing w:val="0"/>
                <w:w w:val="100"/>
                <w:position w:val="0"/>
              </w:rPr>
              <w:t>（</w:t>
            </w:r>
            <w:r>
              <w:rPr>
                <w:rFonts w:ascii="Times New Roman" w:eastAsia="Times New Roman" w:hAnsi="Times New Roman" w:cs="Times New Roman"/>
                <w:color w:val="000000"/>
                <w:spacing w:val="0"/>
                <w:w w:val="100"/>
                <w:position w:val="0"/>
              </w:rPr>
              <w:t>HE-4</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19-9</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CA19-9</w:t>
            </w:r>
            <w:r>
              <w:rPr>
                <w:color w:val="000000"/>
                <w:spacing w:val="0"/>
                <w:w w:val="100"/>
                <w:position w:val="0"/>
              </w:rPr>
              <w:t>）测定试剂 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该产品用于体外定量检测人血清或血浆中糖类抗原</w:t>
            </w:r>
            <w:r>
              <w:rPr>
                <w:rFonts w:ascii="Times New Roman" w:eastAsia="Times New Roman" w:hAnsi="Times New Roman" w:cs="Times New Roman"/>
                <w:color w:val="000000"/>
                <w:spacing w:val="0"/>
                <w:w w:val="100"/>
                <w:position w:val="0"/>
              </w:rPr>
              <w:t xml:space="preserve">19-9 </w:t>
            </w:r>
            <w:r>
              <w:rPr>
                <w:color w:val="000000"/>
                <w:spacing w:val="0"/>
                <w:w w:val="100"/>
                <w:position w:val="0"/>
              </w:rPr>
              <w:t>（</w:t>
            </w:r>
            <w:r>
              <w:rPr>
                <w:rFonts w:ascii="Times New Roman" w:eastAsia="Times New Roman" w:hAnsi="Times New Roman" w:cs="Times New Roman"/>
                <w:color w:val="000000"/>
                <w:spacing w:val="0"/>
                <w:w w:val="100"/>
                <w:position w:val="0"/>
              </w:rPr>
              <w:t>CA19-9</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15-3</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CA15-3</w:t>
            </w:r>
            <w:r>
              <w:rPr>
                <w:color w:val="000000"/>
                <w:spacing w:val="0"/>
                <w:w w:val="100"/>
                <w:position w:val="0"/>
              </w:rPr>
              <w:t>）测定试剂</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该产品用于体外定量检测人血清或血浆中糖类抗原</w:t>
            </w:r>
            <w:r>
              <w:rPr>
                <w:rFonts w:ascii="Times New Roman" w:eastAsia="Times New Roman" w:hAnsi="Times New Roman" w:cs="Times New Roman"/>
                <w:color w:val="000000"/>
                <w:spacing w:val="0"/>
                <w:w w:val="100"/>
                <w:position w:val="0"/>
              </w:rPr>
              <w:t xml:space="preserve">15-3 </w:t>
            </w:r>
            <w:r>
              <w:rPr>
                <w:color w:val="000000"/>
                <w:spacing w:val="0"/>
                <w:w w:val="100"/>
                <w:position w:val="0"/>
              </w:rPr>
              <w:t>（</w:t>
            </w:r>
            <w:r>
              <w:rPr>
                <w:rFonts w:ascii="Times New Roman" w:eastAsia="Times New Roman" w:hAnsi="Times New Roman" w:cs="Times New Roman"/>
                <w:color w:val="000000"/>
                <w:spacing w:val="0"/>
                <w:w w:val="100"/>
                <w:position w:val="0"/>
              </w:rPr>
              <w:t>CA15-3</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50</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CA50</w:t>
            </w:r>
            <w:r>
              <w:rPr>
                <w:color w:val="000000"/>
                <w:spacing w:val="0"/>
                <w:w w:val="100"/>
                <w:position w:val="0"/>
              </w:rPr>
              <w:t>）测定试剂 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该产品用于体外定量检测人血清或血浆中糖类抗原</w:t>
            </w:r>
            <w:r>
              <w:rPr>
                <w:rFonts w:ascii="Times New Roman" w:eastAsia="Times New Roman" w:hAnsi="Times New Roman" w:cs="Times New Roman"/>
                <w:color w:val="000000"/>
                <w:spacing w:val="0"/>
                <w:w w:val="100"/>
                <w:position w:val="0"/>
              </w:rPr>
              <w:t xml:space="preserve">50 </w:t>
            </w:r>
            <w:r>
              <w:rPr>
                <w:color w:val="000000"/>
                <w:spacing w:val="0"/>
                <w:w w:val="100"/>
                <w:position w:val="0"/>
              </w:rPr>
              <w:t>（</w:t>
            </w:r>
            <w:r>
              <w:rPr>
                <w:rFonts w:ascii="Times New Roman" w:eastAsia="Times New Roman" w:hAnsi="Times New Roman" w:cs="Times New Roman"/>
                <w:color w:val="000000"/>
                <w:spacing w:val="0"/>
                <w:w w:val="100"/>
                <w:position w:val="0"/>
              </w:rPr>
              <w:t>CA50</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甲胎蛋白（</w:t>
            </w:r>
            <w:r>
              <w:rPr>
                <w:rFonts w:ascii="Times New Roman" w:eastAsia="Times New Roman" w:hAnsi="Times New Roman" w:cs="Times New Roman"/>
                <w:color w:val="000000"/>
                <w:spacing w:val="0"/>
                <w:w w:val="100"/>
                <w:position w:val="0"/>
              </w:rPr>
              <w:t>AFP</w:t>
            </w:r>
            <w:r>
              <w:rPr>
                <w:color w:val="000000"/>
                <w:spacing w:val="0"/>
                <w:w w:val="100"/>
                <w:position w:val="0"/>
              </w:rPr>
              <w:t>）</w:t>
            </w:r>
            <w:r>
              <w:rPr>
                <w:color w:val="000000"/>
                <w:spacing w:val="0"/>
                <w:w w:val="100"/>
                <w:position w:val="0"/>
              </w:rPr>
              <w:t>测 定试剂盒（化学发光 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该产品用于体外定量检测人血清或血浆中甲胎蛋白 </w:t>
            </w:r>
            <w:r>
              <w:rPr>
                <w:color w:val="000000"/>
                <w:spacing w:val="0"/>
                <w:w w:val="100"/>
                <w:position w:val="0"/>
              </w:rPr>
              <w:t>（</w:t>
            </w:r>
            <w:r>
              <w:rPr>
                <w:rFonts w:ascii="Times New Roman" w:eastAsia="Times New Roman" w:hAnsi="Times New Roman" w:cs="Times New Roman"/>
                <w:color w:val="000000"/>
                <w:spacing w:val="0"/>
                <w:w w:val="100"/>
                <w:position w:val="0"/>
              </w:rPr>
              <w:t>AFP</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神经元特异性烯醇化 酶</w:t>
            </w:r>
            <w:r>
              <w:rPr>
                <w:color w:val="000000"/>
                <w:spacing w:val="0"/>
                <w:w w:val="100"/>
                <w:position w:val="0"/>
              </w:rPr>
              <w:t>（</w:t>
            </w:r>
            <w:r>
              <w:rPr>
                <w:rFonts w:ascii="Times New Roman" w:eastAsia="Times New Roman" w:hAnsi="Times New Roman" w:cs="Times New Roman"/>
                <w:color w:val="000000"/>
                <w:spacing w:val="0"/>
                <w:w w:val="100"/>
                <w:position w:val="0"/>
              </w:rPr>
              <w:t>NSE</w:t>
            </w:r>
            <w:r>
              <w:rPr>
                <w:color w:val="000000"/>
                <w:spacing w:val="0"/>
                <w:w w:val="100"/>
                <w:position w:val="0"/>
              </w:rPr>
              <w:t>）</w:t>
            </w:r>
            <w:r>
              <w:rPr>
                <w:color w:val="000000"/>
                <w:spacing w:val="0"/>
                <w:w w:val="100"/>
                <w:position w:val="0"/>
              </w:rPr>
              <w:t>测定试剂 盒（化学发光免疫分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该产品用于体外定量检测人血清或血浆中神经元特异性 烯醇化酶</w:t>
            </w:r>
            <w:r>
              <w:rPr>
                <w:color w:val="000000"/>
                <w:spacing w:val="0"/>
                <w:w w:val="100"/>
                <w:position w:val="0"/>
              </w:rPr>
              <w:t>（</w:t>
            </w:r>
            <w:r>
              <w:rPr>
                <w:rFonts w:ascii="Times New Roman" w:eastAsia="Times New Roman" w:hAnsi="Times New Roman" w:cs="Times New Roman"/>
                <w:color w:val="000000"/>
                <w:spacing w:val="0"/>
                <w:w w:val="100"/>
                <w:position w:val="0"/>
              </w:rPr>
              <w:t>NSE</w:t>
            </w:r>
            <w:r>
              <w:rPr>
                <w:color w:val="000000"/>
                <w:spacing w:val="0"/>
                <w:w w:val="100"/>
                <w:position w:val="0"/>
              </w:rPr>
              <w:t>）</w:t>
            </w:r>
            <w:r>
              <w:rPr>
                <w:color w:val="000000"/>
                <w:spacing w:val="0"/>
                <w:w w:val="100"/>
                <w:position w:val="0"/>
              </w:rPr>
              <w:t>的含量。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析法）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游离前列腺特异性抗 原</w:t>
            </w:r>
            <w:r>
              <w:rPr>
                <w:color w:val="000000"/>
                <w:spacing w:val="0"/>
                <w:w w:val="100"/>
                <w:position w:val="0"/>
              </w:rPr>
              <w:t>（</w:t>
            </w:r>
            <w:r>
              <w:rPr>
                <w:rFonts w:ascii="Times New Roman" w:eastAsia="Times New Roman" w:hAnsi="Times New Roman" w:cs="Times New Roman"/>
                <w:color w:val="000000"/>
                <w:spacing w:val="0"/>
                <w:w w:val="100"/>
                <w:position w:val="0"/>
              </w:rPr>
              <w:t>F-PSA</w:t>
            </w:r>
            <w:r>
              <w:rPr>
                <w:color w:val="000000"/>
                <w:spacing w:val="0"/>
                <w:w w:val="100"/>
                <w:position w:val="0"/>
              </w:rPr>
              <w:t>）</w:t>
            </w:r>
            <w:r>
              <w:rPr>
                <w:color w:val="000000"/>
                <w:spacing w:val="0"/>
                <w:w w:val="100"/>
                <w:position w:val="0"/>
              </w:rPr>
              <w:t>测定试 剂盒（化学发光免疫 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本试剂盒用于体外定量检测人血清或血浆中游离前列腺 特异性抗原</w:t>
            </w:r>
            <w:r>
              <w:rPr>
                <w:color w:val="000000"/>
                <w:spacing w:val="0"/>
                <w:w w:val="100"/>
                <w:position w:val="0"/>
              </w:rPr>
              <w:t>（</w:t>
            </w:r>
            <w:r>
              <w:rPr>
                <w:rFonts w:ascii="Times New Roman" w:eastAsia="Times New Roman" w:hAnsi="Times New Roman" w:cs="Times New Roman"/>
                <w:color w:val="000000"/>
                <w:spacing w:val="0"/>
                <w:w w:val="100"/>
                <w:position w:val="0"/>
              </w:rPr>
              <w:t>F-PSA</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细胞角蛋白</w:t>
            </w:r>
            <w:r>
              <w:rPr>
                <w:rFonts w:ascii="Times New Roman" w:eastAsia="Times New Roman" w:hAnsi="Times New Roman" w:cs="Times New Roman"/>
                <w:color w:val="000000"/>
                <w:spacing w:val="0"/>
                <w:w w:val="100"/>
                <w:position w:val="0"/>
              </w:rPr>
              <w:t>19</w:t>
            </w:r>
            <w:r>
              <w:rPr>
                <w:color w:val="000000"/>
                <w:spacing w:val="0"/>
                <w:w w:val="100"/>
                <w:position w:val="0"/>
              </w:rPr>
              <w:t xml:space="preserve">片段 </w:t>
            </w:r>
            <w:r>
              <w:rPr>
                <w:color w:val="000000"/>
                <w:spacing w:val="0"/>
                <w:w w:val="100"/>
                <w:position w:val="0"/>
              </w:rPr>
              <w:t>（</w:t>
            </w:r>
            <w:r>
              <w:rPr>
                <w:rFonts w:ascii="Times New Roman" w:eastAsia="Times New Roman" w:hAnsi="Times New Roman" w:cs="Times New Roman"/>
                <w:color w:val="000000"/>
                <w:spacing w:val="0"/>
                <w:w w:val="100"/>
                <w:position w:val="0"/>
              </w:rPr>
              <w:t>CYFRA21-1）</w:t>
            </w:r>
            <w:r>
              <w:rPr>
                <w:color w:val="000000"/>
                <w:spacing w:val="0"/>
                <w:w w:val="100"/>
                <w:position w:val="0"/>
              </w:rPr>
              <w:t>测定</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试剂盒（化学发光免 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本试剂盒用于体外定量检测人血清或血浆中细胞角蛋白 </w:t>
            </w:r>
            <w:r>
              <w:rPr>
                <w:rFonts w:ascii="Times New Roman" w:eastAsia="Times New Roman" w:hAnsi="Times New Roman" w:cs="Times New Roman"/>
                <w:color w:val="000000"/>
                <w:spacing w:val="0"/>
                <w:w w:val="100"/>
                <w:position w:val="0"/>
              </w:rPr>
              <w:t>19</w:t>
            </w:r>
            <w:r>
              <w:rPr>
                <w:color w:val="000000"/>
                <w:spacing w:val="0"/>
                <w:w w:val="100"/>
                <w:position w:val="0"/>
              </w:rPr>
              <w:t>片段</w:t>
            </w:r>
            <w:r>
              <w:rPr>
                <w:color w:val="000000"/>
                <w:spacing w:val="0"/>
                <w:w w:val="100"/>
                <w:position w:val="0"/>
              </w:rPr>
              <w:t>（</w:t>
            </w:r>
            <w:r>
              <w:rPr>
                <w:rFonts w:ascii="Times New Roman" w:eastAsia="Times New Roman" w:hAnsi="Times New Roman" w:cs="Times New Roman"/>
                <w:color w:val="000000"/>
                <w:spacing w:val="0"/>
                <w:w w:val="100"/>
                <w:position w:val="0"/>
              </w:rPr>
              <w:t>CYFRA21-1</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阳-微球蛋白（</w:t>
            </w:r>
            <w:r>
              <w:rPr>
                <w:rFonts w:ascii="Times New Roman" w:eastAsia="Times New Roman" w:hAnsi="Times New Roman" w:cs="Times New Roman"/>
                <w:color w:val="000000"/>
                <w:spacing w:val="0"/>
                <w:w w:val="100"/>
                <w:position w:val="0"/>
              </w:rPr>
              <w:t>P2</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MG</w:t>
            </w:r>
            <w:r>
              <w:rPr>
                <w:color w:val="000000"/>
                <w:spacing w:val="0"/>
                <w:w w:val="100"/>
                <w:position w:val="0"/>
              </w:rPr>
              <w:t>）</w:t>
            </w:r>
            <w:r>
              <w:rPr>
                <w:color w:val="000000"/>
                <w:spacing w:val="0"/>
                <w:w w:val="100"/>
                <w:position w:val="0"/>
              </w:rPr>
              <w:t>测定试剂盒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该产品用于体外定量检测人血清或血浆中阳-微球蛋白 叩</w:t>
            </w:r>
            <w:r>
              <w:rPr>
                <w:rFonts w:ascii="Times New Roman" w:eastAsia="Times New Roman" w:hAnsi="Times New Roman" w:cs="Times New Roman"/>
                <w:color w:val="000000"/>
                <w:spacing w:val="0"/>
                <w:w w:val="100"/>
                <w:position w:val="0"/>
              </w:rPr>
              <w:t>2-MG</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糖类抗原</w:t>
            </w:r>
            <w:r>
              <w:rPr>
                <w:rFonts w:ascii="Times New Roman" w:eastAsia="Times New Roman" w:hAnsi="Times New Roman" w:cs="Times New Roman"/>
                <w:color w:val="000000"/>
                <w:spacing w:val="0"/>
                <w:w w:val="100"/>
                <w:position w:val="0"/>
              </w:rPr>
              <w:t>72-4</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CA72-4</w:t>
            </w:r>
            <w:r>
              <w:rPr>
                <w:color w:val="000000"/>
                <w:spacing w:val="0"/>
                <w:w w:val="100"/>
                <w:position w:val="0"/>
              </w:rPr>
              <w:t>）</w:t>
            </w:r>
            <w:r>
              <w:rPr>
                <w:color w:val="000000"/>
                <w:spacing w:val="0"/>
                <w:w w:val="100"/>
                <w:position w:val="0"/>
              </w:rPr>
              <w:t>测定试剂</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该产品用于体外定量检测人血清或血浆中糖类抗原</w:t>
            </w:r>
            <w:r>
              <w:rPr>
                <w:rFonts w:ascii="Times New Roman" w:eastAsia="Times New Roman" w:hAnsi="Times New Roman" w:cs="Times New Roman"/>
                <w:color w:val="000000"/>
                <w:spacing w:val="0"/>
                <w:w w:val="100"/>
                <w:position w:val="0"/>
              </w:rPr>
              <w:t xml:space="preserve">72-4 </w:t>
            </w:r>
            <w:r>
              <w:rPr>
                <w:color w:val="000000"/>
                <w:spacing w:val="0"/>
                <w:w w:val="100"/>
                <w:position w:val="0"/>
              </w:rPr>
              <w:t>（</w:t>
            </w:r>
            <w:r>
              <w:rPr>
                <w:rFonts w:ascii="Times New Roman" w:eastAsia="Times New Roman" w:hAnsi="Times New Roman" w:cs="Times New Roman"/>
                <w:color w:val="000000"/>
                <w:spacing w:val="0"/>
                <w:w w:val="100"/>
                <w:position w:val="0"/>
              </w:rPr>
              <w:t>CA72-4</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铁蛋白</w:t>
            </w:r>
            <w:r>
              <w:rPr>
                <w:color w:val="000000"/>
                <w:spacing w:val="0"/>
                <w:w w:val="100"/>
                <w:position w:val="0"/>
              </w:rPr>
              <w:t>（</w:t>
            </w:r>
            <w:r>
              <w:rPr>
                <w:rFonts w:ascii="Times New Roman" w:eastAsia="Times New Roman" w:hAnsi="Times New Roman" w:cs="Times New Roman"/>
                <w:color w:val="000000"/>
                <w:spacing w:val="0"/>
                <w:w w:val="100"/>
                <w:position w:val="0"/>
              </w:rPr>
              <w:t>Ferr</w:t>
            </w:r>
            <w:r>
              <w:rPr>
                <w:color w:val="000000"/>
                <w:spacing w:val="0"/>
                <w:w w:val="100"/>
                <w:position w:val="0"/>
              </w:rPr>
              <w:t>）测定 试剂盒（化学发光免 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该产品用于体外定量检测人血清或血浆中铁蛋白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Ferr</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鳞状细胞癌抗原</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SC C</w:t>
            </w:r>
            <w:r>
              <w:rPr>
                <w:color w:val="000000"/>
                <w:spacing w:val="0"/>
                <w:w w:val="100"/>
                <w:position w:val="0"/>
              </w:rPr>
              <w:t>）</w:t>
            </w:r>
            <w:r>
              <w:rPr>
                <w:color w:val="000000"/>
                <w:spacing w:val="0"/>
                <w:w w:val="100"/>
                <w:position w:val="0"/>
              </w:rPr>
              <w:t>测定试剂盒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该产品用于体外定量检测人血清或血浆中鳞状细胞癌抗 原</w:t>
            </w:r>
            <w:r>
              <w:rPr>
                <w:color w:val="000000"/>
                <w:spacing w:val="0"/>
                <w:w w:val="100"/>
                <w:position w:val="0"/>
              </w:rPr>
              <w:t>（</w:t>
            </w:r>
            <w:r>
              <w:rPr>
                <w:rFonts w:ascii="Times New Roman" w:eastAsia="Times New Roman" w:hAnsi="Times New Roman" w:cs="Times New Roman"/>
                <w:color w:val="000000"/>
                <w:spacing w:val="0"/>
                <w:w w:val="100"/>
                <w:position w:val="0"/>
              </w:rPr>
              <w:t>SCC</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癌胚抗原</w:t>
            </w:r>
            <w:r>
              <w:rPr>
                <w:color w:val="000000"/>
                <w:spacing w:val="0"/>
                <w:w w:val="100"/>
                <w:position w:val="0"/>
              </w:rPr>
              <w:t>（</w:t>
            </w:r>
            <w:r>
              <w:rPr>
                <w:rFonts w:ascii="Times New Roman" w:eastAsia="Times New Roman" w:hAnsi="Times New Roman" w:cs="Times New Roman"/>
                <w:color w:val="000000"/>
                <w:spacing w:val="0"/>
                <w:w w:val="100"/>
                <w:position w:val="0"/>
              </w:rPr>
              <w:t>CEA</w:t>
            </w:r>
            <w:r>
              <w:rPr>
                <w:color w:val="000000"/>
                <w:spacing w:val="0"/>
                <w:w w:val="100"/>
                <w:position w:val="0"/>
              </w:rPr>
              <w:t>）</w:t>
            </w:r>
            <w:r>
              <w:rPr>
                <w:color w:val="000000"/>
                <w:spacing w:val="0"/>
                <w:w w:val="100"/>
                <w:position w:val="0"/>
              </w:rPr>
              <w:t>测 定试剂盒（化学发光 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用于体外定量检测人血清或血浆中癌胚抗原</w:t>
            </w:r>
            <w:r>
              <w:rPr>
                <w:color w:val="000000"/>
                <w:spacing w:val="0"/>
                <w:w w:val="100"/>
                <w:position w:val="0"/>
              </w:rPr>
              <w:t>（</w:t>
            </w:r>
            <w:r>
              <w:rPr>
                <w:rFonts w:ascii="Times New Roman" w:eastAsia="Times New Roman" w:hAnsi="Times New Roman" w:cs="Times New Roman"/>
                <w:color w:val="000000"/>
                <w:spacing w:val="0"/>
                <w:w w:val="100"/>
                <w:position w:val="0"/>
              </w:rPr>
              <w:t>CEA</w:t>
            </w:r>
            <w:r>
              <w:rPr>
                <w:color w:val="000000"/>
                <w:spacing w:val="0"/>
                <w:w w:val="100"/>
                <w:position w:val="0"/>
              </w:rPr>
              <w:t>）</w:t>
            </w:r>
            <w:r>
              <w:rPr>
                <w:color w:val="000000"/>
                <w:spacing w:val="0"/>
                <w:w w:val="100"/>
                <w:position w:val="0"/>
              </w:rPr>
              <w:t>的 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前列腺特异性抗原</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PSA</w:t>
            </w:r>
            <w:r>
              <w:rPr>
                <w:color w:val="000000"/>
                <w:spacing w:val="0"/>
                <w:w w:val="100"/>
                <w:position w:val="0"/>
              </w:rPr>
              <w:t>）测定试剂盒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用于体外定量检测人血清或血浆中前列腺特异性抗原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PSA</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六项肿瘤标志物测定 试剂盒（微阵列酶联 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该产品用于体外定量检测人血清或</w:t>
            </w:r>
            <w:r>
              <w:rPr>
                <w:rFonts w:ascii="Times New Roman" w:eastAsia="Times New Roman" w:hAnsi="Times New Roman" w:cs="Times New Roman"/>
                <w:color w:val="000000"/>
                <w:spacing w:val="0"/>
                <w:w w:val="100"/>
                <w:position w:val="0"/>
              </w:rPr>
              <w:t>/</w:t>
            </w:r>
            <w:r>
              <w:rPr>
                <w:color w:val="000000"/>
                <w:spacing w:val="0"/>
                <w:w w:val="100"/>
                <w:position w:val="0"/>
              </w:rPr>
              <w:t>和血浆中六项肿瘤标 志物（</w:t>
            </w:r>
            <w:r>
              <w:rPr>
                <w:rFonts w:ascii="Times New Roman" w:eastAsia="Times New Roman" w:hAnsi="Times New Roman" w:cs="Times New Roman"/>
                <w:color w:val="000000"/>
                <w:spacing w:val="0"/>
                <w:w w:val="100"/>
                <w:position w:val="0"/>
              </w:rPr>
              <w:t>AFP</w:t>
            </w:r>
            <w:r>
              <w:rPr>
                <w:color w:val="000000"/>
                <w:spacing w:val="0"/>
                <w:w w:val="100"/>
                <w:position w:val="0"/>
              </w:rPr>
              <w:t>、</w:t>
            </w:r>
            <w:r>
              <w:rPr>
                <w:rFonts w:ascii="Times New Roman" w:eastAsia="Times New Roman" w:hAnsi="Times New Roman" w:cs="Times New Roman"/>
                <w:color w:val="000000"/>
                <w:spacing w:val="0"/>
                <w:w w:val="100"/>
                <w:position w:val="0"/>
              </w:rPr>
              <w:t>CEA</w:t>
            </w:r>
            <w:r>
              <w:rPr>
                <w:color w:val="000000"/>
                <w:spacing w:val="0"/>
                <w:w w:val="100"/>
                <w:position w:val="0"/>
              </w:rPr>
              <w:t>、</w:t>
            </w:r>
            <w:r>
              <w:rPr>
                <w:rFonts w:ascii="Times New Roman" w:eastAsia="Times New Roman" w:hAnsi="Times New Roman" w:cs="Times New Roman"/>
                <w:color w:val="000000"/>
                <w:spacing w:val="0"/>
                <w:w w:val="100"/>
                <w:position w:val="0"/>
              </w:rPr>
              <w:t>PSA</w:t>
            </w:r>
            <w:r>
              <w:rPr>
                <w:color w:val="000000"/>
                <w:spacing w:val="0"/>
                <w:w w:val="100"/>
                <w:position w:val="0"/>
              </w:rPr>
              <w:t>、</w:t>
            </w:r>
            <w:r>
              <w:rPr>
                <w:rFonts w:ascii="Times New Roman" w:eastAsia="Times New Roman" w:hAnsi="Times New Roman" w:cs="Times New Roman"/>
                <w:color w:val="000000"/>
                <w:spacing w:val="0"/>
                <w:w w:val="100"/>
                <w:position w:val="0"/>
              </w:rPr>
              <w:t>CA125</w:t>
            </w:r>
            <w:r>
              <w:rPr>
                <w:color w:val="000000"/>
                <w:spacing w:val="0"/>
                <w:w w:val="100"/>
                <w:position w:val="0"/>
              </w:rPr>
              <w:t>、</w:t>
            </w:r>
            <w:r>
              <w:rPr>
                <w:rFonts w:ascii="Times New Roman" w:eastAsia="Times New Roman" w:hAnsi="Times New Roman" w:cs="Times New Roman"/>
                <w:color w:val="000000"/>
                <w:spacing w:val="0"/>
                <w:w w:val="100"/>
                <w:position w:val="0"/>
              </w:rPr>
              <w:t>CA19-9</w:t>
            </w:r>
            <w:r>
              <w:rPr>
                <w:color w:val="000000"/>
                <w:spacing w:val="0"/>
                <w:w w:val="100"/>
                <w:position w:val="0"/>
              </w:rPr>
              <w:t>和</w:t>
            </w:r>
            <w:r>
              <w:rPr>
                <w:rFonts w:ascii="Times New Roman" w:eastAsia="Times New Roman" w:hAnsi="Times New Roman" w:cs="Times New Roman"/>
                <w:color w:val="000000"/>
                <w:spacing w:val="0"/>
                <w:w w:val="100"/>
                <w:position w:val="0"/>
              </w:rPr>
              <w:t xml:space="preserve">CA15- </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自身免疫性疾病</w:t>
            </w:r>
            <w:r>
              <w:rPr>
                <w:rFonts w:ascii="Times New Roman" w:eastAsia="Times New Roman" w:hAnsi="Times New Roman" w:cs="Times New Roman"/>
                <w:color w:val="000000"/>
                <w:spacing w:val="0"/>
                <w:w w:val="100"/>
                <w:position w:val="0"/>
              </w:rPr>
              <w:t>ENA</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抗体谱检测试剂盒</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（微阵列酶联免疫</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本试剂盒可用于体外定性检测人血清中自身免疫性疾病 相关的六种特异性自身抗体（抗</w:t>
            </w:r>
            <w:r>
              <w:rPr>
                <w:rFonts w:ascii="Times New Roman" w:eastAsia="Times New Roman" w:hAnsi="Times New Roman" w:cs="Times New Roman"/>
                <w:color w:val="000000"/>
                <w:spacing w:val="0"/>
                <w:w w:val="100"/>
                <w:position w:val="0"/>
              </w:rPr>
              <w:t>Sm</w:t>
            </w:r>
            <w:r>
              <w:rPr>
                <w:color w:val="000000"/>
                <w:spacing w:val="0"/>
                <w:w w:val="100"/>
                <w:position w:val="0"/>
              </w:rPr>
              <w:t>抗体、抗</w:t>
            </w:r>
            <w:r>
              <w:rPr>
                <w:rFonts w:ascii="Times New Roman" w:eastAsia="Times New Roman" w:hAnsi="Times New Roman" w:cs="Times New Roman"/>
                <w:color w:val="000000"/>
                <w:spacing w:val="0"/>
                <w:w w:val="100"/>
                <w:position w:val="0"/>
              </w:rPr>
              <w:t xml:space="preserve">nRNP/Sm </w:t>
            </w:r>
            <w:r>
              <w:rPr>
                <w:color w:val="000000"/>
                <w:spacing w:val="0"/>
                <w:w w:val="100"/>
                <w:position w:val="0"/>
              </w:rPr>
              <w:t>抗体、抗</w:t>
            </w:r>
            <w:r>
              <w:rPr>
                <w:rFonts w:ascii="Times New Roman" w:eastAsia="Times New Roman" w:hAnsi="Times New Roman" w:cs="Times New Roman"/>
                <w:color w:val="000000"/>
                <w:spacing w:val="0"/>
                <w:w w:val="100"/>
                <w:position w:val="0"/>
              </w:rPr>
              <w:t>SS-A</w:t>
            </w:r>
            <w:r>
              <w:rPr>
                <w:color w:val="000000"/>
                <w:spacing w:val="0"/>
                <w:w w:val="100"/>
                <w:position w:val="0"/>
              </w:rPr>
              <w:t>抗体、抗</w:t>
            </w:r>
            <w:r>
              <w:rPr>
                <w:rFonts w:ascii="Times New Roman" w:eastAsia="Times New Roman" w:hAnsi="Times New Roman" w:cs="Times New Roman"/>
                <w:color w:val="000000"/>
                <w:spacing w:val="0"/>
                <w:w w:val="100"/>
                <w:position w:val="0"/>
              </w:rPr>
              <w:t>SS-B</w:t>
            </w:r>
            <w:r>
              <w:rPr>
                <w:color w:val="000000"/>
                <w:spacing w:val="0"/>
                <w:w w:val="100"/>
                <w:position w:val="0"/>
              </w:rPr>
              <w:t>抗体、抗</w:t>
            </w:r>
            <w:r>
              <w:rPr>
                <w:rFonts w:ascii="Times New Roman" w:eastAsia="Times New Roman" w:hAnsi="Times New Roman" w:cs="Times New Roman"/>
                <w:color w:val="000000"/>
                <w:spacing w:val="0"/>
                <w:w w:val="100"/>
                <w:position w:val="0"/>
              </w:rPr>
              <w:t>Scl-70</w:t>
            </w:r>
            <w:r>
              <w:rPr>
                <w:color w:val="000000"/>
                <w:spacing w:val="0"/>
                <w:w w:val="100"/>
                <w:position w:val="0"/>
              </w:rPr>
              <w:t>抗体和抗</w:t>
            </w:r>
            <w:r>
              <w:rPr>
                <w:rFonts w:ascii="Times New Roman" w:eastAsia="Times New Roman" w:hAnsi="Times New Roman" w:cs="Times New Roman"/>
                <w:color w:val="000000"/>
                <w:spacing w:val="0"/>
                <w:w w:val="100"/>
                <w:position w:val="0"/>
              </w:rPr>
              <w:t>Jo- l</w:t>
            </w:r>
            <w:r>
              <w:rPr>
                <w:color w:val="000000"/>
                <w:spacing w:val="0"/>
                <w:w w:val="100"/>
                <w:position w:val="0"/>
              </w:rPr>
              <w:t>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6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弓形虫、风疹病毒、 巨细胞病毒、单纯疱 疹病毒（</w:t>
            </w:r>
            <w:r>
              <w:rPr>
                <w:rFonts w:ascii="Times New Roman" w:eastAsia="Times New Roman" w:hAnsi="Times New Roman" w:cs="Times New Roman"/>
                <w:color w:val="000000"/>
                <w:spacing w:val="0"/>
                <w:w w:val="100"/>
                <w:position w:val="0"/>
              </w:rPr>
              <w:t>I</w:t>
            </w:r>
            <w:r>
              <w:rPr>
                <w:color w:val="000000"/>
                <w:spacing w:val="0"/>
                <w:w w:val="100"/>
                <w:position w:val="0"/>
              </w:rPr>
              <w:t>）型、单纯 疱疹病毒</w:t>
            </w:r>
            <w:r>
              <w:rPr>
                <w:color w:val="000000"/>
                <w:spacing w:val="0"/>
                <w:w w:val="100"/>
                <w:position w:val="0"/>
              </w:rPr>
              <w:t>（</w:t>
            </w:r>
            <w:r>
              <w:rPr>
                <w:rFonts w:ascii="Times New Roman" w:eastAsia="Times New Roman" w:hAnsi="Times New Roman" w:cs="Times New Roman"/>
                <w:color w:val="000000"/>
                <w:spacing w:val="0"/>
                <w:w w:val="100"/>
                <w:position w:val="0"/>
              </w:rPr>
              <w:t>II</w:t>
            </w:r>
            <w:r>
              <w:rPr>
                <w:color w:val="000000"/>
                <w:spacing w:val="0"/>
                <w:w w:val="100"/>
                <w:position w:val="0"/>
              </w:rPr>
              <w:t>）型五 种病原体</w:t>
            </w:r>
            <w:r>
              <w:rPr>
                <w:rFonts w:ascii="Times New Roman" w:eastAsia="Times New Roman" w:hAnsi="Times New Roman" w:cs="Times New Roman"/>
                <w:color w:val="000000"/>
                <w:spacing w:val="0"/>
                <w:w w:val="100"/>
                <w:position w:val="0"/>
              </w:rPr>
              <w:t>IgG</w:t>
            </w:r>
            <w:r>
              <w:rPr>
                <w:color w:val="000000"/>
                <w:spacing w:val="0"/>
                <w:w w:val="100"/>
                <w:position w:val="0"/>
              </w:rPr>
              <w:t>抗体检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本试剂盒用于体外定性检测人血清或血浆中弓形虫</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Toxo</w:t>
            </w:r>
            <w:r>
              <w:rPr>
                <w:color w:val="000000"/>
                <w:spacing w:val="0"/>
                <w:w w:val="100"/>
                <w:position w:val="0"/>
              </w:rPr>
              <w:t>）</w:t>
            </w:r>
            <w:r>
              <w:rPr>
                <w:color w:val="000000"/>
                <w:spacing w:val="0"/>
                <w:w w:val="100"/>
                <w:position w:val="0"/>
              </w:rPr>
              <w:t>、风疹病毒</w:t>
            </w:r>
            <w:r>
              <w:rPr>
                <w:color w:val="000000"/>
                <w:spacing w:val="0"/>
                <w:w w:val="100"/>
                <w:position w:val="0"/>
              </w:rPr>
              <w:t>（</w:t>
            </w:r>
            <w:r>
              <w:rPr>
                <w:rFonts w:ascii="Times New Roman" w:eastAsia="Times New Roman" w:hAnsi="Times New Roman" w:cs="Times New Roman"/>
                <w:color w:val="000000"/>
                <w:spacing w:val="0"/>
                <w:w w:val="100"/>
                <w:position w:val="0"/>
              </w:rPr>
              <w:t>RV</w:t>
            </w:r>
            <w:r>
              <w:rPr>
                <w:color w:val="000000"/>
                <w:spacing w:val="0"/>
                <w:w w:val="100"/>
                <w:position w:val="0"/>
              </w:rPr>
              <w:t>）、</w:t>
            </w:r>
            <w:r>
              <w:rPr>
                <w:color w:val="000000"/>
                <w:spacing w:val="0"/>
                <w:w w:val="100"/>
                <w:position w:val="0"/>
              </w:rPr>
              <w:t>巨细胞病毒（</w:t>
            </w:r>
            <w:r>
              <w:rPr>
                <w:rFonts w:ascii="Times New Roman" w:eastAsia="Times New Roman" w:hAnsi="Times New Roman" w:cs="Times New Roman"/>
                <w:color w:val="000000"/>
                <w:spacing w:val="0"/>
                <w:w w:val="100"/>
                <w:position w:val="0"/>
              </w:rPr>
              <w:t>CMV</w:t>
            </w:r>
            <w:r>
              <w:rPr>
                <w:color w:val="000000"/>
                <w:spacing w:val="0"/>
                <w:w w:val="100"/>
                <w:position w:val="0"/>
              </w:rPr>
              <w:t xml:space="preserve">）、 </w:t>
            </w:r>
            <w:r>
              <w:rPr>
                <w:color w:val="000000"/>
                <w:spacing w:val="0"/>
                <w:w w:val="100"/>
                <w:position w:val="0"/>
              </w:rPr>
              <w:t>单纯疱疹病毒</w:t>
            </w:r>
            <w:r>
              <w:rPr>
                <w:rFonts w:ascii="Times New Roman" w:eastAsia="Times New Roman" w:hAnsi="Times New Roman" w:cs="Times New Roman"/>
                <w:color w:val="000000"/>
                <w:spacing w:val="0"/>
                <w:w w:val="100"/>
                <w:position w:val="0"/>
              </w:rPr>
              <w:t>I</w:t>
            </w:r>
            <w:r>
              <w:rPr>
                <w:color w:val="000000"/>
                <w:spacing w:val="0"/>
                <w:w w:val="100"/>
                <w:position w:val="0"/>
              </w:rPr>
              <w:t>（</w:t>
            </w:r>
            <w:r>
              <w:rPr>
                <w:rFonts w:ascii="Times New Roman" w:eastAsia="Times New Roman" w:hAnsi="Times New Roman" w:cs="Times New Roman"/>
                <w:color w:val="000000"/>
                <w:spacing w:val="0"/>
                <w:w w:val="100"/>
                <w:position w:val="0"/>
              </w:rPr>
              <w:t xml:space="preserve">HSV </w:t>
            </w:r>
            <w:r>
              <w:rPr>
                <w:rFonts w:ascii="Times New Roman" w:eastAsia="Times New Roman" w:hAnsi="Times New Roman" w:cs="Times New Roman"/>
                <w:color w:val="000000"/>
                <w:spacing w:val="0"/>
                <w:w w:val="100"/>
                <w:position w:val="0"/>
              </w:rPr>
              <w:t>I</w:t>
            </w:r>
            <w:r>
              <w:rPr>
                <w:color w:val="000000"/>
                <w:spacing w:val="0"/>
                <w:w w:val="100"/>
                <w:position w:val="0"/>
              </w:rPr>
              <w:t>）和单纯疱疹病毒</w:t>
            </w:r>
            <w:r>
              <w:rPr>
                <w:rFonts w:ascii="Times New Roman" w:eastAsia="Times New Roman" w:hAnsi="Times New Roman" w:cs="Times New Roman"/>
                <w:color w:val="000000"/>
                <w:spacing w:val="0"/>
                <w:w w:val="100"/>
                <w:position w:val="0"/>
              </w:rPr>
              <w:t>II</w:t>
            </w:r>
            <w:r>
              <w:rPr>
                <w:color w:val="000000"/>
                <w:spacing w:val="0"/>
                <w:w w:val="100"/>
                <w:position w:val="0"/>
              </w:rPr>
              <w:t>（</w:t>
            </w:r>
            <w:r>
              <w:rPr>
                <w:rFonts w:ascii="Times New Roman" w:eastAsia="Times New Roman" w:hAnsi="Times New Roman" w:cs="Times New Roman"/>
                <w:color w:val="000000"/>
                <w:spacing w:val="0"/>
                <w:w w:val="100"/>
                <w:position w:val="0"/>
              </w:rPr>
              <w:t xml:space="preserve">HSV </w:t>
            </w:r>
            <w:r>
              <w:rPr>
                <w:rFonts w:ascii="Times New Roman" w:eastAsia="Times New Roman" w:hAnsi="Times New Roman" w:cs="Times New Roman"/>
                <w:color w:val="000000"/>
                <w:spacing w:val="0"/>
                <w:w w:val="100"/>
                <w:position w:val="0"/>
              </w:rPr>
              <w:t>II</w:t>
            </w:r>
            <w:r>
              <w:rPr>
                <w:color w:val="000000"/>
                <w:spacing w:val="0"/>
                <w:w w:val="100"/>
                <w:position w:val="0"/>
              </w:rPr>
              <w:t>） 五种病原体（简称</w:t>
            </w:r>
            <w:r>
              <w:rPr>
                <w:rFonts w:ascii="Times New Roman" w:eastAsia="Times New Roman" w:hAnsi="Times New Roman" w:cs="Times New Roman"/>
                <w:smallCaps/>
                <w:color w:val="000000"/>
                <w:spacing w:val="0"/>
                <w:w w:val="100"/>
                <w:position w:val="0"/>
                <w:sz w:val="22"/>
                <w:szCs w:val="22"/>
              </w:rPr>
              <w:t>torch</w:t>
            </w:r>
            <w:r>
              <w:rPr>
                <w:color w:val="000000"/>
                <w:spacing w:val="0"/>
                <w:w w:val="100"/>
                <w:position w:val="0"/>
              </w:rPr>
              <w:t>）的</w:t>
            </w:r>
            <w:r>
              <w:rPr>
                <w:rFonts w:ascii="Times New Roman" w:eastAsia="Times New Roman" w:hAnsi="Times New Roman" w:cs="Times New Roman"/>
                <w:color w:val="000000"/>
                <w:spacing w:val="0"/>
                <w:w w:val="100"/>
                <w:position w:val="0"/>
              </w:rPr>
              <w:t>IgG</w:t>
            </w:r>
            <w:r>
              <w:rPr>
                <w:color w:val="000000"/>
                <w:spacing w:val="0"/>
                <w:w w:val="100"/>
                <w:position w:val="0"/>
              </w:rPr>
              <w:t>抗体。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2018/4/16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测试剂盒（微阵列酶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联免疫法）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结核分枝杆菌</w:t>
            </w:r>
            <w:r>
              <w:rPr>
                <w:rFonts w:ascii="Times New Roman" w:eastAsia="Times New Roman" w:hAnsi="Times New Roman" w:cs="Times New Roman"/>
                <w:color w:val="000000"/>
                <w:spacing w:val="0"/>
                <w:w w:val="100"/>
                <w:position w:val="0"/>
              </w:rPr>
              <w:t>IgG</w:t>
            </w:r>
            <w:r>
              <w:rPr>
                <w:color w:val="000000"/>
                <w:spacing w:val="0"/>
                <w:w w:val="100"/>
                <w:position w:val="0"/>
              </w:rPr>
              <w:t>抗 体谱检测试剂盒（微 阵列酶联免疫法）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本试剂盒用于体外定性检测人血清中抗多种结核抗原 </w:t>
            </w:r>
            <w:r>
              <w:rPr>
                <w:color w:val="000000"/>
                <w:spacing w:val="0"/>
                <w:w w:val="100"/>
                <w:position w:val="0"/>
              </w:rPr>
              <w:t>（</w:t>
            </w:r>
            <w:r>
              <w:rPr>
                <w:rFonts w:ascii="Times New Roman" w:eastAsia="Times New Roman" w:hAnsi="Times New Roman" w:cs="Times New Roman"/>
                <w:color w:val="000000"/>
                <w:spacing w:val="0"/>
                <w:w w:val="100"/>
                <w:position w:val="0"/>
              </w:rPr>
              <w:t>16KDa</w:t>
            </w:r>
            <w:r>
              <w:rPr>
                <w:color w:val="000000"/>
                <w:spacing w:val="0"/>
                <w:w w:val="100"/>
                <w:position w:val="0"/>
              </w:rPr>
              <w:t>、</w:t>
            </w:r>
            <w:r>
              <w:rPr>
                <w:rFonts w:ascii="Times New Roman" w:eastAsia="Times New Roman" w:hAnsi="Times New Roman" w:cs="Times New Roman"/>
                <w:color w:val="000000"/>
                <w:spacing w:val="0"/>
                <w:w w:val="100"/>
                <w:position w:val="0"/>
              </w:rPr>
              <w:t>38KDa</w:t>
            </w:r>
            <w:r>
              <w:rPr>
                <w:color w:val="000000"/>
                <w:spacing w:val="0"/>
                <w:w w:val="100"/>
                <w:position w:val="0"/>
              </w:rPr>
              <w:t>、</w:t>
            </w:r>
            <w:r>
              <w:rPr>
                <w:rFonts w:ascii="Times New Roman" w:eastAsia="Times New Roman" w:hAnsi="Times New Roman" w:cs="Times New Roman"/>
                <w:color w:val="000000"/>
                <w:spacing w:val="0"/>
                <w:w w:val="100"/>
                <w:position w:val="0"/>
              </w:rPr>
              <w:t>Ag85B</w:t>
            </w:r>
            <w:r>
              <w:rPr>
                <w:color w:val="000000"/>
                <w:spacing w:val="0"/>
                <w:w w:val="100"/>
                <w:position w:val="0"/>
              </w:rPr>
              <w:t>和</w:t>
            </w:r>
            <w:r>
              <w:rPr>
                <w:rFonts w:ascii="Times New Roman" w:eastAsia="Times New Roman" w:hAnsi="Times New Roman" w:cs="Times New Roman"/>
                <w:color w:val="000000"/>
                <w:spacing w:val="0"/>
                <w:w w:val="100"/>
                <w:position w:val="0"/>
              </w:rPr>
              <w:t>MPT64</w:t>
            </w:r>
            <w:r>
              <w:rPr>
                <w:color w:val="000000"/>
                <w:spacing w:val="0"/>
                <w:w w:val="100"/>
                <w:position w:val="0"/>
              </w:rPr>
              <w:t>）的抗体。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甲型</w:t>
            </w:r>
            <w:r>
              <w:rPr>
                <w:rFonts w:ascii="Times New Roman" w:eastAsia="Times New Roman" w:hAnsi="Times New Roman" w:cs="Times New Roman"/>
                <w:color w:val="000000"/>
                <w:spacing w:val="0"/>
                <w:w w:val="100"/>
                <w:position w:val="0"/>
              </w:rPr>
              <w:t>H1N1</w:t>
            </w:r>
            <w:r>
              <w:rPr>
                <w:color w:val="000000"/>
                <w:spacing w:val="0"/>
                <w:w w:val="100"/>
                <w:position w:val="0"/>
              </w:rPr>
              <w:t>流感病 毒（</w:t>
            </w:r>
            <w:r>
              <w:rPr>
                <w:rFonts w:ascii="Times New Roman" w:eastAsia="Times New Roman" w:hAnsi="Times New Roman" w:cs="Times New Roman"/>
                <w:color w:val="000000"/>
                <w:spacing w:val="0"/>
                <w:w w:val="100"/>
                <w:position w:val="0"/>
              </w:rPr>
              <w:t>2009</w:t>
            </w:r>
            <w:r>
              <w:rPr>
                <w:color w:val="000000"/>
                <w:spacing w:val="0"/>
                <w:w w:val="100"/>
                <w:position w:val="0"/>
              </w:rPr>
              <w:t>）</w:t>
            </w:r>
            <w:r>
              <w:rPr>
                <w:rFonts w:ascii="Times New Roman" w:eastAsia="Times New Roman" w:hAnsi="Times New Roman" w:cs="Times New Roman"/>
                <w:color w:val="000000"/>
                <w:spacing w:val="0"/>
                <w:w w:val="100"/>
                <w:position w:val="0"/>
              </w:rPr>
              <w:t xml:space="preserve">RNA </w:t>
            </w:r>
            <w:r>
              <w:rPr>
                <w:color w:val="000000"/>
                <w:spacing w:val="0"/>
                <w:w w:val="100"/>
                <w:position w:val="0"/>
              </w:rPr>
              <w:t xml:space="preserve">核 酸检测试剂盒（荧光 </w:t>
            </w:r>
            <w:r>
              <w:rPr>
                <w:rFonts w:ascii="Times New Roman" w:eastAsia="Times New Roman" w:hAnsi="Times New Roman" w:cs="Times New Roman"/>
                <w:color w:val="000000"/>
                <w:spacing w:val="0"/>
                <w:w w:val="100"/>
                <w:position w:val="0"/>
              </w:rPr>
              <w:t xml:space="preserve">PCR </w:t>
            </w:r>
            <w:r>
              <w:rPr>
                <w:color w:val="000000"/>
                <w:spacing w:val="0"/>
                <w:w w:val="100"/>
                <w:position w:val="0"/>
              </w:rPr>
              <w:t>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用于对甲型</w:t>
            </w:r>
            <w:r>
              <w:rPr>
                <w:rFonts w:ascii="Times New Roman" w:eastAsia="Times New Roman" w:hAnsi="Times New Roman" w:cs="Times New Roman"/>
                <w:color w:val="000000"/>
                <w:spacing w:val="0"/>
                <w:w w:val="100"/>
                <w:position w:val="0"/>
              </w:rPr>
              <w:t>H1N1</w:t>
            </w:r>
            <w:r>
              <w:rPr>
                <w:color w:val="000000"/>
                <w:spacing w:val="0"/>
                <w:w w:val="100"/>
                <w:position w:val="0"/>
              </w:rPr>
              <w:t>流感病毒疑似患者的鼻咽拭子样本的 核酸进行定性检测。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甲型流感病毒通用型 核酸检测试剂盒</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用于对甲型流感病毒疑似患者的鼻咽拭子样本的核酸进 行定性检测。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肠道病毒</w:t>
            </w:r>
            <w:r>
              <w:rPr>
                <w:rFonts w:ascii="Times New Roman" w:eastAsia="Times New Roman" w:hAnsi="Times New Roman" w:cs="Times New Roman"/>
                <w:color w:val="000000"/>
                <w:spacing w:val="0"/>
                <w:w w:val="100"/>
                <w:position w:val="0"/>
              </w:rPr>
              <w:t>EV71</w:t>
            </w:r>
            <w:r>
              <w:rPr>
                <w:color w:val="000000"/>
                <w:spacing w:val="0"/>
                <w:w w:val="100"/>
                <w:position w:val="0"/>
              </w:rPr>
              <w:t>核酸检 测试剂盒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 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本试剂盒用于体外定性检测人的咽拭子、疱疹液和粪便 样本中的肠道病毒</w:t>
            </w:r>
            <w:r>
              <w:rPr>
                <w:rFonts w:ascii="Times New Roman" w:eastAsia="Times New Roman" w:hAnsi="Times New Roman" w:cs="Times New Roman"/>
                <w:color w:val="000000"/>
                <w:spacing w:val="0"/>
                <w:w w:val="100"/>
                <w:position w:val="0"/>
              </w:rPr>
              <w:t>EV71</w:t>
            </w:r>
            <w:r>
              <w:rPr>
                <w:color w:val="000000"/>
                <w:spacing w:val="0"/>
                <w:w w:val="100"/>
                <w:position w:val="0"/>
              </w:rPr>
              <w:t>核酸。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肠道病毒</w:t>
            </w:r>
            <w:r>
              <w:rPr>
                <w:rFonts w:ascii="Times New Roman" w:eastAsia="Times New Roman" w:hAnsi="Times New Roman" w:cs="Times New Roman"/>
                <w:color w:val="000000"/>
                <w:spacing w:val="0"/>
                <w:w w:val="100"/>
                <w:position w:val="0"/>
              </w:rPr>
              <w:t>Co xA16</w:t>
            </w:r>
            <w:r>
              <w:rPr>
                <w:color w:val="000000"/>
                <w:spacing w:val="0"/>
                <w:w w:val="100"/>
                <w:position w:val="0"/>
              </w:rPr>
              <w:t>核 酸检测试剂盒</w:t>
            </w: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color w:val="000000"/>
                <w:spacing w:val="0"/>
                <w:w w:val="100"/>
                <w:position w:val="0"/>
              </w:rPr>
              <w:t>荧光探针法）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本试剂盒用于体外定性检测人的咽拭子、疱疹液和粪便 样本中的肠道病毒</w:t>
            </w:r>
            <w:r>
              <w:rPr>
                <w:rFonts w:ascii="Times New Roman" w:eastAsia="Times New Roman" w:hAnsi="Times New Roman" w:cs="Times New Roman"/>
                <w:color w:val="000000"/>
                <w:spacing w:val="0"/>
                <w:w w:val="100"/>
                <w:position w:val="0"/>
              </w:rPr>
              <w:t>Co xA16</w:t>
            </w:r>
            <w:r>
              <w:rPr>
                <w:color w:val="000000"/>
                <w:spacing w:val="0"/>
                <w:w w:val="100"/>
                <w:position w:val="0"/>
              </w:rPr>
              <w:t>核酸。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肠道病毒通用型核酸 检测试剂盒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 光探针法）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本试剂盒用于体外定性检测人的咽拭子、疱疹液和粪便 样本中的肠道病毒核酸。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20</w:t>
            </w:r>
            <w:r>
              <w:rPr>
                <w:color w:val="000000"/>
                <w:spacing w:val="0"/>
                <w:w w:val="100"/>
                <w:position w:val="0"/>
              </w:rPr>
              <w:t>种突 变检测试剂盒</w:t>
            </w: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color w:val="000000"/>
                <w:spacing w:val="0"/>
                <w:w w:val="100"/>
                <w:position w:val="0"/>
              </w:rPr>
              <w:t>荧光探针法）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该产品用于体外定性检测人非小细胞肺癌患者石蜡包埋 肿瘤组织样本中</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19</w:t>
            </w:r>
            <w:r>
              <w:rPr>
                <w:color w:val="000000"/>
                <w:spacing w:val="0"/>
                <w:w w:val="100"/>
                <w:position w:val="0"/>
              </w:rPr>
              <w:t>外显子的</w:t>
            </w:r>
            <w:r>
              <w:rPr>
                <w:rFonts w:ascii="Times New Roman" w:eastAsia="Times New Roman" w:hAnsi="Times New Roman" w:cs="Times New Roman"/>
                <w:color w:val="000000"/>
                <w:spacing w:val="0"/>
                <w:w w:val="100"/>
                <w:position w:val="0"/>
              </w:rPr>
              <w:t>19</w:t>
            </w:r>
            <w:r>
              <w:rPr>
                <w:color w:val="000000"/>
                <w:spacing w:val="0"/>
                <w:w w:val="100"/>
                <w:position w:val="0"/>
              </w:rPr>
              <w:t>种缺失基因型 和</w:t>
            </w:r>
            <w:r>
              <w:rPr>
                <w:rFonts w:ascii="Times New Roman" w:eastAsia="Times New Roman" w:hAnsi="Times New Roman" w:cs="Times New Roman"/>
                <w:color w:val="000000"/>
                <w:spacing w:val="0"/>
                <w:w w:val="100"/>
                <w:position w:val="0"/>
              </w:rPr>
              <w:t>21</w:t>
            </w:r>
            <w:r>
              <w:rPr>
                <w:color w:val="000000"/>
                <w:spacing w:val="0"/>
                <w:w w:val="100"/>
                <w:position w:val="0"/>
              </w:rPr>
              <w:t>外显子的</w:t>
            </w:r>
            <w:r>
              <w:rPr>
                <w:rFonts w:ascii="Times New Roman" w:eastAsia="Times New Roman" w:hAnsi="Times New Roman" w:cs="Times New Roman"/>
                <w:color w:val="000000"/>
                <w:spacing w:val="0"/>
                <w:w w:val="100"/>
                <w:position w:val="0"/>
              </w:rPr>
              <w:t>1</w:t>
            </w:r>
            <w:r>
              <w:rPr>
                <w:color w:val="000000"/>
                <w:spacing w:val="0"/>
                <w:w w:val="100"/>
                <w:position w:val="0"/>
              </w:rPr>
              <w:t>种突变基因型。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w:t>
            </w:r>
            <w:r>
              <w:rPr>
                <w:rFonts w:ascii="Times New Roman" w:eastAsia="Times New Roman" w:hAnsi="Times New Roman" w:cs="Times New Roman"/>
                <w:color w:val="000000"/>
                <w:spacing w:val="0"/>
                <w:w w:val="100"/>
                <w:position w:val="0"/>
              </w:rPr>
              <w:t>K-ras</w:t>
            </w:r>
            <w:r>
              <w:rPr>
                <w:color w:val="000000"/>
                <w:spacing w:val="0"/>
                <w:w w:val="100"/>
                <w:position w:val="0"/>
              </w:rPr>
              <w:t>基因</w:t>
            </w:r>
            <w:r>
              <w:rPr>
                <w:rFonts w:ascii="Times New Roman" w:eastAsia="Times New Roman" w:hAnsi="Times New Roman" w:cs="Times New Roman"/>
                <w:color w:val="000000"/>
                <w:spacing w:val="0"/>
                <w:w w:val="100"/>
                <w:position w:val="0"/>
              </w:rPr>
              <w:t>8</w:t>
            </w:r>
            <w:r>
              <w:rPr>
                <w:color w:val="000000"/>
                <w:spacing w:val="0"/>
                <w:w w:val="100"/>
                <w:position w:val="0"/>
              </w:rPr>
              <w:t>种突变 检测试剂盒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 光探针法）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该产品用于体外定性检测人石蜡包埋病理切片组织中提 取</w:t>
            </w:r>
            <w:r>
              <w:rPr>
                <w:rFonts w:ascii="Times New Roman" w:eastAsia="Times New Roman" w:hAnsi="Times New Roman" w:cs="Times New Roman"/>
                <w:color w:val="000000"/>
                <w:spacing w:val="0"/>
                <w:w w:val="100"/>
                <w:position w:val="0"/>
              </w:rPr>
              <w:t>DNA</w:t>
            </w:r>
            <w:r>
              <w:rPr>
                <w:color w:val="000000"/>
                <w:spacing w:val="0"/>
                <w:w w:val="100"/>
                <w:position w:val="0"/>
              </w:rPr>
              <w:t>的</w:t>
            </w:r>
            <w:r>
              <w:rPr>
                <w:rFonts w:ascii="Times New Roman" w:eastAsia="Times New Roman" w:hAnsi="Times New Roman" w:cs="Times New Roman"/>
                <w:color w:val="000000"/>
                <w:spacing w:val="0"/>
                <w:w w:val="100"/>
                <w:position w:val="0"/>
              </w:rPr>
              <w:t>K-ras</w:t>
            </w:r>
            <w:r>
              <w:rPr>
                <w:color w:val="000000"/>
                <w:spacing w:val="0"/>
                <w:w w:val="100"/>
                <w:position w:val="0"/>
              </w:rPr>
              <w:t>基因</w:t>
            </w:r>
            <w:r>
              <w:rPr>
                <w:rFonts w:ascii="Times New Roman" w:eastAsia="Times New Roman" w:hAnsi="Times New Roman" w:cs="Times New Roman"/>
                <w:color w:val="000000"/>
                <w:spacing w:val="0"/>
                <w:w w:val="100"/>
                <w:position w:val="0"/>
              </w:rPr>
              <w:t>12</w:t>
            </w:r>
            <w:r>
              <w:rPr>
                <w:color w:val="000000"/>
                <w:spacing w:val="0"/>
                <w:w w:val="100"/>
                <w:position w:val="0"/>
              </w:rPr>
              <w:t>和</w:t>
            </w:r>
            <w:r>
              <w:rPr>
                <w:rFonts w:ascii="Times New Roman" w:eastAsia="Times New Roman" w:hAnsi="Times New Roman" w:cs="Times New Roman"/>
                <w:color w:val="000000"/>
                <w:spacing w:val="0"/>
                <w:w w:val="100"/>
                <w:position w:val="0"/>
              </w:rPr>
              <w:t>13</w:t>
            </w:r>
            <w:r>
              <w:rPr>
                <w:color w:val="000000"/>
                <w:spacing w:val="0"/>
                <w:w w:val="100"/>
                <w:position w:val="0"/>
              </w:rPr>
              <w:t>密码子</w:t>
            </w:r>
            <w:r>
              <w:rPr>
                <w:rFonts w:ascii="Times New Roman" w:eastAsia="Times New Roman" w:hAnsi="Times New Roman" w:cs="Times New Roman"/>
                <w:color w:val="000000"/>
                <w:spacing w:val="0"/>
                <w:w w:val="100"/>
                <w:position w:val="0"/>
              </w:rPr>
              <w:t>8</w:t>
            </w:r>
            <w:r>
              <w:rPr>
                <w:color w:val="000000"/>
                <w:spacing w:val="0"/>
                <w:w w:val="100"/>
                <w:position w:val="0"/>
              </w:rPr>
              <w:t>种突变。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人乳头瘤病毒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rFonts w:ascii="Times New Roman" w:eastAsia="Times New Roman" w:hAnsi="Times New Roman" w:cs="Times New Roman"/>
                <w:color w:val="000000"/>
                <w:spacing w:val="0"/>
                <w:w w:val="100"/>
                <w:position w:val="0"/>
              </w:rPr>
              <w:t xml:space="preserve">16 </w:t>
            </w:r>
            <w:r>
              <w:rPr>
                <w:color w:val="000000"/>
                <w:spacing w:val="0"/>
                <w:w w:val="100"/>
                <w:position w:val="0"/>
              </w:rPr>
              <w:t>型、</w:t>
            </w:r>
            <w:r>
              <w:rPr>
                <w:rFonts w:ascii="Times New Roman" w:eastAsia="Times New Roman" w:hAnsi="Times New Roman" w:cs="Times New Roman"/>
                <w:color w:val="000000"/>
                <w:spacing w:val="0"/>
                <w:w w:val="100"/>
                <w:position w:val="0"/>
              </w:rPr>
              <w:t xml:space="preserve">18 </w:t>
            </w:r>
            <w:r>
              <w:rPr>
                <w:color w:val="000000"/>
                <w:spacing w:val="0"/>
                <w:w w:val="100"/>
                <w:position w:val="0"/>
              </w:rPr>
              <w:t>型 核酸检测试剂盒</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本试剂盒针对女性宫颈脱落细胞中的人乳头瘤病毒 </w:t>
            </w:r>
            <w:r>
              <w:rPr>
                <w:rFonts w:ascii="Times New Roman" w:eastAsia="Times New Roman" w:hAnsi="Times New Roman" w:cs="Times New Roman"/>
                <w:color w:val="000000"/>
                <w:spacing w:val="0"/>
                <w:w w:val="100"/>
                <w:position w:val="0"/>
              </w:rPr>
              <w:t>HPV16</w:t>
            </w:r>
            <w:r>
              <w:rPr>
                <w:color w:val="000000"/>
                <w:spacing w:val="0"/>
                <w:w w:val="100"/>
                <w:position w:val="0"/>
              </w:rPr>
              <w:t>、</w:t>
            </w:r>
            <w:r>
              <w:rPr>
                <w:rFonts w:ascii="Times New Roman" w:eastAsia="Times New Roman" w:hAnsi="Times New Roman" w:cs="Times New Roman"/>
                <w:color w:val="000000"/>
                <w:spacing w:val="0"/>
                <w:w w:val="100"/>
                <w:position w:val="0"/>
              </w:rPr>
              <w:t>HPV18</w:t>
            </w:r>
            <w:r>
              <w:rPr>
                <w:color w:val="000000"/>
                <w:spacing w:val="0"/>
                <w:w w:val="100"/>
                <w:position w:val="0"/>
              </w:rPr>
              <w:t>型核酸实现定性检测，为</w:t>
            </w:r>
            <w:r>
              <w:rPr>
                <w:rFonts w:ascii="Times New Roman" w:eastAsia="Times New Roman" w:hAnsi="Times New Roman" w:cs="Times New Roman"/>
                <w:color w:val="000000"/>
                <w:spacing w:val="0"/>
                <w:w w:val="100"/>
                <w:position w:val="0"/>
              </w:rPr>
              <w:t>HPV</w:t>
            </w:r>
            <w:r>
              <w:rPr>
                <w:color w:val="000000"/>
                <w:spacing w:val="0"/>
                <w:w w:val="100"/>
                <w:position w:val="0"/>
              </w:rPr>
              <w:t>感染患者 的诊治提供辅助手段。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人乳头瘤病毒（</w:t>
            </w:r>
            <w:r>
              <w:rPr>
                <w:rFonts w:ascii="Times New Roman" w:eastAsia="Times New Roman" w:hAnsi="Times New Roman" w:cs="Times New Roman"/>
                <w:color w:val="000000"/>
                <w:spacing w:val="0"/>
                <w:w w:val="100"/>
                <w:position w:val="0"/>
              </w:rPr>
              <w:t>16</w:t>
            </w:r>
            <w:r>
              <w:rPr>
                <w:color w:val="000000"/>
                <w:spacing w:val="0"/>
                <w:w w:val="100"/>
                <w:position w:val="0"/>
              </w:rPr>
              <w:t>种 型别）核酸检测试剂 盒</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荧光探针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本试剂盒针对女性宫颈脱落细胞中的</w:t>
            </w:r>
            <w:r>
              <w:rPr>
                <w:rFonts w:ascii="Times New Roman" w:eastAsia="Times New Roman" w:hAnsi="Times New Roman" w:cs="Times New Roman"/>
                <w:color w:val="000000"/>
                <w:spacing w:val="0"/>
                <w:w w:val="100"/>
                <w:position w:val="0"/>
              </w:rPr>
              <w:t>16</w:t>
            </w:r>
            <w:r>
              <w:rPr>
                <w:color w:val="000000"/>
                <w:spacing w:val="0"/>
                <w:w w:val="100"/>
                <w:position w:val="0"/>
              </w:rPr>
              <w:t>种人乳头瘤病毒</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HPV16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w:t>
            </w:r>
            <w:r>
              <w:rPr>
                <w:rFonts w:ascii="Times New Roman" w:eastAsia="Times New Roman" w:hAnsi="Times New Roman" w:cs="Times New Roman"/>
                <w:color w:val="000000"/>
                <w:spacing w:val="0"/>
                <w:w w:val="100"/>
                <w:position w:val="0"/>
              </w:rPr>
              <w:t>33</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53</w:t>
            </w:r>
            <w:r>
              <w:rPr>
                <w:color w:val="000000"/>
                <w:spacing w:val="0"/>
                <w:w w:val="100"/>
                <w:position w:val="0"/>
              </w:rPr>
              <w:t>、</w:t>
            </w:r>
          </w:p>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56</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w:t>
            </w:r>
            <w:r>
              <w:rPr>
                <w:rFonts w:ascii="Times New Roman" w:eastAsia="Times New Roman" w:hAnsi="Times New Roman" w:cs="Times New Roman"/>
                <w:color w:val="000000"/>
                <w:spacing w:val="0"/>
                <w:w w:val="100"/>
                <w:position w:val="0"/>
              </w:rPr>
              <w:t>59</w:t>
            </w:r>
            <w:r>
              <w:rPr>
                <w:color w:val="000000"/>
                <w:spacing w:val="0"/>
                <w:w w:val="100"/>
                <w:position w:val="0"/>
              </w:rPr>
              <w:t>、</w:t>
            </w:r>
            <w:r>
              <w:rPr>
                <w:rFonts w:ascii="Times New Roman" w:eastAsia="Times New Roman" w:hAnsi="Times New Roman" w:cs="Times New Roman"/>
                <w:color w:val="000000"/>
                <w:spacing w:val="0"/>
                <w:w w:val="100"/>
                <w:position w:val="0"/>
              </w:rPr>
              <w:t>66</w:t>
            </w:r>
            <w:r>
              <w:rPr>
                <w:color w:val="000000"/>
                <w:spacing w:val="0"/>
                <w:w w:val="100"/>
                <w:position w:val="0"/>
              </w:rPr>
              <w:t>、</w:t>
            </w:r>
            <w:r>
              <w:rPr>
                <w:rFonts w:ascii="Times New Roman" w:eastAsia="Times New Roman" w:hAnsi="Times New Roman" w:cs="Times New Roman"/>
                <w:color w:val="000000"/>
                <w:spacing w:val="0"/>
                <w:w w:val="100"/>
                <w:position w:val="0"/>
              </w:rPr>
              <w:t>68</w:t>
            </w:r>
            <w:r>
              <w:rPr>
                <w:color w:val="000000"/>
                <w:spacing w:val="0"/>
                <w:w w:val="100"/>
                <w:position w:val="0"/>
              </w:rPr>
              <w:t>、</w:t>
            </w:r>
            <w:r>
              <w:rPr>
                <w:rFonts w:ascii="Times New Roman" w:eastAsia="Times New Roman" w:hAnsi="Times New Roman" w:cs="Times New Roman"/>
                <w:color w:val="000000"/>
                <w:spacing w:val="0"/>
                <w:w w:val="100"/>
                <w:position w:val="0"/>
              </w:rPr>
              <w:t>73</w:t>
            </w:r>
            <w:r>
              <w:rPr>
                <w:color w:val="000000"/>
                <w:spacing w:val="0"/>
                <w:w w:val="100"/>
                <w:position w:val="0"/>
              </w:rPr>
              <w:t>）核酸实现定性检测，为</w:t>
            </w:r>
            <w:r>
              <w:rPr>
                <w:rFonts w:ascii="Times New Roman" w:eastAsia="Times New Roman" w:hAnsi="Times New Roman" w:cs="Times New Roman"/>
                <w:color w:val="000000"/>
                <w:spacing w:val="0"/>
                <w:w w:val="100"/>
                <w:position w:val="0"/>
              </w:rPr>
              <w:t xml:space="preserve">HPV </w:t>
            </w:r>
            <w:r>
              <w:rPr>
                <w:color w:val="000000"/>
                <w:spacing w:val="0"/>
                <w:w w:val="100"/>
                <w:position w:val="0"/>
              </w:rPr>
              <w:t>的感染的诊治提供辅助手段。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奈瑟淋球菌核酸检测 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荧光探 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本试剂盒适用于体外定性检测女性宫颈拭子和男性尿道 拭子样本中提取的奈瑟淋球菌（</w:t>
            </w:r>
            <w:r>
              <w:rPr>
                <w:rFonts w:ascii="Times New Roman" w:eastAsia="Times New Roman" w:hAnsi="Times New Roman" w:cs="Times New Roman"/>
                <w:color w:val="000000"/>
                <w:spacing w:val="0"/>
                <w:w w:val="100"/>
                <w:position w:val="0"/>
              </w:rPr>
              <w:t>Neisseria Gonorrhoeae</w:t>
            </w:r>
            <w:r>
              <w:rPr>
                <w:color w:val="000000"/>
                <w:spacing w:val="0"/>
                <w:w w:val="100"/>
                <w:position w:val="0"/>
              </w:rPr>
              <w:t xml:space="preserve">， </w:t>
            </w:r>
            <w:r>
              <w:rPr>
                <w:rFonts w:ascii="Times New Roman" w:eastAsia="Times New Roman" w:hAnsi="Times New Roman" w:cs="Times New Roman"/>
                <w:color w:val="000000"/>
                <w:spacing w:val="0"/>
                <w:w w:val="100"/>
                <w:position w:val="0"/>
              </w:rPr>
              <w:t>NG</w:t>
            </w:r>
            <w:r>
              <w:rPr>
                <w:color w:val="000000"/>
                <w:spacing w:val="0"/>
                <w:w w:val="100"/>
                <w:position w:val="0"/>
              </w:rPr>
              <w:t>）</w:t>
            </w:r>
            <w:r>
              <w:rPr>
                <w:rFonts w:ascii="Times New Roman" w:eastAsia="Times New Roman" w:hAnsi="Times New Roman" w:cs="Times New Roman"/>
                <w:color w:val="000000"/>
                <w:spacing w:val="0"/>
                <w:w w:val="100"/>
                <w:position w:val="0"/>
              </w:rPr>
              <w:t>DNA</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沙眼衣原体</w:t>
            </w:r>
            <w:r>
              <w:rPr>
                <w:rFonts w:ascii="Times New Roman" w:eastAsia="Times New Roman" w:hAnsi="Times New Roman" w:cs="Times New Roman"/>
                <w:color w:val="000000"/>
                <w:spacing w:val="0"/>
                <w:w w:val="100"/>
                <w:position w:val="0"/>
              </w:rPr>
              <w:t>/</w:t>
            </w:r>
            <w:r>
              <w:rPr>
                <w:color w:val="000000"/>
                <w:spacing w:val="0"/>
                <w:w w:val="100"/>
                <w:position w:val="0"/>
              </w:rPr>
              <w:t>解脲脲原 体核酸检测试剂盒</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本试剂盒适用于体外定性检测女性宫颈拭子和男性尿道 拭子样本中提取的沙眼衣原体（</w:t>
            </w:r>
            <w:r>
              <w:rPr>
                <w:rFonts w:ascii="Times New Roman" w:eastAsia="Times New Roman" w:hAnsi="Times New Roman" w:cs="Times New Roman"/>
                <w:color w:val="000000"/>
                <w:spacing w:val="0"/>
                <w:w w:val="100"/>
                <w:position w:val="0"/>
              </w:rPr>
              <w:t>Chlamydiatrachomatis</w:t>
            </w:r>
            <w:r>
              <w:rPr>
                <w:color w:val="000000"/>
                <w:spacing w:val="0"/>
                <w:w w:val="100"/>
                <w:position w:val="0"/>
              </w:rPr>
              <w:t xml:space="preserve">， </w:t>
            </w:r>
            <w:r>
              <w:rPr>
                <w:rFonts w:ascii="Times New Roman" w:eastAsia="Times New Roman" w:hAnsi="Times New Roman" w:cs="Times New Roman"/>
                <w:color w:val="000000"/>
                <w:spacing w:val="0"/>
                <w:w w:val="100"/>
                <w:position w:val="0"/>
              </w:rPr>
              <w:t>CT</w:t>
            </w:r>
            <w:r>
              <w:rPr>
                <w:color w:val="000000"/>
                <w:spacing w:val="0"/>
                <w:w w:val="100"/>
                <w:position w:val="0"/>
              </w:rPr>
              <w:t>）</w:t>
            </w:r>
            <w:r>
              <w:rPr>
                <w:color w:val="000000"/>
                <w:spacing w:val="0"/>
                <w:w w:val="100"/>
                <w:position w:val="0"/>
              </w:rPr>
              <w:t>、解脲脲原体</w:t>
            </w:r>
            <w:r>
              <w:rPr>
                <w:color w:val="000000"/>
                <w:spacing w:val="0"/>
                <w:w w:val="100"/>
                <w:position w:val="0"/>
              </w:rPr>
              <w:t>（</w:t>
            </w:r>
            <w:r>
              <w:rPr>
                <w:rFonts w:ascii="Times New Roman" w:eastAsia="Times New Roman" w:hAnsi="Times New Roman" w:cs="Times New Roman"/>
                <w:color w:val="000000"/>
                <w:spacing w:val="0"/>
                <w:w w:val="100"/>
                <w:position w:val="0"/>
              </w:rPr>
              <w:t>Ureaplasmaurealyticum</w:t>
            </w:r>
            <w:r>
              <w:rPr>
                <w:color w:val="000000"/>
                <w:spacing w:val="0"/>
                <w:w w:val="100"/>
                <w:position w:val="0"/>
              </w:rPr>
              <w:t>，</w:t>
            </w:r>
            <w:r>
              <w:rPr>
                <w:rFonts w:ascii="Times New Roman" w:eastAsia="Times New Roman" w:hAnsi="Times New Roman" w:cs="Times New Roman"/>
                <w:color w:val="000000"/>
                <w:spacing w:val="0"/>
                <w:w w:val="100"/>
                <w:position w:val="0"/>
              </w:rPr>
              <w:t>UU</w:t>
            </w:r>
            <w:r>
              <w:rPr>
                <w:color w:val="000000"/>
                <w:spacing w:val="0"/>
                <w:w w:val="100"/>
                <w:position w:val="0"/>
              </w:rPr>
              <w:t xml:space="preserve">） </w:t>
            </w:r>
            <w:r>
              <w:rPr>
                <w:rFonts w:ascii="Times New Roman" w:eastAsia="Times New Roman" w:hAnsi="Times New Roman" w:cs="Times New Roman"/>
                <w:color w:val="000000"/>
                <w:spacing w:val="0"/>
                <w:w w:val="100"/>
                <w:position w:val="0"/>
              </w:rPr>
              <w:t>DNA</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延续注 册</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乙型肝炎病毒核酸测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本试剂盒用于体外定量检测人血清样本中的乙型肝炎病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延续注</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定试剂盒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探针法）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毒核酸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丙型肝炎病毒</w:t>
            </w:r>
            <w:r>
              <w:rPr>
                <w:rFonts w:ascii="Times New Roman" w:eastAsia="Times New Roman" w:hAnsi="Times New Roman" w:cs="Times New Roman"/>
                <w:color w:val="000000"/>
                <w:spacing w:val="0"/>
                <w:w w:val="100"/>
                <w:position w:val="0"/>
              </w:rPr>
              <w:t>RNA</w:t>
            </w:r>
            <w:r>
              <w:rPr>
                <w:color w:val="000000"/>
                <w:spacing w:val="0"/>
                <w:w w:val="100"/>
                <w:position w:val="0"/>
              </w:rPr>
              <w:t>核</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酸测定试剂盒（荧光</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PCR </w:t>
            </w:r>
            <w:r>
              <w:rPr>
                <w:color w:val="000000"/>
                <w:spacing w:val="0"/>
                <w:w w:val="100"/>
                <w:position w:val="0"/>
              </w:rPr>
              <w:t>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该产品用于体外定量检测人血清或血浆样本中丙型肝炎 病毒</w:t>
            </w:r>
            <w:r>
              <w:rPr>
                <w:rFonts w:ascii="Times New Roman" w:eastAsia="Times New Roman" w:hAnsi="Times New Roman" w:cs="Times New Roman"/>
                <w:color w:val="000000"/>
                <w:spacing w:val="0"/>
                <w:w w:val="100"/>
                <w:position w:val="0"/>
              </w:rPr>
              <w:t>RNA</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延续注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结核分枝杆菌核酸检 测试剂盒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color w:val="000000"/>
                <w:spacing w:val="0"/>
                <w:w w:val="100"/>
                <w:position w:val="0"/>
              </w:rPr>
              <w:t>荧光 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本试剂盒用于体外定性检测人痰液样本中的结核分枝杆 菌核酸。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册中</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发热伴血小板减少综 合征布尼亚病毒核酸 检测试剂盒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 光探针法）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该产品用于体外定性检测人血清样本中新型布尼亚病毒</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RNA</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梅毒螺旋体抗体检测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试剂盒（胶体金法）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该产品用于定性检测全血</w:t>
            </w:r>
            <w:r>
              <w:rPr>
                <w:rFonts w:ascii="Times New Roman" w:eastAsia="Times New Roman" w:hAnsi="Times New Roman" w:cs="Times New Roman"/>
                <w:color w:val="000000"/>
                <w:spacing w:val="0"/>
                <w:w w:val="100"/>
                <w:position w:val="0"/>
              </w:rPr>
              <w:t>/</w:t>
            </w:r>
            <w:r>
              <w:rPr>
                <w:color w:val="000000"/>
                <w:spacing w:val="0"/>
                <w:w w:val="100"/>
                <w:position w:val="0"/>
              </w:rPr>
              <w:t>血清</w:t>
            </w:r>
            <w:r>
              <w:rPr>
                <w:rFonts w:ascii="Times New Roman" w:eastAsia="Times New Roman" w:hAnsi="Times New Roman" w:cs="Times New Roman"/>
                <w:color w:val="000000"/>
                <w:spacing w:val="0"/>
                <w:w w:val="100"/>
                <w:position w:val="0"/>
              </w:rPr>
              <w:t>/</w:t>
            </w:r>
            <w:r>
              <w:rPr>
                <w:color w:val="000000"/>
                <w:spacing w:val="0"/>
                <w:w w:val="100"/>
                <w:position w:val="0"/>
              </w:rPr>
              <w:t>血浆中是否含有特异性 梅毒螺旋体抗体。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氨基酸和肉碱检测试 剂盒（液相色谱</w:t>
            </w:r>
            <w:r>
              <w:rPr>
                <w:rFonts w:ascii="Times New Roman" w:eastAsia="Times New Roman" w:hAnsi="Times New Roman" w:cs="Times New Roman"/>
                <w:color w:val="000000"/>
                <w:spacing w:val="0"/>
                <w:w w:val="100"/>
                <w:position w:val="0"/>
              </w:rPr>
              <w:t>-</w:t>
            </w:r>
            <w:r>
              <w:rPr>
                <w:color w:val="000000"/>
                <w:spacing w:val="0"/>
                <w:w w:val="100"/>
                <w:position w:val="0"/>
              </w:rPr>
              <w:t>串联 质谱法）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该产品用于定量检测新生儿滤纸干血片样本中</w:t>
            </w:r>
            <w:r>
              <w:rPr>
                <w:rFonts w:ascii="Times New Roman" w:eastAsia="Times New Roman" w:hAnsi="Times New Roman" w:cs="Times New Roman"/>
                <w:color w:val="000000"/>
                <w:spacing w:val="0"/>
                <w:w w:val="100"/>
                <w:position w:val="0"/>
              </w:rPr>
              <w:t>8</w:t>
            </w:r>
            <w:r>
              <w:rPr>
                <w:color w:val="000000"/>
                <w:spacing w:val="0"/>
                <w:w w:val="100"/>
                <w:position w:val="0"/>
              </w:rPr>
              <w:t>种氨基 酸和</w:t>
            </w:r>
            <w:r>
              <w:rPr>
                <w:rFonts w:ascii="Times New Roman" w:eastAsia="Times New Roman" w:hAnsi="Times New Roman" w:cs="Times New Roman"/>
                <w:color w:val="000000"/>
                <w:spacing w:val="0"/>
                <w:w w:val="100"/>
                <w:position w:val="0"/>
              </w:rPr>
              <w:t>16</w:t>
            </w:r>
            <w:r>
              <w:rPr>
                <w:color w:val="000000"/>
                <w:spacing w:val="0"/>
                <w:w w:val="100"/>
                <w:position w:val="0"/>
              </w:rPr>
              <w:t>种肉碱，检测结果可以辅助临床医生诊断新生儿 是否患遗传性代谢病。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2022/5/4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220" w:after="0" w:line="240" w:lineRule="auto"/>
              <w:ind w:left="0" w:right="0" w:firstLine="0"/>
              <w:jc w:val="center"/>
            </w:pPr>
            <w:r>
              <w:rPr>
                <w:rFonts w:ascii="Times New Roman" w:eastAsia="Times New Roman" w:hAnsi="Times New Roman" w:cs="Times New Roman"/>
                <w:color w:val="000000"/>
                <w:spacing w:val="0"/>
                <w:w w:val="100"/>
                <w:position w:val="0"/>
              </w:rPr>
              <w:t>2017/5/5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册中</w:t>
            </w:r>
          </w:p>
        </w:tc>
      </w:tr>
      <w:tr>
        <w:trPr>
          <w:trHeight w:val="25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人乳头瘤病毒核酸分 型分析软件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本软件通过对测序数据的过滤、比对获得对应</w:t>
            </w:r>
            <w:r>
              <w:rPr>
                <w:rFonts w:ascii="Times New Roman" w:eastAsia="Times New Roman" w:hAnsi="Times New Roman" w:cs="Times New Roman"/>
                <w:color w:val="000000"/>
                <w:spacing w:val="0"/>
                <w:w w:val="100"/>
                <w:position w:val="0"/>
              </w:rPr>
              <w:t>HPV</w:t>
            </w:r>
            <w:r>
              <w:rPr>
                <w:color w:val="000000"/>
                <w:spacing w:val="0"/>
                <w:w w:val="100"/>
                <w:position w:val="0"/>
              </w:rPr>
              <w:t>各型 别参考序列的比对结果；然后对结果进行</w:t>
            </w:r>
            <w:r>
              <w:rPr>
                <w:rFonts w:ascii="Times New Roman" w:eastAsia="Times New Roman" w:hAnsi="Times New Roman" w:cs="Times New Roman"/>
                <w:color w:val="000000"/>
                <w:spacing w:val="0"/>
                <w:w w:val="100"/>
                <w:position w:val="0"/>
              </w:rPr>
              <w:t>Read</w:t>
            </w:r>
            <w:r>
              <w:rPr>
                <w:color w:val="000000"/>
                <w:spacing w:val="0"/>
                <w:w w:val="100"/>
                <w:position w:val="0"/>
              </w:rPr>
              <w:t>计算和分 型分析，得出</w:t>
            </w:r>
            <w:r>
              <w:rPr>
                <w:rFonts w:ascii="Times New Roman" w:eastAsia="Times New Roman" w:hAnsi="Times New Roman" w:cs="Times New Roman"/>
                <w:color w:val="000000"/>
                <w:spacing w:val="0"/>
                <w:w w:val="100"/>
                <w:position w:val="0"/>
              </w:rPr>
              <w:t>16</w:t>
            </w:r>
            <w:r>
              <w:rPr>
                <w:color w:val="000000"/>
                <w:spacing w:val="0"/>
                <w:w w:val="100"/>
                <w:position w:val="0"/>
              </w:rPr>
              <w:t>种型别（</w:t>
            </w:r>
            <w:r>
              <w:rPr>
                <w:rFonts w:ascii="Times New Roman" w:eastAsia="Times New Roman" w:hAnsi="Times New Roman" w:cs="Times New Roman"/>
                <w:color w:val="000000"/>
                <w:spacing w:val="0"/>
                <w:w w:val="100"/>
                <w:position w:val="0"/>
              </w:rPr>
              <w:t>HPV6</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33</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39</w:t>
            </w:r>
            <w:r>
              <w:rPr>
                <w:color w:val="000000"/>
                <w:spacing w:val="0"/>
                <w:w w:val="100"/>
                <w:position w:val="0"/>
              </w:rPr>
              <w:t>、</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56</w:t>
            </w:r>
            <w:r>
              <w:rPr>
                <w:color w:val="000000"/>
                <w:spacing w:val="0"/>
                <w:w w:val="100"/>
                <w:position w:val="0"/>
              </w:rPr>
              <w:t>、</w:t>
            </w:r>
            <w:r>
              <w:rPr>
                <w:rFonts w:ascii="Times New Roman" w:eastAsia="Times New Roman" w:hAnsi="Times New Roman" w:cs="Times New Roman"/>
                <w:color w:val="000000"/>
                <w:spacing w:val="0"/>
                <w:w w:val="100"/>
                <w:position w:val="0"/>
              </w:rPr>
              <w:t>58</w:t>
            </w:r>
            <w:r>
              <w:rPr>
                <w:color w:val="000000"/>
                <w:spacing w:val="0"/>
                <w:w w:val="100"/>
                <w:position w:val="0"/>
              </w:rPr>
              <w:t>、</w:t>
            </w:r>
            <w:r>
              <w:rPr>
                <w:rFonts w:ascii="Times New Roman" w:eastAsia="Times New Roman" w:hAnsi="Times New Roman" w:cs="Times New Roman"/>
                <w:color w:val="000000"/>
                <w:spacing w:val="0"/>
                <w:w w:val="100"/>
                <w:position w:val="0"/>
              </w:rPr>
              <w:t>59</w:t>
            </w:r>
            <w:r>
              <w:rPr>
                <w:color w:val="000000"/>
                <w:spacing w:val="0"/>
                <w:w w:val="100"/>
                <w:position w:val="0"/>
              </w:rPr>
              <w:t>、</w:t>
            </w:r>
            <w:r>
              <w:rPr>
                <w:rFonts w:ascii="Times New Roman" w:eastAsia="Times New Roman" w:hAnsi="Times New Roman" w:cs="Times New Roman"/>
                <w:color w:val="000000"/>
                <w:spacing w:val="0"/>
                <w:w w:val="100"/>
                <w:position w:val="0"/>
              </w:rPr>
              <w:t>66</w:t>
            </w:r>
            <w:r>
              <w:rPr>
                <w:color w:val="000000"/>
                <w:spacing w:val="0"/>
                <w:w w:val="100"/>
                <w:position w:val="0"/>
              </w:rPr>
              <w:t>、</w:t>
            </w:r>
            <w:r>
              <w:rPr>
                <w:rFonts w:ascii="Times New Roman" w:eastAsia="Times New Roman" w:hAnsi="Times New Roman" w:cs="Times New Roman"/>
                <w:color w:val="000000"/>
                <w:spacing w:val="0"/>
                <w:w w:val="100"/>
                <w:position w:val="0"/>
              </w:rPr>
              <w:t>68</w:t>
            </w:r>
            <w:r>
              <w:rPr>
                <w:color w:val="000000"/>
                <w:spacing w:val="0"/>
                <w:w w:val="100"/>
                <w:position w:val="0"/>
              </w:rPr>
              <w:t>）的信 息分析结果。检测结果的临床意义以国家药品监督管理 局批准的《人乳头瘤病毒（</w:t>
            </w:r>
            <w:r>
              <w:rPr>
                <w:rFonts w:ascii="Times New Roman" w:eastAsia="Times New Roman" w:hAnsi="Times New Roman" w:cs="Times New Roman"/>
                <w:color w:val="000000"/>
                <w:spacing w:val="0"/>
                <w:w w:val="100"/>
                <w:position w:val="0"/>
              </w:rPr>
              <w:t>16</w:t>
            </w:r>
            <w:r>
              <w:rPr>
                <w:color w:val="000000"/>
                <w:spacing w:val="0"/>
                <w:w w:val="100"/>
                <w:position w:val="0"/>
              </w:rPr>
              <w:t xml:space="preserve">种型别）核酸分型检测试 剂盒（半导体测序法）》（注册证编号：国械注准 </w:t>
            </w:r>
            <w:r>
              <w:rPr>
                <w:rFonts w:ascii="Times New Roman" w:eastAsia="Times New Roman" w:hAnsi="Times New Roman" w:cs="Times New Roman"/>
                <w:color w:val="000000"/>
                <w:spacing w:val="0"/>
                <w:w w:val="100"/>
                <w:position w:val="0"/>
              </w:rPr>
              <w:t>20173403222</w:t>
            </w:r>
            <w:r>
              <w:rPr>
                <w:color w:val="000000"/>
                <w:spacing w:val="0"/>
                <w:w w:val="100"/>
                <w:position w:val="0"/>
              </w:rPr>
              <w:t>）为准，产品适用于医疗机构使用。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22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病原微生物基因检测 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本软件与适用的测序试剂盒配套使用，通过对临床样本 （比如痰液、肺泡灌洗液、血浆、脑脊液等）的全部</w:t>
            </w:r>
          </w:p>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DNA</w:t>
            </w:r>
            <w:r>
              <w:rPr>
                <w:color w:val="000000"/>
                <w:spacing w:val="0"/>
                <w:w w:val="100"/>
                <w:position w:val="0"/>
              </w:rPr>
              <w:t>测序数据进行计算，可检测基因组序列已知的可疑 致病微生物，检测范围包括已知</w:t>
            </w:r>
            <w:r>
              <w:rPr>
                <w:rFonts w:ascii="Times New Roman" w:eastAsia="Times New Roman" w:hAnsi="Times New Roman" w:cs="Times New Roman"/>
                <w:color w:val="000000"/>
                <w:spacing w:val="0"/>
                <w:w w:val="100"/>
                <w:position w:val="0"/>
              </w:rPr>
              <w:t>355</w:t>
            </w:r>
            <w:r>
              <w:rPr>
                <w:color w:val="000000"/>
                <w:spacing w:val="0"/>
                <w:w w:val="100"/>
                <w:position w:val="0"/>
              </w:rPr>
              <w:t>种临床重要致病细 菌、支原体、衣原体、立克次氏体、螺旋体及</w:t>
            </w:r>
            <w:r>
              <w:rPr>
                <w:rFonts w:ascii="Times New Roman" w:eastAsia="Times New Roman" w:hAnsi="Times New Roman" w:cs="Times New Roman"/>
                <w:color w:val="000000"/>
                <w:spacing w:val="0"/>
                <w:w w:val="100"/>
                <w:position w:val="0"/>
              </w:rPr>
              <w:t>133</w:t>
            </w:r>
            <w:r>
              <w:rPr>
                <w:color w:val="000000"/>
                <w:spacing w:val="0"/>
                <w:w w:val="100"/>
                <w:position w:val="0"/>
              </w:rPr>
              <w:t>种临 床重要致病病毒，获得与之对应的参考序列比对结果， 从而鉴定样本中存在的可疑致病微生物。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25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胎儿染色体非整倍体 基因检测软件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本软件针对基因测序仪上获得的基因组</w:t>
            </w:r>
            <w:r>
              <w:rPr>
                <w:rFonts w:ascii="Times New Roman" w:eastAsia="Times New Roman" w:hAnsi="Times New Roman" w:cs="Times New Roman"/>
                <w:color w:val="000000"/>
                <w:spacing w:val="0"/>
                <w:w w:val="100"/>
                <w:position w:val="0"/>
              </w:rPr>
              <w:t>DNA</w:t>
            </w:r>
            <w:r>
              <w:rPr>
                <w:color w:val="000000"/>
                <w:spacing w:val="0"/>
                <w:w w:val="100"/>
                <w:position w:val="0"/>
              </w:rPr>
              <w:t>序列数据进 行计算，获得分别与之对应的参考序列比对结果，并根 据阈值进行统计和筛选达到对</w:t>
            </w:r>
            <w:r>
              <w:rPr>
                <w:rFonts w:ascii="Times New Roman" w:eastAsia="Times New Roman" w:hAnsi="Times New Roman" w:cs="Times New Roman"/>
                <w:color w:val="000000"/>
                <w:spacing w:val="0"/>
                <w:w w:val="100"/>
                <w:position w:val="0"/>
              </w:rPr>
              <w:t>T13</w:t>
            </w:r>
            <w:r>
              <w:rPr>
                <w:color w:val="000000"/>
                <w:spacing w:val="0"/>
                <w:w w:val="100"/>
                <w:position w:val="0"/>
              </w:rPr>
              <w:t>、</w:t>
            </w:r>
            <w:r>
              <w:rPr>
                <w:rFonts w:ascii="Times New Roman" w:eastAsia="Times New Roman" w:hAnsi="Times New Roman" w:cs="Times New Roman"/>
                <w:color w:val="000000"/>
                <w:spacing w:val="0"/>
                <w:w w:val="100"/>
                <w:position w:val="0"/>
              </w:rPr>
              <w:t>T18</w:t>
            </w:r>
            <w:r>
              <w:rPr>
                <w:color w:val="000000"/>
                <w:spacing w:val="0"/>
                <w:w w:val="100"/>
                <w:position w:val="0"/>
              </w:rPr>
              <w:t>、</w:t>
            </w:r>
            <w:r>
              <w:rPr>
                <w:rFonts w:ascii="Times New Roman" w:eastAsia="Times New Roman" w:hAnsi="Times New Roman" w:cs="Times New Roman"/>
                <w:color w:val="000000"/>
                <w:spacing w:val="0"/>
                <w:w w:val="100"/>
                <w:position w:val="0"/>
              </w:rPr>
              <w:t>T21</w:t>
            </w:r>
            <w:r>
              <w:rPr>
                <w:color w:val="000000"/>
                <w:spacing w:val="0"/>
                <w:w w:val="100"/>
                <w:position w:val="0"/>
              </w:rPr>
              <w:t>的检出目 的，确定样本检测结果为阳性或阴性，可用于</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常染色体的非整倍体基因检测数据分析，从而对胎儿 染色体非整数倍体疾病</w:t>
            </w:r>
            <w:r>
              <w:rPr>
                <w:rFonts w:ascii="Times New Roman" w:eastAsia="Times New Roman" w:hAnsi="Times New Roman" w:cs="Times New Roman"/>
                <w:color w:val="000000"/>
                <w:spacing w:val="0"/>
                <w:w w:val="100"/>
                <w:position w:val="0"/>
              </w:rPr>
              <w:t>21-</w:t>
            </w:r>
            <w:r>
              <w:rPr>
                <w:color w:val="000000"/>
                <w:spacing w:val="0"/>
                <w:w w:val="100"/>
                <w:position w:val="0"/>
              </w:rPr>
              <w:t>三体综合征（唐氏综合 征）、</w:t>
            </w:r>
            <w:r>
              <w:rPr>
                <w:rFonts w:ascii="Times New Roman" w:eastAsia="Times New Roman" w:hAnsi="Times New Roman" w:cs="Times New Roman"/>
                <w:color w:val="000000"/>
                <w:spacing w:val="0"/>
                <w:w w:val="100"/>
                <w:position w:val="0"/>
              </w:rPr>
              <w:t>18-</w:t>
            </w:r>
            <w:r>
              <w:rPr>
                <w:color w:val="000000"/>
                <w:spacing w:val="0"/>
                <w:w w:val="100"/>
                <w:position w:val="0"/>
              </w:rPr>
              <w:t>三体综合征（爱德华氏综合征）或</w:t>
            </w:r>
            <w:r>
              <w:rPr>
                <w:rFonts w:ascii="Times New Roman" w:eastAsia="Times New Roman" w:hAnsi="Times New Roman" w:cs="Times New Roman"/>
                <w:color w:val="000000"/>
                <w:spacing w:val="0"/>
                <w:w w:val="100"/>
                <w:position w:val="0"/>
              </w:rPr>
              <w:t>13-</w:t>
            </w:r>
            <w:r>
              <w:rPr>
                <w:color w:val="000000"/>
                <w:spacing w:val="0"/>
                <w:w w:val="100"/>
                <w:position w:val="0"/>
              </w:rPr>
              <w:t>三体综 合征（帕特氏综合征）进行产前辅助判断。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2027/3/19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9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胎儿染色体非整倍体</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基因检测软件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本软件与适用的测序试剂盒配套使用，对临床样本（孕 妇外周血浆）的全部</w:t>
            </w:r>
            <w:r>
              <w:rPr>
                <w:rFonts w:ascii="Times New Roman" w:eastAsia="Times New Roman" w:hAnsi="Times New Roman" w:cs="Times New Roman"/>
                <w:color w:val="000000"/>
                <w:spacing w:val="0"/>
                <w:w w:val="100"/>
                <w:position w:val="0"/>
              </w:rPr>
              <w:t>DNA</w:t>
            </w:r>
            <w:r>
              <w:rPr>
                <w:color w:val="000000"/>
                <w:spacing w:val="0"/>
                <w:w w:val="100"/>
                <w:position w:val="0"/>
              </w:rPr>
              <w:t>测序数据进行计算，通过分析 样本中胎儿游离</w:t>
            </w:r>
            <w:r>
              <w:rPr>
                <w:rFonts w:ascii="Times New Roman" w:eastAsia="Times New Roman" w:hAnsi="Times New Roman" w:cs="Times New Roman"/>
                <w:color w:val="000000"/>
                <w:spacing w:val="0"/>
                <w:w w:val="100"/>
                <w:position w:val="0"/>
              </w:rPr>
              <w:t>DNA</w:t>
            </w:r>
            <w:r>
              <w:rPr>
                <w:color w:val="000000"/>
                <w:spacing w:val="0"/>
                <w:w w:val="100"/>
                <w:position w:val="0"/>
              </w:rPr>
              <w:t>的</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18</w:t>
            </w:r>
            <w:r>
              <w:rPr>
                <w:color w:val="000000"/>
                <w:spacing w:val="0"/>
                <w:w w:val="100"/>
                <w:position w:val="0"/>
              </w:rPr>
              <w:t>号及</w:t>
            </w:r>
            <w:r>
              <w:rPr>
                <w:rFonts w:ascii="Times New Roman" w:eastAsia="Times New Roman" w:hAnsi="Times New Roman" w:cs="Times New Roman"/>
                <w:color w:val="000000"/>
                <w:spacing w:val="0"/>
                <w:w w:val="100"/>
                <w:position w:val="0"/>
              </w:rPr>
              <w:t>13</w:t>
            </w:r>
            <w:r>
              <w:rPr>
                <w:color w:val="000000"/>
                <w:spacing w:val="0"/>
                <w:w w:val="100"/>
                <w:position w:val="0"/>
              </w:rPr>
              <w:t>号染色体数量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册中</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的差异，对胎儿染色体非整倍体疾病</w:t>
            </w:r>
            <w:r>
              <w:rPr>
                <w:rFonts w:ascii="Times New Roman" w:eastAsia="Times New Roman" w:hAnsi="Times New Roman" w:cs="Times New Roman"/>
                <w:color w:val="000000"/>
                <w:spacing w:val="0"/>
                <w:w w:val="100"/>
                <w:position w:val="0"/>
              </w:rPr>
              <w:t>21-</w:t>
            </w:r>
            <w:r>
              <w:rPr>
                <w:color w:val="000000"/>
                <w:spacing w:val="0"/>
                <w:w w:val="100"/>
                <w:position w:val="0"/>
              </w:rPr>
              <w:t xml:space="preserve">三体综合征、 </w:t>
            </w:r>
            <w:r>
              <w:rPr>
                <w:rFonts w:ascii="Times New Roman" w:eastAsia="Times New Roman" w:hAnsi="Times New Roman" w:cs="Times New Roman"/>
                <w:color w:val="000000"/>
                <w:spacing w:val="0"/>
                <w:w w:val="100"/>
                <w:position w:val="0"/>
              </w:rPr>
              <w:t>18-</w:t>
            </w:r>
            <w:r>
              <w:rPr>
                <w:color w:val="000000"/>
                <w:spacing w:val="0"/>
                <w:w w:val="100"/>
                <w:position w:val="0"/>
              </w:rPr>
              <w:t>三体综合征和</w:t>
            </w:r>
            <w:r>
              <w:rPr>
                <w:rFonts w:ascii="Times New Roman" w:eastAsia="Times New Roman" w:hAnsi="Times New Roman" w:cs="Times New Roman"/>
                <w:color w:val="000000"/>
                <w:spacing w:val="0"/>
                <w:w w:val="100"/>
                <w:position w:val="0"/>
              </w:rPr>
              <w:t>13-</w:t>
            </w:r>
            <w:r>
              <w:rPr>
                <w:color w:val="000000"/>
                <w:spacing w:val="0"/>
                <w:w w:val="100"/>
                <w:position w:val="0"/>
              </w:rPr>
              <w:t>三体综合征进行产前辅助判断。产 品适用于医疗机构使用。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胚胎植入前染色体非 整倍体分析软件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本软件与适用的测序试剂盒及基因测序仪配套使用，对 体外受精一胚胎移植</w:t>
            </w:r>
            <w:r>
              <w:rPr>
                <w:rFonts w:ascii="Times New Roman" w:eastAsia="Times New Roman" w:hAnsi="Times New Roman" w:cs="Times New Roman"/>
                <w:color w:val="000000"/>
                <w:spacing w:val="0"/>
                <w:w w:val="100"/>
                <w:position w:val="0"/>
              </w:rPr>
              <w:t>（In vitro fertilization-embryo transfer, IVF-ET）</w:t>
            </w:r>
            <w:r>
              <w:rPr>
                <w:color w:val="000000"/>
                <w:spacing w:val="0"/>
                <w:w w:val="100"/>
                <w:position w:val="0"/>
              </w:rPr>
              <w:t>的胚胎细胞在基因测序仪上获得的基因组</w:t>
            </w:r>
            <w:r>
              <w:rPr>
                <w:rFonts w:ascii="Times New Roman" w:eastAsia="Times New Roman" w:hAnsi="Times New Roman" w:cs="Times New Roman"/>
                <w:color w:val="000000"/>
                <w:spacing w:val="0"/>
                <w:w w:val="100"/>
                <w:position w:val="0"/>
              </w:rPr>
              <w:t xml:space="preserve">DNA </w:t>
            </w:r>
            <w:r>
              <w:rPr>
                <w:color w:val="000000"/>
                <w:spacing w:val="0"/>
                <w:w w:val="100"/>
                <w:position w:val="0"/>
              </w:rPr>
              <w:t>序列数据进行计算，获得与之对应的参考序列比对结 果，并根据阈值进行统计和筛选以达到对第</w:t>
            </w:r>
            <w:r>
              <w:rPr>
                <w:rFonts w:ascii="Times New Roman" w:eastAsia="Times New Roman" w:hAnsi="Times New Roman" w:cs="Times New Roman"/>
                <w:color w:val="000000"/>
                <w:spacing w:val="0"/>
                <w:w w:val="100"/>
                <w:position w:val="0"/>
              </w:rPr>
              <w:t>1-22</w:t>
            </w:r>
            <w:r>
              <w:rPr>
                <w:color w:val="000000"/>
                <w:spacing w:val="0"/>
                <w:w w:val="100"/>
                <w:position w:val="0"/>
              </w:rPr>
              <w:t>号常染 色体和</w:t>
            </w:r>
            <w:r>
              <w:rPr>
                <w:rFonts w:ascii="Times New Roman" w:eastAsia="Times New Roman" w:hAnsi="Times New Roman" w:cs="Times New Roman"/>
                <w:color w:val="000000"/>
                <w:spacing w:val="0"/>
                <w:w w:val="100"/>
                <w:position w:val="0"/>
              </w:rPr>
              <w:t>X</w:t>
            </w:r>
            <w:r>
              <w:rPr>
                <w:color w:val="000000"/>
                <w:spacing w:val="0"/>
                <w:w w:val="100"/>
                <w:position w:val="0"/>
              </w:rPr>
              <w:t>、</w:t>
            </w:r>
            <w:r>
              <w:rPr>
                <w:rFonts w:ascii="Times New Roman" w:eastAsia="Times New Roman" w:hAnsi="Times New Roman" w:cs="Times New Roman"/>
                <w:color w:val="000000"/>
                <w:spacing w:val="0"/>
                <w:w w:val="100"/>
                <w:position w:val="0"/>
              </w:rPr>
              <w:t>Y</w:t>
            </w:r>
            <w:r>
              <w:rPr>
                <w:color w:val="000000"/>
                <w:spacing w:val="0"/>
                <w:w w:val="100"/>
                <w:position w:val="0"/>
              </w:rPr>
              <w:t>性染色体非整倍体检出的目的，可用于</w:t>
            </w:r>
            <w:r>
              <w:rPr>
                <w:rFonts w:ascii="Times New Roman" w:eastAsia="Times New Roman" w:hAnsi="Times New Roman" w:cs="Times New Roman"/>
                <w:color w:val="000000"/>
                <w:spacing w:val="0"/>
                <w:w w:val="100"/>
                <w:position w:val="0"/>
              </w:rPr>
              <w:t xml:space="preserve">24 </w:t>
            </w:r>
            <w:r>
              <w:rPr>
                <w:color w:val="000000"/>
                <w:spacing w:val="0"/>
                <w:w w:val="100"/>
                <w:position w:val="0"/>
              </w:rPr>
              <w:t>条染色体的非整倍体基因检测数据分析。本软件适用于 医疗机构使用。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首次注 册</w:t>
            </w:r>
          </w:p>
        </w:tc>
      </w:tr>
      <w:tr>
        <w:trPr>
          <w:trHeight w:val="44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非小细胞肺癌突变基 因分析软件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本产品为独立软件，通过软件分析数据可对非小细胞肺 癌的福尔马林固定石蜡包埋（简称</w:t>
            </w:r>
            <w:r>
              <w:rPr>
                <w:rFonts w:ascii="Times New Roman" w:eastAsia="Times New Roman" w:hAnsi="Times New Roman" w:cs="Times New Roman"/>
                <w:color w:val="000000"/>
                <w:spacing w:val="0"/>
                <w:w w:val="100"/>
                <w:position w:val="0"/>
              </w:rPr>
              <w:t xml:space="preserve">FFPE </w:t>
            </w:r>
            <w:r>
              <w:rPr>
                <w:color w:val="000000"/>
                <w:spacing w:val="0"/>
                <w:w w:val="100"/>
                <w:position w:val="0"/>
              </w:rPr>
              <w:t>）病理组织样本 的基因突变情况进行检测；产品与本公司的检测试剂盒 《</w:t>
            </w:r>
            <w:r>
              <w:rPr>
                <w:rFonts w:ascii="Times New Roman" w:eastAsia="Times New Roman" w:hAnsi="Times New Roman" w:cs="Times New Roman"/>
                <w:color w:val="000000"/>
                <w:spacing w:val="0"/>
                <w:w w:val="100"/>
                <w:position w:val="0"/>
              </w:rPr>
              <w:t>EGFR/KRAS/ALK</w:t>
            </w:r>
            <w:r>
              <w:rPr>
                <w:color w:val="000000"/>
                <w:spacing w:val="0"/>
                <w:w w:val="100"/>
                <w:position w:val="0"/>
              </w:rPr>
              <w:t xml:space="preserve">基因突变联合检测试剂盒（联合探 针锚定聚合测序法）》（医疗器械注册证号：国械注准 </w:t>
            </w:r>
            <w:r>
              <w:rPr>
                <w:rFonts w:ascii="Times New Roman" w:eastAsia="Times New Roman" w:hAnsi="Times New Roman" w:cs="Times New Roman"/>
                <w:color w:val="000000"/>
                <w:spacing w:val="0"/>
                <w:w w:val="100"/>
                <w:position w:val="0"/>
              </w:rPr>
              <w:t>20193400621</w:t>
            </w:r>
            <w:r>
              <w:rPr>
                <w:color w:val="000000"/>
                <w:spacing w:val="0"/>
                <w:w w:val="100"/>
                <w:position w:val="0"/>
              </w:rPr>
              <w:t>）及该试剂盒说明书指定的基因测序仪配 套使用。软件通过对测序数据的质控、过滤、比对，获 得对应参考序列的比对结果；然后对结果进行变异分 析，得出</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L858R</w:t>
            </w:r>
            <w:r>
              <w:rPr>
                <w:color w:val="000000"/>
                <w:spacing w:val="0"/>
                <w:w w:val="100"/>
                <w:position w:val="0"/>
              </w:rPr>
              <w:t>、</w:t>
            </w:r>
            <w:r>
              <w:rPr>
                <w:rFonts w:ascii="Times New Roman" w:eastAsia="Times New Roman" w:hAnsi="Times New Roman" w:cs="Times New Roman"/>
                <w:color w:val="000000"/>
                <w:spacing w:val="0"/>
                <w:w w:val="100"/>
                <w:position w:val="0"/>
              </w:rPr>
              <w:t>T790M</w:t>
            </w:r>
            <w:r>
              <w:rPr>
                <w:color w:val="000000"/>
                <w:spacing w:val="0"/>
                <w:w w:val="100"/>
                <w:position w:val="0"/>
              </w:rPr>
              <w:t>、</w:t>
            </w:r>
            <w:r>
              <w:rPr>
                <w:rFonts w:ascii="Times New Roman" w:eastAsia="Times New Roman" w:hAnsi="Times New Roman" w:cs="Times New Roman"/>
                <w:color w:val="000000"/>
                <w:spacing w:val="0"/>
                <w:w w:val="100"/>
                <w:position w:val="0"/>
              </w:rPr>
              <w:t>G719X</w:t>
            </w:r>
            <w:r>
              <w:rPr>
                <w:color w:val="000000"/>
                <w:spacing w:val="0"/>
                <w:w w:val="100"/>
                <w:position w:val="0"/>
              </w:rPr>
              <w:t xml:space="preserve">突变， </w:t>
            </w:r>
            <w:r>
              <w:rPr>
                <w:rFonts w:ascii="Times New Roman" w:eastAsia="Times New Roman" w:hAnsi="Times New Roman" w:cs="Times New Roman"/>
                <w:color w:val="000000"/>
                <w:spacing w:val="0"/>
                <w:w w:val="100"/>
                <w:position w:val="0"/>
              </w:rPr>
              <w:t>EGFR</w:t>
            </w:r>
            <w:r>
              <w:rPr>
                <w:color w:val="000000"/>
                <w:spacing w:val="0"/>
                <w:w w:val="100"/>
                <w:position w:val="0"/>
              </w:rPr>
              <w:t>基因</w:t>
            </w:r>
            <w:r>
              <w:rPr>
                <w:rFonts w:ascii="Times New Roman" w:eastAsia="Times New Roman" w:hAnsi="Times New Roman" w:cs="Times New Roman"/>
                <w:color w:val="000000"/>
                <w:spacing w:val="0"/>
                <w:w w:val="100"/>
                <w:position w:val="0"/>
              </w:rPr>
              <w:t>19</w:t>
            </w:r>
            <w:r>
              <w:rPr>
                <w:color w:val="000000"/>
                <w:spacing w:val="0"/>
                <w:w w:val="100"/>
                <w:position w:val="0"/>
              </w:rPr>
              <w:t>外显子缺失，</w:t>
            </w:r>
            <w:r>
              <w:rPr>
                <w:rFonts w:ascii="Times New Roman" w:eastAsia="Times New Roman" w:hAnsi="Times New Roman" w:cs="Times New Roman"/>
                <w:color w:val="000000"/>
                <w:spacing w:val="0"/>
                <w:w w:val="100"/>
                <w:position w:val="0"/>
              </w:rPr>
              <w:t>KRAS</w:t>
            </w:r>
            <w:r>
              <w:rPr>
                <w:color w:val="000000"/>
                <w:spacing w:val="0"/>
                <w:w w:val="100"/>
                <w:position w:val="0"/>
              </w:rPr>
              <w:t>基因</w:t>
            </w:r>
            <w:r>
              <w:rPr>
                <w:rFonts w:ascii="Times New Roman" w:eastAsia="Times New Roman" w:hAnsi="Times New Roman" w:cs="Times New Roman"/>
                <w:color w:val="000000"/>
                <w:spacing w:val="0"/>
                <w:w w:val="100"/>
                <w:position w:val="0"/>
              </w:rPr>
              <w:t>G12D</w:t>
            </w:r>
            <w:r>
              <w:rPr>
                <w:color w:val="000000"/>
                <w:spacing w:val="0"/>
                <w:w w:val="100"/>
                <w:position w:val="0"/>
              </w:rPr>
              <w:t>突变和</w:t>
            </w:r>
            <w:r>
              <w:rPr>
                <w:rFonts w:ascii="Times New Roman" w:eastAsia="Times New Roman" w:hAnsi="Times New Roman" w:cs="Times New Roman"/>
                <w:color w:val="000000"/>
                <w:spacing w:val="0"/>
                <w:w w:val="100"/>
                <w:position w:val="0"/>
              </w:rPr>
              <w:t xml:space="preserve">ALK </w:t>
            </w:r>
            <w:r>
              <w:rPr>
                <w:color w:val="000000"/>
                <w:spacing w:val="0"/>
                <w:w w:val="100"/>
                <w:position w:val="0"/>
              </w:rPr>
              <w:t>融合基因的信息分析结果。检测结果的临床意义以国家 药品监督管理局批准的《</w:t>
            </w:r>
            <w:r>
              <w:rPr>
                <w:rFonts w:ascii="Times New Roman" w:eastAsia="Times New Roman" w:hAnsi="Times New Roman" w:cs="Times New Roman"/>
                <w:color w:val="000000"/>
                <w:spacing w:val="0"/>
                <w:w w:val="100"/>
                <w:position w:val="0"/>
              </w:rPr>
              <w:t>EGFR/KRAS/ALK</w:t>
            </w:r>
            <w:r>
              <w:rPr>
                <w:color w:val="000000"/>
                <w:spacing w:val="0"/>
                <w:w w:val="100"/>
                <w:position w:val="0"/>
              </w:rPr>
              <w:t>基因突变联 合检测试剂盒（联合探针锚定聚合测序法）说明书》为 准，产品适用于医疗机构使用。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2024/10/24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44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遗传性耳聋基因分析 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本软件为独立软件，与遗传性耳聋基因检测试剂盒（联 合探针锚定聚合测序法）及该试剂盒说明书指定的基因 测序仪配套使用，适用于遗传性耳聋基因检测数据的分 析。根据样本列表对原始测序数据进行拆分、过滤后获 得高质量数据，并进行数据比对，得出与遗传性耳聋关 联性</w:t>
            </w:r>
            <w:r>
              <w:rPr>
                <w:rFonts w:ascii="Times New Roman" w:eastAsia="Times New Roman" w:hAnsi="Times New Roman" w:cs="Times New Roman"/>
                <w:color w:val="000000"/>
                <w:spacing w:val="0"/>
                <w:w w:val="100"/>
                <w:position w:val="0"/>
              </w:rPr>
              <w:t>20</w:t>
            </w:r>
            <w:r>
              <w:rPr>
                <w:color w:val="000000"/>
                <w:spacing w:val="0"/>
                <w:w w:val="100"/>
                <w:position w:val="0"/>
              </w:rPr>
              <w:t>个突变位点（</w:t>
            </w:r>
            <w:r>
              <w:rPr>
                <w:rFonts w:ascii="Times New Roman" w:eastAsia="Times New Roman" w:hAnsi="Times New Roman" w:cs="Times New Roman"/>
                <w:color w:val="000000"/>
                <w:spacing w:val="0"/>
                <w:w w:val="100"/>
                <w:position w:val="0"/>
              </w:rPr>
              <w:t>35delG</w:t>
            </w:r>
            <w:r>
              <w:rPr>
                <w:color w:val="000000"/>
                <w:spacing w:val="0"/>
                <w:w w:val="100"/>
                <w:position w:val="0"/>
              </w:rPr>
              <w:t>、</w:t>
            </w:r>
            <w:r>
              <w:rPr>
                <w:rFonts w:ascii="Times New Roman" w:eastAsia="Times New Roman" w:hAnsi="Times New Roman" w:cs="Times New Roman"/>
                <w:color w:val="000000"/>
                <w:spacing w:val="0"/>
                <w:w w:val="100"/>
                <w:position w:val="0"/>
              </w:rPr>
              <w:t>176_191del16</w:t>
            </w:r>
            <w:r>
              <w:rPr>
                <w:color w:val="000000"/>
                <w:spacing w:val="0"/>
                <w:w w:val="100"/>
                <w:position w:val="0"/>
              </w:rPr>
              <w:t>、</w:t>
            </w:r>
            <w:r>
              <w:rPr>
                <w:rFonts w:ascii="Times New Roman" w:eastAsia="Times New Roman" w:hAnsi="Times New Roman" w:cs="Times New Roman"/>
                <w:color w:val="000000"/>
                <w:spacing w:val="0"/>
                <w:w w:val="100"/>
                <w:position w:val="0"/>
              </w:rPr>
              <w:t>235delC</w:t>
            </w:r>
            <w:r>
              <w:rPr>
                <w:color w:val="000000"/>
                <w:spacing w:val="0"/>
                <w:w w:val="100"/>
                <w:position w:val="0"/>
              </w:rPr>
              <w:t xml:space="preserve">、 </w:t>
            </w:r>
            <w:r>
              <w:rPr>
                <w:rFonts w:ascii="Times New Roman" w:eastAsia="Times New Roman" w:hAnsi="Times New Roman" w:cs="Times New Roman"/>
                <w:color w:val="000000"/>
                <w:spacing w:val="0"/>
                <w:w w:val="100"/>
                <w:position w:val="0"/>
              </w:rPr>
              <w:t>299_300delAT</w:t>
            </w:r>
            <w:r>
              <w:rPr>
                <w:color w:val="000000"/>
                <w:spacing w:val="0"/>
                <w:w w:val="100"/>
                <w:position w:val="0"/>
              </w:rPr>
              <w:t>、</w:t>
            </w:r>
            <w:r>
              <w:rPr>
                <w:rFonts w:ascii="Times New Roman" w:eastAsia="Times New Roman" w:hAnsi="Times New Roman" w:cs="Times New Roman"/>
                <w:color w:val="000000"/>
                <w:spacing w:val="0"/>
                <w:w w:val="100"/>
                <w:position w:val="0"/>
              </w:rPr>
              <w:t>538C&gt;T</w:t>
            </w:r>
            <w:r>
              <w:rPr>
                <w:color w:val="000000"/>
                <w:spacing w:val="0"/>
                <w:w w:val="100"/>
                <w:position w:val="0"/>
              </w:rPr>
              <w:t>、</w:t>
            </w:r>
            <w:r>
              <w:rPr>
                <w:rFonts w:ascii="Times New Roman" w:eastAsia="Times New Roman" w:hAnsi="Times New Roman" w:cs="Times New Roman"/>
                <w:color w:val="000000"/>
                <w:spacing w:val="0"/>
                <w:w w:val="100"/>
                <w:position w:val="0"/>
              </w:rPr>
              <w:t>547G&gt;A</w:t>
            </w:r>
            <w:r>
              <w:rPr>
                <w:color w:val="000000"/>
                <w:spacing w:val="0"/>
                <w:w w:val="100"/>
                <w:position w:val="0"/>
              </w:rPr>
              <w:t>、</w:t>
            </w:r>
            <w:r>
              <w:rPr>
                <w:rFonts w:ascii="Times New Roman" w:eastAsia="Times New Roman" w:hAnsi="Times New Roman" w:cs="Times New Roman"/>
                <w:color w:val="000000"/>
                <w:spacing w:val="0"/>
                <w:w w:val="100"/>
                <w:position w:val="0"/>
              </w:rPr>
              <w:t>281C&gt;T</w:t>
            </w:r>
            <w:r>
              <w:rPr>
                <w:color w:val="000000"/>
                <w:spacing w:val="0"/>
                <w:w w:val="100"/>
                <w:position w:val="0"/>
              </w:rPr>
              <w:t xml:space="preserve">、 </w:t>
            </w:r>
            <w:r>
              <w:rPr>
                <w:rFonts w:ascii="Times New Roman" w:eastAsia="Times New Roman" w:hAnsi="Times New Roman" w:cs="Times New Roman"/>
                <w:color w:val="000000"/>
                <w:spacing w:val="0"/>
                <w:w w:val="100"/>
                <w:position w:val="0"/>
              </w:rPr>
              <w:t>589G&gt;A</w:t>
            </w:r>
            <w:r>
              <w:rPr>
                <w:color w:val="000000"/>
                <w:spacing w:val="0"/>
                <w:w w:val="100"/>
                <w:position w:val="0"/>
              </w:rPr>
              <w:t>、</w:t>
            </w:r>
            <w:r>
              <w:rPr>
                <w:rFonts w:ascii="Times New Roman" w:eastAsia="Times New Roman" w:hAnsi="Times New Roman" w:cs="Times New Roman"/>
                <w:color w:val="000000"/>
                <w:spacing w:val="0"/>
                <w:w w:val="100"/>
                <w:position w:val="0"/>
              </w:rPr>
              <w:t>IVS7-2A&gt;G</w:t>
            </w:r>
            <w:r>
              <w:rPr>
                <w:color w:val="000000"/>
                <w:spacing w:val="0"/>
                <w:w w:val="100"/>
                <w:position w:val="0"/>
              </w:rPr>
              <w:t>、</w:t>
            </w:r>
            <w:r>
              <w:rPr>
                <w:rFonts w:ascii="Times New Roman" w:eastAsia="Times New Roman" w:hAnsi="Times New Roman" w:cs="Times New Roman"/>
                <w:color w:val="000000"/>
                <w:spacing w:val="0"/>
                <w:w w:val="100"/>
                <w:position w:val="0"/>
              </w:rPr>
              <w:t>1174A&gt;T</w:t>
            </w:r>
            <w:r>
              <w:rPr>
                <w:color w:val="000000"/>
                <w:spacing w:val="0"/>
                <w:w w:val="100"/>
                <w:position w:val="0"/>
              </w:rPr>
              <w:t>、</w:t>
            </w:r>
            <w:r>
              <w:rPr>
                <w:rFonts w:ascii="Times New Roman" w:eastAsia="Times New Roman" w:hAnsi="Times New Roman" w:cs="Times New Roman"/>
                <w:color w:val="000000"/>
                <w:spacing w:val="0"/>
                <w:w w:val="100"/>
                <w:position w:val="0"/>
              </w:rPr>
              <w:t>1226G&gt;A</w:t>
            </w:r>
            <w:r>
              <w:rPr>
                <w:color w:val="000000"/>
                <w:spacing w:val="0"/>
                <w:w w:val="100"/>
                <w:position w:val="0"/>
              </w:rPr>
              <w:t xml:space="preserve">、 </w:t>
            </w:r>
            <w:r>
              <w:rPr>
                <w:rFonts w:ascii="Times New Roman" w:eastAsia="Times New Roman" w:hAnsi="Times New Roman" w:cs="Times New Roman"/>
                <w:color w:val="000000"/>
                <w:spacing w:val="0"/>
                <w:w w:val="100"/>
                <w:position w:val="0"/>
              </w:rPr>
              <w:t>1229C&gt;T</w:t>
            </w:r>
            <w:r>
              <w:rPr>
                <w:color w:val="000000"/>
                <w:spacing w:val="0"/>
                <w:w w:val="100"/>
                <w:position w:val="0"/>
              </w:rPr>
              <w:t>、</w:t>
            </w:r>
            <w:r>
              <w:rPr>
                <w:rFonts w:ascii="Times New Roman" w:eastAsia="Times New Roman" w:hAnsi="Times New Roman" w:cs="Times New Roman"/>
                <w:color w:val="000000"/>
                <w:spacing w:val="0"/>
                <w:w w:val="100"/>
                <w:position w:val="0"/>
              </w:rPr>
              <w:t>IVS15+5G&gt;A</w:t>
            </w:r>
            <w:r>
              <w:rPr>
                <w:color w:val="000000"/>
                <w:spacing w:val="0"/>
                <w:w w:val="100"/>
                <w:position w:val="0"/>
              </w:rPr>
              <w:t>、</w:t>
            </w:r>
            <w:r>
              <w:rPr>
                <w:rFonts w:ascii="Times New Roman" w:eastAsia="Times New Roman" w:hAnsi="Times New Roman" w:cs="Times New Roman"/>
                <w:color w:val="000000"/>
                <w:spacing w:val="0"/>
                <w:w w:val="100"/>
                <w:position w:val="0"/>
              </w:rPr>
              <w:t>1975G&gt;C</w:t>
            </w:r>
            <w:r>
              <w:rPr>
                <w:color w:val="000000"/>
                <w:spacing w:val="0"/>
                <w:w w:val="100"/>
                <w:position w:val="0"/>
              </w:rPr>
              <w:t>、</w:t>
            </w:r>
            <w:r>
              <w:rPr>
                <w:rFonts w:ascii="Times New Roman" w:eastAsia="Times New Roman" w:hAnsi="Times New Roman" w:cs="Times New Roman"/>
                <w:color w:val="000000"/>
                <w:spacing w:val="0"/>
                <w:w w:val="100"/>
                <w:position w:val="0"/>
              </w:rPr>
              <w:t>2027T&gt;A</w:t>
            </w:r>
            <w:r>
              <w:rPr>
                <w:color w:val="000000"/>
                <w:spacing w:val="0"/>
                <w:w w:val="100"/>
                <w:position w:val="0"/>
              </w:rPr>
              <w:t xml:space="preserve">、 </w:t>
            </w:r>
            <w:r>
              <w:rPr>
                <w:rFonts w:ascii="Times New Roman" w:eastAsia="Times New Roman" w:hAnsi="Times New Roman" w:cs="Times New Roman"/>
                <w:color w:val="000000"/>
                <w:spacing w:val="0"/>
                <w:w w:val="100"/>
                <w:position w:val="0"/>
              </w:rPr>
              <w:t>2162C&gt;T</w:t>
            </w:r>
            <w:r>
              <w:rPr>
                <w:color w:val="000000"/>
                <w:spacing w:val="0"/>
                <w:w w:val="100"/>
                <w:position w:val="0"/>
              </w:rPr>
              <w:t>、</w:t>
            </w:r>
            <w:r>
              <w:rPr>
                <w:rFonts w:ascii="Times New Roman" w:eastAsia="Times New Roman" w:hAnsi="Times New Roman" w:cs="Times New Roman"/>
                <w:color w:val="000000"/>
                <w:spacing w:val="0"/>
                <w:w w:val="100"/>
                <w:position w:val="0"/>
              </w:rPr>
              <w:t>2168A&gt;G</w:t>
            </w:r>
            <w:r>
              <w:rPr>
                <w:color w:val="000000"/>
                <w:spacing w:val="0"/>
                <w:w w:val="100"/>
                <w:position w:val="0"/>
              </w:rPr>
              <w:t>、</w:t>
            </w:r>
            <w:r>
              <w:rPr>
                <w:rFonts w:ascii="Times New Roman" w:eastAsia="Times New Roman" w:hAnsi="Times New Roman" w:cs="Times New Roman"/>
                <w:color w:val="000000"/>
                <w:spacing w:val="0"/>
                <w:w w:val="100"/>
                <w:position w:val="0"/>
              </w:rPr>
              <w:t>1095T&gt;C</w:t>
            </w:r>
            <w:r>
              <w:rPr>
                <w:color w:val="000000"/>
                <w:spacing w:val="0"/>
                <w:w w:val="100"/>
                <w:position w:val="0"/>
              </w:rPr>
              <w:t>、</w:t>
            </w:r>
            <w:r>
              <w:rPr>
                <w:rFonts w:ascii="Times New Roman" w:eastAsia="Times New Roman" w:hAnsi="Times New Roman" w:cs="Times New Roman"/>
                <w:color w:val="000000"/>
                <w:spacing w:val="0"/>
                <w:w w:val="100"/>
                <w:position w:val="0"/>
              </w:rPr>
              <w:t>1494C&gt;T</w:t>
            </w:r>
            <w:r>
              <w:rPr>
                <w:color w:val="000000"/>
                <w:spacing w:val="0"/>
                <w:w w:val="100"/>
                <w:position w:val="0"/>
              </w:rPr>
              <w:t>、</w:t>
            </w:r>
          </w:p>
          <w:p>
            <w:pPr>
              <w:pStyle w:val="Style20"/>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 xml:space="preserve">1555A&gt;G </w:t>
            </w:r>
            <w:r>
              <w:rPr>
                <w:color w:val="000000"/>
                <w:spacing w:val="0"/>
                <w:w w:val="100"/>
                <w:position w:val="0"/>
              </w:rPr>
              <w:t>）</w:t>
            </w:r>
            <w:r>
              <w:rPr>
                <w:color w:val="000000"/>
                <w:spacing w:val="0"/>
                <w:w w:val="100"/>
                <w:position w:val="0"/>
              </w:rPr>
              <w:t>基因分型结果。检测结果的临床意义以国家 药品监督管理局批准的《遗传性耳聋基因检测试剂盒</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（联合探针锚定聚合测序法）说明书》为准，产品适用 于医疗机构使用。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16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染色体非整倍体分析 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本产品为独立软件，与《染色体非整倍体检测试剂盒</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（联合探针锚定聚合测序法）》及该试剂盒说明书指定 的基因测序仪配套使用，适用于</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rPr>
              <w:t>X</w:t>
            </w:r>
            <w:r>
              <w:rPr>
                <w:color w:val="000000"/>
                <w:spacing w:val="0"/>
                <w:w w:val="100"/>
                <w:position w:val="0"/>
              </w:rPr>
              <w:t>和</w:t>
            </w:r>
            <w:r>
              <w:rPr>
                <w:rFonts w:ascii="Times New Roman" w:eastAsia="Times New Roman" w:hAnsi="Times New Roman" w:cs="Times New Roman"/>
                <w:color w:val="000000"/>
                <w:spacing w:val="0"/>
                <w:w w:val="100"/>
                <w:position w:val="0"/>
              </w:rPr>
              <w:t>Y</w:t>
            </w:r>
            <w:r>
              <w:rPr>
                <w:color w:val="000000"/>
                <w:spacing w:val="0"/>
                <w:w w:val="100"/>
                <w:position w:val="0"/>
              </w:rPr>
              <w:t>染色体非整倍体的辅助性判断，检测结果作为临 床辅助性诊断指标，仅供临床参考，不作为受检者临床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12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诊断的唯一依据。检测结果的临床意义以国家药品监督 管理局批准的《染色体非整倍体检测试剂盒（联合探针 锚定聚合测序法）说明书》为准，产品适用于医疗机构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新型冠状病毒</w:t>
            </w:r>
            <w:r>
              <w:rPr>
                <w:rFonts w:ascii="Times New Roman" w:eastAsia="Times New Roman" w:hAnsi="Times New Roman" w:cs="Times New Roman"/>
                <w:color w:val="000000"/>
                <w:spacing w:val="0"/>
                <w:w w:val="100"/>
                <w:position w:val="0"/>
              </w:rPr>
              <w:t>2019- nCoV</w:t>
            </w:r>
            <w:r>
              <w:rPr>
                <w:color w:val="000000"/>
                <w:spacing w:val="0"/>
                <w:w w:val="100"/>
                <w:position w:val="0"/>
              </w:rPr>
              <w:t>核酸检测试剂 盒（联合探针锚定聚 合测序法）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本试剂盒用于体外定性检测新型冠状病毒肺炎疑似病 例、聚集性病例、其他需要进行新型冠状病毒感染诊断 或鉴别诊断者的咽拭子和肺泡灌洗液样本中新型冠状病 毒（</w:t>
            </w:r>
            <w:r>
              <w:rPr>
                <w:rFonts w:ascii="Times New Roman" w:eastAsia="Times New Roman" w:hAnsi="Times New Roman" w:cs="Times New Roman"/>
                <w:color w:val="000000"/>
                <w:spacing w:val="0"/>
                <w:w w:val="100"/>
                <w:position w:val="0"/>
              </w:rPr>
              <w:t>2019-nCoV</w:t>
            </w:r>
            <w:r>
              <w:rPr>
                <w:color w:val="000000"/>
                <w:spacing w:val="0"/>
                <w:w w:val="100"/>
                <w:position w:val="0"/>
              </w:rPr>
              <w:t>）</w:t>
            </w:r>
            <w:r>
              <w:rPr>
                <w:color w:val="000000"/>
                <w:spacing w:val="0"/>
                <w:w w:val="100"/>
                <w:position w:val="0"/>
              </w:rPr>
              <w:t>，配合本公司的基因测序系统使用。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新型冠状病毒</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nCoV</w:t>
            </w:r>
            <w:r>
              <w:rPr>
                <w:color w:val="000000"/>
                <w:spacing w:val="0"/>
                <w:w w:val="100"/>
                <w:position w:val="0"/>
              </w:rPr>
              <w:t>核酸检测试剂 盒（荧光</w:t>
            </w:r>
            <w:r>
              <w:rPr>
                <w:rFonts w:ascii="Times New Roman" w:eastAsia="Times New Roman" w:hAnsi="Times New Roman" w:cs="Times New Roman"/>
                <w:color w:val="000000"/>
                <w:spacing w:val="0"/>
                <w:w w:val="100"/>
                <w:position w:val="0"/>
              </w:rPr>
              <w:t>PCR</w:t>
            </w:r>
            <w:r>
              <w:rPr>
                <w:color w:val="000000"/>
                <w:spacing w:val="0"/>
                <w:w w:val="100"/>
                <w:position w:val="0"/>
              </w:rPr>
              <w:t>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本试剂盒用于体外定性检测新型冠状病毒肺炎疑似病 例、聚集性病例、其他需要进行新型冠状病毒感染诊断 或鉴别诊断者的咽拭子和肺泡灌洗液样本中的新型冠状 病毒（</w:t>
            </w:r>
            <w:r>
              <w:rPr>
                <w:rFonts w:ascii="Times New Roman" w:eastAsia="Times New Roman" w:hAnsi="Times New Roman" w:cs="Times New Roman"/>
                <w:color w:val="000000"/>
                <w:spacing w:val="0"/>
                <w:w w:val="100"/>
                <w:position w:val="0"/>
              </w:rPr>
              <w:t>2019-nCoV</w:t>
            </w:r>
            <w:r>
              <w:rPr>
                <w:color w:val="000000"/>
                <w:spacing w:val="0"/>
                <w:w w:val="100"/>
                <w:position w:val="0"/>
              </w:rPr>
              <w:t>）</w:t>
            </w:r>
            <w:r>
              <w:rPr>
                <w:rFonts w:ascii="Times New Roman" w:eastAsia="Times New Roman" w:hAnsi="Times New Roman" w:cs="Times New Roman"/>
                <w:color w:val="000000"/>
                <w:spacing w:val="0"/>
                <w:w w:val="100"/>
                <w:position w:val="0"/>
              </w:rPr>
              <w:t>ORF1ab</w:t>
            </w:r>
            <w:r>
              <w:rPr>
                <w:color w:val="000000"/>
                <w:spacing w:val="0"/>
                <w:w w:val="100"/>
                <w:position w:val="0"/>
              </w:rPr>
              <w:t>基因。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新型冠状病毒</w:t>
            </w:r>
            <w:r>
              <w:rPr>
                <w:rFonts w:ascii="Times New Roman" w:eastAsia="Times New Roman" w:hAnsi="Times New Roman" w:cs="Times New Roman"/>
                <w:color w:val="000000"/>
                <w:spacing w:val="0"/>
                <w:w w:val="100"/>
                <w:position w:val="0"/>
              </w:rPr>
              <w:t>2019-</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nCoV</w:t>
            </w:r>
            <w:r>
              <w:rPr>
                <w:color w:val="000000"/>
                <w:spacing w:val="0"/>
                <w:w w:val="100"/>
                <w:position w:val="0"/>
              </w:rPr>
              <w:t>核酸分析软件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1" w:lineRule="exact"/>
              <w:ind w:left="0" w:right="0" w:firstLine="0"/>
              <w:jc w:val="both"/>
            </w:pPr>
            <w:r>
              <w:rPr>
                <w:color w:val="000000"/>
                <w:spacing w:val="0"/>
                <w:w w:val="100"/>
                <w:position w:val="0"/>
              </w:rPr>
              <w:t>该软件与华大生物科技（武汉）有限公司生产的新型冠 状病毒</w:t>
            </w:r>
            <w:r>
              <w:rPr>
                <w:rFonts w:ascii="Times New Roman" w:eastAsia="Times New Roman" w:hAnsi="Times New Roman" w:cs="Times New Roman"/>
                <w:color w:val="000000"/>
                <w:spacing w:val="0"/>
                <w:w w:val="100"/>
                <w:position w:val="0"/>
              </w:rPr>
              <w:t xml:space="preserve">2019-nCo </w:t>
            </w:r>
            <w:r>
              <w:rPr>
                <w:rFonts w:ascii="Times New Roman" w:eastAsia="Times New Roman" w:hAnsi="Times New Roman" w:cs="Times New Roman"/>
                <w:color w:val="000000"/>
                <w:spacing w:val="0"/>
                <w:w w:val="100"/>
                <w:position w:val="0"/>
              </w:rPr>
              <w:t>V</w:t>
            </w:r>
            <w:r>
              <w:rPr>
                <w:color w:val="000000"/>
                <w:spacing w:val="0"/>
                <w:w w:val="100"/>
                <w:position w:val="0"/>
              </w:rPr>
              <w:t>核酸检测试剂盒（联合探针锚定聚合 测序法）、测序反应通用试剂盒（联合探针锚定聚合测 序法）及基于联合探针锚定聚合测序法的基因测序仪配 合使用，适用于新型冠状病毒</w:t>
            </w:r>
            <w:r>
              <w:rPr>
                <w:rFonts w:ascii="Times New Roman" w:eastAsia="Times New Roman" w:hAnsi="Times New Roman" w:cs="Times New Roman"/>
                <w:color w:val="000000"/>
                <w:spacing w:val="0"/>
                <w:w w:val="100"/>
                <w:position w:val="0"/>
              </w:rPr>
              <w:t xml:space="preserve">2019-nCo </w:t>
            </w:r>
            <w:r>
              <w:rPr>
                <w:rFonts w:ascii="Times New Roman" w:eastAsia="Times New Roman" w:hAnsi="Times New Roman" w:cs="Times New Roman"/>
                <w:color w:val="000000"/>
                <w:spacing w:val="0"/>
                <w:w w:val="100"/>
                <w:position w:val="0"/>
              </w:rPr>
              <w:t>V</w:t>
            </w:r>
            <w:r>
              <w:rPr>
                <w:color w:val="000000"/>
                <w:spacing w:val="0"/>
                <w:w w:val="100"/>
                <w:position w:val="0"/>
              </w:rPr>
              <w:t>核酸检测数据 的分析。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25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新型冠状病毒</w:t>
            </w:r>
            <w:r>
              <w:rPr>
                <w:color w:val="000000"/>
                <w:spacing w:val="0"/>
                <w:w w:val="100"/>
                <w:position w:val="0"/>
              </w:rPr>
              <w:t>（</w:t>
            </w:r>
            <w:r>
              <w:rPr>
                <w:rFonts w:ascii="Times New Roman" w:eastAsia="Times New Roman" w:hAnsi="Times New Roman" w:cs="Times New Roman"/>
                <w:color w:val="000000"/>
                <w:spacing w:val="0"/>
                <w:w w:val="100"/>
                <w:position w:val="0"/>
              </w:rPr>
              <w:t>2019- nCoV</w:t>
            </w:r>
            <w:r>
              <w:rPr>
                <w:color w:val="000000"/>
                <w:spacing w:val="0"/>
                <w:w w:val="100"/>
                <w:position w:val="0"/>
              </w:rPr>
              <w:t>）</w:t>
            </w:r>
            <w:r>
              <w:rPr>
                <w:rFonts w:ascii="Times New Roman" w:eastAsia="Times New Roman" w:hAnsi="Times New Roman" w:cs="Times New Roman"/>
                <w:color w:val="000000"/>
                <w:spacing w:val="0"/>
                <w:w w:val="100"/>
                <w:position w:val="0"/>
              </w:rPr>
              <w:t>IgM/IgG</w:t>
            </w:r>
            <w:r>
              <w:rPr>
                <w:color w:val="000000"/>
                <w:spacing w:val="0"/>
                <w:w w:val="100"/>
                <w:position w:val="0"/>
              </w:rPr>
              <w:t>抗体 检测试剂盒（酶联免 疫法）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本试剂盒用于体外定性检测人血清或血浆中新型冠状病 毒（</w:t>
            </w:r>
            <w:r>
              <w:rPr>
                <w:rFonts w:ascii="Times New Roman" w:eastAsia="Times New Roman" w:hAnsi="Times New Roman" w:cs="Times New Roman"/>
                <w:color w:val="000000"/>
                <w:spacing w:val="0"/>
                <w:w w:val="100"/>
                <w:position w:val="0"/>
              </w:rPr>
              <w:t>2019-nCoV</w:t>
            </w:r>
            <w:r>
              <w:rPr>
                <w:color w:val="000000"/>
                <w:spacing w:val="0"/>
                <w:w w:val="100"/>
                <w:position w:val="0"/>
              </w:rPr>
              <w:t>）</w:t>
            </w:r>
            <w:r>
              <w:rPr>
                <w:rFonts w:ascii="Times New Roman" w:eastAsia="Times New Roman" w:hAnsi="Times New Roman" w:cs="Times New Roman"/>
                <w:color w:val="000000"/>
                <w:spacing w:val="0"/>
                <w:w w:val="100"/>
                <w:position w:val="0"/>
              </w:rPr>
              <w:t>IgM/IgG</w:t>
            </w:r>
            <w:r>
              <w:rPr>
                <w:color w:val="000000"/>
                <w:spacing w:val="0"/>
                <w:w w:val="100"/>
                <w:position w:val="0"/>
              </w:rPr>
              <w:t>抗体。仅用作对新型冠状病毒 核酸检测阴性疑似病例的补充检测指标或疑似病例诊断 中与核酸检测协同使用，不能作为新型冠状病毒感染的 肺炎确诊和排除的依据，不适用于一般人群的筛查。本 产品仅限新型冠状病毒感染的肺炎疫情期间临床使用和 应急储备，不能作为常规体外诊断试剂应用于临床。本 产品仅限医疗机构使用。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新型冠状病毒</w:t>
            </w:r>
            <w:r>
              <w:rPr>
                <w:color w:val="000000"/>
                <w:spacing w:val="0"/>
                <w:w w:val="100"/>
                <w:position w:val="0"/>
              </w:rPr>
              <w:t>（</w:t>
            </w:r>
            <w:r>
              <w:rPr>
                <w:rFonts w:ascii="Times New Roman" w:eastAsia="Times New Roman" w:hAnsi="Times New Roman" w:cs="Times New Roman"/>
                <w:color w:val="000000"/>
                <w:spacing w:val="0"/>
                <w:w w:val="100"/>
                <w:position w:val="0"/>
              </w:rPr>
              <w:t>2019- nCoV</w:t>
            </w:r>
            <w:r>
              <w:rPr>
                <w:color w:val="000000"/>
                <w:spacing w:val="0"/>
                <w:w w:val="100"/>
                <w:position w:val="0"/>
              </w:rPr>
              <w:t>）抗原检测试 剂盒（荧光免疫层析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本产品用于新型冠状病毒感染肺炎疑似人群口咽拭子、 鼻咽拭子样本中新型冠状病毒</w:t>
            </w:r>
            <w:r>
              <w:rPr>
                <w:rFonts w:ascii="Times New Roman" w:eastAsia="Times New Roman" w:hAnsi="Times New Roman" w:cs="Times New Roman"/>
                <w:color w:val="000000"/>
                <w:spacing w:val="0"/>
                <w:w w:val="100"/>
                <w:position w:val="0"/>
              </w:rPr>
              <w:t>N</w:t>
            </w:r>
            <w:r>
              <w:rPr>
                <w:color w:val="000000"/>
                <w:spacing w:val="0"/>
                <w:w w:val="100"/>
                <w:position w:val="0"/>
              </w:rPr>
              <w:t>抗原检测。抗原检测一 般用于急性感染期，即疑似人群出现症状</w:t>
            </w:r>
            <w:r>
              <w:rPr>
                <w:rFonts w:ascii="Times New Roman" w:eastAsia="Times New Roman" w:hAnsi="Times New Roman" w:cs="Times New Roman"/>
                <w:color w:val="000000"/>
                <w:spacing w:val="0"/>
                <w:w w:val="100"/>
                <w:position w:val="0"/>
              </w:rPr>
              <w:t>7</w:t>
            </w:r>
            <w:r>
              <w:rPr>
                <w:color w:val="000000"/>
                <w:spacing w:val="0"/>
                <w:w w:val="100"/>
                <w:position w:val="0"/>
              </w:rPr>
              <w:t>天之内的样 本检测。抗原检测不能单独用于新型冠状病毒感染的诊 断，应结合核酸检测、影像学等其他诊断信息及病史、 接触史判断感染状态。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延续注 册</w:t>
            </w:r>
          </w:p>
        </w:tc>
      </w:tr>
      <w:tr>
        <w:trPr>
          <w:trHeight w:val="19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氨基酸多项校准品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本产品与本公司生产的氨基酸样本释放剂（液相色谱</w:t>
            </w:r>
            <w:r>
              <w:rPr>
                <w:rFonts w:ascii="Times New Roman" w:eastAsia="Times New Roman" w:hAnsi="Times New Roman" w:cs="Times New Roman"/>
                <w:color w:val="000000"/>
                <w:spacing w:val="0"/>
                <w:w w:val="100"/>
                <w:position w:val="0"/>
              </w:rPr>
              <w:t xml:space="preserve">- </w:t>
            </w:r>
            <w:r>
              <w:rPr>
                <w:color w:val="000000"/>
                <w:spacing w:val="0"/>
                <w:w w:val="100"/>
                <w:position w:val="0"/>
              </w:rPr>
              <w:t>串联质谱法）配套使用，用于精氨酸、组氨酸、异亮氨 酸、亮氨酸、赖氨酸、苯丙氨酸、苏氨酸、色氨酸、缬 氨酸、丝氨酸、酪氨酸、谷氨酸、鸟氨酸、丙氨酸、脯 氨酸、瓜氨酸、天冬酰胺、谷氨酰胺、甲硫氨酸、天冬 氨酸的系统校准。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首次注 册</w:t>
            </w:r>
          </w:p>
        </w:tc>
      </w:tr>
      <w:tr>
        <w:trPr>
          <w:trHeight w:val="16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氨基酸多项质控品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本产品与本公司生产的氨基酸样本释放剂（液相色谱</w:t>
            </w:r>
            <w:r>
              <w:rPr>
                <w:rFonts w:ascii="Times New Roman" w:eastAsia="Times New Roman" w:hAnsi="Times New Roman" w:cs="Times New Roman"/>
                <w:color w:val="000000"/>
                <w:spacing w:val="0"/>
                <w:w w:val="100"/>
                <w:position w:val="0"/>
              </w:rPr>
              <w:t xml:space="preserve">- </w:t>
            </w:r>
            <w:r>
              <w:rPr>
                <w:color w:val="000000"/>
                <w:spacing w:val="0"/>
                <w:w w:val="100"/>
                <w:position w:val="0"/>
              </w:rPr>
              <w:t>串联质谱法）配套使用，用于人血清样本中精氨酸、组 氨酸、异亮氨酸、亮氨酸、赖氨酸、苯丙氨酸、苏氨 酸、色氨酸、缬氨酸、丝氨酸、酪氨酸、谷氨酸、鸟氨 酸、丙氨酸、脯氨酸、瓜氨酸、天冬酰胺、谷氨酰胺、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甲硫氨酸、天冬氨酸的质谱法检测时，进行室内质量控 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类固醇激素复合校准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本产品与本公司生产的类固醇激素样本释放剂（液相色 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串联质谱法）配套使用，用于睾酮、脱氢表雄酮、 雄烯二酮、雌酮、雌二醇、孕酮、</w:t>
            </w:r>
            <w:r>
              <w:rPr>
                <w:rFonts w:ascii="Times New Roman" w:eastAsia="Times New Roman" w:hAnsi="Times New Roman" w:cs="Times New Roman"/>
                <w:color w:val="000000"/>
                <w:spacing w:val="0"/>
                <w:w w:val="100"/>
                <w:position w:val="0"/>
              </w:rPr>
              <w:t>17a-</w:t>
            </w:r>
            <w:r>
              <w:rPr>
                <w:color w:val="000000"/>
                <w:spacing w:val="0"/>
                <w:w w:val="100"/>
                <w:position w:val="0"/>
              </w:rPr>
              <w:t>羟孕酮、醛固 酮、皮质酮、</w:t>
            </w:r>
            <w:r>
              <w:rPr>
                <w:rFonts w:ascii="Times New Roman" w:eastAsia="Times New Roman" w:hAnsi="Times New Roman" w:cs="Times New Roman"/>
                <w:color w:val="000000"/>
                <w:spacing w:val="0"/>
                <w:w w:val="100"/>
                <w:position w:val="0"/>
              </w:rPr>
              <w:t>11-</w:t>
            </w:r>
            <w:r>
              <w:rPr>
                <w:color w:val="000000"/>
                <w:spacing w:val="0"/>
                <w:w w:val="100"/>
                <w:position w:val="0"/>
              </w:rPr>
              <w:t>脱氧皮质酮、</w:t>
            </w:r>
            <w:r>
              <w:rPr>
                <w:rFonts w:ascii="Times New Roman" w:eastAsia="Times New Roman" w:hAnsi="Times New Roman" w:cs="Times New Roman"/>
                <w:color w:val="000000"/>
                <w:spacing w:val="0"/>
                <w:w w:val="100"/>
                <w:position w:val="0"/>
              </w:rPr>
              <w:t>11-</w:t>
            </w:r>
            <w:r>
              <w:rPr>
                <w:color w:val="000000"/>
                <w:spacing w:val="0"/>
                <w:w w:val="100"/>
                <w:position w:val="0"/>
              </w:rPr>
              <w:t>脱氧皮质醇、</w:t>
            </w:r>
            <w:r>
              <w:rPr>
                <w:rFonts w:ascii="Times New Roman" w:eastAsia="Times New Roman" w:hAnsi="Times New Roman" w:cs="Times New Roman"/>
                <w:color w:val="000000"/>
                <w:spacing w:val="0"/>
                <w:w w:val="100"/>
                <w:position w:val="0"/>
              </w:rPr>
              <w:t>21-</w:t>
            </w:r>
            <w:r>
              <w:rPr>
                <w:color w:val="000000"/>
                <w:spacing w:val="0"/>
                <w:w w:val="100"/>
                <w:position w:val="0"/>
              </w:rPr>
              <w:t>脱氧 皮质醇、可的松、皮质醇的系统校准。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19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类固醇激素复合质控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本产品与本公司生产的类固醇激素样本释放剂（液相色 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串联质谱法）配套使用，用于人血清样本中睾酮、 脱氢表雄酮、雄烯二酮、雌酮、雌二醇、孕酮、</w:t>
            </w:r>
            <w:r>
              <w:rPr>
                <w:rFonts w:ascii="Times New Roman" w:eastAsia="Times New Roman" w:hAnsi="Times New Roman" w:cs="Times New Roman"/>
                <w:color w:val="000000"/>
                <w:spacing w:val="0"/>
                <w:w w:val="100"/>
                <w:position w:val="0"/>
              </w:rPr>
              <w:t>17a-</w:t>
            </w:r>
            <w:r>
              <w:rPr>
                <w:color w:val="000000"/>
                <w:spacing w:val="0"/>
                <w:w w:val="100"/>
                <w:position w:val="0"/>
              </w:rPr>
              <w:t>羟 孕酮、醛固酮、皮质酮、</w:t>
            </w:r>
            <w:r>
              <w:rPr>
                <w:rFonts w:ascii="Times New Roman" w:eastAsia="Times New Roman" w:hAnsi="Times New Roman" w:cs="Times New Roman"/>
                <w:color w:val="000000"/>
                <w:spacing w:val="0"/>
                <w:w w:val="100"/>
                <w:position w:val="0"/>
              </w:rPr>
              <w:t>11-</w:t>
            </w:r>
            <w:r>
              <w:rPr>
                <w:color w:val="000000"/>
                <w:spacing w:val="0"/>
                <w:w w:val="100"/>
                <w:position w:val="0"/>
              </w:rPr>
              <w:t>脱氧皮质酮、</w:t>
            </w:r>
            <w:r>
              <w:rPr>
                <w:rFonts w:ascii="Times New Roman" w:eastAsia="Times New Roman" w:hAnsi="Times New Roman" w:cs="Times New Roman"/>
                <w:color w:val="000000"/>
                <w:spacing w:val="0"/>
                <w:w w:val="100"/>
                <w:position w:val="0"/>
              </w:rPr>
              <w:t>11-</w:t>
            </w:r>
            <w:r>
              <w:rPr>
                <w:color w:val="000000"/>
                <w:spacing w:val="0"/>
                <w:w w:val="100"/>
                <w:position w:val="0"/>
              </w:rPr>
              <w:t>脱氧皮质 醇、</w:t>
            </w:r>
            <w:r>
              <w:rPr>
                <w:rFonts w:ascii="Times New Roman" w:eastAsia="Times New Roman" w:hAnsi="Times New Roman" w:cs="Times New Roman"/>
                <w:color w:val="000000"/>
                <w:spacing w:val="0"/>
                <w:w w:val="100"/>
                <w:position w:val="0"/>
              </w:rPr>
              <w:t>21-</w:t>
            </w:r>
            <w:r>
              <w:rPr>
                <w:color w:val="000000"/>
                <w:spacing w:val="0"/>
                <w:w w:val="100"/>
                <w:position w:val="0"/>
              </w:rPr>
              <w:t>脱氧皮质醇、可的松、皮质醇的质谱法检测 时，进行室内质量控制。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水溶性维生素多项校 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本产品与本公司生产的水溶性维生素样本释放剂（液相 色谱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串联质谱法）配套使用，用于水溶性维生素项目 维生素</w:t>
            </w:r>
            <w:r>
              <w:rPr>
                <w:rFonts w:ascii="Times New Roman" w:eastAsia="Times New Roman" w:hAnsi="Times New Roman" w:cs="Times New Roman"/>
                <w:color w:val="000000"/>
                <w:spacing w:val="0"/>
                <w:w w:val="100"/>
                <w:position w:val="0"/>
              </w:rPr>
              <w:t>B1</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B2</w:t>
            </w:r>
            <w:r>
              <w:rPr>
                <w:color w:val="000000"/>
                <w:spacing w:val="0"/>
                <w:w w:val="100"/>
                <w:position w:val="0"/>
              </w:rPr>
              <w:t>（核黄素）、维生素</w:t>
            </w:r>
            <w:r>
              <w:rPr>
                <w:rFonts w:ascii="Times New Roman" w:eastAsia="Times New Roman" w:hAnsi="Times New Roman" w:cs="Times New Roman"/>
                <w:color w:val="000000"/>
                <w:spacing w:val="0"/>
                <w:w w:val="100"/>
                <w:position w:val="0"/>
              </w:rPr>
              <w:t>B5</w:t>
            </w:r>
            <w:r>
              <w:rPr>
                <w:color w:val="000000"/>
                <w:spacing w:val="0"/>
                <w:w w:val="100"/>
                <w:position w:val="0"/>
              </w:rPr>
              <w:t>、</w:t>
            </w:r>
            <w:r>
              <w:rPr>
                <w:color w:val="000000"/>
                <w:spacing w:val="0"/>
                <w:w w:val="100"/>
                <w:position w:val="0"/>
              </w:rPr>
              <w:t>吡哆酸</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VB6PA</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甲基四氢叶酸</w:t>
            </w:r>
            <w:r>
              <w:rPr>
                <w:color w:val="000000"/>
                <w:spacing w:val="0"/>
                <w:w w:val="100"/>
                <w:position w:val="0"/>
              </w:rPr>
              <w:t>（</w:t>
            </w:r>
            <w:r>
              <w:rPr>
                <w:rFonts w:ascii="Times New Roman" w:eastAsia="Times New Roman" w:hAnsi="Times New Roman" w:cs="Times New Roman"/>
                <w:color w:val="000000"/>
                <w:spacing w:val="0"/>
                <w:w w:val="100"/>
                <w:position w:val="0"/>
              </w:rPr>
              <w:t>5-MTHF</w:t>
            </w:r>
            <w:r>
              <w:rPr>
                <w:color w:val="000000"/>
                <w:spacing w:val="0"/>
                <w:w w:val="100"/>
                <w:position w:val="0"/>
              </w:rPr>
              <w:t>）的系统校 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水溶性维生素多项质 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本产品与本公司生产的水溶性维生素样本释放剂（液相 色谱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串联质谱法）配套使用，用于水溶性维生素项目 维生素</w:t>
            </w:r>
            <w:r>
              <w:rPr>
                <w:rFonts w:ascii="Times New Roman" w:eastAsia="Times New Roman" w:hAnsi="Times New Roman" w:cs="Times New Roman"/>
                <w:color w:val="000000"/>
                <w:spacing w:val="0"/>
                <w:w w:val="100"/>
                <w:position w:val="0"/>
              </w:rPr>
              <w:t>B1</w:t>
            </w:r>
            <w:r>
              <w:rPr>
                <w:color w:val="000000"/>
                <w:spacing w:val="0"/>
                <w:w w:val="100"/>
                <w:position w:val="0"/>
              </w:rPr>
              <w:t>、</w:t>
            </w:r>
            <w:r>
              <w:rPr>
                <w:color w:val="000000"/>
                <w:spacing w:val="0"/>
                <w:w w:val="100"/>
                <w:position w:val="0"/>
              </w:rPr>
              <w:t>维生素</w:t>
            </w:r>
            <w:r>
              <w:rPr>
                <w:rFonts w:ascii="Times New Roman" w:eastAsia="Times New Roman" w:hAnsi="Times New Roman" w:cs="Times New Roman"/>
                <w:color w:val="000000"/>
                <w:spacing w:val="0"/>
                <w:w w:val="100"/>
                <w:position w:val="0"/>
              </w:rPr>
              <w:t>B2</w:t>
            </w:r>
            <w:r>
              <w:rPr>
                <w:color w:val="000000"/>
                <w:spacing w:val="0"/>
                <w:w w:val="100"/>
                <w:position w:val="0"/>
              </w:rPr>
              <w:t>（核黄素）、维生素</w:t>
            </w:r>
            <w:r>
              <w:rPr>
                <w:rFonts w:ascii="Times New Roman" w:eastAsia="Times New Roman" w:hAnsi="Times New Roman" w:cs="Times New Roman"/>
                <w:color w:val="000000"/>
                <w:spacing w:val="0"/>
                <w:w w:val="100"/>
                <w:position w:val="0"/>
              </w:rPr>
              <w:t>B5</w:t>
            </w:r>
            <w:r>
              <w:rPr>
                <w:color w:val="000000"/>
                <w:spacing w:val="0"/>
                <w:w w:val="100"/>
                <w:position w:val="0"/>
              </w:rPr>
              <w:t>、</w:t>
            </w:r>
            <w:r>
              <w:rPr>
                <w:color w:val="000000"/>
                <w:spacing w:val="0"/>
                <w:w w:val="100"/>
                <w:position w:val="0"/>
              </w:rPr>
              <w:t xml:space="preserve">吡哆酸 </w:t>
            </w:r>
            <w:r>
              <w:rPr>
                <w:color w:val="000000"/>
                <w:spacing w:val="0"/>
                <w:w w:val="100"/>
                <w:position w:val="0"/>
              </w:rPr>
              <w:t>（</w:t>
            </w:r>
            <w:r>
              <w:rPr>
                <w:rFonts w:ascii="Times New Roman" w:eastAsia="Times New Roman" w:hAnsi="Times New Roman" w:cs="Times New Roman"/>
                <w:color w:val="000000"/>
                <w:spacing w:val="0"/>
                <w:w w:val="100"/>
                <w:position w:val="0"/>
              </w:rPr>
              <w:t>VB6PA</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甲基四氢叶酸</w:t>
            </w:r>
            <w:r>
              <w:rPr>
                <w:color w:val="000000"/>
                <w:spacing w:val="0"/>
                <w:w w:val="100"/>
                <w:position w:val="0"/>
              </w:rPr>
              <w:t>（</w:t>
            </w:r>
            <w:r>
              <w:rPr>
                <w:rFonts w:ascii="Times New Roman" w:eastAsia="Times New Roman" w:hAnsi="Times New Roman" w:cs="Times New Roman"/>
                <w:color w:val="000000"/>
                <w:spacing w:val="0"/>
                <w:w w:val="100"/>
                <w:position w:val="0"/>
              </w:rPr>
              <w:t>5-MTHF</w:t>
            </w:r>
            <w:r>
              <w:rPr>
                <w:color w:val="000000"/>
                <w:spacing w:val="0"/>
                <w:w w:val="100"/>
                <w:position w:val="0"/>
              </w:rPr>
              <w:t>）的质谱法检 测，进行室内质量控制。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脂溶性维生素多项校 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本产品与本公司生产的脂溶性维生素样本释放剂（液相 色谱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串联质谱法）配套使用，用于视黄醇（</w:t>
            </w:r>
            <w:r>
              <w:rPr>
                <w:rFonts w:ascii="Times New Roman" w:eastAsia="Times New Roman" w:hAnsi="Times New Roman" w:cs="Times New Roman"/>
                <w:color w:val="000000"/>
                <w:spacing w:val="0"/>
                <w:w w:val="100"/>
                <w:position w:val="0"/>
              </w:rPr>
              <w:t>VA</w:t>
            </w:r>
            <w:r>
              <w:rPr>
                <w:color w:val="000000"/>
                <w:spacing w:val="0"/>
                <w:w w:val="100"/>
                <w:position w:val="0"/>
              </w:rPr>
              <w:t>）、</w:t>
            </w:r>
            <w:r>
              <w:rPr>
                <w:rFonts w:ascii="Times New Roman" w:eastAsia="Times New Roman" w:hAnsi="Times New Roman" w:cs="Times New Roman"/>
                <w:color w:val="000000"/>
                <w:spacing w:val="0"/>
                <w:w w:val="100"/>
                <w:position w:val="0"/>
              </w:rPr>
              <w:t xml:space="preserve">25- </w:t>
            </w:r>
            <w:r>
              <w:rPr>
                <w:color w:val="000000"/>
                <w:spacing w:val="0"/>
                <w:w w:val="100"/>
                <w:position w:val="0"/>
              </w:rPr>
              <w:t>羟基维生素</w:t>
            </w:r>
            <w:r>
              <w:rPr>
                <w:rFonts w:ascii="Times New Roman" w:eastAsia="Times New Roman" w:hAnsi="Times New Roman" w:cs="Times New Roman"/>
                <w:color w:val="000000"/>
                <w:spacing w:val="0"/>
                <w:w w:val="100"/>
                <w:position w:val="0"/>
              </w:rPr>
              <w:t>D2</w:t>
            </w:r>
            <w:r>
              <w:rPr>
                <w:color w:val="000000"/>
                <w:spacing w:val="0"/>
                <w:w w:val="100"/>
                <w:position w:val="0"/>
              </w:rPr>
              <w:t>（</w:t>
            </w:r>
            <w:r>
              <w:rPr>
                <w:rFonts w:ascii="Times New Roman" w:eastAsia="Times New Roman" w:hAnsi="Times New Roman" w:cs="Times New Roman"/>
                <w:color w:val="000000"/>
                <w:spacing w:val="0"/>
                <w:w w:val="100"/>
                <w:position w:val="0"/>
              </w:rPr>
              <w:t>25（OH）D2</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D3</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25（OH）D3</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生育酚</w:t>
            </w:r>
            <w:r>
              <w:rPr>
                <w:color w:val="000000"/>
                <w:spacing w:val="0"/>
                <w:w w:val="100"/>
                <w:position w:val="0"/>
              </w:rPr>
              <w:t>（</w:t>
            </w:r>
            <w:r>
              <w:rPr>
                <w:rFonts w:ascii="Times New Roman" w:eastAsia="Times New Roman" w:hAnsi="Times New Roman" w:cs="Times New Roman"/>
                <w:color w:val="000000"/>
                <w:spacing w:val="0"/>
                <w:w w:val="100"/>
                <w:position w:val="0"/>
              </w:rPr>
              <w:t>VE</w:t>
            </w:r>
            <w:r>
              <w:rPr>
                <w:color w:val="000000"/>
                <w:spacing w:val="0"/>
                <w:w w:val="100"/>
                <w:position w:val="0"/>
              </w:rPr>
              <w:t>）、</w:t>
            </w:r>
            <w:r>
              <w:rPr>
                <w:color w:val="000000"/>
                <w:spacing w:val="0"/>
                <w:w w:val="100"/>
                <w:position w:val="0"/>
              </w:rPr>
              <w:t>叶绿醌</w:t>
            </w:r>
            <w:r>
              <w:rPr>
                <w:color w:val="000000"/>
                <w:spacing w:val="0"/>
                <w:w w:val="100"/>
                <w:position w:val="0"/>
              </w:rPr>
              <w:t>（</w:t>
            </w:r>
            <w:r>
              <w:rPr>
                <w:rFonts w:ascii="Times New Roman" w:eastAsia="Times New Roman" w:hAnsi="Times New Roman" w:cs="Times New Roman"/>
                <w:color w:val="000000"/>
                <w:spacing w:val="0"/>
                <w:w w:val="100"/>
                <w:position w:val="0"/>
              </w:rPr>
              <w:t>VK1</w:t>
            </w:r>
            <w:r>
              <w:rPr>
                <w:color w:val="000000"/>
                <w:spacing w:val="0"/>
                <w:w w:val="100"/>
                <w:position w:val="0"/>
              </w:rPr>
              <w:t>）</w:t>
            </w:r>
            <w:r>
              <w:rPr>
                <w:color w:val="000000"/>
                <w:spacing w:val="0"/>
                <w:w w:val="100"/>
                <w:position w:val="0"/>
              </w:rPr>
              <w:t>的 系统校准。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15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脂溶性维生素多项质 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本产品与本公司生产的脂溶性维生素样本释放剂（液相 色谱</w:t>
            </w:r>
            <w:r>
              <w:rPr>
                <w:rFonts w:ascii="Times New Roman" w:eastAsia="Times New Roman" w:hAnsi="Times New Roman" w:cs="Times New Roman"/>
                <w:color w:val="000000"/>
                <w:spacing w:val="0"/>
                <w:w w:val="100"/>
                <w:position w:val="0"/>
              </w:rPr>
              <w:t>-</w:t>
            </w:r>
            <w:r>
              <w:rPr>
                <w:color w:val="000000"/>
                <w:spacing w:val="0"/>
                <w:w w:val="100"/>
                <w:position w:val="0"/>
              </w:rPr>
              <w:t>串联质谱法）配套使用，用于视黄醇（</w:t>
            </w:r>
            <w:r>
              <w:rPr>
                <w:rFonts w:ascii="Times New Roman" w:eastAsia="Times New Roman" w:hAnsi="Times New Roman" w:cs="Times New Roman"/>
                <w:color w:val="000000"/>
                <w:spacing w:val="0"/>
                <w:w w:val="100"/>
                <w:position w:val="0"/>
              </w:rPr>
              <w:t>VA</w:t>
            </w:r>
            <w:r>
              <w:rPr>
                <w:color w:val="000000"/>
                <w:spacing w:val="0"/>
                <w:w w:val="100"/>
                <w:position w:val="0"/>
              </w:rPr>
              <w:t>）、</w:t>
            </w:r>
            <w:r>
              <w:rPr>
                <w:rFonts w:ascii="Times New Roman" w:eastAsia="Times New Roman" w:hAnsi="Times New Roman" w:cs="Times New Roman"/>
                <w:color w:val="000000"/>
                <w:spacing w:val="0"/>
                <w:w w:val="100"/>
                <w:position w:val="0"/>
              </w:rPr>
              <w:t xml:space="preserve">25- </w:t>
            </w:r>
            <w:r>
              <w:rPr>
                <w:color w:val="000000"/>
                <w:spacing w:val="0"/>
                <w:w w:val="100"/>
                <w:position w:val="0"/>
              </w:rPr>
              <w:t>羟基维生素</w:t>
            </w:r>
            <w:r>
              <w:rPr>
                <w:rFonts w:ascii="Times New Roman" w:eastAsia="Times New Roman" w:hAnsi="Times New Roman" w:cs="Times New Roman"/>
                <w:color w:val="000000"/>
                <w:spacing w:val="0"/>
                <w:w w:val="100"/>
                <w:position w:val="0"/>
              </w:rPr>
              <w:t>D2</w:t>
            </w:r>
            <w:r>
              <w:rPr>
                <w:color w:val="000000"/>
                <w:spacing w:val="0"/>
                <w:w w:val="100"/>
                <w:position w:val="0"/>
              </w:rPr>
              <w:t>（</w:t>
            </w:r>
            <w:r>
              <w:rPr>
                <w:rFonts w:ascii="Times New Roman" w:eastAsia="Times New Roman" w:hAnsi="Times New Roman" w:cs="Times New Roman"/>
                <w:color w:val="000000"/>
                <w:spacing w:val="0"/>
                <w:w w:val="100"/>
                <w:position w:val="0"/>
              </w:rPr>
              <w:t>25（OH）D2</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羟基维生素</w:t>
            </w:r>
            <w:r>
              <w:rPr>
                <w:rFonts w:ascii="Times New Roman" w:eastAsia="Times New Roman" w:hAnsi="Times New Roman" w:cs="Times New Roman"/>
                <w:color w:val="000000"/>
                <w:spacing w:val="0"/>
                <w:w w:val="100"/>
                <w:position w:val="0"/>
              </w:rPr>
              <w:t>D3</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25（OH）D3</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生育酚</w:t>
            </w:r>
            <w:r>
              <w:rPr>
                <w:color w:val="000000"/>
                <w:spacing w:val="0"/>
                <w:w w:val="100"/>
                <w:position w:val="0"/>
              </w:rPr>
              <w:t>（</w:t>
            </w:r>
            <w:r>
              <w:rPr>
                <w:rFonts w:ascii="Times New Roman" w:eastAsia="Times New Roman" w:hAnsi="Times New Roman" w:cs="Times New Roman"/>
                <w:color w:val="000000"/>
                <w:spacing w:val="0"/>
                <w:w w:val="100"/>
                <w:position w:val="0"/>
              </w:rPr>
              <w:t>VE</w:t>
            </w:r>
            <w:r>
              <w:rPr>
                <w:color w:val="000000"/>
                <w:spacing w:val="0"/>
                <w:w w:val="100"/>
                <w:position w:val="0"/>
              </w:rPr>
              <w:t>）、</w:t>
            </w:r>
            <w:r>
              <w:rPr>
                <w:color w:val="000000"/>
                <w:spacing w:val="0"/>
                <w:w w:val="100"/>
                <w:position w:val="0"/>
              </w:rPr>
              <w:t>叶绿醌</w:t>
            </w:r>
            <w:r>
              <w:rPr>
                <w:color w:val="000000"/>
                <w:spacing w:val="0"/>
                <w:w w:val="100"/>
                <w:position w:val="0"/>
              </w:rPr>
              <w:t>（</w:t>
            </w:r>
            <w:r>
              <w:rPr>
                <w:rFonts w:ascii="Times New Roman" w:eastAsia="Times New Roman" w:hAnsi="Times New Roman" w:cs="Times New Roman"/>
                <w:color w:val="000000"/>
                <w:spacing w:val="0"/>
                <w:w w:val="100"/>
                <w:position w:val="0"/>
              </w:rPr>
              <w:t>VK1</w:t>
            </w:r>
            <w:r>
              <w:rPr>
                <w:color w:val="000000"/>
                <w:spacing w:val="0"/>
                <w:w w:val="100"/>
                <w:position w:val="0"/>
              </w:rPr>
              <w:t>）</w:t>
            </w:r>
            <w:r>
              <w:rPr>
                <w:color w:val="000000"/>
                <w:spacing w:val="0"/>
                <w:w w:val="100"/>
                <w:position w:val="0"/>
              </w:rPr>
              <w:t>的 质谱法检测时，进行室内质量控制。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15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全自动化学发光免疫 分析仪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采用基于</w:t>
            </w:r>
            <w:r>
              <w:rPr>
                <w:rFonts w:ascii="Times New Roman" w:eastAsia="Times New Roman" w:hAnsi="Times New Roman" w:cs="Times New Roman"/>
                <w:color w:val="000000"/>
                <w:spacing w:val="0"/>
                <w:w w:val="100"/>
                <w:position w:val="0"/>
              </w:rPr>
              <w:t>AMPP D</w:t>
            </w:r>
            <w:r>
              <w:rPr>
                <w:color w:val="000000"/>
                <w:spacing w:val="0"/>
                <w:w w:val="100"/>
                <w:position w:val="0"/>
              </w:rPr>
              <w:t>和碱性磷酸酶的间接化学发光法，与 配套的检测试剂共同使用，在临床上用于对来源于人体 的血清、血浆、全血样本中的被分析物进行定性或定量 检测，包括炎症、感染性疾病、免疫功能、激素、酶 类、心肌类、肝病、蛋白质及多肽类项目。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r>
        <w:trPr>
          <w:trHeight w:val="16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全自动化学发光免疫 分析仪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采用吖啶酯的直接化学发光免疫法，与配套的检测试剂 共同使用，在临床上用于对来源于人体的血清、血浆样 本中的被分析物进行定性或定量检测，包括炎症、肿瘤 相关抗原、免疫功能、激素、肝病、蛋白质及多肽类项 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2025/9/28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2020/9/29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首次注 册</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28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人乳头瘤病毒</w:t>
            </w:r>
          </w:p>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color w:val="000000"/>
                <w:spacing w:val="0"/>
                <w:w w:val="100"/>
                <w:position w:val="0"/>
              </w:rPr>
              <w:t>核酸分型分 析软件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515" w:val="left"/>
              </w:tabs>
              <w:bidi w:val="0"/>
              <w:spacing w:before="0" w:after="0" w:line="314" w:lineRule="exact"/>
              <w:ind w:left="0" w:right="0" w:firstLine="0"/>
              <w:jc w:val="both"/>
            </w:pPr>
            <w:r>
              <w:rPr>
                <w:color w:val="000000"/>
                <w:spacing w:val="0"/>
                <w:w w:val="100"/>
                <w:position w:val="0"/>
              </w:rPr>
              <w:t>本软件适用于人乳头瘤病毒</w:t>
            </w: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color w:val="000000"/>
                <w:spacing w:val="0"/>
                <w:w w:val="100"/>
                <w:position w:val="0"/>
              </w:rPr>
              <w:t>核酸测序数据的分 析；通过对测序数据的过滤、比对获得对应</w:t>
            </w:r>
            <w:r>
              <w:rPr>
                <w:rFonts w:ascii="Times New Roman" w:eastAsia="Times New Roman" w:hAnsi="Times New Roman" w:cs="Times New Roman"/>
                <w:color w:val="000000"/>
                <w:spacing w:val="0"/>
                <w:w w:val="100"/>
                <w:position w:val="0"/>
              </w:rPr>
              <w:t>HPV</w:t>
            </w:r>
            <w:r>
              <w:rPr>
                <w:color w:val="000000"/>
                <w:spacing w:val="0"/>
                <w:w w:val="100"/>
                <w:position w:val="0"/>
              </w:rPr>
              <w:t>各型别 参考序列的比对结果；然后对结果进行</w:t>
            </w:r>
            <w:r>
              <w:rPr>
                <w:rFonts w:ascii="Times New Roman" w:eastAsia="Times New Roman" w:hAnsi="Times New Roman" w:cs="Times New Roman"/>
                <w:color w:val="000000"/>
                <w:spacing w:val="0"/>
                <w:w w:val="100"/>
                <w:position w:val="0"/>
              </w:rPr>
              <w:t>Read</w:t>
            </w:r>
            <w:r>
              <w:rPr>
                <w:color w:val="000000"/>
                <w:spacing w:val="0"/>
                <w:w w:val="100"/>
                <w:position w:val="0"/>
              </w:rPr>
              <w:t>计数和分型 分析，得出</w:t>
            </w:r>
            <w:r>
              <w:rPr>
                <w:rFonts w:ascii="Times New Roman" w:eastAsia="Times New Roman" w:hAnsi="Times New Roman" w:cs="Times New Roman"/>
                <w:color w:val="000000"/>
                <w:spacing w:val="0"/>
                <w:w w:val="100"/>
                <w:position w:val="0"/>
              </w:rPr>
              <w:t>17</w:t>
            </w:r>
            <w:r>
              <w:rPr>
                <w:color w:val="000000"/>
                <w:spacing w:val="0"/>
                <w:w w:val="100"/>
                <w:position w:val="0"/>
              </w:rPr>
              <w:t>种人乳头瘤病毒</w:t>
            </w:r>
            <w:r>
              <w:rPr>
                <w:color w:val="000000"/>
                <w:spacing w:val="0"/>
                <w:w w:val="100"/>
                <w:position w:val="0"/>
              </w:rPr>
              <w:t>（</w:t>
            </w:r>
            <w:r>
              <w:rPr>
                <w:rFonts w:ascii="Times New Roman" w:eastAsia="Times New Roman" w:hAnsi="Times New Roman" w:cs="Times New Roman"/>
                <w:color w:val="000000"/>
                <w:spacing w:val="0"/>
                <w:w w:val="100"/>
                <w:position w:val="0"/>
              </w:rPr>
              <w:t>HPV16</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w:t>
            </w:r>
            <w:r>
              <w:rPr>
                <w:rFonts w:ascii="Times New Roman" w:eastAsia="Times New Roman" w:hAnsi="Times New Roman" w:cs="Times New Roman"/>
                <w:color w:val="000000"/>
                <w:spacing w:val="0"/>
                <w:w w:val="100"/>
                <w:position w:val="0"/>
              </w:rPr>
              <w:t>33</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 xml:space="preserve">、 </w:t>
            </w:r>
            <w:r>
              <w:rPr>
                <w:rFonts w:ascii="Times New Roman" w:eastAsia="Times New Roman" w:hAnsi="Times New Roman" w:cs="Times New Roman"/>
                <w:color w:val="000000"/>
                <w:spacing w:val="0"/>
                <w:w w:val="100"/>
                <w:position w:val="0"/>
              </w:rPr>
              <w:t>39</w:t>
            </w:r>
            <w:r>
              <w:rPr>
                <w:color w:val="000000"/>
                <w:spacing w:val="0"/>
                <w:w w:val="100"/>
                <w:position w:val="0"/>
              </w:rPr>
              <w:t xml:space="preserve">、 </w:t>
            </w:r>
            <w:r>
              <w:rPr>
                <w:rFonts w:ascii="Times New Roman" w:eastAsia="Times New Roman" w:hAnsi="Times New Roman" w:cs="Times New Roman"/>
                <w:color w:val="000000"/>
                <w:spacing w:val="0"/>
                <w:w w:val="100"/>
                <w:position w:val="0"/>
              </w:rPr>
              <w:t>45</w:t>
            </w:r>
            <w:r>
              <w:rPr>
                <w:color w:val="000000"/>
                <w:spacing w:val="0"/>
                <w:w w:val="100"/>
                <w:position w:val="0"/>
              </w:rPr>
              <w:t xml:space="preserve">、 </w:t>
            </w:r>
            <w:r>
              <w:rPr>
                <w:rFonts w:ascii="Times New Roman" w:eastAsia="Times New Roman" w:hAnsi="Times New Roman" w:cs="Times New Roman"/>
                <w:color w:val="000000"/>
                <w:spacing w:val="0"/>
                <w:w w:val="100"/>
                <w:position w:val="0"/>
              </w:rPr>
              <w:t>51</w:t>
            </w:r>
            <w:r>
              <w:rPr>
                <w:color w:val="000000"/>
                <w:spacing w:val="0"/>
                <w:w w:val="100"/>
                <w:position w:val="0"/>
              </w:rPr>
              <w:t xml:space="preserve">、 </w:t>
            </w:r>
            <w:r>
              <w:rPr>
                <w:rFonts w:ascii="Times New Roman" w:eastAsia="Times New Roman" w:hAnsi="Times New Roman" w:cs="Times New Roman"/>
                <w:color w:val="000000"/>
                <w:spacing w:val="0"/>
                <w:w w:val="100"/>
                <w:position w:val="0"/>
              </w:rPr>
              <w:t>52</w:t>
            </w:r>
            <w:r>
              <w:rPr>
                <w:color w:val="000000"/>
                <w:spacing w:val="0"/>
                <w:w w:val="100"/>
                <w:position w:val="0"/>
              </w:rPr>
              <w:t xml:space="preserve">、 </w:t>
            </w:r>
            <w:r>
              <w:rPr>
                <w:rFonts w:ascii="Times New Roman" w:eastAsia="Times New Roman" w:hAnsi="Times New Roman" w:cs="Times New Roman"/>
                <w:color w:val="000000"/>
                <w:spacing w:val="0"/>
                <w:w w:val="100"/>
                <w:position w:val="0"/>
              </w:rPr>
              <w:t>53</w:t>
            </w:r>
            <w:r>
              <w:rPr>
                <w:color w:val="000000"/>
                <w:spacing w:val="0"/>
                <w:w w:val="100"/>
                <w:position w:val="0"/>
              </w:rPr>
              <w:t xml:space="preserve">、 </w:t>
            </w:r>
            <w:r>
              <w:rPr>
                <w:rFonts w:ascii="Times New Roman" w:eastAsia="Times New Roman" w:hAnsi="Times New Roman" w:cs="Times New Roman"/>
                <w:color w:val="000000"/>
                <w:spacing w:val="0"/>
                <w:w w:val="100"/>
                <w:position w:val="0"/>
              </w:rPr>
              <w:t>56</w:t>
            </w:r>
            <w:r>
              <w:rPr>
                <w:color w:val="000000"/>
                <w:spacing w:val="0"/>
                <w:w w:val="100"/>
                <w:position w:val="0"/>
              </w:rPr>
              <w:t>、</w:t>
              <w:tab/>
            </w:r>
            <w:r>
              <w:rPr>
                <w:rFonts w:ascii="Times New Roman" w:eastAsia="Times New Roman" w:hAnsi="Times New Roman" w:cs="Times New Roman"/>
                <w:color w:val="000000"/>
                <w:spacing w:val="0"/>
                <w:w w:val="100"/>
                <w:position w:val="0"/>
              </w:rPr>
              <w:t>58</w:t>
            </w:r>
            <w:r>
              <w:rPr>
                <w:color w:val="000000"/>
                <w:spacing w:val="0"/>
                <w:w w:val="100"/>
                <w:position w:val="0"/>
              </w:rPr>
              <w:t xml:space="preserve">、 </w:t>
            </w:r>
            <w:r>
              <w:rPr>
                <w:rFonts w:ascii="Times New Roman" w:eastAsia="Times New Roman" w:hAnsi="Times New Roman" w:cs="Times New Roman"/>
                <w:color w:val="000000"/>
                <w:spacing w:val="0"/>
                <w:w w:val="100"/>
                <w:position w:val="0"/>
              </w:rPr>
              <w:t>59</w:t>
            </w:r>
            <w:r>
              <w:rPr>
                <w:color w:val="000000"/>
                <w:spacing w:val="0"/>
                <w:w w:val="100"/>
                <w:position w:val="0"/>
              </w:rPr>
              <w:t xml:space="preserve">、 </w:t>
            </w:r>
            <w:r>
              <w:rPr>
                <w:rFonts w:ascii="Times New Roman" w:eastAsia="Times New Roman" w:hAnsi="Times New Roman" w:cs="Times New Roman"/>
                <w:color w:val="000000"/>
                <w:spacing w:val="0"/>
                <w:w w:val="100"/>
                <w:position w:val="0"/>
              </w:rPr>
              <w:t>66</w:t>
            </w:r>
            <w:r>
              <w:rPr>
                <w:color w:val="000000"/>
                <w:spacing w:val="0"/>
                <w:w w:val="100"/>
                <w:position w:val="0"/>
              </w:rPr>
              <w:t xml:space="preserve">、 </w:t>
            </w:r>
            <w:r>
              <w:rPr>
                <w:rFonts w:ascii="Times New Roman" w:eastAsia="Times New Roman" w:hAnsi="Times New Roman" w:cs="Times New Roman"/>
                <w:color w:val="000000"/>
                <w:spacing w:val="0"/>
                <w:w w:val="100"/>
                <w:position w:val="0"/>
              </w:rPr>
              <w:t>68</w:t>
            </w:r>
            <w:r>
              <w:rPr>
                <w:color w:val="000000"/>
                <w:spacing w:val="0"/>
                <w:w w:val="100"/>
                <w:position w:val="0"/>
              </w:rPr>
              <w:t xml:space="preserve">、 </w:t>
            </w:r>
            <w:r>
              <w:rPr>
                <w:rFonts w:ascii="Times New Roman" w:eastAsia="Times New Roman" w:hAnsi="Times New Roman" w:cs="Times New Roman"/>
                <w:color w:val="000000"/>
                <w:spacing w:val="0"/>
                <w:w w:val="100"/>
                <w:position w:val="0"/>
              </w:rPr>
              <w:t>73</w:t>
            </w:r>
            <w:r>
              <w:rPr>
                <w:color w:val="000000"/>
                <w:spacing w:val="0"/>
                <w:w w:val="100"/>
                <w:position w:val="0"/>
              </w:rPr>
              <w:t>、</w:t>
            </w:r>
          </w:p>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82</w:t>
            </w:r>
            <w:r>
              <w:rPr>
                <w:color w:val="000000"/>
                <w:spacing w:val="0"/>
                <w:w w:val="100"/>
                <w:position w:val="0"/>
              </w:rPr>
              <w:t>）的信息分析结果。分析结果的临床意义以国家药品 监督管理局批准的《人乳头瘤病毒</w:t>
            </w:r>
            <w:r>
              <w:rPr>
                <w:color w:val="000000"/>
                <w:spacing w:val="0"/>
                <w:w w:val="100"/>
                <w:position w:val="0"/>
              </w:rPr>
              <w:t>（</w:t>
            </w:r>
            <w:r>
              <w:rPr>
                <w:rFonts w:ascii="Times New Roman" w:eastAsia="Times New Roman" w:hAnsi="Times New Roman" w:cs="Times New Roman"/>
                <w:color w:val="000000"/>
                <w:spacing w:val="0"/>
                <w:w w:val="100"/>
                <w:position w:val="0"/>
              </w:rPr>
              <w:t>HPV</w:t>
            </w:r>
            <w:r>
              <w:rPr>
                <w:color w:val="000000"/>
                <w:spacing w:val="0"/>
                <w:w w:val="100"/>
                <w:position w:val="0"/>
              </w:rPr>
              <w:t>）</w:t>
            </w:r>
            <w:r>
              <w:rPr>
                <w:color w:val="000000"/>
                <w:spacing w:val="0"/>
                <w:w w:val="100"/>
                <w:position w:val="0"/>
              </w:rPr>
              <w:t>分型检测试 剂盒（联合探针锚定聚合测序法）》为准，产品适用于 医疗机构使用。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2021/1/8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80" w:right="0" w:hanging="18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白介素</w:t>
            </w:r>
            <w:r>
              <w:rPr>
                <w:rFonts w:ascii="Times New Roman" w:eastAsia="Times New Roman" w:hAnsi="Times New Roman" w:cs="Times New Roman"/>
                <w:color w:val="000000"/>
                <w:spacing w:val="0"/>
                <w:w w:val="100"/>
                <w:position w:val="0"/>
              </w:rPr>
              <w:t>-6</w:t>
            </w:r>
            <w:r>
              <w:rPr>
                <w:color w:val="000000"/>
                <w:spacing w:val="0"/>
                <w:w w:val="100"/>
                <w:position w:val="0"/>
              </w:rPr>
              <w:t>测定试剂盒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（磁微粒化学发光免 疫分析法）法）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用于体外定量测定人血清、血浆或全血中白介素</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 xml:space="preserve">IL- </w:t>
            </w:r>
            <w:r>
              <w:rPr>
                <w:rFonts w:ascii="Times New Roman" w:eastAsia="Times New Roman" w:hAnsi="Times New Roman" w:cs="Times New Roman"/>
                <w:color w:val="000000"/>
                <w:spacing w:val="0"/>
                <w:w w:val="100"/>
                <w:position w:val="0"/>
              </w:rPr>
              <w:t>6</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降钙素原测定试剂盒</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（磁微粒化学发光免 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用于体外定量测定人血清、血浆或全血中降钙素原 </w:t>
            </w:r>
            <w:r>
              <w:rPr>
                <w:color w:val="000000"/>
                <w:spacing w:val="0"/>
                <w:w w:val="100"/>
                <w:position w:val="0"/>
              </w:rPr>
              <w:t>（</w:t>
            </w:r>
            <w:r>
              <w:rPr>
                <w:rFonts w:ascii="Times New Roman" w:eastAsia="Times New Roman" w:hAnsi="Times New Roman" w:cs="Times New Roman"/>
                <w:color w:val="000000"/>
                <w:spacing w:val="0"/>
                <w:w w:val="100"/>
                <w:position w:val="0"/>
              </w:rPr>
              <w:t>PCT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氨基末端脑利钠肽前 体测定试剂盒（磁微 粒化学发光免疫分析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用于体外定量测定人血清、血浆或全血中氨基末端脑利 钠肽前体（</w:t>
            </w:r>
            <w:r>
              <w:rPr>
                <w:rFonts w:ascii="Times New Roman" w:eastAsia="Times New Roman" w:hAnsi="Times New Roman" w:cs="Times New Roman"/>
                <w:color w:val="000000"/>
                <w:spacing w:val="0"/>
                <w:w w:val="100"/>
                <w:position w:val="0"/>
              </w:rPr>
              <w:t>NT-proBNP</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肌钙蛋白</w:t>
            </w:r>
            <w:r>
              <w:rPr>
                <w:rFonts w:ascii="Times New Roman" w:eastAsia="Times New Roman" w:hAnsi="Times New Roman" w:cs="Times New Roman"/>
                <w:color w:val="000000"/>
                <w:spacing w:val="0"/>
                <w:w w:val="100"/>
                <w:position w:val="0"/>
              </w:rPr>
              <w:t>I</w:t>
            </w:r>
            <w:r>
              <w:rPr>
                <w:color w:val="000000"/>
                <w:spacing w:val="0"/>
                <w:w w:val="100"/>
                <w:position w:val="0"/>
              </w:rPr>
              <w:t>测定试剂盒</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（磁微粒化学发光免 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用于体外定量测定人体血清、血浆或全血中肌钙蛋白</w:t>
            </w:r>
            <w:r>
              <w:rPr>
                <w:rFonts w:ascii="Times New Roman" w:eastAsia="Times New Roman" w:hAnsi="Times New Roman" w:cs="Times New Roman"/>
                <w:color w:val="000000"/>
                <w:spacing w:val="0"/>
                <w:w w:val="100"/>
                <w:position w:val="0"/>
              </w:rPr>
              <w:t xml:space="preserve">I </w:t>
            </w:r>
            <w:r>
              <w:rPr>
                <w:color w:val="000000"/>
                <w:spacing w:val="0"/>
                <w:w w:val="100"/>
                <w:position w:val="0"/>
              </w:rPr>
              <w:t>（</w:t>
            </w:r>
            <w:r>
              <w:rPr>
                <w:rFonts w:ascii="Times New Roman" w:eastAsia="Times New Roman" w:hAnsi="Times New Roman" w:cs="Times New Roman"/>
                <w:color w:val="000000"/>
                <w:spacing w:val="0"/>
                <w:w w:val="100"/>
                <w:position w:val="0"/>
              </w:rPr>
              <w:t>cTnI</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肌红蛋白测定试剂盒</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（磁微粒化学发光免 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用于体外定量测定人体血清、血浆或全血中肌红蛋白</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Myo</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肌酸激酶同工酶测定</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试剂盒（磁微粒化学 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用于体外定量测定人血清、血浆或全血中肌酸激酶同工 酶（</w:t>
            </w:r>
            <w:r>
              <w:rPr>
                <w:rFonts w:ascii="Times New Roman" w:eastAsia="Times New Roman" w:hAnsi="Times New Roman" w:cs="Times New Roman"/>
                <w:color w:val="000000"/>
                <w:spacing w:val="0"/>
                <w:w w:val="100"/>
                <w:position w:val="0"/>
              </w:rPr>
              <w:t>CK-MB</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超敏</w:t>
            </w:r>
            <w:r>
              <w:rPr>
                <w:rFonts w:ascii="Times New Roman" w:eastAsia="Times New Roman" w:hAnsi="Times New Roman" w:cs="Times New Roman"/>
                <w:color w:val="000000"/>
                <w:spacing w:val="0"/>
                <w:w w:val="100"/>
                <w:position w:val="0"/>
              </w:rPr>
              <w:t>C</w:t>
            </w:r>
            <w:r>
              <w:rPr>
                <w:color w:val="000000"/>
                <w:spacing w:val="0"/>
                <w:w w:val="100"/>
                <w:position w:val="0"/>
              </w:rPr>
              <w:t>反应蛋白测定 试剂盒（磁微粒化学 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用于体外定量测定人体血清、血浆或全血中</w:t>
            </w:r>
            <w:r>
              <w:rPr>
                <w:rFonts w:ascii="Times New Roman" w:eastAsia="Times New Roman" w:hAnsi="Times New Roman" w:cs="Times New Roman"/>
                <w:color w:val="000000"/>
                <w:spacing w:val="0"/>
                <w:w w:val="100"/>
                <w:position w:val="0"/>
              </w:rPr>
              <w:t>C</w:t>
            </w:r>
            <w:r>
              <w:rPr>
                <w:color w:val="000000"/>
                <w:spacing w:val="0"/>
                <w:w w:val="100"/>
                <w:position w:val="0"/>
              </w:rPr>
              <w:t xml:space="preserve">反应蛋白 </w:t>
            </w:r>
            <w:r>
              <w:rPr>
                <w:color w:val="000000"/>
                <w:spacing w:val="0"/>
                <w:w w:val="100"/>
                <w:position w:val="0"/>
              </w:rPr>
              <w:t>（</w:t>
            </w:r>
            <w:r>
              <w:rPr>
                <w:rFonts w:ascii="Times New Roman" w:eastAsia="Times New Roman" w:hAnsi="Times New Roman" w:cs="Times New Roman"/>
                <w:color w:val="000000"/>
                <w:spacing w:val="0"/>
                <w:w w:val="100"/>
                <w:position w:val="0"/>
              </w:rPr>
              <w:t>CRP</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血清淀粉样蛋白</w:t>
            </w:r>
            <w:r>
              <w:rPr>
                <w:rFonts w:ascii="Times New Roman" w:eastAsia="Times New Roman" w:hAnsi="Times New Roman" w:cs="Times New Roman"/>
                <w:color w:val="000000"/>
                <w:spacing w:val="0"/>
                <w:w w:val="100"/>
                <w:position w:val="0"/>
              </w:rPr>
              <w:t>A</w:t>
            </w:r>
            <w:r>
              <w:rPr>
                <w:color w:val="000000"/>
                <w:spacing w:val="0"/>
                <w:w w:val="100"/>
                <w:position w:val="0"/>
              </w:rPr>
              <w:t>测 定试剂盒（磁微粒化 学发光免疫分析法）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用于体外定量测定人血清、血浆或全血中血清淀粉样蛋 白</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SAA</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both"/>
            </w:pPr>
            <w:r>
              <w:rPr>
                <w:rFonts w:ascii="Times New Roman" w:eastAsia="Times New Roman" w:hAnsi="Times New Roman" w:cs="Times New Roman"/>
                <w:color w:val="000000"/>
                <w:spacing w:val="0"/>
                <w:w w:val="100"/>
                <w:position w:val="0"/>
              </w:rPr>
              <w:t>P-</w:t>
            </w:r>
            <w:r>
              <w:rPr>
                <w:color w:val="000000"/>
                <w:spacing w:val="0"/>
                <w:w w:val="100"/>
                <w:position w:val="0"/>
              </w:rPr>
              <w:t>人绒毛膜促性腺激 素测定试剂盒（磁微 粒化学发光免疫分析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用于体外定量测定人血清、血浆或全血中</w:t>
            </w:r>
            <w:r>
              <w:rPr>
                <w:rFonts w:ascii="Times New Roman" w:eastAsia="Times New Roman" w:hAnsi="Times New Roman" w:cs="Times New Roman"/>
                <w:color w:val="000000"/>
                <w:spacing w:val="0"/>
                <w:w w:val="100"/>
                <w:position w:val="0"/>
              </w:rPr>
              <w:t>P-</w:t>
            </w:r>
            <w:r>
              <w:rPr>
                <w:color w:val="000000"/>
                <w:spacing w:val="0"/>
                <w:w w:val="100"/>
                <w:position w:val="0"/>
              </w:rPr>
              <w:t>人绒毛膜促 性腺激素（</w:t>
            </w:r>
            <w:r>
              <w:rPr>
                <w:rFonts w:ascii="Times New Roman" w:eastAsia="Times New Roman" w:hAnsi="Times New Roman" w:cs="Times New Roman"/>
                <w:color w:val="000000"/>
                <w:spacing w:val="0"/>
                <w:w w:val="100"/>
                <w:position w:val="0"/>
              </w:rPr>
              <w:t>P--HCG</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孕酮测定试剂盒（磁 微粒化学发光免疫分 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用于体外定量测定人血清、血浆或全血中孕酮</w:t>
            </w:r>
            <w:r>
              <w:rPr>
                <w:color w:val="000000"/>
                <w:spacing w:val="0"/>
                <w:w w:val="100"/>
                <w:position w:val="0"/>
              </w:rPr>
              <w:t>（</w:t>
            </w:r>
            <w:r>
              <w:rPr>
                <w:rFonts w:ascii="Times New Roman" w:eastAsia="Times New Roman" w:hAnsi="Times New Roman" w:cs="Times New Roman"/>
                <w:color w:val="000000"/>
                <w:spacing w:val="0"/>
                <w:w w:val="100"/>
                <w:position w:val="0"/>
              </w:rPr>
              <w:t>P</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胃蛋白酶原</w:t>
            </w:r>
            <w:r>
              <w:rPr>
                <w:rFonts w:ascii="Times New Roman" w:eastAsia="Times New Roman" w:hAnsi="Times New Roman" w:cs="Times New Roman"/>
                <w:color w:val="000000"/>
                <w:spacing w:val="0"/>
                <w:w w:val="100"/>
                <w:position w:val="0"/>
              </w:rPr>
              <w:t>I</w:t>
            </w:r>
            <w:r>
              <w:rPr>
                <w:color w:val="000000"/>
                <w:spacing w:val="0"/>
                <w:w w:val="100"/>
                <w:position w:val="0"/>
              </w:rPr>
              <w:t>测定试剂 盒（磁微粒化学发光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用于体外定量测定人体血清、血浆或全血中胃蛋白酶原</w:t>
            </w:r>
            <w:r>
              <w:rPr>
                <w:rFonts w:ascii="Times New Roman" w:eastAsia="Times New Roman" w:hAnsi="Times New Roman" w:cs="Times New Roman"/>
                <w:color w:val="000000"/>
                <w:spacing w:val="0"/>
                <w:w w:val="100"/>
                <w:position w:val="0"/>
              </w:rPr>
              <w:t xml:space="preserve">I </w:t>
            </w:r>
            <w:r>
              <w:rPr>
                <w:color w:val="000000"/>
                <w:spacing w:val="0"/>
                <w:w w:val="100"/>
                <w:position w:val="0"/>
              </w:rPr>
              <w:t>（</w:t>
            </w:r>
            <w:r>
              <w:rPr>
                <w:rFonts w:ascii="Times New Roman" w:eastAsia="Times New Roman" w:hAnsi="Times New Roman" w:cs="Times New Roman"/>
                <w:color w:val="000000"/>
                <w:spacing w:val="0"/>
                <w:w w:val="100"/>
                <w:position w:val="0"/>
              </w:rPr>
              <w:t>PGI</w:t>
            </w:r>
            <w:r>
              <w:rPr>
                <w:color w:val="000000"/>
                <w:spacing w:val="0"/>
                <w:w w:val="100"/>
                <w:position w:val="0"/>
              </w:rPr>
              <w:t>）的含量。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免疫分析法）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胃蛋白酶原</w:t>
            </w:r>
            <w:r>
              <w:rPr>
                <w:rFonts w:ascii="Times New Roman" w:eastAsia="Times New Roman" w:hAnsi="Times New Roman" w:cs="Times New Roman"/>
                <w:color w:val="000000"/>
                <w:spacing w:val="0"/>
                <w:w w:val="100"/>
                <w:position w:val="0"/>
              </w:rPr>
              <w:t>II</w:t>
            </w:r>
            <w:r>
              <w:rPr>
                <w:color w:val="000000"/>
                <w:spacing w:val="0"/>
                <w:w w:val="100"/>
                <w:position w:val="0"/>
              </w:rPr>
              <w:t>测定试 剂盒（磁微粒化学发 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用于体外定量测定人体血清、血浆或全血中胃蛋白酶原</w:t>
            </w:r>
            <w:r>
              <w:rPr>
                <w:rFonts w:ascii="Times New Roman" w:eastAsia="Times New Roman" w:hAnsi="Times New Roman" w:cs="Times New Roman"/>
                <w:color w:val="000000"/>
                <w:spacing w:val="0"/>
                <w:w w:val="100"/>
                <w:position w:val="0"/>
              </w:rPr>
              <w:t xml:space="preserve">II </w:t>
            </w:r>
            <w:r>
              <w:rPr>
                <w:color w:val="000000"/>
                <w:spacing w:val="0"/>
                <w:w w:val="100"/>
                <w:position w:val="0"/>
              </w:rPr>
              <w:t>（</w:t>
            </w:r>
            <w:r>
              <w:rPr>
                <w:rFonts w:ascii="Times New Roman" w:eastAsia="Times New Roman" w:hAnsi="Times New Roman" w:cs="Times New Roman"/>
                <w:color w:val="000000"/>
                <w:spacing w:val="0"/>
                <w:w w:val="100"/>
                <w:position w:val="0"/>
              </w:rPr>
              <w:t>PGII</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心脏型脂肪酸结合蛋 白测定试剂盒（磁微 粒化学发光免疫分析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用于体外定量测定人体血清、血浆或全血中心脏型脂肪 酸结合蛋白（</w:t>
            </w:r>
            <w:r>
              <w:rPr>
                <w:rFonts w:ascii="Times New Roman" w:eastAsia="Times New Roman" w:hAnsi="Times New Roman" w:cs="Times New Roman"/>
                <w:color w:val="000000"/>
                <w:spacing w:val="0"/>
                <w:w w:val="100"/>
                <w:position w:val="0"/>
              </w:rPr>
              <w:t>H-FABP</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促黄体生成素测定试 剂盒（磁微粒化学发 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用于体外定量测定人血清、血浆或全血中促黄体生成素</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LH</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促卵泡生成素测定试 剂盒（磁微粒化学发 光免疫分析法）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用于体外定量测定人体血清、血浆或全血中促卵泡生成 素</w:t>
            </w:r>
            <w:r>
              <w:rPr>
                <w:color w:val="000000"/>
                <w:spacing w:val="0"/>
                <w:w w:val="100"/>
                <w:position w:val="0"/>
              </w:rPr>
              <w:t>（</w:t>
            </w:r>
            <w:r>
              <w:rPr>
                <w:rFonts w:ascii="Times New Roman" w:eastAsia="Times New Roman" w:hAnsi="Times New Roman" w:cs="Times New Roman"/>
                <w:color w:val="000000"/>
                <w:spacing w:val="0"/>
                <w:w w:val="100"/>
                <w:position w:val="0"/>
              </w:rPr>
              <w:t>FSH</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降钙素原</w:t>
            </w:r>
            <w:r>
              <w:rPr>
                <w:rFonts w:ascii="Times New Roman" w:eastAsia="Times New Roman" w:hAnsi="Times New Roman" w:cs="Times New Roman"/>
                <w:color w:val="000000"/>
                <w:spacing w:val="0"/>
                <w:w w:val="100"/>
                <w:position w:val="0"/>
              </w:rPr>
              <w:t>/</w:t>
            </w:r>
            <w:r>
              <w:rPr>
                <w:color w:val="000000"/>
                <w:spacing w:val="0"/>
                <w:w w:val="100"/>
                <w:position w:val="0"/>
              </w:rPr>
              <w:t>血清淀粉样 蛋白</w:t>
            </w:r>
            <w:r>
              <w:rPr>
                <w:rFonts w:ascii="Times New Roman" w:eastAsia="Times New Roman" w:hAnsi="Times New Roman" w:cs="Times New Roman"/>
                <w:color w:val="000000"/>
                <w:spacing w:val="0"/>
                <w:w w:val="100"/>
                <w:position w:val="0"/>
              </w:rPr>
              <w:t>A/</w:t>
            </w:r>
            <w:r>
              <w:rPr>
                <w:color w:val="000000"/>
                <w:spacing w:val="0"/>
                <w:w w:val="100"/>
                <w:position w:val="0"/>
              </w:rPr>
              <w:t>白介素</w:t>
            </w:r>
            <w:r>
              <w:rPr>
                <w:rFonts w:ascii="Times New Roman" w:eastAsia="Times New Roman" w:hAnsi="Times New Roman" w:cs="Times New Roman"/>
                <w:color w:val="000000"/>
                <w:spacing w:val="0"/>
                <w:w w:val="100"/>
                <w:position w:val="0"/>
              </w:rPr>
              <w:t>-6</w:t>
            </w:r>
            <w:r>
              <w:rPr>
                <w:color w:val="000000"/>
                <w:spacing w:val="0"/>
                <w:w w:val="100"/>
                <w:position w:val="0"/>
              </w:rPr>
              <w:t>复合 质控品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降钙素原</w:t>
            </w:r>
            <w:r>
              <w:rPr>
                <w:rFonts w:ascii="Times New Roman" w:eastAsia="Times New Roman" w:hAnsi="Times New Roman" w:cs="Times New Roman"/>
                <w:color w:val="000000"/>
                <w:spacing w:val="0"/>
                <w:w w:val="100"/>
                <w:position w:val="0"/>
              </w:rPr>
              <w:t>/</w:t>
            </w:r>
            <w:r>
              <w:rPr>
                <w:color w:val="000000"/>
                <w:spacing w:val="0"/>
                <w:w w:val="100"/>
                <w:position w:val="0"/>
              </w:rPr>
              <w:t>血清淀粉样蛋白</w:t>
            </w:r>
            <w:r>
              <w:rPr>
                <w:rFonts w:ascii="Times New Roman" w:eastAsia="Times New Roman" w:hAnsi="Times New Roman" w:cs="Times New Roman"/>
                <w:color w:val="000000"/>
                <w:spacing w:val="0"/>
                <w:w w:val="100"/>
                <w:position w:val="0"/>
              </w:rPr>
              <w:t>A/</w:t>
            </w:r>
            <w:r>
              <w:rPr>
                <w:color w:val="000000"/>
                <w:spacing w:val="0"/>
                <w:w w:val="100"/>
                <w:position w:val="0"/>
              </w:rPr>
              <w:t>白介素</w:t>
            </w:r>
            <w:r>
              <w:rPr>
                <w:rFonts w:ascii="Times New Roman" w:eastAsia="Times New Roman" w:hAnsi="Times New Roman" w:cs="Times New Roman"/>
                <w:color w:val="000000"/>
                <w:spacing w:val="0"/>
                <w:w w:val="100"/>
                <w:position w:val="0"/>
              </w:rPr>
              <w:t>-6</w:t>
            </w:r>
            <w:r>
              <w:rPr>
                <w:color w:val="000000"/>
                <w:spacing w:val="0"/>
                <w:w w:val="100"/>
                <w:position w:val="0"/>
              </w:rPr>
              <w:t>复合质控品与本公 司生产的试剂盒配套使用，用于降钙素原</w:t>
            </w:r>
            <w:r>
              <w:rPr>
                <w:color w:val="000000"/>
                <w:spacing w:val="0"/>
                <w:w w:val="100"/>
                <w:position w:val="0"/>
              </w:rPr>
              <w:t>（</w:t>
            </w:r>
            <w:r>
              <w:rPr>
                <w:rFonts w:ascii="Times New Roman" w:eastAsia="Times New Roman" w:hAnsi="Times New Roman" w:cs="Times New Roman"/>
                <w:color w:val="000000"/>
                <w:spacing w:val="0"/>
                <w:w w:val="100"/>
                <w:position w:val="0"/>
              </w:rPr>
              <w:t>PCT</w:t>
            </w:r>
            <w:r>
              <w:rPr>
                <w:color w:val="000000"/>
                <w:spacing w:val="0"/>
                <w:w w:val="100"/>
                <w:position w:val="0"/>
              </w:rPr>
              <w:t>）</w:t>
            </w:r>
            <w:r>
              <w:rPr>
                <w:color w:val="000000"/>
                <w:spacing w:val="0"/>
                <w:w w:val="100"/>
                <w:position w:val="0"/>
              </w:rPr>
              <w:t>、血清 淀粉样蛋白</w:t>
            </w:r>
            <w:r>
              <w:rPr>
                <w:rFonts w:ascii="Times New Roman" w:eastAsia="Times New Roman" w:hAnsi="Times New Roman" w:cs="Times New Roman"/>
                <w:color w:val="000000"/>
                <w:spacing w:val="0"/>
                <w:w w:val="100"/>
                <w:position w:val="0"/>
              </w:rPr>
              <w:t>A</w:t>
            </w:r>
            <w:r>
              <w:rPr>
                <w:color w:val="000000"/>
                <w:spacing w:val="0"/>
                <w:w w:val="100"/>
                <w:position w:val="0"/>
              </w:rPr>
              <w:t>（</w:t>
            </w:r>
            <w:r>
              <w:rPr>
                <w:rFonts w:ascii="Times New Roman" w:eastAsia="Times New Roman" w:hAnsi="Times New Roman" w:cs="Times New Roman"/>
                <w:color w:val="000000"/>
                <w:spacing w:val="0"/>
                <w:w w:val="100"/>
                <w:position w:val="0"/>
              </w:rPr>
              <w:t>SAA</w:t>
            </w:r>
            <w:r>
              <w:rPr>
                <w:color w:val="000000"/>
                <w:spacing w:val="0"/>
                <w:w w:val="100"/>
                <w:position w:val="0"/>
              </w:rPr>
              <w:t>）</w:t>
            </w:r>
            <w:r>
              <w:rPr>
                <w:color w:val="000000"/>
                <w:spacing w:val="0"/>
                <w:w w:val="100"/>
                <w:position w:val="0"/>
              </w:rPr>
              <w:t>、白介素</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IL-6</w:t>
            </w:r>
            <w:r>
              <w:rPr>
                <w:color w:val="000000"/>
                <w:spacing w:val="0"/>
                <w:w w:val="100"/>
                <w:position w:val="0"/>
              </w:rPr>
              <w:t>）共</w:t>
            </w:r>
            <w:r>
              <w:rPr>
                <w:rFonts w:ascii="Times New Roman" w:eastAsia="Times New Roman" w:hAnsi="Times New Roman" w:cs="Times New Roman"/>
                <w:color w:val="000000"/>
                <w:spacing w:val="0"/>
                <w:w w:val="100"/>
                <w:position w:val="0"/>
              </w:rPr>
              <w:t>3</w:t>
            </w:r>
            <w:r>
              <w:rPr>
                <w:color w:val="000000"/>
                <w:spacing w:val="0"/>
                <w:w w:val="100"/>
                <w:position w:val="0"/>
              </w:rPr>
              <w:t>个项目的室 内质量控制。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神经元特异性烯醇化 酶测定试剂盒（磁微 粒化学发光法）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用于体外定量测定人血清中神经元特异性烯醇化酶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NSE</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癌胚抗原测定试剂盒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（磁微粒化学发光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用于体外定量测定人血清或血浆中癌胚抗原</w:t>
            </w:r>
            <w:r>
              <w:rPr>
                <w:color w:val="000000"/>
                <w:spacing w:val="0"/>
                <w:w w:val="100"/>
                <w:position w:val="0"/>
              </w:rPr>
              <w:t>（</w:t>
            </w:r>
            <w:r>
              <w:rPr>
                <w:rFonts w:ascii="Times New Roman" w:eastAsia="Times New Roman" w:hAnsi="Times New Roman" w:cs="Times New Roman"/>
                <w:color w:val="000000"/>
                <w:spacing w:val="0"/>
                <w:w w:val="100"/>
                <w:position w:val="0"/>
              </w:rPr>
              <w:t>CEA</w:t>
            </w:r>
            <w:r>
              <w:rPr>
                <w:color w:val="000000"/>
                <w:spacing w:val="0"/>
                <w:w w:val="100"/>
                <w:position w:val="0"/>
              </w:rPr>
              <w:t>）</w:t>
            </w:r>
            <w:r>
              <w:rPr>
                <w:color w:val="000000"/>
                <w:spacing w:val="0"/>
                <w:w w:val="100"/>
                <w:position w:val="0"/>
              </w:rPr>
              <w:t>的含 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糖类抗原</w:t>
            </w:r>
            <w:r>
              <w:rPr>
                <w:rFonts w:ascii="Times New Roman" w:eastAsia="Times New Roman" w:hAnsi="Times New Roman" w:cs="Times New Roman"/>
                <w:color w:val="000000"/>
                <w:spacing w:val="0"/>
                <w:w w:val="100"/>
                <w:position w:val="0"/>
              </w:rPr>
              <w:t>19-9</w:t>
            </w:r>
            <w:r>
              <w:rPr>
                <w:color w:val="000000"/>
                <w:spacing w:val="0"/>
                <w:w w:val="100"/>
                <w:position w:val="0"/>
              </w:rPr>
              <w:t>测定试 剂盒（磁微粒化学发 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用于体外定量测定人血清或血浆中糖类抗原</w:t>
            </w:r>
            <w:r>
              <w:rPr>
                <w:rFonts w:ascii="Times New Roman" w:eastAsia="Times New Roman" w:hAnsi="Times New Roman" w:cs="Times New Roman"/>
                <w:color w:val="000000"/>
                <w:spacing w:val="0"/>
                <w:w w:val="100"/>
                <w:position w:val="0"/>
              </w:rPr>
              <w:t xml:space="preserve">19-9（CA19- </w:t>
            </w:r>
            <w:r>
              <w:rPr>
                <w:rFonts w:ascii="Times New Roman" w:eastAsia="Times New Roman" w:hAnsi="Times New Roman" w:cs="Times New Roman"/>
                <w:color w:val="000000"/>
                <w:spacing w:val="0"/>
                <w:w w:val="100"/>
                <w:position w:val="0"/>
              </w:rPr>
              <w:t>9</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糖类抗原</w:t>
            </w:r>
            <w:r>
              <w:rPr>
                <w:rFonts w:ascii="Times New Roman" w:eastAsia="Times New Roman" w:hAnsi="Times New Roman" w:cs="Times New Roman"/>
                <w:color w:val="000000"/>
                <w:spacing w:val="0"/>
                <w:w w:val="100"/>
                <w:position w:val="0"/>
              </w:rPr>
              <w:t>50</w:t>
            </w:r>
            <w:r>
              <w:rPr>
                <w:color w:val="000000"/>
                <w:spacing w:val="0"/>
                <w:w w:val="100"/>
                <w:position w:val="0"/>
              </w:rPr>
              <w:t>测定试剂 盒（磁微粒化学发光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用于体外定量测定人血清或血浆中糖类抗原</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CA50</w:t>
            </w:r>
            <w:r>
              <w:rPr>
                <w:color w:val="000000"/>
                <w:spacing w:val="0"/>
                <w:w w:val="100"/>
                <w:position w:val="0"/>
              </w:rPr>
              <w:t xml:space="preserve">） </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31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结核分枝杆菌多线耐 药基因检测软件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本软件与华大生物科技（武汉）有限公司生产的结核分枝 杆菌多线耐药基因检测试剂盒（联合探针锚定聚合测序 法）、测序反应通用试剂盒及基于联合探针锚定聚合测序 法的基因测序仪配合使用，通过对测序</w:t>
            </w:r>
            <w:r>
              <w:rPr>
                <w:color w:val="000000"/>
                <w:spacing w:val="0"/>
                <w:w w:val="100"/>
                <w:position w:val="0"/>
              </w:rPr>
              <w:t>（</w:t>
            </w:r>
            <w:r>
              <w:rPr>
                <w:rFonts w:ascii="Times New Roman" w:eastAsia="Times New Roman" w:hAnsi="Times New Roman" w:cs="Times New Roman"/>
                <w:color w:val="000000"/>
                <w:spacing w:val="0"/>
                <w:w w:val="100"/>
                <w:position w:val="0"/>
              </w:rPr>
              <w:t>NGS</w:t>
            </w:r>
            <w:r>
              <w:rPr>
                <w:color w:val="000000"/>
                <w:spacing w:val="0"/>
                <w:w w:val="100"/>
                <w:position w:val="0"/>
              </w:rPr>
              <w:t>）</w:t>
            </w:r>
            <w:r>
              <w:rPr>
                <w:color w:val="000000"/>
                <w:spacing w:val="0"/>
                <w:w w:val="100"/>
                <w:position w:val="0"/>
              </w:rPr>
              <w:t>数据质量 控制、结核序列库比对、变异检测、数据统计及报告生成 步骤，得出来自结核病患者的结核分枝杆菌复合群阳性 的培养物样本中耐药基因突变分析结果，分析结果的临 床意义以国家药品监督管理局批准的《结核分枝杆菌多 线耐药基因检测试剂盒（联合探针锚定聚合测序法）》为 准，产品适用于医疗机构使用。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2021/11/23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地中海贫血基因检测 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本软件与华大生物科技（武汉）有限公司生产的</w:t>
            </w:r>
            <w:r>
              <w:rPr>
                <w:rFonts w:ascii="Times New Roman" w:eastAsia="Times New Roman" w:hAnsi="Times New Roman" w:cs="Times New Roman"/>
                <w:color w:val="000000"/>
                <w:spacing w:val="0"/>
                <w:w w:val="100"/>
                <w:position w:val="0"/>
              </w:rPr>
              <w:t>a</w:t>
            </w:r>
            <w:r>
              <w:rPr>
                <w:color w:val="000000"/>
                <w:spacing w:val="0"/>
                <w:w w:val="100"/>
                <w:position w:val="0"/>
              </w:rPr>
              <w:t>和</w:t>
            </w:r>
            <w:r>
              <w:rPr>
                <w:rFonts w:ascii="Times New Roman" w:eastAsia="Times New Roman" w:hAnsi="Times New Roman" w:cs="Times New Roman"/>
                <w:color w:val="000000"/>
                <w:spacing w:val="0"/>
                <w:w w:val="100"/>
                <w:position w:val="0"/>
              </w:rPr>
              <w:t>p</w:t>
            </w:r>
            <w:r>
              <w:rPr>
                <w:color w:val="000000"/>
                <w:spacing w:val="0"/>
                <w:w w:val="100"/>
                <w:position w:val="0"/>
              </w:rPr>
              <w:t>地 中海贫血基因检测试剂盒（联合探针锚定聚合测序法）、 测序反应通用试剂盒（联合探针锚定聚合测序法）以及基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16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于联合探针锚定聚合测序法的基因测序仪配套使用。适 用于地中海贫血基因检测测序数据的分析；通过对测序 数据的质控、过滤、比对，获得对应参考序列的比对结 果；然后对结果进行统计分析和变异检测，最终得到地中 海贫血基因检测的信息分析结果。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w:t>
            </w:r>
            <w:r>
              <w:rPr>
                <w:rFonts w:ascii="Times New Roman" w:eastAsia="Times New Roman" w:hAnsi="Times New Roman" w:cs="Times New Roman"/>
                <w:color w:val="000000"/>
                <w:spacing w:val="0"/>
                <w:w w:val="100"/>
                <w:position w:val="0"/>
              </w:rPr>
              <w:t>-</w:t>
            </w:r>
            <w:r>
              <w:rPr>
                <w:color w:val="000000"/>
                <w:spacing w:val="0"/>
                <w:w w:val="100"/>
                <w:position w:val="0"/>
              </w:rPr>
              <w:t>二聚体质控品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D</w:t>
            </w:r>
            <w:r>
              <w:rPr>
                <w:rFonts w:ascii="Times New Roman" w:eastAsia="Times New Roman" w:hAnsi="Times New Roman" w:cs="Times New Roman"/>
                <w:color w:val="000000"/>
                <w:spacing w:val="0"/>
                <w:w w:val="100"/>
                <w:position w:val="0"/>
              </w:rPr>
              <w:t>-</w:t>
            </w:r>
            <w:r>
              <w:rPr>
                <w:color w:val="000000"/>
                <w:spacing w:val="0"/>
                <w:w w:val="100"/>
                <w:position w:val="0"/>
              </w:rPr>
              <w:t xml:space="preserve">二聚体质控品与本公司生产的试剂盒配套使用，用于 </w:t>
            </w:r>
            <w:r>
              <w:rPr>
                <w:rFonts w:ascii="Times New Roman" w:eastAsia="Times New Roman" w:hAnsi="Times New Roman" w:cs="Times New Roman"/>
                <w:color w:val="000000"/>
                <w:spacing w:val="0"/>
                <w:w w:val="100"/>
                <w:position w:val="0"/>
              </w:rPr>
              <w:t>D-</w:t>
            </w:r>
            <w:r>
              <w:rPr>
                <w:color w:val="000000"/>
                <w:spacing w:val="0"/>
                <w:w w:val="100"/>
                <w:position w:val="0"/>
              </w:rPr>
              <w:t>二聚体</w:t>
            </w:r>
            <w:r>
              <w:rPr>
                <w:color w:val="000000"/>
                <w:spacing w:val="0"/>
                <w:w w:val="100"/>
                <w:position w:val="0"/>
              </w:rPr>
              <w:t>（</w:t>
            </w:r>
            <w:r>
              <w:rPr>
                <w:rFonts w:ascii="Times New Roman" w:eastAsia="Times New Roman" w:hAnsi="Times New Roman" w:cs="Times New Roman"/>
                <w:color w:val="000000"/>
                <w:spacing w:val="0"/>
                <w:w w:val="100"/>
                <w:position w:val="0"/>
              </w:rPr>
              <w:t>D-Dimer</w:t>
            </w:r>
            <w:r>
              <w:rPr>
                <w:color w:val="000000"/>
                <w:spacing w:val="0"/>
                <w:w w:val="100"/>
                <w:position w:val="0"/>
              </w:rPr>
              <w:t>）</w:t>
            </w:r>
            <w:r>
              <w:rPr>
                <w:color w:val="000000"/>
                <w:spacing w:val="0"/>
                <w:w w:val="100"/>
                <w:position w:val="0"/>
              </w:rPr>
              <w:t>项目的室内质量控制。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阳-微球蛋白测定试 剂盒（磁微粒化学发 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用于体外定量测定人血清或血浆中阳</w:t>
            </w:r>
            <w:r>
              <w:rPr>
                <w:rFonts w:ascii="Times New Roman" w:eastAsia="Times New Roman" w:hAnsi="Times New Roman" w:cs="Times New Roman"/>
                <w:color w:val="000000"/>
                <w:spacing w:val="0"/>
                <w:w w:val="100"/>
                <w:position w:val="0"/>
              </w:rPr>
              <w:t>-</w:t>
            </w:r>
            <w:r>
              <w:rPr>
                <w:color w:val="000000"/>
                <w:spacing w:val="0"/>
                <w:w w:val="100"/>
                <w:position w:val="0"/>
              </w:rPr>
              <w:t>微球蛋白（阳</w:t>
            </w:r>
            <w:r>
              <w:rPr>
                <w:rFonts w:ascii="Times New Roman" w:eastAsia="Times New Roman" w:hAnsi="Times New Roman" w:cs="Times New Roman"/>
                <w:color w:val="000000"/>
                <w:spacing w:val="0"/>
                <w:w w:val="100"/>
                <w:position w:val="0"/>
              </w:rPr>
              <w:t>-MG</w:t>
            </w:r>
            <w:r>
              <w:rPr>
                <w:color w:val="000000"/>
                <w:spacing w:val="0"/>
                <w:w w:val="100"/>
                <w:position w:val="0"/>
              </w:rPr>
              <w:t xml:space="preserve">） </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激素复合质控品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激素复合质控品与本公司生产的试剂盒配套使用，用于 抗缪勒氏管激素</w:t>
            </w:r>
            <w:r>
              <w:rPr>
                <w:color w:val="000000"/>
                <w:spacing w:val="0"/>
                <w:w w:val="100"/>
                <w:position w:val="0"/>
              </w:rPr>
              <w:t>（</w:t>
            </w:r>
            <w:r>
              <w:rPr>
                <w:rFonts w:ascii="Times New Roman" w:eastAsia="Times New Roman" w:hAnsi="Times New Roman" w:cs="Times New Roman"/>
                <w:color w:val="000000"/>
                <w:spacing w:val="0"/>
                <w:w w:val="100"/>
                <w:position w:val="0"/>
              </w:rPr>
              <w:t>AMH</w:t>
            </w:r>
            <w:r>
              <w:rPr>
                <w:color w:val="000000"/>
                <w:spacing w:val="0"/>
                <w:w w:val="100"/>
                <w:position w:val="0"/>
              </w:rPr>
              <w:t>）、</w:t>
            </w:r>
            <w:r>
              <w:rPr>
                <w:rFonts w:ascii="Times New Roman" w:eastAsia="Times New Roman" w:hAnsi="Times New Roman" w:cs="Times New Roman"/>
                <w:color w:val="000000"/>
                <w:spacing w:val="0"/>
                <w:w w:val="100"/>
                <w:position w:val="0"/>
              </w:rPr>
              <w:t>P-</w:t>
            </w:r>
            <w:r>
              <w:rPr>
                <w:color w:val="000000"/>
                <w:spacing w:val="0"/>
                <w:w w:val="100"/>
                <w:position w:val="0"/>
              </w:rPr>
              <w:t>人绒毛膜促性腺激素</w:t>
            </w:r>
            <w:r>
              <w:rPr>
                <w:rFonts w:ascii="Times New Roman" w:eastAsia="Times New Roman" w:hAnsi="Times New Roman" w:cs="Times New Roman"/>
                <w:color w:val="000000"/>
                <w:spacing w:val="0"/>
                <w:w w:val="100"/>
                <w:position w:val="0"/>
              </w:rPr>
              <w:t>W- HCG</w:t>
            </w:r>
            <w:r>
              <w:rPr>
                <w:color w:val="000000"/>
                <w:spacing w:val="0"/>
                <w:w w:val="100"/>
                <w:position w:val="0"/>
              </w:rPr>
              <w:t>）</w:t>
            </w:r>
            <w:r>
              <w:rPr>
                <w:color w:val="000000"/>
                <w:spacing w:val="0"/>
                <w:w w:val="100"/>
                <w:position w:val="0"/>
              </w:rPr>
              <w:t>、促卵泡生成激素</w:t>
            </w:r>
            <w:r>
              <w:rPr>
                <w:color w:val="000000"/>
                <w:spacing w:val="0"/>
                <w:w w:val="100"/>
                <w:position w:val="0"/>
              </w:rPr>
              <w:t>（</w:t>
            </w:r>
            <w:r>
              <w:rPr>
                <w:rFonts w:ascii="Times New Roman" w:eastAsia="Times New Roman" w:hAnsi="Times New Roman" w:cs="Times New Roman"/>
                <w:color w:val="000000"/>
                <w:spacing w:val="0"/>
                <w:w w:val="100"/>
                <w:position w:val="0"/>
              </w:rPr>
              <w:t>FSH</w:t>
            </w:r>
            <w:r>
              <w:rPr>
                <w:color w:val="000000"/>
                <w:spacing w:val="0"/>
                <w:w w:val="100"/>
                <w:position w:val="0"/>
              </w:rPr>
              <w:t>）</w:t>
            </w:r>
            <w:r>
              <w:rPr>
                <w:color w:val="000000"/>
                <w:spacing w:val="0"/>
                <w:w w:val="100"/>
                <w:position w:val="0"/>
              </w:rPr>
              <w:t>、促黄体生成素</w:t>
            </w:r>
            <w:r>
              <w:rPr>
                <w:color w:val="000000"/>
                <w:spacing w:val="0"/>
                <w:w w:val="100"/>
                <w:position w:val="0"/>
              </w:rPr>
              <w:t>（</w:t>
            </w:r>
            <w:r>
              <w:rPr>
                <w:rFonts w:ascii="Times New Roman" w:eastAsia="Times New Roman" w:hAnsi="Times New Roman" w:cs="Times New Roman"/>
                <w:color w:val="000000"/>
                <w:spacing w:val="0"/>
                <w:w w:val="100"/>
                <w:position w:val="0"/>
              </w:rPr>
              <w:t>LH</w:t>
            </w:r>
            <w:r>
              <w:rPr>
                <w:color w:val="000000"/>
                <w:spacing w:val="0"/>
                <w:w w:val="100"/>
                <w:position w:val="0"/>
              </w:rPr>
              <w:t xml:space="preserve">）、 </w:t>
            </w:r>
            <w:r>
              <w:rPr>
                <w:color w:val="000000"/>
                <w:spacing w:val="0"/>
                <w:w w:val="100"/>
                <w:position w:val="0"/>
              </w:rPr>
              <w:t>孕酮</w:t>
            </w:r>
            <w:r>
              <w:rPr>
                <w:color w:val="000000"/>
                <w:spacing w:val="0"/>
                <w:w w:val="100"/>
                <w:position w:val="0"/>
              </w:rPr>
              <w:t>（</w:t>
            </w:r>
            <w:r>
              <w:rPr>
                <w:rFonts w:ascii="Times New Roman" w:eastAsia="Times New Roman" w:hAnsi="Times New Roman" w:cs="Times New Roman"/>
                <w:color w:val="000000"/>
                <w:spacing w:val="0"/>
                <w:w w:val="100"/>
                <w:position w:val="0"/>
              </w:rPr>
              <w:t>P</w:t>
            </w:r>
            <w:r>
              <w:rPr>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5</w:t>
            </w:r>
            <w:r>
              <w:rPr>
                <w:color w:val="000000"/>
                <w:spacing w:val="0"/>
                <w:w w:val="100"/>
                <w:position w:val="0"/>
              </w:rPr>
              <w:t>个项目的室内质量控制。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鳞状上皮细胞癌抗原 测定试剂盒（磁微粒 化学发光法）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用于体外定量测定人血清或血浆中鳞状上皮细胞癌抗原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SCC</w:t>
            </w:r>
            <w:r>
              <w:rPr>
                <w:color w:val="000000"/>
                <w:spacing w:val="0"/>
                <w:w w:val="100"/>
                <w:position w:val="0"/>
              </w:rPr>
              <w:t>）</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人附睾蛋白</w:t>
            </w:r>
            <w:r>
              <w:rPr>
                <w:rFonts w:ascii="Times New Roman" w:eastAsia="Times New Roman" w:hAnsi="Times New Roman" w:cs="Times New Roman"/>
                <w:color w:val="000000"/>
                <w:spacing w:val="0"/>
                <w:w w:val="100"/>
                <w:position w:val="0"/>
              </w:rPr>
              <w:t>4</w:t>
            </w:r>
            <w:r>
              <w:rPr>
                <w:color w:val="000000"/>
                <w:spacing w:val="0"/>
                <w:w w:val="100"/>
                <w:position w:val="0"/>
              </w:rPr>
              <w:t>测定试 剂盒（磁微粒化学发 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用于体外定量测定人血清或血浆中人附睾蛋白</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HE-4</w:t>
            </w:r>
            <w:r>
              <w:rPr>
                <w:color w:val="000000"/>
                <w:spacing w:val="0"/>
                <w:w w:val="100"/>
                <w:position w:val="0"/>
              </w:rPr>
              <w:t xml:space="preserve">） </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人生长激素测定试剂 盒（磁微粒化学发光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用于体外定量测定人血清或血浆中人生长激素</w:t>
            </w:r>
            <w:r>
              <w:rPr>
                <w:color w:val="000000"/>
                <w:spacing w:val="0"/>
                <w:w w:val="100"/>
                <w:position w:val="0"/>
              </w:rPr>
              <w:t>（</w:t>
            </w:r>
            <w:r>
              <w:rPr>
                <w:rFonts w:ascii="Times New Roman" w:eastAsia="Times New Roman" w:hAnsi="Times New Roman" w:cs="Times New Roman"/>
                <w:color w:val="000000"/>
                <w:spacing w:val="0"/>
                <w:w w:val="100"/>
                <w:position w:val="0"/>
              </w:rPr>
              <w:t>hGH</w:t>
            </w:r>
            <w:r>
              <w:rPr>
                <w:color w:val="000000"/>
                <w:spacing w:val="0"/>
                <w:w w:val="100"/>
                <w:position w:val="0"/>
              </w:rPr>
              <w:t>）的 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糖类抗原</w:t>
            </w:r>
            <w:r>
              <w:rPr>
                <w:rFonts w:ascii="Times New Roman" w:eastAsia="Times New Roman" w:hAnsi="Times New Roman" w:cs="Times New Roman"/>
                <w:color w:val="000000"/>
                <w:spacing w:val="0"/>
                <w:w w:val="100"/>
                <w:position w:val="0"/>
              </w:rPr>
              <w:t>125</w:t>
            </w:r>
            <w:r>
              <w:rPr>
                <w:color w:val="000000"/>
                <w:spacing w:val="0"/>
                <w:w w:val="100"/>
                <w:position w:val="0"/>
              </w:rPr>
              <w:t>测定试 剂盒（磁微粒化学发 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用于体外定量测定人血清或血浆中糖类抗原</w:t>
            </w:r>
            <w:r>
              <w:rPr>
                <w:rFonts w:ascii="Times New Roman" w:eastAsia="Times New Roman" w:hAnsi="Times New Roman" w:cs="Times New Roman"/>
                <w:color w:val="000000"/>
                <w:spacing w:val="0"/>
                <w:w w:val="100"/>
                <w:position w:val="0"/>
              </w:rPr>
              <w:t xml:space="preserve">125 </w:t>
            </w:r>
            <w:r>
              <w:rPr>
                <w:color w:val="000000"/>
                <w:spacing w:val="0"/>
                <w:w w:val="100"/>
                <w:position w:val="0"/>
              </w:rPr>
              <w:t>（</w:t>
            </w:r>
            <w:r>
              <w:rPr>
                <w:rFonts w:ascii="Times New Roman" w:eastAsia="Times New Roman" w:hAnsi="Times New Roman" w:cs="Times New Roman"/>
                <w:color w:val="000000"/>
                <w:spacing w:val="0"/>
                <w:w w:val="100"/>
                <w:position w:val="0"/>
              </w:rPr>
              <w:t>CA125</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糖类抗原</w:t>
            </w:r>
            <w:r>
              <w:rPr>
                <w:rFonts w:ascii="Times New Roman" w:eastAsia="Times New Roman" w:hAnsi="Times New Roman" w:cs="Times New Roman"/>
                <w:color w:val="000000"/>
                <w:spacing w:val="0"/>
                <w:w w:val="100"/>
                <w:position w:val="0"/>
              </w:rPr>
              <w:t>15-3</w:t>
            </w:r>
            <w:r>
              <w:rPr>
                <w:color w:val="000000"/>
                <w:spacing w:val="0"/>
                <w:w w:val="100"/>
                <w:position w:val="0"/>
              </w:rPr>
              <w:t>测定试 剂盒（磁微粒化学发 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用于体外定量测定人血清或血浆中糖类抗原</w:t>
            </w:r>
            <w:r>
              <w:rPr>
                <w:rFonts w:ascii="Times New Roman" w:eastAsia="Times New Roman" w:hAnsi="Times New Roman" w:cs="Times New Roman"/>
                <w:color w:val="000000"/>
                <w:spacing w:val="0"/>
                <w:w w:val="100"/>
                <w:position w:val="0"/>
              </w:rPr>
              <w:t>15-3（CA15-</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糖类抗原</w:t>
            </w:r>
            <w:r>
              <w:rPr>
                <w:rFonts w:ascii="Times New Roman" w:eastAsia="Times New Roman" w:hAnsi="Times New Roman" w:cs="Times New Roman"/>
                <w:color w:val="000000"/>
                <w:spacing w:val="0"/>
                <w:w w:val="100"/>
                <w:position w:val="0"/>
              </w:rPr>
              <w:t>242</w:t>
            </w:r>
            <w:r>
              <w:rPr>
                <w:color w:val="000000"/>
                <w:spacing w:val="0"/>
                <w:w w:val="100"/>
                <w:position w:val="0"/>
              </w:rPr>
              <w:t>测定试 剂盒（磁微粒化学发 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用于体外定量测定人血清或血浆中糖类抗原</w:t>
            </w:r>
            <w:r>
              <w:rPr>
                <w:rFonts w:ascii="Times New Roman" w:eastAsia="Times New Roman" w:hAnsi="Times New Roman" w:cs="Times New Roman"/>
                <w:color w:val="000000"/>
                <w:spacing w:val="0"/>
                <w:w w:val="100"/>
                <w:position w:val="0"/>
              </w:rPr>
              <w:t xml:space="preserve">242 </w:t>
            </w:r>
            <w:r>
              <w:rPr>
                <w:color w:val="000000"/>
                <w:spacing w:val="0"/>
                <w:w w:val="100"/>
                <w:position w:val="0"/>
              </w:rPr>
              <w:t>（</w:t>
            </w:r>
            <w:r>
              <w:rPr>
                <w:rFonts w:ascii="Times New Roman" w:eastAsia="Times New Roman" w:hAnsi="Times New Roman" w:cs="Times New Roman"/>
                <w:color w:val="000000"/>
                <w:spacing w:val="0"/>
                <w:w w:val="100"/>
                <w:position w:val="0"/>
              </w:rPr>
              <w:t>CA242</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糖类抗原</w:t>
            </w:r>
            <w:r>
              <w:rPr>
                <w:rFonts w:ascii="Times New Roman" w:eastAsia="Times New Roman" w:hAnsi="Times New Roman" w:cs="Times New Roman"/>
                <w:color w:val="000000"/>
                <w:spacing w:val="0"/>
                <w:w w:val="100"/>
                <w:position w:val="0"/>
              </w:rPr>
              <w:t>72-4</w:t>
            </w:r>
            <w:r>
              <w:rPr>
                <w:color w:val="000000"/>
                <w:spacing w:val="0"/>
                <w:w w:val="100"/>
                <w:position w:val="0"/>
              </w:rPr>
              <w:t>测定试 剂盒（磁微粒化学发 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用于体外定量测定人血清或血浆中糖类抗原</w:t>
            </w:r>
            <w:r>
              <w:rPr>
                <w:rFonts w:ascii="Times New Roman" w:eastAsia="Times New Roman" w:hAnsi="Times New Roman" w:cs="Times New Roman"/>
                <w:color w:val="000000"/>
                <w:spacing w:val="0"/>
                <w:w w:val="100"/>
                <w:position w:val="0"/>
              </w:rPr>
              <w:t>72-4 （CA72</w:t>
            </w:r>
            <w:r>
              <w:rPr>
                <w:rFonts w:ascii="Times New Roman" w:eastAsia="Times New Roman" w:hAnsi="Times New Roman" w:cs="Times New Roman"/>
                <w:color w:val="000000"/>
                <w:spacing w:val="0"/>
                <w:w w:val="100"/>
                <w:position w:val="0"/>
              </w:rPr>
              <w:t>- 4</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铁蛋白测定试剂盒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（磁微粒化学发光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用于体外定量测定人血清或血浆中铁蛋白</w:t>
            </w:r>
            <w:r>
              <w:rPr>
                <w:color w:val="000000"/>
                <w:spacing w:val="0"/>
                <w:w w:val="100"/>
                <w:position w:val="0"/>
              </w:rPr>
              <w:t>（</w:t>
            </w:r>
            <w:r>
              <w:rPr>
                <w:rFonts w:ascii="Times New Roman" w:eastAsia="Times New Roman" w:hAnsi="Times New Roman" w:cs="Times New Roman"/>
                <w:color w:val="000000"/>
                <w:spacing w:val="0"/>
                <w:w w:val="100"/>
                <w:position w:val="0"/>
              </w:rPr>
              <w:t>Ferr</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12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胃蛋白酶原</w:t>
            </w:r>
            <w:r>
              <w:rPr>
                <w:rFonts w:ascii="Times New Roman" w:eastAsia="Times New Roman" w:hAnsi="Times New Roman" w:cs="Times New Roman"/>
                <w:color w:val="000000"/>
                <w:spacing w:val="0"/>
                <w:w w:val="100"/>
                <w:position w:val="0"/>
              </w:rPr>
              <w:t>I/</w:t>
            </w:r>
            <w:r>
              <w:rPr>
                <w:color w:val="000000"/>
                <w:spacing w:val="0"/>
                <w:w w:val="100"/>
                <w:position w:val="0"/>
              </w:rPr>
              <w:t>胃蛋白 酶原</w:t>
            </w:r>
            <w:r>
              <w:rPr>
                <w:rFonts w:ascii="Times New Roman" w:eastAsia="Times New Roman" w:hAnsi="Times New Roman" w:cs="Times New Roman"/>
                <w:color w:val="000000"/>
                <w:spacing w:val="0"/>
                <w:w w:val="100"/>
                <w:position w:val="0"/>
              </w:rPr>
              <w:t>II/</w:t>
            </w:r>
            <w:r>
              <w:rPr>
                <w:color w:val="000000"/>
                <w:spacing w:val="0"/>
                <w:w w:val="100"/>
                <w:position w:val="0"/>
              </w:rPr>
              <w:t>胃泌素</w:t>
            </w:r>
            <w:r>
              <w:rPr>
                <w:rFonts w:ascii="Times New Roman" w:eastAsia="Times New Roman" w:hAnsi="Times New Roman" w:cs="Times New Roman"/>
                <w:color w:val="000000"/>
                <w:spacing w:val="0"/>
                <w:w w:val="100"/>
                <w:position w:val="0"/>
              </w:rPr>
              <w:t>17</w:t>
            </w:r>
            <w:r>
              <w:rPr>
                <w:color w:val="000000"/>
                <w:spacing w:val="0"/>
                <w:w w:val="100"/>
                <w:position w:val="0"/>
              </w:rPr>
              <w:t>复合 质控品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胃蛋白酶原</w:t>
            </w:r>
            <w:r>
              <w:rPr>
                <w:rFonts w:ascii="Times New Roman" w:eastAsia="Times New Roman" w:hAnsi="Times New Roman" w:cs="Times New Roman"/>
                <w:color w:val="000000"/>
                <w:spacing w:val="0"/>
                <w:w w:val="100"/>
                <w:position w:val="0"/>
              </w:rPr>
              <w:t>I/</w:t>
            </w:r>
            <w:r>
              <w:rPr>
                <w:color w:val="000000"/>
                <w:spacing w:val="0"/>
                <w:w w:val="100"/>
                <w:position w:val="0"/>
              </w:rPr>
              <w:t>胃蛋白酶原</w:t>
            </w:r>
            <w:r>
              <w:rPr>
                <w:rFonts w:ascii="Times New Roman" w:eastAsia="Times New Roman" w:hAnsi="Times New Roman" w:cs="Times New Roman"/>
                <w:color w:val="000000"/>
                <w:spacing w:val="0"/>
                <w:w w:val="100"/>
                <w:position w:val="0"/>
              </w:rPr>
              <w:t>II/</w:t>
            </w:r>
            <w:r>
              <w:rPr>
                <w:color w:val="000000"/>
                <w:spacing w:val="0"/>
                <w:w w:val="100"/>
                <w:position w:val="0"/>
              </w:rPr>
              <w:t>胃泌素</w:t>
            </w:r>
            <w:r>
              <w:rPr>
                <w:rFonts w:ascii="Times New Roman" w:eastAsia="Times New Roman" w:hAnsi="Times New Roman" w:cs="Times New Roman"/>
                <w:color w:val="000000"/>
                <w:spacing w:val="0"/>
                <w:w w:val="100"/>
                <w:position w:val="0"/>
              </w:rPr>
              <w:t>17</w:t>
            </w:r>
            <w:r>
              <w:rPr>
                <w:color w:val="000000"/>
                <w:spacing w:val="0"/>
                <w:w w:val="100"/>
                <w:position w:val="0"/>
              </w:rPr>
              <w:t>复合质控品与本公 司生产的试剂盒配套使用，用于胃蛋白酶原</w:t>
            </w:r>
            <w:r>
              <w:rPr>
                <w:rFonts w:ascii="Times New Roman" w:eastAsia="Times New Roman" w:hAnsi="Times New Roman" w:cs="Times New Roman"/>
                <w:color w:val="000000"/>
                <w:spacing w:val="0"/>
                <w:w w:val="100"/>
                <w:position w:val="0"/>
              </w:rPr>
              <w:t>I</w:t>
            </w:r>
            <w:r>
              <w:rPr>
                <w:color w:val="000000"/>
                <w:spacing w:val="0"/>
                <w:w w:val="100"/>
                <w:position w:val="0"/>
              </w:rPr>
              <w:t>（</w:t>
            </w:r>
            <w:r>
              <w:rPr>
                <w:rFonts w:ascii="Times New Roman" w:eastAsia="Times New Roman" w:hAnsi="Times New Roman" w:cs="Times New Roman"/>
                <w:color w:val="000000"/>
                <w:spacing w:val="0"/>
                <w:w w:val="100"/>
                <w:position w:val="0"/>
              </w:rPr>
              <w:t>PGI</w:t>
            </w:r>
            <w:r>
              <w:rPr>
                <w:color w:val="000000"/>
                <w:spacing w:val="0"/>
                <w:w w:val="100"/>
                <w:position w:val="0"/>
              </w:rPr>
              <w:t>）、胃 蛋白酶原</w:t>
            </w:r>
            <w:r>
              <w:rPr>
                <w:rFonts w:ascii="Times New Roman" w:eastAsia="Times New Roman" w:hAnsi="Times New Roman" w:cs="Times New Roman"/>
                <w:color w:val="000000"/>
                <w:spacing w:val="0"/>
                <w:w w:val="100"/>
                <w:position w:val="0"/>
              </w:rPr>
              <w:t xml:space="preserve">II </w:t>
            </w:r>
            <w:r>
              <w:rPr>
                <w:rFonts w:ascii="Times New Roman" w:eastAsia="Times New Roman" w:hAnsi="Times New Roman" w:cs="Times New Roman"/>
                <w:color w:val="000000"/>
                <w:spacing w:val="0"/>
                <w:w w:val="100"/>
                <w:position w:val="0"/>
              </w:rPr>
              <w:t>（PGII</w:t>
            </w:r>
            <w:r>
              <w:rPr>
                <w:color w:val="000000"/>
                <w:spacing w:val="0"/>
                <w:w w:val="100"/>
                <w:position w:val="0"/>
              </w:rPr>
              <w:t>）、</w:t>
            </w:r>
            <w:r>
              <w:rPr>
                <w:color w:val="000000"/>
                <w:spacing w:val="0"/>
                <w:w w:val="100"/>
                <w:position w:val="0"/>
              </w:rPr>
              <w:t>胃泌素</w:t>
            </w:r>
            <w:r>
              <w:rPr>
                <w:rFonts w:ascii="Times New Roman" w:eastAsia="Times New Roman" w:hAnsi="Times New Roman" w:cs="Times New Roman"/>
                <w:color w:val="000000"/>
                <w:spacing w:val="0"/>
                <w:w w:val="100"/>
                <w:position w:val="0"/>
              </w:rPr>
              <w:t xml:space="preserve">17 </w:t>
            </w:r>
            <w:r>
              <w:rPr>
                <w:rFonts w:ascii="Times New Roman" w:eastAsia="Times New Roman" w:hAnsi="Times New Roman" w:cs="Times New Roman"/>
                <w:color w:val="000000"/>
                <w:spacing w:val="0"/>
                <w:w w:val="100"/>
                <w:position w:val="0"/>
              </w:rPr>
              <w:t>（G-17</w:t>
            </w:r>
            <w:r>
              <w:rPr>
                <w:color w:val="000000"/>
                <w:spacing w:val="0"/>
                <w:w w:val="100"/>
                <w:position w:val="0"/>
              </w:rPr>
              <w:t>）</w:t>
            </w:r>
            <w:r>
              <w:rPr>
                <w:color w:val="000000"/>
                <w:spacing w:val="0"/>
                <w:w w:val="100"/>
                <w:position w:val="0"/>
              </w:rPr>
              <w:t>共</w:t>
            </w:r>
            <w:r>
              <w:rPr>
                <w:rFonts w:ascii="Times New Roman" w:eastAsia="Times New Roman" w:hAnsi="Times New Roman" w:cs="Times New Roman"/>
                <w:color w:val="000000"/>
                <w:spacing w:val="0"/>
                <w:w w:val="100"/>
                <w:position w:val="0"/>
              </w:rPr>
              <w:t>3</w:t>
            </w:r>
            <w:r>
              <w:rPr>
                <w:color w:val="000000"/>
                <w:spacing w:val="0"/>
                <w:w w:val="100"/>
                <w:position w:val="0"/>
              </w:rPr>
              <w:t>个项目的室内 质量控制。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胃蛋白酶原</w:t>
            </w:r>
            <w:r>
              <w:rPr>
                <w:rFonts w:ascii="Times New Roman" w:eastAsia="Times New Roman" w:hAnsi="Times New Roman" w:cs="Times New Roman"/>
                <w:color w:val="000000"/>
                <w:spacing w:val="0"/>
                <w:w w:val="100"/>
                <w:position w:val="0"/>
              </w:rPr>
              <w:t>II</w:t>
            </w:r>
            <w:r>
              <w:rPr>
                <w:color w:val="000000"/>
                <w:spacing w:val="0"/>
                <w:w w:val="100"/>
                <w:position w:val="0"/>
              </w:rPr>
              <w:t>测定试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用于体外定量测定人血清或血浆中胃蛋白酶原</w:t>
            </w:r>
            <w:r>
              <w:rPr>
                <w:rFonts w:ascii="Times New Roman" w:eastAsia="Times New Roman" w:hAnsi="Times New Roman" w:cs="Times New Roman"/>
                <w:color w:val="000000"/>
                <w:spacing w:val="0"/>
                <w:w w:val="100"/>
                <w:position w:val="0"/>
              </w:rPr>
              <w:t>II</w:t>
            </w:r>
            <w:r>
              <w:rPr>
                <w:color w:val="000000"/>
                <w:spacing w:val="0"/>
                <w:w w:val="100"/>
                <w:position w:val="0"/>
              </w:rPr>
              <w:t>（</w:t>
            </w:r>
            <w:r>
              <w:rPr>
                <w:rFonts w:ascii="Times New Roman" w:eastAsia="Times New Roman" w:hAnsi="Times New Roman" w:cs="Times New Roman"/>
                <w:color w:val="000000"/>
                <w:spacing w:val="0"/>
                <w:w w:val="100"/>
                <w:position w:val="0"/>
              </w:rPr>
              <w:t>PGII</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2026/7/26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首次注</w:t>
            </w:r>
          </w:p>
        </w:tc>
      </w:tr>
    </w:tbl>
    <w:p>
      <w:pPr>
        <w:spacing w:lineRule="exact" w:line="1"/>
        <w:rPr>
          <w:sz w:val="2"/>
          <w:szCs w:val="2"/>
        </w:rPr>
      </w:pPr>
      <w:r>
        <w:br w:type="page"/>
      </w:r>
    </w:p>
    <w:tbl>
      <w:tblPr>
        <w:tblOverlap w:val="never"/>
        <w:jc w:val="center"/>
        <w:tblLayout w:type="fixed"/>
      </w:tblPr>
      <w:tblGrid>
        <w:gridCol w:w="562"/>
        <w:gridCol w:w="1704"/>
        <w:gridCol w:w="422"/>
        <w:gridCol w:w="4397"/>
        <w:gridCol w:w="989"/>
        <w:gridCol w:w="994"/>
        <w:gridCol w:w="576"/>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剂盒（磁微粒化学发 光法）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的含量。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胃蛋白酶原</w:t>
            </w:r>
            <w:r>
              <w:rPr>
                <w:rFonts w:ascii="Times New Roman" w:eastAsia="Times New Roman" w:hAnsi="Times New Roman" w:cs="Times New Roman"/>
                <w:color w:val="000000"/>
                <w:spacing w:val="0"/>
                <w:w w:val="100"/>
                <w:position w:val="0"/>
              </w:rPr>
              <w:t>I</w:t>
            </w:r>
            <w:r>
              <w:rPr>
                <w:color w:val="000000"/>
                <w:spacing w:val="0"/>
                <w:w w:val="100"/>
                <w:position w:val="0"/>
              </w:rPr>
              <w:t>测定试剂 盒（磁微粒化学发光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用于体外定量测定人血清或血浆中胃蛋白酶原</w:t>
            </w:r>
            <w:r>
              <w:rPr>
                <w:rFonts w:ascii="Times New Roman" w:eastAsia="Times New Roman" w:hAnsi="Times New Roman" w:cs="Times New Roman"/>
                <w:color w:val="000000"/>
                <w:spacing w:val="0"/>
                <w:w w:val="100"/>
                <w:position w:val="0"/>
              </w:rPr>
              <w:t>I（PGI</w:t>
            </w:r>
            <w:r>
              <w:rPr>
                <w:color w:val="000000"/>
                <w:spacing w:val="0"/>
                <w:w w:val="100"/>
                <w:position w:val="0"/>
              </w:rPr>
              <w:t>）的 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首次注 册</w:t>
            </w:r>
          </w:p>
        </w:tc>
      </w:tr>
      <w:tr>
        <w:trPr>
          <w:trHeight w:val="9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胃泌素释放肽前体测 定试剂盒（磁微粒化 学发光法）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用于体外定量测定人血清或血浆中胃泌素释放肽前体 </w:t>
            </w:r>
            <w:r>
              <w:rPr>
                <w:color w:val="000000"/>
                <w:spacing w:val="0"/>
                <w:w w:val="100"/>
                <w:position w:val="0"/>
              </w:rPr>
              <w:t>（</w:t>
            </w:r>
            <w:r>
              <w:rPr>
                <w:rFonts w:ascii="Times New Roman" w:eastAsia="Times New Roman" w:hAnsi="Times New Roman" w:cs="Times New Roman"/>
                <w:color w:val="000000"/>
                <w:spacing w:val="0"/>
                <w:w w:val="100"/>
                <w:position w:val="0"/>
              </w:rPr>
              <w:t>ProGRP</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细胞角蛋白</w:t>
            </w:r>
            <w:r>
              <w:rPr>
                <w:rFonts w:ascii="Times New Roman" w:eastAsia="Times New Roman" w:hAnsi="Times New Roman" w:cs="Times New Roman"/>
                <w:color w:val="000000"/>
                <w:spacing w:val="0"/>
                <w:w w:val="100"/>
                <w:position w:val="0"/>
              </w:rPr>
              <w:t>19</w:t>
            </w:r>
            <w:r>
              <w:rPr>
                <w:color w:val="000000"/>
                <w:spacing w:val="0"/>
                <w:w w:val="100"/>
                <w:position w:val="0"/>
              </w:rPr>
              <w:t>片段测 定试剂盒（磁微粒化 学发光法）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用于体外定量测定人血清或血浆中细胞角蛋白</w:t>
            </w:r>
            <w:r>
              <w:rPr>
                <w:rFonts w:ascii="Times New Roman" w:eastAsia="Times New Roman" w:hAnsi="Times New Roman" w:cs="Times New Roman"/>
                <w:color w:val="000000"/>
                <w:spacing w:val="0"/>
                <w:w w:val="100"/>
                <w:position w:val="0"/>
              </w:rPr>
              <w:t>19</w:t>
            </w:r>
            <w:r>
              <w:rPr>
                <w:color w:val="000000"/>
                <w:spacing w:val="0"/>
                <w:w w:val="100"/>
                <w:position w:val="0"/>
              </w:rPr>
              <w:t xml:space="preserve">片段 </w:t>
            </w:r>
            <w:r>
              <w:rPr>
                <w:color w:val="000000"/>
                <w:spacing w:val="0"/>
                <w:w w:val="100"/>
                <w:position w:val="0"/>
              </w:rPr>
              <w:t>（</w:t>
            </w:r>
            <w:r>
              <w:rPr>
                <w:rFonts w:ascii="Times New Roman" w:eastAsia="Times New Roman" w:hAnsi="Times New Roman" w:cs="Times New Roman"/>
                <w:color w:val="000000"/>
                <w:spacing w:val="0"/>
                <w:w w:val="100"/>
                <w:position w:val="0"/>
              </w:rPr>
              <w:t>Cyfra21-1</w:t>
            </w:r>
            <w:r>
              <w:rPr>
                <w:color w:val="000000"/>
                <w:spacing w:val="0"/>
                <w:w w:val="100"/>
                <w:position w:val="0"/>
              </w:rPr>
              <w:t>）的含量。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19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心肌标志物复合质控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心肌标志物定值复合质控品与本公司生产的试剂盒配套 使用，用于肌钙蛋白</w:t>
            </w:r>
            <w:r>
              <w:rPr>
                <w:rFonts w:ascii="Times New Roman" w:eastAsia="Times New Roman" w:hAnsi="Times New Roman" w:cs="Times New Roman"/>
                <w:color w:val="000000"/>
                <w:spacing w:val="0"/>
                <w:w w:val="100"/>
                <w:position w:val="0"/>
              </w:rPr>
              <w:t>I</w:t>
            </w:r>
            <w:r>
              <w:rPr>
                <w:color w:val="000000"/>
                <w:spacing w:val="0"/>
                <w:w w:val="100"/>
                <w:position w:val="0"/>
              </w:rPr>
              <w:t>（</w:t>
            </w:r>
            <w:r>
              <w:rPr>
                <w:rFonts w:ascii="Times New Roman" w:eastAsia="Times New Roman" w:hAnsi="Times New Roman" w:cs="Times New Roman"/>
                <w:color w:val="000000"/>
                <w:spacing w:val="0"/>
                <w:w w:val="100"/>
                <w:position w:val="0"/>
              </w:rPr>
              <w:t>cTnI</w:t>
            </w:r>
            <w:r>
              <w:rPr>
                <w:color w:val="000000"/>
                <w:spacing w:val="0"/>
                <w:w w:val="100"/>
                <w:position w:val="0"/>
              </w:rPr>
              <w:t xml:space="preserve">）、氨基末端脑利钠肽前体 </w:t>
            </w:r>
            <w:r>
              <w:rPr>
                <w:rFonts w:ascii="Times New Roman" w:eastAsia="Times New Roman" w:hAnsi="Times New Roman" w:cs="Times New Roman"/>
                <w:color w:val="000000"/>
                <w:spacing w:val="0"/>
                <w:w w:val="100"/>
                <w:position w:val="0"/>
              </w:rPr>
              <w:t>N</w:t>
            </w:r>
            <w:r>
              <w:rPr>
                <w:color w:val="000000"/>
                <w:spacing w:val="0"/>
                <w:w w:val="100"/>
                <w:position w:val="0"/>
              </w:rPr>
              <w:t>末端心房利钠肽（</w:t>
            </w:r>
            <w:r>
              <w:rPr>
                <w:rFonts w:ascii="Times New Roman" w:eastAsia="Times New Roman" w:hAnsi="Times New Roman" w:cs="Times New Roman"/>
                <w:color w:val="000000"/>
                <w:spacing w:val="0"/>
                <w:w w:val="100"/>
                <w:position w:val="0"/>
              </w:rPr>
              <w:t>NT-proBNP</w:t>
            </w:r>
            <w:r>
              <w:rPr>
                <w:color w:val="000000"/>
                <w:spacing w:val="0"/>
                <w:w w:val="100"/>
                <w:position w:val="0"/>
              </w:rPr>
              <w:t>）、肌红蛋白（</w:t>
            </w:r>
            <w:r>
              <w:rPr>
                <w:rFonts w:ascii="Times New Roman" w:eastAsia="Times New Roman" w:hAnsi="Times New Roman" w:cs="Times New Roman"/>
                <w:color w:val="000000"/>
                <w:spacing w:val="0"/>
                <w:w w:val="100"/>
                <w:position w:val="0"/>
              </w:rPr>
              <w:t>Myo</w:t>
            </w:r>
            <w:r>
              <w:rPr>
                <w:color w:val="000000"/>
                <w:spacing w:val="0"/>
                <w:w w:val="100"/>
                <w:position w:val="0"/>
              </w:rPr>
              <w:t xml:space="preserve">）、 </w:t>
            </w:r>
            <w:r>
              <w:rPr>
                <w:color w:val="000000"/>
                <w:spacing w:val="0"/>
                <w:w w:val="100"/>
                <w:position w:val="0"/>
              </w:rPr>
              <w:t>肌酸激酶同工酶</w:t>
            </w:r>
            <w:r>
              <w:rPr>
                <w:color w:val="000000"/>
                <w:spacing w:val="0"/>
                <w:w w:val="100"/>
                <w:position w:val="0"/>
              </w:rPr>
              <w:t>（</w:t>
            </w:r>
            <w:r>
              <w:rPr>
                <w:rFonts w:ascii="Times New Roman" w:eastAsia="Times New Roman" w:hAnsi="Times New Roman" w:cs="Times New Roman"/>
                <w:color w:val="000000"/>
                <w:spacing w:val="0"/>
                <w:w w:val="100"/>
                <w:position w:val="0"/>
              </w:rPr>
              <w:t>CK-MB</w:t>
            </w:r>
            <w:r>
              <w:rPr>
                <w:color w:val="000000"/>
                <w:spacing w:val="0"/>
                <w:w w:val="100"/>
                <w:position w:val="0"/>
              </w:rPr>
              <w:t>）</w:t>
            </w:r>
            <w:r>
              <w:rPr>
                <w:color w:val="000000"/>
                <w:spacing w:val="0"/>
                <w:w w:val="100"/>
                <w:position w:val="0"/>
              </w:rPr>
              <w:t>、心脏型脂肪酸结合蛋白</w:t>
            </w:r>
            <w:r>
              <w:rPr>
                <w:color w:val="000000"/>
                <w:spacing w:val="0"/>
                <w:w w:val="100"/>
                <w:position w:val="0"/>
              </w:rPr>
              <w:t>（</w:t>
            </w:r>
            <w:r>
              <w:rPr>
                <w:rFonts w:ascii="Times New Roman" w:eastAsia="Times New Roman" w:hAnsi="Times New Roman" w:cs="Times New Roman"/>
                <w:color w:val="000000"/>
                <w:spacing w:val="0"/>
                <w:w w:val="100"/>
                <w:position w:val="0"/>
              </w:rPr>
              <w:t>H- FABP</w:t>
            </w:r>
            <w:r>
              <w:rPr>
                <w:color w:val="000000"/>
                <w:spacing w:val="0"/>
                <w:w w:val="100"/>
                <w:position w:val="0"/>
              </w:rPr>
              <w:t>）</w:t>
            </w:r>
            <w:r>
              <w:rPr>
                <w:color w:val="000000"/>
                <w:spacing w:val="0"/>
                <w:w w:val="100"/>
                <w:position w:val="0"/>
              </w:rPr>
              <w:t>、超敏</w:t>
            </w:r>
            <w:r>
              <w:rPr>
                <w:rFonts w:ascii="Times New Roman" w:eastAsia="Times New Roman" w:hAnsi="Times New Roman" w:cs="Times New Roman"/>
                <w:color w:val="000000"/>
                <w:spacing w:val="0"/>
                <w:w w:val="100"/>
                <w:position w:val="0"/>
              </w:rPr>
              <w:t>C</w:t>
            </w:r>
            <w:r>
              <w:rPr>
                <w:color w:val="000000"/>
                <w:spacing w:val="0"/>
                <w:w w:val="100"/>
                <w:position w:val="0"/>
              </w:rPr>
              <w:t>反应蛋白</w:t>
            </w:r>
            <w:r>
              <w:rPr>
                <w:color w:val="000000"/>
                <w:spacing w:val="0"/>
                <w:w w:val="100"/>
                <w:position w:val="0"/>
              </w:rPr>
              <w:t>（</w:t>
            </w:r>
            <w:r>
              <w:rPr>
                <w:rFonts w:ascii="Times New Roman" w:eastAsia="Times New Roman" w:hAnsi="Times New Roman" w:cs="Times New Roman"/>
                <w:color w:val="000000"/>
                <w:spacing w:val="0"/>
                <w:w w:val="100"/>
                <w:position w:val="0"/>
              </w:rPr>
              <w:t>hs-CRP</w:t>
            </w:r>
            <w:r>
              <w:rPr>
                <w:color w:val="000000"/>
                <w:spacing w:val="0"/>
                <w:w w:val="100"/>
                <w:position w:val="0"/>
              </w:rPr>
              <w:t>）共</w:t>
            </w:r>
            <w:r>
              <w:rPr>
                <w:rFonts w:ascii="Times New Roman" w:eastAsia="Times New Roman" w:hAnsi="Times New Roman" w:cs="Times New Roman"/>
                <w:color w:val="000000"/>
                <w:spacing w:val="0"/>
                <w:w w:val="100"/>
                <w:position w:val="0"/>
              </w:rPr>
              <w:t>6</w:t>
            </w:r>
            <w:r>
              <w:rPr>
                <w:color w:val="000000"/>
                <w:spacing w:val="0"/>
                <w:w w:val="100"/>
                <w:position w:val="0"/>
              </w:rPr>
              <w:t>个项目的室内质 量控制。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12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甲胎蛋白测定试剂盒</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（磁微粒化学发光 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用于体外定量检测人体血清或血浆样本中的甲胎蛋白 </w:t>
            </w:r>
            <w:r>
              <w:rPr>
                <w:color w:val="000000"/>
                <w:spacing w:val="0"/>
                <w:w w:val="100"/>
                <w:position w:val="0"/>
              </w:rPr>
              <w:t>（</w:t>
            </w:r>
            <w:r>
              <w:rPr>
                <w:rFonts w:ascii="Times New Roman" w:eastAsia="Times New Roman" w:hAnsi="Times New Roman" w:cs="Times New Roman"/>
                <w:color w:val="000000"/>
                <w:spacing w:val="0"/>
                <w:w w:val="100"/>
                <w:position w:val="0"/>
              </w:rPr>
              <w:t>AFP</w:t>
            </w:r>
            <w:r>
              <w:rPr>
                <w:color w:val="000000"/>
                <w:spacing w:val="0"/>
                <w:w w:val="100"/>
                <w:position w:val="0"/>
              </w:rPr>
              <w:t>）</w:t>
            </w:r>
            <w:r>
              <w:rPr>
                <w:color w:val="000000"/>
                <w:spacing w:val="0"/>
                <w:w w:val="100"/>
                <w:position w:val="0"/>
              </w:rPr>
              <w:t>，主要用于对恶性肿瘤患者进行动态监测以辅助 判断疾病进程或治疗效果，不能作为恶性肿瘤早期诊断 或确诊的依据，不用于普通人群的肿瘤筛查。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r>
        <w:trPr>
          <w:trHeight w:val="9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乙型肝炎病毒基因分 型检测试剂盒</w:t>
            </w:r>
            <w:r>
              <w:rPr>
                <w:color w:val="000000"/>
                <w:spacing w:val="0"/>
                <w:w w:val="100"/>
                <w:position w:val="0"/>
              </w:rPr>
              <w:t>（</w:t>
            </w:r>
            <w:r>
              <w:rPr>
                <w:rFonts w:ascii="Times New Roman" w:eastAsia="Times New Roman" w:hAnsi="Times New Roman" w:cs="Times New Roman"/>
                <w:color w:val="000000"/>
                <w:spacing w:val="0"/>
                <w:w w:val="100"/>
                <w:position w:val="0"/>
              </w:rPr>
              <w:t xml:space="preserve">PCR- </w:t>
            </w:r>
            <w:r>
              <w:rPr>
                <w:color w:val="000000"/>
                <w:spacing w:val="0"/>
                <w:w w:val="100"/>
                <w:position w:val="0"/>
              </w:rPr>
              <w:t>荧光探针法）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III</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试剂盒用于体外定性检测已明确为乙型肝炎病毒核酸阳 性患者的血清样本中乙型肝炎病毒基因型，包括</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 xml:space="preserve">、 </w:t>
            </w:r>
            <w:r>
              <w:rPr>
                <w:rFonts w:ascii="Times New Roman" w:eastAsia="Times New Roman" w:hAnsi="Times New Roman" w:cs="Times New Roman"/>
                <w:color w:val="000000"/>
                <w:spacing w:val="0"/>
                <w:w w:val="100"/>
                <w:position w:val="0"/>
              </w:rPr>
              <w:t>D</w:t>
            </w:r>
            <w:r>
              <w:rPr>
                <w:color w:val="000000"/>
                <w:spacing w:val="0"/>
                <w:w w:val="100"/>
                <w:position w:val="0"/>
              </w:rPr>
              <w:t>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2026/9/17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首次注 册</w:t>
            </w:r>
          </w:p>
        </w:tc>
      </w:tr>
    </w:tbl>
    <w:p>
      <w:pPr>
        <w:pStyle w:val="Style26"/>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注：截至本报告披露日，上述第</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w:t>
      </w:r>
      <w:r>
        <w:rPr>
          <w:rFonts w:ascii="Times New Roman" w:eastAsia="Times New Roman" w:hAnsi="Times New Roman" w:cs="Times New Roman"/>
          <w:color w:val="000000"/>
          <w:spacing w:val="0"/>
          <w:w w:val="100"/>
          <w:position w:val="0"/>
        </w:rPr>
        <w:t>82</w:t>
      </w:r>
      <w:r>
        <w:rPr>
          <w:color w:val="000000"/>
          <w:spacing w:val="0"/>
          <w:w w:val="100"/>
          <w:position w:val="0"/>
        </w:rPr>
        <w:t>、</w:t>
      </w:r>
      <w:r>
        <w:rPr>
          <w:rFonts w:ascii="Times New Roman" w:eastAsia="Times New Roman" w:hAnsi="Times New Roman" w:cs="Times New Roman"/>
          <w:color w:val="000000"/>
          <w:spacing w:val="0"/>
          <w:w w:val="100"/>
          <w:position w:val="0"/>
        </w:rPr>
        <w:t>86</w:t>
      </w:r>
      <w:r>
        <w:rPr>
          <w:color w:val="000000"/>
          <w:spacing w:val="0"/>
          <w:w w:val="100"/>
          <w:position w:val="0"/>
        </w:rPr>
        <w:t>项医疗器械注册证因有效期届满正在办理延续注册申请。根据《医疗器 械注册管理办法》《体外诊断试剂注册管理办法》的相关规定，公司已按要求提出延期注册申请，提交申报材料不存在不予 延续注册的情形。</w:t>
      </w:r>
    </w:p>
    <w:p>
      <w:pPr>
        <w:widowControl w:val="0"/>
        <w:spacing w:after="119" w:line="1" w:lineRule="exact"/>
      </w:pPr>
    </w:p>
    <w:p>
      <w:pPr>
        <w:pStyle w:val="Style17"/>
        <w:keepNext w:val="0"/>
        <w:keepLines w:val="0"/>
        <w:widowControl w:val="0"/>
        <w:shd w:val="clear" w:color="auto" w:fill="auto"/>
        <w:bidi w:val="0"/>
        <w:spacing w:before="0" w:after="120" w:line="331" w:lineRule="exact"/>
        <w:ind w:left="0" w:right="0" w:firstLine="0"/>
        <w:jc w:val="left"/>
      </w:pPr>
      <w:bookmarkStart w:id="189" w:name="bookmark189"/>
      <w:r>
        <w:rPr>
          <w:rFonts w:ascii="Times New Roman" w:eastAsia="Times New Roman" w:hAnsi="Times New Roman" w:cs="Times New Roman"/>
          <w:b/>
          <w:bCs/>
          <w:color w:val="000000"/>
          <w:spacing w:val="0"/>
          <w:w w:val="100"/>
          <w:position w:val="0"/>
        </w:rPr>
        <w:t>4</w:t>
      </w:r>
      <w:bookmarkEnd w:id="189"/>
      <w:r>
        <w:rPr>
          <w:b/>
          <w:bCs/>
          <w:color w:val="000000"/>
          <w:spacing w:val="0"/>
          <w:w w:val="100"/>
          <w:position w:val="0"/>
        </w:rPr>
        <w:t>、本报告期末（</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日）及上年同期期末（</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日）的医疗器械注册证的数量，以及报告期内的新增与 失效数量</w:t>
      </w:r>
    </w:p>
    <w:tbl>
      <w:tblPr>
        <w:tblOverlap w:val="never"/>
        <w:jc w:val="center"/>
        <w:tblLayout w:type="fixed"/>
      </w:tblPr>
      <w:tblGrid>
        <w:gridCol w:w="576"/>
        <w:gridCol w:w="3120"/>
        <w:gridCol w:w="1834"/>
        <w:gridCol w:w="1982"/>
        <w:gridCol w:w="994"/>
        <w:gridCol w:w="1147"/>
      </w:tblGrid>
      <w:tr>
        <w:trPr>
          <w:trHeight w:val="9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本报告期末医疗器械注 册证</w:t>
            </w:r>
            <w:r>
              <w:rPr>
                <w:rFonts w:ascii="Times New Roman" w:eastAsia="Times New Roman" w:hAnsi="Times New Roman" w:cs="Times New Roman"/>
                <w:b/>
                <w:bCs/>
                <w:color w:val="000000"/>
                <w:spacing w:val="0"/>
                <w:w w:val="100"/>
                <w:position w:val="0"/>
              </w:rPr>
              <w:t>/</w:t>
            </w:r>
            <w:r>
              <w:rPr>
                <w:b/>
                <w:bCs/>
                <w:color w:val="000000"/>
                <w:spacing w:val="0"/>
                <w:w w:val="100"/>
                <w:position w:val="0"/>
              </w:rPr>
              <w:t>备案凭证的数量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上年同期的医疗器械注 册证</w:t>
            </w:r>
            <w:r>
              <w:rPr>
                <w:rFonts w:ascii="Times New Roman" w:eastAsia="Times New Roman" w:hAnsi="Times New Roman" w:cs="Times New Roman"/>
                <w:b/>
                <w:bCs/>
                <w:color w:val="000000"/>
                <w:spacing w:val="0"/>
                <w:w w:val="100"/>
                <w:position w:val="0"/>
              </w:rPr>
              <w:t>/</w:t>
            </w:r>
            <w:r>
              <w:rPr>
                <w:b/>
                <w:bCs/>
                <w:color w:val="000000"/>
                <w:spacing w:val="0"/>
                <w:w w:val="100"/>
                <w:position w:val="0"/>
              </w:rPr>
              <w:t>备案凭证的数量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报告期内的 新增数量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报告期内的失 效数量</w:t>
            </w: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北京华大吉比爱生物技术有限公司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深圳华大基因生物医学工程有限公司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59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华大生物科技（武汉）有限公司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武汉华大基因生物医学工程有限公司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60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深圳华大因源医药科技有限公司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、现金流</w:t>
      </w:r>
      <w:bookmarkEnd w:id="190"/>
      <w:bookmarkEnd w:id="191"/>
      <w:bookmarkEnd w:id="1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338"/>
        <w:gridCol w:w="2342"/>
        <w:gridCol w:w="234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7,998,522,906.32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8,689,727,831.87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5,522,390,522.42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5,087,035,300.57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2,476,132,383.90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3,602,692,531.30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3,299,125,879.45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4,464,745,308.68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5,591,176,079.70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4,270,769,750.26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-2,292,050,200.25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193,975,558.42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2,069,861,137.00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1,817,910,668.87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1,032,554,589.65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667,482,386.54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1,037,306,547.35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1,150,428,282.33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1,081,479,922.74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4,684,580,885.06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-76.91%</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714" w:val="left"/>
        </w:tabs>
        <w:bidi w:val="0"/>
        <w:spacing w:before="0" w:after="0" w:line="326" w:lineRule="exact"/>
        <w:ind w:left="0" w:right="0"/>
        <w:jc w:val="left"/>
      </w:pPr>
      <w:bookmarkStart w:id="194" w:name="bookmark194"/>
      <w:r>
        <w:rPr>
          <w:rFonts w:ascii="Times New Roman" w:eastAsia="Times New Roman" w:hAnsi="Times New Roman" w:cs="Times New Roman"/>
          <w:color w:val="000000"/>
          <w:spacing w:val="0"/>
          <w:w w:val="100"/>
          <w:position w:val="0"/>
        </w:rPr>
        <w:t>1</w:t>
      </w:r>
      <w:bookmarkEnd w:id="194"/>
      <w:r>
        <w:rPr>
          <w:color w:val="000000"/>
          <w:spacing w:val="0"/>
          <w:w w:val="100"/>
          <w:position w:val="0"/>
        </w:rPr>
        <w:t>、</w:t>
        <w:tab/>
        <w:t>经营活动产生的现金流量净额较上年同期减少</w:t>
      </w:r>
      <w:r>
        <w:rPr>
          <w:rFonts w:ascii="Times New Roman" w:eastAsia="Times New Roman" w:hAnsi="Times New Roman" w:cs="Times New Roman"/>
          <w:color w:val="000000"/>
          <w:spacing w:val="0"/>
          <w:w w:val="100"/>
          <w:position w:val="0"/>
        </w:rPr>
        <w:t>31.27%</w:t>
      </w:r>
      <w:r>
        <w:rPr>
          <w:color w:val="000000"/>
          <w:spacing w:val="0"/>
          <w:w w:val="100"/>
          <w:position w:val="0"/>
        </w:rPr>
        <w:t>，主要系报告期销售商品、提供劳务收到的现金减少所致。</w:t>
      </w:r>
    </w:p>
    <w:p>
      <w:pPr>
        <w:pStyle w:val="Style17"/>
        <w:keepNext w:val="0"/>
        <w:keepLines w:val="0"/>
        <w:widowControl w:val="0"/>
        <w:shd w:val="clear" w:color="auto" w:fill="auto"/>
        <w:tabs>
          <w:tab w:pos="734" w:val="left"/>
        </w:tabs>
        <w:bidi w:val="0"/>
        <w:spacing w:before="0" w:after="0" w:line="326" w:lineRule="exact"/>
        <w:ind w:left="0" w:right="0"/>
        <w:jc w:val="left"/>
      </w:pPr>
      <w:bookmarkStart w:id="195" w:name="bookmark195"/>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投资活动产生的现金流量净额较上年同期减少</w:t>
      </w:r>
      <w:r>
        <w:rPr>
          <w:rFonts w:ascii="Times New Roman" w:eastAsia="Times New Roman" w:hAnsi="Times New Roman" w:cs="Times New Roman"/>
          <w:color w:val="000000"/>
          <w:spacing w:val="0"/>
          <w:w w:val="100"/>
          <w:position w:val="0"/>
        </w:rPr>
        <w:t>1281.62%</w:t>
      </w:r>
      <w:r>
        <w:rPr>
          <w:color w:val="000000"/>
          <w:spacing w:val="0"/>
          <w:w w:val="100"/>
          <w:position w:val="0"/>
        </w:rPr>
        <w:t>，主要系报告期购买银行理财产品致现金流出增加所致。</w:t>
      </w:r>
    </w:p>
    <w:p>
      <w:pPr>
        <w:pStyle w:val="Style17"/>
        <w:keepNext w:val="0"/>
        <w:keepLines w:val="0"/>
        <w:widowControl w:val="0"/>
        <w:shd w:val="clear" w:color="auto" w:fill="auto"/>
        <w:tabs>
          <w:tab w:pos="714" w:val="left"/>
        </w:tabs>
        <w:bidi w:val="0"/>
        <w:spacing w:before="0" w:after="0" w:line="326" w:lineRule="exact"/>
        <w:ind w:left="0" w:right="0"/>
        <w:jc w:val="left"/>
      </w:pPr>
      <w:bookmarkStart w:id="196" w:name="bookmark196"/>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现金及现金等价物净增加额较上年同期减少</w:t>
      </w:r>
      <w:r>
        <w:rPr>
          <w:rFonts w:ascii="Times New Roman" w:eastAsia="Times New Roman" w:hAnsi="Times New Roman" w:cs="Times New Roman"/>
          <w:color w:val="000000"/>
          <w:spacing w:val="0"/>
          <w:w w:val="100"/>
          <w:position w:val="0"/>
        </w:rPr>
        <w:t>76.91%</w:t>
      </w:r>
      <w:r>
        <w:rPr>
          <w:color w:val="000000"/>
          <w:spacing w:val="0"/>
          <w:w w:val="100"/>
          <w:position w:val="0"/>
        </w:rPr>
        <w:t>，主要系报告期销售商品、提供劳务收到的现金减少以及报告 期购买银行理财产品所致。</w:t>
      </w:r>
    </w:p>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380" w:line="317" w:lineRule="exact"/>
        <w:ind w:left="0" w:right="0"/>
        <w:jc w:val="left"/>
      </w:pPr>
      <w:r>
        <w:rPr>
          <w:color w:val="000000"/>
          <w:spacing w:val="0"/>
          <w:w w:val="100"/>
          <w:position w:val="0"/>
        </w:rPr>
        <w:t>本报告期经营活动产生的现金净流量为</w:t>
      </w:r>
      <w:r>
        <w:rPr>
          <w:rFonts w:ascii="Times New Roman" w:eastAsia="Times New Roman" w:hAnsi="Times New Roman" w:cs="Times New Roman"/>
          <w:color w:val="000000"/>
          <w:spacing w:val="0"/>
          <w:w w:val="100"/>
          <w:position w:val="0"/>
        </w:rPr>
        <w:t>2,476,132,383.9</w:t>
      </w:r>
      <w:r>
        <w:rPr>
          <w:rFonts w:ascii="Times New Roman" w:eastAsia="Times New Roman" w:hAnsi="Times New Roman" w:cs="Times New Roman"/>
          <w:color w:val="000000"/>
          <w:spacing w:val="0"/>
          <w:w w:val="100"/>
          <w:position w:val="0"/>
        </w:rPr>
        <w:t>0</w:t>
      </w:r>
      <w:r>
        <w:rPr>
          <w:color w:val="000000"/>
          <w:spacing w:val="0"/>
          <w:w w:val="100"/>
          <w:position w:val="0"/>
        </w:rPr>
        <w:t>元，净利润为</w:t>
      </w:r>
      <w:r>
        <w:rPr>
          <w:rFonts w:ascii="Times New Roman" w:eastAsia="Times New Roman" w:hAnsi="Times New Roman" w:cs="Times New Roman"/>
          <w:color w:val="000000"/>
          <w:spacing w:val="0"/>
          <w:w w:val="100"/>
          <w:position w:val="0"/>
        </w:rPr>
        <w:t>1,477,698,603.5</w:t>
      </w:r>
      <w:r>
        <w:rPr>
          <w:rFonts w:ascii="Times New Roman" w:eastAsia="Times New Roman" w:hAnsi="Times New Roman" w:cs="Times New Roman"/>
          <w:color w:val="000000"/>
          <w:spacing w:val="0"/>
          <w:w w:val="100"/>
          <w:position w:val="0"/>
        </w:rPr>
        <w:t>7</w:t>
      </w:r>
      <w:r>
        <w:rPr>
          <w:color w:val="000000"/>
          <w:spacing w:val="0"/>
          <w:w w:val="100"/>
          <w:position w:val="0"/>
        </w:rPr>
        <w:t>元，差异原因详见第十节财务报 告附注</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“62</w:t>
      </w:r>
      <w:r>
        <w:rPr>
          <w:color w:val="000000"/>
          <w:spacing w:val="0"/>
          <w:w w:val="100"/>
          <w:position w:val="0"/>
        </w:rPr>
        <w:t>、现金流量表补充资料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bidi w:val="0"/>
        <w:spacing w:before="0" w:after="24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五</w:t>
      </w:r>
      <w:bookmarkEnd w:id="199"/>
      <w:r>
        <w:rPr>
          <w:color w:val="000000"/>
          <w:spacing w:val="0"/>
          <w:w w:val="100"/>
          <w:position w:val="0"/>
          <w:sz w:val="24"/>
          <w:szCs w:val="24"/>
        </w:rPr>
        <w:t>、非主营业务情况</w:t>
      </w:r>
      <w:bookmarkEnd w:id="197"/>
      <w:bookmarkEnd w:id="198"/>
      <w:bookmarkEnd w:id="200"/>
    </w:p>
    <w:p>
      <w:pPr>
        <w:pStyle w:val="Style17"/>
        <w:keepNext w:val="0"/>
        <w:keepLines w:val="0"/>
        <w:widowControl w:val="0"/>
        <w:shd w:val="clear" w:color="auto" w:fill="auto"/>
        <w:bidi w:val="0"/>
        <w:spacing w:before="0" w:after="120" w:line="32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738"/>
        <w:gridCol w:w="1560"/>
        <w:gridCol w:w="3115"/>
        <w:gridCol w:w="16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173,818,484.94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主要系权益法核算的长期股权投资在持 有期间的投资收益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86,411,750.20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主要系其他非流动金融资产持有期间公 允价值变动产生的损益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-72,393,847.96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主要系预付专利款及存货减值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3,983,568.17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主要系取得保险理赔款及结转长期挂账 的预收款项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80,924,937.38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主要系对外捐赠及固定资产报废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738"/>
        <w:gridCol w:w="1560"/>
        <w:gridCol w:w="3115"/>
        <w:gridCol w:w="164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53,422,657.89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主要是与日常活动有关的政府补助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-104,474,627.98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主要是应收账款等科目计提的信用减值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资产处置损益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-3,883,987.14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主要是固定资产处置损失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400"/>
        <w:jc w:val="left"/>
      </w:pPr>
      <w:bookmarkStart w:id="201" w:name="bookmark201"/>
      <w:bookmarkStart w:id="202" w:name="bookmark202"/>
      <w:bookmarkStart w:id="203" w:name="bookmark203"/>
      <w:bookmarkStart w:id="204" w:name="bookmark204"/>
      <w:r>
        <w:rPr>
          <w:color w:val="000000"/>
          <w:spacing w:val="0"/>
          <w:w w:val="100"/>
          <w:position w:val="0"/>
          <w:sz w:val="24"/>
          <w:szCs w:val="24"/>
        </w:rPr>
        <w:t>六</w:t>
      </w:r>
      <w:bookmarkEnd w:id="203"/>
      <w:r>
        <w:rPr>
          <w:color w:val="000000"/>
          <w:spacing w:val="0"/>
          <w:w w:val="100"/>
          <w:position w:val="0"/>
          <w:sz w:val="24"/>
          <w:szCs w:val="24"/>
        </w:rPr>
        <w:t>、资产及负债状况分析</w:t>
      </w:r>
      <w:bookmarkEnd w:id="201"/>
      <w:bookmarkEnd w:id="202"/>
      <w:bookmarkEnd w:id="204"/>
    </w:p>
    <w:p>
      <w:pPr>
        <w:pStyle w:val="Style30"/>
        <w:keepNext/>
        <w:keepLines/>
        <w:widowControl w:val="0"/>
        <w:shd w:val="clear" w:color="auto" w:fill="auto"/>
        <w:bidi w:val="0"/>
        <w:spacing w:before="0" w:after="340" w:line="240" w:lineRule="auto"/>
        <w:ind w:left="0" w:right="0" w:firstLine="40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、资产构成重大变动情况</w:t>
      </w:r>
      <w:bookmarkEnd w:id="205"/>
      <w:bookmarkEnd w:id="206"/>
      <w:bookmarkEnd w:id="2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560"/>
        <w:gridCol w:w="1277"/>
        <w:gridCol w:w="1560"/>
        <w:gridCol w:w="1272"/>
        <w:gridCol w:w="994"/>
        <w:gridCol w:w="12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6,590,287,309.23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5,430,072,369.01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1,214,851,854.52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1,559,813,896.50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877,718,867.64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1,009,819,242.27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192,364,214.50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211,490,887.11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1,167,095,216.51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1,138,436,140.80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38,498,106.13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53,395,711.44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194,102,083.43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251,634,950.41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5,005,576.39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563,296,000.00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1,409,524,891.35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840,881,739.91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144,922,995.97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168,500,000.00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84,440,855.81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143,937,721.54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2,049,069,513.70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79,748,902.30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119,058,920.41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49,742,899.87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117,006,884.72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144,018,893.86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163,659,106.21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10,785,610.95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65,780,402.74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52,821,620.55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241,381,563.03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227,434,198.19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453,679,461.55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300,021,953.11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245,456,250.87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146,760,803.37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77,755,165.65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32,608,259.29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47,109,401.10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47,109,401.10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99,898,439.98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63,279,636.27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200,286,243.45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162,055,460.60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560"/>
        <w:gridCol w:w="1277"/>
        <w:gridCol w:w="1560"/>
        <w:gridCol w:w="1272"/>
        <w:gridCol w:w="994"/>
        <w:gridCol w:w="1214"/>
      </w:tblGrid>
      <w:tr>
        <w:trPr>
          <w:trHeight w:val="4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185,077,791.72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236,759,898.35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境外资产占比较高</w:t>
      </w:r>
    </w:p>
    <w:p>
      <w:pPr>
        <w:pStyle w:val="Style17"/>
        <w:keepNext w:val="0"/>
        <w:keepLines w:val="0"/>
        <w:widowControl w:val="0"/>
        <w:shd w:val="clear" w:color="auto" w:fill="auto"/>
        <w:bidi w:val="0"/>
        <w:spacing w:before="0" w:after="38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40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、以公允价值计量的资产和负债</w:t>
      </w:r>
      <w:bookmarkEnd w:id="209"/>
      <w:bookmarkEnd w:id="210"/>
      <w:bookmarkEnd w:id="212"/>
    </w:p>
    <w:p>
      <w:pPr>
        <w:pStyle w:val="Style1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77"/>
        <w:gridCol w:w="1272"/>
        <w:gridCol w:w="1277"/>
        <w:gridCol w:w="566"/>
        <w:gridCol w:w="1421"/>
        <w:gridCol w:w="1416"/>
        <w:gridCol w:w="994"/>
        <w:gridCol w:w="1426"/>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r>
              <w:rPr>
                <w:rFonts w:ascii="Times New Roman" w:eastAsia="Times New Roman" w:hAnsi="Times New Roman" w:cs="Times New Roman"/>
                <w:color w:val="000000"/>
                <w:spacing w:val="0"/>
                <w:w w:val="100"/>
                <w:position w:val="0"/>
              </w:rPr>
              <w:t>/</w:t>
            </w:r>
            <w:r>
              <w:rPr>
                <w:color w:val="000000"/>
                <w:spacing w:val="0"/>
                <w:w w:val="100"/>
                <w:position w:val="0"/>
              </w:rPr>
              <w:t>其他 综合收益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计提 的减 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14,375,493.33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14,375,493.33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2,048,375,493.33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694,020.37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694,020.37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227,434,198.19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44,180,317.40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92,830,875.12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30,232,952.56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241,381,563.03</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其他非流</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动金融资产</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300,021,953.11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71,397,018.20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111,199,519.18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91,414,634.15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9,024,153.78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-129,990.13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453,679,461.55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527,456,151.30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130,646,849.30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219,099,908.00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4,211,414,634.15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2,125,257,106.34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-129,990.13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2,744,130,538.28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54,781.70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r>
    </w:tbl>
    <w:p>
      <w:pPr>
        <w:pStyle w:val="Style26"/>
        <w:keepNext w:val="0"/>
        <w:keepLines w:val="0"/>
        <w:widowControl w:val="0"/>
        <w:shd w:val="clear" w:color="auto" w:fill="auto"/>
        <w:bidi w:val="0"/>
        <w:spacing w:before="0" w:after="0" w:line="322" w:lineRule="exact"/>
        <w:ind w:left="384" w:right="0" w:firstLine="0"/>
        <w:jc w:val="left"/>
      </w:pPr>
      <w:r>
        <w:rPr>
          <w:color w:val="000000"/>
          <w:spacing w:val="0"/>
          <w:w w:val="100"/>
          <w:position w:val="0"/>
        </w:rPr>
        <w:t>注：其他非流动金融资产本期购买</w:t>
      </w:r>
      <w:r>
        <w:rPr>
          <w:rFonts w:ascii="Times New Roman" w:eastAsia="Times New Roman" w:hAnsi="Times New Roman" w:cs="Times New Roman"/>
          <w:color w:val="000000"/>
          <w:spacing w:val="0"/>
          <w:w w:val="100"/>
          <w:position w:val="0"/>
        </w:rPr>
        <w:t>/</w:t>
      </w:r>
      <w:r>
        <w:rPr>
          <w:color w:val="000000"/>
          <w:spacing w:val="0"/>
          <w:w w:val="100"/>
          <w:position w:val="0"/>
        </w:rPr>
        <w:t>转入金额中，人民币</w:t>
      </w:r>
      <w:r>
        <w:rPr>
          <w:rFonts w:ascii="Times New Roman" w:eastAsia="Times New Roman" w:hAnsi="Times New Roman" w:cs="Times New Roman"/>
          <w:color w:val="000000"/>
          <w:spacing w:val="0"/>
          <w:w w:val="100"/>
          <w:position w:val="0"/>
        </w:rPr>
        <w:t>63,414,634.15</w:t>
      </w:r>
      <w:r>
        <w:rPr>
          <w:color w:val="000000"/>
          <w:spacing w:val="0"/>
          <w:w w:val="100"/>
          <w:position w:val="0"/>
        </w:rPr>
        <w:t>元为恩迪生物从长期股权投资转至其他非流动金 融资产核算，详见第十节财务报告附注</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“12</w:t>
      </w:r>
      <w:r>
        <w:rPr>
          <w:color w:val="000000"/>
          <w:spacing w:val="0"/>
          <w:w w:val="100"/>
          <w:position w:val="0"/>
        </w:rPr>
        <w:t>、长期股权投资七</w:t>
      </w:r>
    </w:p>
    <w:p>
      <w:pPr>
        <w:widowControl w:val="0"/>
        <w:spacing w:after="59" w:line="1" w:lineRule="exact"/>
      </w:pPr>
    </w:p>
    <w:p>
      <w:pPr>
        <w:pStyle w:val="Style17"/>
        <w:keepNext w:val="0"/>
        <w:keepLines w:val="0"/>
        <w:widowControl w:val="0"/>
        <w:shd w:val="clear" w:color="auto" w:fill="auto"/>
        <w:bidi w:val="0"/>
        <w:spacing w:before="0" w:after="140" w:line="322" w:lineRule="exact"/>
        <w:ind w:left="0" w:right="0" w:firstLine="400"/>
        <w:jc w:val="left"/>
      </w:pPr>
      <w:r>
        <w:rPr>
          <w:color w:val="000000"/>
          <w:spacing w:val="0"/>
          <w:w w:val="100"/>
          <w:position w:val="0"/>
        </w:rPr>
        <w:t>其他变动的内容</w:t>
      </w:r>
    </w:p>
    <w:p>
      <w:pPr>
        <w:pStyle w:val="Style17"/>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其他变动主要系报告期内金融工具出售确认的投资损益以及外币项目的汇率变动影响。</w:t>
      </w:r>
    </w:p>
    <w:p>
      <w:pPr>
        <w:pStyle w:val="Style1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20" w:line="240" w:lineRule="auto"/>
        <w:ind w:left="0" w:right="0" w:firstLine="40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、截至报告期末的资产权利受限情况</w:t>
      </w:r>
      <w:bookmarkEnd w:id="213"/>
      <w:bookmarkEnd w:id="214"/>
      <w:bookmarkEnd w:id="216"/>
    </w:p>
    <w:tbl>
      <w:tblPr>
        <w:tblOverlap w:val="never"/>
        <w:jc w:val="center"/>
        <w:tblLayout w:type="fixed"/>
      </w:tblPr>
      <w:tblGrid>
        <w:gridCol w:w="2395"/>
        <w:gridCol w:w="3403"/>
        <w:gridCol w:w="3696"/>
      </w:tblGrid>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98,742,979.98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20,007,962.50</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19,803,999.56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20,217,300.42</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216,596,797.46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318,844,393.24</w:t>
            </w:r>
          </w:p>
        </w:tc>
      </w:tr>
      <w:tr>
        <w:trPr>
          <w:trHeight w:val="36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335,143,777.00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359,069,656.16</w:t>
            </w:r>
          </w:p>
        </w:tc>
      </w:tr>
    </w:tbl>
    <w:p>
      <w:pPr>
        <w:pStyle w:val="Style38"/>
        <w:keepNext w:val="0"/>
        <w:keepLines w:val="0"/>
        <w:widowControl w:val="0"/>
        <w:shd w:val="clear" w:color="auto" w:fill="auto"/>
        <w:bidi w:val="0"/>
        <w:spacing w:before="0" w:after="0" w:line="319" w:lineRule="exact"/>
        <w:ind w:left="380" w:right="0" w:firstLine="380"/>
        <w:jc w:val="both"/>
      </w:pPr>
      <w:r>
        <w:rPr>
          <w:rFonts w:ascii="SimSun" w:eastAsia="SimSun" w:hAnsi="SimSun" w:cs="SimSun"/>
          <w:color w:val="000000"/>
          <w:spacing w:val="0"/>
          <w:w w:val="100"/>
          <w:position w:val="0"/>
        </w:rPr>
        <w:t>注</w:t>
      </w:r>
      <w:r>
        <w:rPr>
          <w:color w:val="000000"/>
          <w:spacing w:val="0"/>
          <w:w w:val="100"/>
          <w:position w:val="0"/>
        </w:rPr>
        <w:t>1</w:t>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日，账面价值为人民币</w:t>
      </w:r>
      <w:r>
        <w:rPr>
          <w:color w:val="000000"/>
          <w:spacing w:val="0"/>
          <w:w w:val="100"/>
          <w:position w:val="0"/>
        </w:rPr>
        <w:t>26,060,996.29</w:t>
      </w:r>
      <w:r>
        <w:rPr>
          <w:rFonts w:ascii="SimSun" w:eastAsia="SimSun" w:hAnsi="SimSun" w:cs="SimSun"/>
          <w:color w:val="000000"/>
          <w:spacing w:val="0"/>
          <w:w w:val="100"/>
          <w:position w:val="0"/>
        </w:rPr>
        <w:t>元和利息收入人民币</w:t>
      </w:r>
      <w:r>
        <w:rPr>
          <w:color w:val="000000"/>
          <w:spacing w:val="0"/>
          <w:w w:val="100"/>
          <w:position w:val="0"/>
        </w:rPr>
        <w:t>802.20</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 xml:space="preserve">18,450,820.74 </w:t>
      </w:r>
      <w:r>
        <w:rPr>
          <w:rFonts w:ascii="SimSun" w:eastAsia="SimSun" w:hAnsi="SimSun" w:cs="SimSun"/>
          <w:color w:val="000000"/>
          <w:spacing w:val="0"/>
          <w:w w:val="100"/>
          <w:position w:val="0"/>
        </w:rPr>
        <w:t>元）用于支付履约保函保证金；人民币</w:t>
      </w:r>
      <w:r>
        <w:rPr>
          <w:color w:val="000000"/>
          <w:spacing w:val="0"/>
          <w:w w:val="100"/>
          <w:position w:val="0"/>
        </w:rPr>
        <w:t>49,112,075.00</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日：无）为银票保证金；人民币</w:t>
      </w:r>
      <w:r>
        <w:rPr>
          <w:color w:val="000000"/>
          <w:spacing w:val="0"/>
          <w:w w:val="100"/>
          <w:position w:val="0"/>
        </w:rPr>
        <w:t>22,614,613.19</w:t>
      </w:r>
      <w:r>
        <w:rPr>
          <w:rFonts w:ascii="SimSun" w:eastAsia="SimSun" w:hAnsi="SimSun" w:cs="SimSun"/>
          <w:color w:val="000000"/>
          <w:spacing w:val="0"/>
          <w:w w:val="100"/>
          <w:position w:val="0"/>
        </w:rPr>
        <w:t>元（</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rPr>
        <w:t>无）为套保保证金;人民币</w:t>
      </w:r>
      <w:r>
        <w:rPr>
          <w:color w:val="000000"/>
          <w:spacing w:val="0"/>
          <w:w w:val="100"/>
          <w:position w:val="0"/>
        </w:rPr>
        <w:t>480,738.40</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日：无）为因政府专项账户导致余额受限;人民币</w:t>
      </w:r>
      <w:r>
        <w:rPr>
          <w:color w:val="000000"/>
          <w:spacing w:val="0"/>
          <w:w w:val="100"/>
          <w:position w:val="0"/>
        </w:rPr>
        <w:t xml:space="preserve">469,076.71 </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rPr>
        <w:t>无）为证券户受限资金；人民币</w:t>
      </w:r>
      <w:r>
        <w:rPr>
          <w:color w:val="000000"/>
          <w:spacing w:val="0"/>
          <w:w w:val="100"/>
          <w:position w:val="0"/>
        </w:rPr>
        <w:t xml:space="preserve">4,678.19 </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 xml:space="preserve">0： </w:t>
      </w:r>
      <w:r>
        <w:rPr>
          <w:color w:val="000000"/>
          <w:spacing w:val="0"/>
          <w:w w:val="100"/>
          <w:position w:val="0"/>
        </w:rPr>
        <w:t>1,557,141.76</w:t>
      </w:r>
      <w:r>
        <w:rPr>
          <w:rFonts w:ascii="SimSun" w:eastAsia="SimSun" w:hAnsi="SimSun" w:cs="SimSun"/>
          <w:color w:val="000000"/>
          <w:spacing w:val="0"/>
          <w:w w:val="100"/>
          <w:position w:val="0"/>
        </w:rPr>
        <w:t>元）因睡眠账户导致余额冻 结。</w:t>
      </w:r>
    </w:p>
    <w:p>
      <w:pPr>
        <w:pStyle w:val="Style38"/>
        <w:keepNext w:val="0"/>
        <w:keepLines w:val="0"/>
        <w:widowControl w:val="0"/>
        <w:shd w:val="clear" w:color="auto" w:fill="auto"/>
        <w:bidi w:val="0"/>
        <w:spacing w:before="0" w:after="0" w:line="319" w:lineRule="exact"/>
        <w:ind w:left="380" w:right="0" w:firstLine="380"/>
        <w:jc w:val="both"/>
      </w:pPr>
      <w:r>
        <w:rPr>
          <w:rFonts w:ascii="SimSun" w:eastAsia="SimSun" w:hAnsi="SimSun" w:cs="SimSun"/>
          <w:color w:val="000000"/>
          <w:spacing w:val="0"/>
          <w:w w:val="100"/>
          <w:position w:val="0"/>
        </w:rPr>
        <w:t>注</w:t>
      </w:r>
      <w:r>
        <w:rPr>
          <w:color w:val="000000"/>
          <w:spacing w:val="0"/>
          <w:w w:val="100"/>
          <w:position w:val="0"/>
        </w:rPr>
        <w:t>2</w:t>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rPr>
        <w:t>账面价值为人民币</w:t>
      </w:r>
      <w:r>
        <w:rPr>
          <w:color w:val="000000"/>
          <w:spacing w:val="0"/>
          <w:w w:val="100"/>
          <w:position w:val="0"/>
        </w:rPr>
        <w:t>19,803,999.56</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rPr>
        <w:t>人民币</w:t>
      </w:r>
      <w:r>
        <w:rPr>
          <w:color w:val="000000"/>
          <w:spacing w:val="0"/>
          <w:w w:val="100"/>
          <w:position w:val="0"/>
        </w:rPr>
        <w:t>20,217,300.4</w:t>
      </w:r>
      <w:r>
        <w:rPr>
          <w:color w:val="000000"/>
          <w:spacing w:val="0"/>
          <w:w w:val="100"/>
          <w:position w:val="0"/>
        </w:rPr>
        <w:t>2</w:t>
      </w:r>
      <w:r>
        <w:rPr>
          <w:rFonts w:ascii="SimSun" w:eastAsia="SimSun" w:hAnsi="SimSun" w:cs="SimSun"/>
          <w:color w:val="000000"/>
          <w:spacing w:val="0"/>
          <w:w w:val="100"/>
          <w:position w:val="0"/>
        </w:rPr>
        <w:t>元）的无形资产用 于债券发行反担保抵押。</w:t>
      </w:r>
    </w:p>
    <w:p>
      <w:pPr>
        <w:pStyle w:val="Style17"/>
        <w:keepNext w:val="0"/>
        <w:keepLines w:val="0"/>
        <w:widowControl w:val="0"/>
        <w:shd w:val="clear" w:color="auto" w:fill="auto"/>
        <w:bidi w:val="0"/>
        <w:spacing w:before="0" w:after="360" w:line="312" w:lineRule="exact"/>
        <w:ind w:left="38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账面价值为人民币</w:t>
      </w:r>
      <w:r>
        <w:rPr>
          <w:rFonts w:ascii="Times New Roman" w:eastAsia="Times New Roman" w:hAnsi="Times New Roman" w:cs="Times New Roman"/>
          <w:color w:val="000000"/>
          <w:spacing w:val="0"/>
          <w:w w:val="100"/>
          <w:position w:val="0"/>
        </w:rPr>
        <w:t>95,556,154.59</w:t>
      </w:r>
      <w:r>
        <w:rPr>
          <w:color w:val="000000"/>
          <w:spacing w:val="0"/>
          <w:w w:val="100"/>
          <w:position w:val="0"/>
        </w:rPr>
        <w:t>元的固定资产用于取得融资租赁款抵押。</w:t>
      </w:r>
      <w:r>
        <w:rPr>
          <w:rFonts w:ascii="Times New Roman" w:eastAsia="Times New Roman" w:hAnsi="Times New Roman" w:cs="Times New Roman"/>
          <w:color w:val="000000"/>
          <w:spacing w:val="0"/>
          <w:w w:val="100"/>
          <w:position w:val="0"/>
        </w:rPr>
        <w:t>2021</w:t>
      </w:r>
      <w:r>
        <w:rPr>
          <w:color w:val="000000"/>
          <w:spacing w:val="0"/>
          <w:w w:val="100"/>
          <w:position w:val="0"/>
        </w:rPr>
        <w:t>年，本公司采用 新租赁准则，将用于取得融资租赁款抵押的固定资产转移至使用权资产核算。于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sz w:val="18"/>
          <w:szCs w:val="18"/>
        </w:rPr>
        <w:t>0,</w:t>
      </w:r>
      <w:r>
        <w:rPr>
          <w:color w:val="000000"/>
          <w:spacing w:val="0"/>
          <w:w w:val="100"/>
          <w:position w:val="0"/>
        </w:rPr>
        <w:t xml:space="preserve">账面价值为人民币 </w:t>
      </w:r>
      <w:r>
        <w:rPr>
          <w:rFonts w:ascii="Times New Roman" w:eastAsia="Times New Roman" w:hAnsi="Times New Roman" w:cs="Times New Roman"/>
          <w:color w:val="000000"/>
          <w:spacing w:val="0"/>
          <w:w w:val="100"/>
          <w:position w:val="0"/>
        </w:rPr>
        <w:t>216,596,797.46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人民币</w:t>
      </w:r>
      <w:r>
        <w:rPr>
          <w:rFonts w:ascii="Times New Roman" w:eastAsia="Times New Roman" w:hAnsi="Times New Roman" w:cs="Times New Roman"/>
          <w:color w:val="000000"/>
          <w:spacing w:val="0"/>
          <w:w w:val="100"/>
          <w:position w:val="0"/>
        </w:rPr>
        <w:t>223,288,238.65</w:t>
      </w:r>
      <w:r>
        <w:rPr>
          <w:color w:val="000000"/>
          <w:spacing w:val="0"/>
          <w:w w:val="100"/>
          <w:position w:val="0"/>
        </w:rPr>
        <w:t>元）的固定资产用于债券发行反担保抵押。</w:t>
      </w:r>
    </w:p>
    <w:p>
      <w:pPr>
        <w:pStyle w:val="Style24"/>
        <w:keepNext/>
        <w:keepLines/>
        <w:widowControl w:val="0"/>
        <w:shd w:val="clear" w:color="auto" w:fill="auto"/>
        <w:bidi w:val="0"/>
        <w:spacing w:before="0" w:after="360" w:line="240" w:lineRule="auto"/>
        <w:ind w:left="0" w:right="0" w:firstLine="380"/>
        <w:jc w:val="left"/>
      </w:pPr>
      <w:bookmarkStart w:id="217" w:name="bookmark217"/>
      <w:bookmarkStart w:id="218" w:name="bookmark218"/>
      <w:bookmarkStart w:id="219" w:name="bookmark219"/>
      <w:bookmarkStart w:id="220" w:name="bookmark220"/>
      <w:r>
        <w:rPr>
          <w:color w:val="000000"/>
          <w:spacing w:val="0"/>
          <w:w w:val="100"/>
          <w:position w:val="0"/>
          <w:sz w:val="24"/>
          <w:szCs w:val="24"/>
        </w:rPr>
        <w:t>七</w:t>
      </w:r>
      <w:bookmarkEnd w:id="219"/>
      <w:r>
        <w:rPr>
          <w:color w:val="000000"/>
          <w:spacing w:val="0"/>
          <w:w w:val="100"/>
          <w:position w:val="0"/>
          <w:sz w:val="24"/>
          <w:szCs w:val="24"/>
        </w:rPr>
        <w:t>、投资状况分析</w:t>
      </w:r>
      <w:bookmarkEnd w:id="217"/>
      <w:bookmarkEnd w:id="218"/>
      <w:bookmarkEnd w:id="220"/>
    </w:p>
    <w:p>
      <w:pPr>
        <w:pStyle w:val="Style30"/>
        <w:keepNext/>
        <w:keepLines/>
        <w:widowControl w:val="0"/>
        <w:shd w:val="clear" w:color="auto" w:fill="auto"/>
        <w:bidi w:val="0"/>
        <w:spacing w:before="0" w:line="240" w:lineRule="auto"/>
        <w:ind w:left="0" w:right="0" w:firstLine="38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、总体情况</w:t>
      </w:r>
      <w:bookmarkEnd w:id="221"/>
      <w:bookmarkEnd w:id="222"/>
      <w:bookmarkEnd w:id="22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912,002,833.45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545,674,479.90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67.13%</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38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、报告期内获取的重大的股权投资情况</w:t>
      </w:r>
      <w:bookmarkEnd w:id="225"/>
      <w:bookmarkEnd w:id="226"/>
      <w:bookmarkEnd w:id="228"/>
    </w:p>
    <w:p>
      <w:pPr>
        <w:pStyle w:val="Style17"/>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758" w:val="left"/>
        </w:tabs>
        <w:bidi w:val="0"/>
        <w:spacing w:before="0" w:line="240" w:lineRule="auto"/>
        <w:ind w:left="0" w:right="0" w:firstLine="38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3</w:t>
      </w:r>
      <w:bookmarkEnd w:id="231"/>
      <w:r>
        <w:rPr>
          <w:color w:val="000000"/>
          <w:spacing w:val="0"/>
          <w:w w:val="100"/>
          <w:position w:val="0"/>
        </w:rPr>
        <w:t>、</w:t>
        <w:tab/>
        <w:t>报告期内正在进行的重大的非股权投资情况</w:t>
      </w:r>
      <w:bookmarkEnd w:id="229"/>
      <w:bookmarkEnd w:id="230"/>
      <w:bookmarkEnd w:id="232"/>
    </w:p>
    <w:p>
      <w:pPr>
        <w:pStyle w:val="Style17"/>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758" w:val="left"/>
        </w:tabs>
        <w:bidi w:val="0"/>
        <w:spacing w:before="0" w:line="240" w:lineRule="auto"/>
        <w:ind w:left="0" w:right="0" w:firstLine="38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4</w:t>
      </w:r>
      <w:bookmarkEnd w:id="235"/>
      <w:r>
        <w:rPr>
          <w:color w:val="000000"/>
          <w:spacing w:val="0"/>
          <w:w w:val="100"/>
          <w:position w:val="0"/>
        </w:rPr>
        <w:t>、</w:t>
        <w:tab/>
        <w:t>以公允价值计量的金融资产</w:t>
      </w:r>
      <w:bookmarkEnd w:id="233"/>
      <w:bookmarkEnd w:id="234"/>
      <w:bookmarkEnd w:id="236"/>
    </w:p>
    <w:p>
      <w:pPr>
        <w:pStyle w:val="Style17"/>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1277"/>
        <w:gridCol w:w="1277"/>
        <w:gridCol w:w="1416"/>
        <w:gridCol w:w="1416"/>
        <w:gridCol w:w="1138"/>
        <w:gridCol w:w="1416"/>
        <w:gridCol w:w="576"/>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本期投资收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216,336,770.00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73,314,268.08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114,923,883.33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9,024,153.78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2,769,325.93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350,236,499.55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自有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8,752,692.00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-1,917,249.88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202,477.95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4,517,240.00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自有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金融衍生 工具</w:t>
            </w:r>
            <w:r>
              <w:rPr>
                <w:rFonts w:ascii="Times New Roman" w:eastAsia="Times New Roman" w:hAnsi="Times New Roman" w:cs="Times New Roman"/>
                <w:color w:val="000000"/>
                <w:spacing w:val="0"/>
                <w:w w:val="100"/>
                <w:position w:val="0"/>
              </w:rPr>
              <w:t>-</w:t>
            </w:r>
            <w:r>
              <w:rPr>
                <w:color w:val="000000"/>
                <w:spacing w:val="0"/>
                <w:w w:val="100"/>
                <w:position w:val="0"/>
              </w:rPr>
              <w:t>外汇 远期资产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694,020.37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694,020.37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44,105,626.41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694,020.37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自有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金融衍生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-54,781.70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r>
    </w:tbl>
    <w:p>
      <w:pPr>
        <w:spacing w:lineRule="exact" w:line="1"/>
        <w:rPr>
          <w:sz w:val="2"/>
          <w:szCs w:val="2"/>
        </w:rPr>
      </w:pPr>
      <w:r>
        <w:br w:type="page"/>
      </w:r>
    </w:p>
    <w:tbl>
      <w:tblPr>
        <w:tblOverlap w:val="never"/>
        <w:jc w:val="center"/>
        <w:tblLayout w:type="fixed"/>
      </w:tblPr>
      <w:tblGrid>
        <w:gridCol w:w="859"/>
        <w:gridCol w:w="1277"/>
        <w:gridCol w:w="1277"/>
        <w:gridCol w:w="1277"/>
        <w:gridCol w:w="1416"/>
        <w:gridCol w:w="1416"/>
        <w:gridCol w:w="1138"/>
        <w:gridCol w:w="1416"/>
        <w:gridCol w:w="576"/>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工具</w:t>
            </w:r>
            <w:r>
              <w:rPr>
                <w:rFonts w:ascii="Times New Roman" w:eastAsia="Times New Roman" w:hAnsi="Times New Roman" w:cs="Times New Roman"/>
                <w:color w:val="000000"/>
                <w:spacing w:val="0"/>
                <w:w w:val="100"/>
                <w:position w:val="0"/>
              </w:rPr>
              <w:t>-</w:t>
            </w:r>
            <w:r>
              <w:rPr>
                <w:color w:val="000000"/>
                <w:spacing w:val="0"/>
                <w:w w:val="100"/>
                <w:position w:val="0"/>
              </w:rPr>
              <w:t>外汇 远期负债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恩迪</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63,414,634.14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1,406,875.94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63,414,634.14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自有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深圳</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早知道科</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技有限公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511,087.86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35,511,087.86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自有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其他</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权益工具</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178,783,640.47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44,180,317.40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92,830,875.12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30,232,952.56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241,381,563.03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自有</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理财</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14,375,493.33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14,375,493.33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8,977,145.92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2,048,375,493.33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 资金 及自 有资 金</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438,873,102.47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130,592,067.60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219,045,146.40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4,211,414,634.14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2,125,257,106.34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57,461,452.15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2,744,075,776.67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40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5</w:t>
      </w:r>
      <w:bookmarkEnd w:id="239"/>
      <w:r>
        <w:rPr>
          <w:color w:val="000000"/>
          <w:spacing w:val="0"/>
          <w:w w:val="100"/>
          <w:position w:val="0"/>
        </w:rPr>
        <w:t>、募集资金使用情况</w:t>
      </w:r>
      <w:bookmarkEnd w:id="237"/>
      <w:bookmarkEnd w:id="238"/>
      <w:bookmarkEnd w:id="240"/>
    </w:p>
    <w:p>
      <w:pPr>
        <w:pStyle w:val="Style17"/>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40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1"/>
      <w:bookmarkEnd w:id="242"/>
      <w:bookmarkEnd w:id="244"/>
    </w:p>
    <w:p>
      <w:pPr>
        <w:pStyle w:val="Style17"/>
        <w:keepNext w:val="0"/>
        <w:keepLines w:val="0"/>
        <w:widowControl w:val="0"/>
        <w:shd w:val="clear" w:color="auto" w:fill="auto"/>
        <w:bidi w:val="0"/>
        <w:spacing w:before="0" w:after="12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本期已使</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用募集资</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已累计使</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用募集资</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累计变更</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用途的募</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集资金总</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累计变更</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用途的募</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集资金总</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尚未使用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募集资金</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面向合格</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投资者公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开发行公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司债券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49,594.98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 专户</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向特定对 象发行人 民币普通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197,664.47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83,077.39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114,587.08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 专户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247,289.47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83,397.62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114,617.10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70" w:hRule="exact"/>
        </w:trPr>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、中国证券监督管理委员会证监许可</w:t>
            </w:r>
            <w:r>
              <w:rPr>
                <w:rFonts w:ascii="Times New Roman" w:eastAsia="Times New Roman" w:hAnsi="Times New Roman" w:cs="Times New Roman"/>
                <w:color w:val="000000"/>
                <w:spacing w:val="0"/>
                <w:w w:val="100"/>
                <w:position w:val="0"/>
              </w:rPr>
              <w:t>[2019]1588</w:t>
            </w:r>
            <w:r>
              <w:rPr>
                <w:color w:val="000000"/>
                <w:spacing w:val="0"/>
                <w:w w:val="100"/>
                <w:position w:val="0"/>
              </w:rPr>
              <w:t>号文核准公司面向合格投资者公开发行不超过人民币</w:t>
            </w:r>
            <w:r>
              <w:rPr>
                <w:rFonts w:ascii="Times New Roman" w:eastAsia="Times New Roman" w:hAnsi="Times New Roman" w:cs="Times New Roman"/>
                <w:color w:val="000000"/>
                <w:spacing w:val="0"/>
                <w:w w:val="100"/>
                <w:position w:val="0"/>
              </w:rPr>
              <w:t>10</w:t>
            </w:r>
            <w:r>
              <w:rPr>
                <w:color w:val="000000"/>
                <w:spacing w:val="0"/>
                <w:w w:val="100"/>
                <w:position w:val="0"/>
              </w:rPr>
              <w:t>亿元（含</w:t>
            </w:r>
          </w:p>
        </w:tc>
      </w:tr>
    </w:tbl>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46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亿元）公司债券，公司自核准发行之日起</w:t>
      </w:r>
      <w:r>
        <w:rPr>
          <w:rFonts w:ascii="Times New Roman" w:eastAsia="Times New Roman" w:hAnsi="Times New Roman" w:cs="Times New Roman"/>
          <w:color w:val="000000"/>
          <w:spacing w:val="0"/>
          <w:w w:val="100"/>
          <w:position w:val="0"/>
        </w:rPr>
        <w:t>24</w:t>
      </w:r>
      <w:r>
        <w:rPr>
          <w:color w:val="000000"/>
          <w:spacing w:val="0"/>
          <w:w w:val="100"/>
          <w:position w:val="0"/>
        </w:rPr>
        <w:t>个月内向合格投资者公开发行面值总额不超过</w:t>
      </w:r>
      <w:r>
        <w:rPr>
          <w:rFonts w:ascii="Times New Roman" w:eastAsia="Times New Roman" w:hAnsi="Times New Roman" w:cs="Times New Roman"/>
          <w:color w:val="000000"/>
          <w:spacing w:val="0"/>
          <w:w w:val="100"/>
          <w:position w:val="0"/>
        </w:rPr>
        <w:t>10</w:t>
      </w:r>
      <w:r>
        <w:rPr>
          <w:color w:val="000000"/>
          <w:spacing w:val="0"/>
          <w:w w:val="100"/>
          <w:position w:val="0"/>
        </w:rPr>
        <w:t>亿元的公司债券。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月，公司完成面向合格投资者公开发行公司债券（第一期）（以下简称</w:t>
      </w:r>
      <w:r>
        <w:rPr>
          <w:rFonts w:ascii="Times New Roman" w:eastAsia="Times New Roman" w:hAnsi="Times New Roman" w:cs="Times New Roman"/>
          <w:color w:val="000000"/>
          <w:spacing w:val="0"/>
          <w:w w:val="100"/>
          <w:position w:val="0"/>
        </w:rPr>
        <w:t>“</w:t>
      </w:r>
      <w:r>
        <w:rPr>
          <w:color w:val="000000"/>
          <w:spacing w:val="0"/>
          <w:w w:val="100"/>
          <w:position w:val="0"/>
        </w:rPr>
        <w:t>本期债券</w:t>
      </w:r>
      <w:r>
        <w:rPr>
          <w:rFonts w:ascii="Times New Roman" w:eastAsia="Times New Roman" w:hAnsi="Times New Roman" w:cs="Times New Roman"/>
          <w:color w:val="000000"/>
          <w:spacing w:val="0"/>
          <w:w w:val="100"/>
          <w:position w:val="0"/>
        </w:rPr>
        <w:t>”</w:t>
      </w:r>
      <w:r>
        <w:rPr>
          <w:color w:val="000000"/>
          <w:spacing w:val="0"/>
          <w:w w:val="100"/>
          <w:position w:val="0"/>
        </w:rPr>
        <w:t>）的发行工作，本期债券实际发行 规模为人民币</w:t>
      </w:r>
      <w:r>
        <w:rPr>
          <w:rFonts w:ascii="Times New Roman" w:eastAsia="Times New Roman" w:hAnsi="Times New Roman" w:cs="Times New Roman"/>
          <w:color w:val="000000"/>
          <w:spacing w:val="0"/>
          <w:w w:val="100"/>
          <w:position w:val="0"/>
        </w:rPr>
        <w:t>50,000.00</w:t>
      </w:r>
      <w:r>
        <w:rPr>
          <w:color w:val="000000"/>
          <w:spacing w:val="0"/>
          <w:w w:val="100"/>
          <w:position w:val="0"/>
        </w:rPr>
        <w:t>万元，扣除发行费用人民币</w:t>
      </w:r>
      <w:r>
        <w:rPr>
          <w:rFonts w:ascii="Times New Roman" w:eastAsia="Times New Roman" w:hAnsi="Times New Roman" w:cs="Times New Roman"/>
          <w:color w:val="000000"/>
          <w:spacing w:val="0"/>
          <w:w w:val="100"/>
          <w:position w:val="0"/>
        </w:rPr>
        <w:t>375.00</w:t>
      </w:r>
      <w:r>
        <w:rPr>
          <w:color w:val="000000"/>
          <w:spacing w:val="0"/>
          <w:w w:val="100"/>
          <w:position w:val="0"/>
        </w:rPr>
        <w:t>万元，实际募集资金</w:t>
      </w:r>
      <w:r>
        <w:rPr>
          <w:rFonts w:ascii="Times New Roman" w:eastAsia="Times New Roman" w:hAnsi="Times New Roman" w:cs="Times New Roman"/>
          <w:color w:val="000000"/>
          <w:spacing w:val="0"/>
          <w:w w:val="100"/>
          <w:position w:val="0"/>
        </w:rPr>
        <w:t>49,625.00</w:t>
      </w:r>
      <w:r>
        <w:rPr>
          <w:color w:val="000000"/>
          <w:spacing w:val="0"/>
          <w:w w:val="100"/>
          <w:position w:val="0"/>
        </w:rPr>
        <w:t>万元。募集资金账户产生的银 行利息收入扣除手续费的净额为</w:t>
      </w:r>
      <w:r>
        <w:rPr>
          <w:rFonts w:ascii="Times New Roman" w:eastAsia="Times New Roman" w:hAnsi="Times New Roman" w:cs="Times New Roman"/>
          <w:color w:val="000000"/>
          <w:spacing w:val="0"/>
          <w:w w:val="100"/>
          <w:position w:val="0"/>
        </w:rPr>
        <w:t>124.16</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日公司累计使用募集资金人民币</w:t>
      </w:r>
      <w:r>
        <w:rPr>
          <w:rFonts w:ascii="Times New Roman" w:eastAsia="Times New Roman" w:hAnsi="Times New Roman" w:cs="Times New Roman"/>
          <w:color w:val="000000"/>
          <w:spacing w:val="0"/>
          <w:w w:val="100"/>
          <w:position w:val="0"/>
        </w:rPr>
        <w:t>49,719.14</w:t>
      </w:r>
      <w:r>
        <w:rPr>
          <w:color w:val="000000"/>
          <w:spacing w:val="0"/>
          <w:w w:val="100"/>
          <w:position w:val="0"/>
        </w:rPr>
        <w:t>万元，尚 未使用募集资金账户余额人民币</w:t>
      </w:r>
      <w:r>
        <w:rPr>
          <w:rFonts w:ascii="Times New Roman" w:eastAsia="Times New Roman" w:hAnsi="Times New Roman" w:cs="Times New Roman"/>
          <w:color w:val="000000"/>
          <w:spacing w:val="0"/>
          <w:w w:val="100"/>
          <w:position w:val="0"/>
        </w:rPr>
        <w:t>30.02</w:t>
      </w:r>
      <w:r>
        <w:rPr>
          <w:color w:val="000000"/>
          <w:spacing w:val="0"/>
          <w:w w:val="100"/>
          <w:position w:val="0"/>
        </w:rPr>
        <w:t>万元为收到的银行利息收入扣除手续费支出。</w:t>
      </w: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46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、经中国证券监督管理委员会《关于同意深圳华大基因股份有限公司向特定对象发行股票注册的批复》（证监许可 </w:t>
      </w:r>
      <w:r>
        <w:rPr>
          <w:rFonts w:ascii="Times New Roman" w:eastAsia="Times New Roman" w:hAnsi="Times New Roman" w:cs="Times New Roman"/>
          <w:color w:val="000000"/>
          <w:spacing w:val="0"/>
          <w:w w:val="100"/>
          <w:position w:val="0"/>
        </w:rPr>
        <w:t>[2020]3580</w:t>
      </w:r>
      <w:r>
        <w:rPr>
          <w:color w:val="000000"/>
          <w:spacing w:val="0"/>
          <w:w w:val="100"/>
          <w:position w:val="0"/>
        </w:rPr>
        <w:t>号）同意，本公司向特定对象发行人民币普通股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rPr>
        <w:t>200,307.71</w:t>
      </w:r>
      <w:r>
        <w:rPr>
          <w:color w:val="000000"/>
          <w:spacing w:val="0"/>
          <w:w w:val="100"/>
          <w:position w:val="0"/>
        </w:rPr>
        <w:t>万 元，扣除不含税承销及保荐费人民币</w:t>
      </w:r>
      <w:r>
        <w:rPr>
          <w:rFonts w:ascii="Times New Roman" w:eastAsia="Times New Roman" w:hAnsi="Times New Roman" w:cs="Times New Roman"/>
          <w:color w:val="000000"/>
          <w:spacing w:val="0"/>
          <w:w w:val="100"/>
          <w:position w:val="0"/>
        </w:rPr>
        <w:t>2,403.69</w:t>
      </w:r>
      <w:r>
        <w:rPr>
          <w:color w:val="000000"/>
          <w:spacing w:val="0"/>
          <w:w w:val="100"/>
          <w:position w:val="0"/>
        </w:rPr>
        <w:t>万元、其他不含税发行费用人民币</w:t>
      </w:r>
      <w:r>
        <w:rPr>
          <w:rFonts w:ascii="Times New Roman" w:eastAsia="Times New Roman" w:hAnsi="Times New Roman" w:cs="Times New Roman"/>
          <w:color w:val="000000"/>
          <w:spacing w:val="0"/>
          <w:w w:val="100"/>
          <w:position w:val="0"/>
        </w:rPr>
        <w:t>239.55</w:t>
      </w:r>
      <w:r>
        <w:rPr>
          <w:color w:val="000000"/>
          <w:spacing w:val="0"/>
          <w:w w:val="100"/>
          <w:position w:val="0"/>
        </w:rPr>
        <w:t xml:space="preserve">万元，实际募集资金净额人民币 </w:t>
      </w:r>
      <w:r>
        <w:rPr>
          <w:rFonts w:ascii="Times New Roman" w:eastAsia="Times New Roman" w:hAnsi="Times New Roman" w:cs="Times New Roman"/>
          <w:color w:val="000000"/>
          <w:spacing w:val="0"/>
          <w:w w:val="100"/>
          <w:position w:val="0"/>
        </w:rPr>
        <w:t>197,664.47</w:t>
      </w:r>
      <w:r>
        <w:rPr>
          <w:color w:val="000000"/>
          <w:spacing w:val="0"/>
          <w:w w:val="100"/>
          <w:position w:val="0"/>
        </w:rPr>
        <w:t>万元。公司于</w:t>
      </w:r>
      <w:r>
        <w:rPr>
          <w:rFonts w:ascii="Times New Roman" w:eastAsia="Times New Roman" w:hAnsi="Times New Roman" w:cs="Times New Roman"/>
          <w:color w:val="000000"/>
          <w:spacing w:val="0"/>
          <w:w w:val="100"/>
          <w:position w:val="0"/>
        </w:rPr>
        <w:t>2021</w:t>
      </w:r>
      <w:r>
        <w:rPr>
          <w:color w:val="000000"/>
          <w:spacing w:val="0"/>
          <w:w w:val="100"/>
          <w:position w:val="0"/>
        </w:rPr>
        <w:t>年使用募集资金人民币</w:t>
      </w:r>
      <w:r>
        <w:rPr>
          <w:rFonts w:ascii="Times New Roman" w:eastAsia="Times New Roman" w:hAnsi="Times New Roman" w:cs="Times New Roman"/>
          <w:color w:val="000000"/>
          <w:spacing w:val="0"/>
          <w:w w:val="100"/>
          <w:position w:val="0"/>
        </w:rPr>
        <w:t>83,077.39</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日公司累计使用募集资金人 民币</w:t>
      </w:r>
      <w:r>
        <w:rPr>
          <w:rFonts w:ascii="Times New Roman" w:eastAsia="Times New Roman" w:hAnsi="Times New Roman" w:cs="Times New Roman"/>
          <w:color w:val="000000"/>
          <w:spacing w:val="0"/>
          <w:w w:val="100"/>
          <w:position w:val="0"/>
        </w:rPr>
        <w:t>83,077.39</w:t>
      </w:r>
      <w:r>
        <w:rPr>
          <w:color w:val="000000"/>
          <w:spacing w:val="0"/>
          <w:w w:val="100"/>
          <w:position w:val="0"/>
        </w:rPr>
        <w:t>万元，利用闲置募集资金购买理财产品总额人民币</w:t>
      </w:r>
      <w:r>
        <w:rPr>
          <w:rFonts w:ascii="Times New Roman" w:eastAsia="Times New Roman" w:hAnsi="Times New Roman" w:cs="Times New Roman"/>
          <w:color w:val="000000"/>
          <w:spacing w:val="0"/>
          <w:w w:val="100"/>
          <w:position w:val="0"/>
        </w:rPr>
        <w:t>70,000.00</w:t>
      </w:r>
      <w:r>
        <w:rPr>
          <w:color w:val="000000"/>
          <w:spacing w:val="0"/>
          <w:w w:val="100"/>
          <w:position w:val="0"/>
        </w:rPr>
        <w:t>万元，收到银行理财收益及利息收入扣除手 续费后的净额人民币</w:t>
      </w:r>
      <w:r>
        <w:rPr>
          <w:rFonts w:ascii="Times New Roman" w:eastAsia="Times New Roman" w:hAnsi="Times New Roman" w:cs="Times New Roman"/>
          <w:color w:val="000000"/>
          <w:spacing w:val="0"/>
          <w:w w:val="100"/>
          <w:position w:val="0"/>
        </w:rPr>
        <w:t>1,370.53</w:t>
      </w:r>
      <w:r>
        <w:rPr>
          <w:color w:val="000000"/>
          <w:spacing w:val="0"/>
          <w:w w:val="100"/>
          <w:position w:val="0"/>
        </w:rPr>
        <w:t>万元，尚未使用募集资金余额人民币</w:t>
      </w:r>
      <w:r>
        <w:rPr>
          <w:rFonts w:ascii="Times New Roman" w:eastAsia="Times New Roman" w:hAnsi="Times New Roman" w:cs="Times New Roman"/>
          <w:color w:val="000000"/>
          <w:spacing w:val="0"/>
          <w:w w:val="100"/>
          <w:position w:val="0"/>
        </w:rPr>
        <w:t>45,957.61</w:t>
      </w:r>
      <w:r>
        <w:rPr>
          <w:color w:val="000000"/>
          <w:spacing w:val="0"/>
          <w:w w:val="100"/>
          <w:position w:val="0"/>
        </w:rPr>
        <w:t>万元。</w:t>
      </w:r>
    </w:p>
    <w:p>
      <w:pPr>
        <w:pStyle w:val="Style30"/>
        <w:keepNext/>
        <w:keepLines/>
        <w:widowControl w:val="0"/>
        <w:shd w:val="clear" w:color="auto" w:fill="auto"/>
        <w:bidi w:val="0"/>
        <w:spacing w:before="0" w:line="240" w:lineRule="auto"/>
        <w:ind w:left="0" w:right="0" w:firstLine="400"/>
        <w:jc w:val="both"/>
      </w:pPr>
      <w:bookmarkStart w:id="245" w:name="bookmark245"/>
      <w:bookmarkStart w:id="246" w:name="bookmark246"/>
      <w:bookmarkStart w:id="247" w:name="bookmark247"/>
      <w:bookmarkStart w:id="248" w:name="bookmark248"/>
      <w:r>
        <w:rPr>
          <w:color w:val="000000"/>
          <w:spacing w:val="0"/>
          <w:w w:val="100"/>
          <w:position w:val="0"/>
        </w:rPr>
        <w:t>（</w:t>
      </w:r>
      <w:bookmarkEnd w:id="24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45"/>
      <w:bookmarkEnd w:id="246"/>
      <w:bookmarkEnd w:id="248"/>
    </w:p>
    <w:p>
      <w:pPr>
        <w:pStyle w:val="Style17"/>
        <w:keepNext w:val="0"/>
        <w:keepLines w:val="0"/>
        <w:widowControl w:val="0"/>
        <w:shd w:val="clear" w:color="auto" w:fill="auto"/>
        <w:bidi w:val="0"/>
        <w:spacing w:before="0" w:after="120" w:line="240" w:lineRule="auto"/>
        <w:ind w:left="0" w:right="0" w:firstLine="4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710"/>
        <w:gridCol w:w="989"/>
        <w:gridCol w:w="994"/>
        <w:gridCol w:w="850"/>
        <w:gridCol w:w="994"/>
        <w:gridCol w:w="710"/>
        <w:gridCol w:w="850"/>
        <w:gridCol w:w="706"/>
        <w:gridCol w:w="710"/>
        <w:gridCol w:w="566"/>
        <w:gridCol w:w="720"/>
      </w:tblGrid>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募集资金承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调整后投资</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本报告期</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截至期末累</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计投入金额</w:t>
            </w:r>
          </w:p>
          <w:p>
            <w:pPr>
              <w:pStyle w:val="Style20"/>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截至期 末投资 进度⑶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项目达到</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预定可使</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用状态日</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本报告</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期实现</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截止报</w:t>
            </w:r>
          </w:p>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告期末</w:t>
            </w:r>
          </w:p>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累计实</w:t>
            </w:r>
          </w:p>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现的效 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行性是 否发生 重大变</w:t>
            </w:r>
          </w:p>
          <w:p>
            <w:pPr>
              <w:pStyle w:val="Style20"/>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一、青岛华大基因 检测试剂生产及基 因检测服务项目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66,849.48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二、医学检验解决 方案平台建设项目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、深圳医学检验 解决方案平台建设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5,296.37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5,296.37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5,375.52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、上海医学检验 解决方案平台建设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5,868.54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5,868.54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、天津医学检验 解决方案平台建设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9,350.47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9,350.47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3,852.41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、石家庄医学检 验解决方案平台建 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3,176.31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3,176.31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3,149.09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三、云数据处理系 统升级项目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7,648.14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7,648.14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70"/>
        <w:gridCol w:w="686"/>
        <w:gridCol w:w="1013"/>
        <w:gridCol w:w="994"/>
        <w:gridCol w:w="850"/>
        <w:gridCol w:w="994"/>
        <w:gridCol w:w="710"/>
        <w:gridCol w:w="850"/>
        <w:gridCol w:w="706"/>
        <w:gridCol w:w="710"/>
        <w:gridCol w:w="566"/>
        <w:gridCol w:w="72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四、生物样本库建 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13,116.55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13,116.55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五、补充流动资金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56,470.75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56,470.75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56,748.87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56,748.87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rPr>
              <w:t>2020</w:t>
            </w:r>
            <w:r>
              <w:rPr>
                <w:color w:val="000000"/>
                <w:spacing w:val="0"/>
                <w:w w:val="100"/>
                <w:position w:val="0"/>
              </w:rPr>
              <w:t>年公开发 行公司债券补充流 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49,594.98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247,289.47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247,289.47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83,397.62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132,672.37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247,289.47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247,289.47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83,397.62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132,672.37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r>
        <w:trPr>
          <w:trHeight w:val="485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 的情况和原因（分具体项 目）</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78" w:val="left"/>
              </w:tabs>
              <w:bidi w:val="0"/>
              <w:spacing w:before="0" w:after="4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青岛华大基因检测试剂生产及基因检测服务项目</w:t>
            </w:r>
            <w:r>
              <w:rPr>
                <w:rFonts w:ascii="Times New Roman" w:eastAsia="Times New Roman" w:hAnsi="Times New Roman" w:cs="Times New Roman"/>
                <w:color w:val="000000"/>
                <w:spacing w:val="0"/>
                <w:w w:val="100"/>
                <w:position w:val="0"/>
              </w:rPr>
              <w:t>”</w:t>
            </w:r>
            <w:r>
              <w:rPr>
                <w:color w:val="000000"/>
                <w:spacing w:val="0"/>
                <w:w w:val="100"/>
                <w:position w:val="0"/>
              </w:rPr>
              <w:t>因所在地块涉及调整相关规划建设指标，项目实 施主体青岛青西华大基因有限公司与相关政府部门多次沟通和协商修订土地出让合同相关条款；以及 受新冠疫情的影响项目整体进度放缓。经公司于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日召开的第三届董事会第三次会议审 议批准，项目达到预计可使用状态日期由</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日延期至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日，详见公司于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日在巨潮资讯网披露的《关于部分募集资金投资项目延期的公告》（公告编号：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123</w:t>
            </w:r>
            <w:r>
              <w:rPr>
                <w:color w:val="000000"/>
                <w:spacing w:val="0"/>
                <w:w w:val="100"/>
                <w:position w:val="0"/>
              </w:rPr>
              <w:t>）。</w:t>
            </w:r>
          </w:p>
          <w:p>
            <w:pPr>
              <w:pStyle w:val="Style20"/>
              <w:keepNext w:val="0"/>
              <w:keepLines w:val="0"/>
              <w:widowControl w:val="0"/>
              <w:shd w:val="clear" w:color="auto" w:fill="auto"/>
              <w:tabs>
                <w:tab w:pos="278"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上海医学检验解决方案平台建设项目</w:t>
            </w:r>
            <w:r>
              <w:rPr>
                <w:rFonts w:ascii="Times New Roman" w:eastAsia="Times New Roman" w:hAnsi="Times New Roman" w:cs="Times New Roman"/>
                <w:color w:val="000000"/>
                <w:spacing w:val="0"/>
                <w:w w:val="100"/>
                <w:position w:val="0"/>
              </w:rPr>
              <w:t>”</w:t>
            </w:r>
            <w:r>
              <w:rPr>
                <w:color w:val="000000"/>
                <w:spacing w:val="0"/>
                <w:w w:val="100"/>
                <w:position w:val="0"/>
              </w:rPr>
              <w:t>根据市场需求变化和业务发展的需要，公司拟采用更高通量 的测序仪开展业务以缩短交付周期、降低成本，原建设场地承重不符合更高通量设备安装要求，经场 地评估需变更该募投项目实施地点，因此该募投项目整体建设进度相应延后。经公司于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日召开的第三届董事会第七次会议审议批准，项目实施地点由上海市浦东新区康新公路</w:t>
            </w:r>
            <w:r>
              <w:rPr>
                <w:rFonts w:ascii="Times New Roman" w:eastAsia="Times New Roman" w:hAnsi="Times New Roman" w:cs="Times New Roman"/>
                <w:color w:val="000000"/>
                <w:spacing w:val="0"/>
                <w:w w:val="100"/>
                <w:position w:val="0"/>
              </w:rPr>
              <w:t>3399</w:t>
            </w:r>
            <w:r>
              <w:rPr>
                <w:color w:val="000000"/>
                <w:spacing w:val="0"/>
                <w:w w:val="100"/>
                <w:position w:val="0"/>
              </w:rPr>
              <w:t>弄</w:t>
            </w:r>
            <w:r>
              <w:rPr>
                <w:rFonts w:ascii="Times New Roman" w:eastAsia="Times New Roman" w:hAnsi="Times New Roman" w:cs="Times New Roman"/>
                <w:color w:val="000000"/>
                <w:spacing w:val="0"/>
                <w:w w:val="100"/>
                <w:position w:val="0"/>
              </w:rPr>
              <w:t>26</w:t>
            </w:r>
            <w:r>
              <w:rPr>
                <w:color w:val="000000"/>
                <w:spacing w:val="0"/>
                <w:w w:val="100"/>
                <w:position w:val="0"/>
              </w:rPr>
              <w:t>号 楼变更为上海市浦东新区半夏路</w:t>
            </w:r>
            <w:r>
              <w:rPr>
                <w:rFonts w:ascii="Times New Roman" w:eastAsia="Times New Roman" w:hAnsi="Times New Roman" w:cs="Times New Roman"/>
                <w:color w:val="000000"/>
                <w:spacing w:val="0"/>
                <w:w w:val="100"/>
                <w:position w:val="0"/>
              </w:rPr>
              <w:t>208</w:t>
            </w:r>
            <w:r>
              <w:rPr>
                <w:color w:val="000000"/>
                <w:spacing w:val="0"/>
                <w:w w:val="100"/>
                <w:position w:val="0"/>
              </w:rPr>
              <w:t>号及青黛路</w:t>
            </w:r>
            <w:r>
              <w:rPr>
                <w:rFonts w:ascii="Times New Roman" w:eastAsia="Times New Roman" w:hAnsi="Times New Roman" w:cs="Times New Roman"/>
                <w:color w:val="000000"/>
                <w:spacing w:val="0"/>
                <w:w w:val="100"/>
                <w:position w:val="0"/>
              </w:rPr>
              <w:t>588</w:t>
            </w:r>
            <w:r>
              <w:rPr>
                <w:color w:val="000000"/>
                <w:spacing w:val="0"/>
                <w:w w:val="100"/>
                <w:position w:val="0"/>
              </w:rPr>
              <w:t xml:space="preserve">号研发大楼，项目达到预计可使用状态日期由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日延期至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0"/>
              <w:keepNext w:val="0"/>
              <w:keepLines w:val="0"/>
              <w:widowControl w:val="0"/>
              <w:shd w:val="clear" w:color="auto" w:fill="auto"/>
              <w:tabs>
                <w:tab w:pos="26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生物样本库建设项目</w:t>
            </w:r>
            <w:r>
              <w:rPr>
                <w:rFonts w:ascii="Times New Roman" w:eastAsia="Times New Roman" w:hAnsi="Times New Roman" w:cs="Times New Roman"/>
                <w:color w:val="000000"/>
                <w:spacing w:val="0"/>
                <w:w w:val="100"/>
                <w:position w:val="0"/>
              </w:rPr>
              <w:t>”</w:t>
            </w:r>
            <w:r>
              <w:rPr>
                <w:color w:val="000000"/>
                <w:spacing w:val="0"/>
                <w:w w:val="100"/>
                <w:position w:val="0"/>
              </w:rPr>
              <w:t>由于新冠疫情影响，项目建设施工进展以及部分定制化设备的制造、安装及 调试周期延长，导致该募投项目整体进度放缓。经公司于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日召开的第三届董事会第七 次会议审议批准，项目达到预计可使用状态日期由</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日延期至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项目可行性发生重大变化的 情况说明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项目可行性未发生重大变化</w:t>
            </w: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超募资金的金额、用途及使 用进展情况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募集资金投资项目实施地点 变更情况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募集资金投资项目实施方式 调整情况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募集资金投资项目先期投入 及置换情况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994" w:hRule="exact"/>
        </w:trPr>
        <w:tc>
          <w:tcPr>
            <w:gridSpan w:val="2"/>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为保证募投项目的顺利实施，截至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日，公司已使用自筹资金预先投入募投项目 </w:t>
            </w:r>
            <w:r>
              <w:rPr>
                <w:rFonts w:ascii="Times New Roman" w:eastAsia="Times New Roman" w:hAnsi="Times New Roman" w:cs="Times New Roman"/>
                <w:color w:val="000000"/>
                <w:spacing w:val="0"/>
                <w:w w:val="100"/>
                <w:position w:val="0"/>
              </w:rPr>
              <w:t>9,826.59</w:t>
            </w:r>
            <w:r>
              <w:rPr>
                <w:color w:val="000000"/>
                <w:spacing w:val="0"/>
                <w:w w:val="100"/>
                <w:position w:val="0"/>
              </w:rPr>
              <w:t>万元。大华会计师事务所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对公司截至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日预先投入募投项目的自 筹资金进行了专项鉴证，并出具了《深圳华大基因股份有限公司以自筹资金预先投入募集资金投资项</w:t>
            </w:r>
          </w:p>
        </w:tc>
      </w:tr>
    </w:tbl>
    <w:p>
      <w:pPr>
        <w:spacing w:lineRule="exact" w:line="1"/>
        <w:rPr>
          <w:sz w:val="2"/>
          <w:szCs w:val="2"/>
        </w:rPr>
      </w:pPr>
      <w:r>
        <w:br w:type="page"/>
      </w:r>
    </w:p>
    <w:tbl>
      <w:tblPr>
        <w:tblOverlap w:val="never"/>
        <w:jc w:val="center"/>
        <w:tblLayout w:type="fixed"/>
      </w:tblPr>
      <w:tblGrid>
        <w:gridCol w:w="2246"/>
        <w:gridCol w:w="8122"/>
      </w:tblGrid>
      <w:tr>
        <w:trPr>
          <w:trHeight w:val="19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目的鉴证报告》（大华核字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2021]004763</w:t>
            </w:r>
            <w:r>
              <w:rPr>
                <w:color w:val="000000"/>
                <w:spacing w:val="0"/>
                <w:w w:val="100"/>
                <w:position w:val="0"/>
              </w:rPr>
              <w:t>号）。</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日召开第二届董事会第三十次会议、第二届监事会第二十八次会议，审议 通过了《关于使用募集资金置换预先已投入募投项目自筹资金的议案》，同意公司使用募集资金置换预 先投入募投项目的自筹资金</w:t>
            </w:r>
            <w:r>
              <w:rPr>
                <w:rFonts w:ascii="Times New Roman" w:eastAsia="Times New Roman" w:hAnsi="Times New Roman" w:cs="Times New Roman"/>
                <w:color w:val="000000"/>
                <w:spacing w:val="0"/>
                <w:w w:val="100"/>
                <w:position w:val="0"/>
              </w:rPr>
              <w:t>9,826.59</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日，公司完成以募集资金置换预先投 入募投项目自筹资金总额为人民币</w:t>
            </w:r>
            <w:r>
              <w:rPr>
                <w:rFonts w:ascii="Times New Roman" w:eastAsia="Times New Roman" w:hAnsi="Times New Roman" w:cs="Times New Roman"/>
                <w:color w:val="000000"/>
                <w:spacing w:val="0"/>
                <w:w w:val="100"/>
                <w:position w:val="0"/>
              </w:rPr>
              <w:t>9,826.59</w:t>
            </w:r>
            <w:r>
              <w:rPr>
                <w:color w:val="000000"/>
                <w:spacing w:val="0"/>
                <w:w w:val="100"/>
                <w:position w:val="0"/>
              </w:rPr>
              <w:t>万元。详见公司于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日在巨潮资讯网披露的 《关于使用募集资金置换预先已投入募投项目自筹资金的公告》（编号：</w:t>
            </w:r>
            <w:r>
              <w:rPr>
                <w:rFonts w:ascii="Times New Roman" w:eastAsia="Times New Roman" w:hAnsi="Times New Roman" w:cs="Times New Roman"/>
                <w:color w:val="000000"/>
                <w:spacing w:val="0"/>
                <w:w w:val="100"/>
                <w:position w:val="0"/>
              </w:rPr>
              <w:t>2021-048</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用闲置募集资金暂时补充流 动资金情况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项目实施出现募集资金结余 的金额及原因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招商银行股份有限公司深圳盐田支行募集资金专户节余利息收入人民币</w:t>
            </w:r>
            <w:r>
              <w:rPr>
                <w:rFonts w:ascii="Times New Roman" w:eastAsia="Times New Roman" w:hAnsi="Times New Roman" w:cs="Times New Roman"/>
                <w:color w:val="000000"/>
                <w:spacing w:val="0"/>
                <w:w w:val="100"/>
                <w:position w:val="0"/>
              </w:rPr>
              <w:t>278.12</w:t>
            </w:r>
            <w:r>
              <w:rPr>
                <w:color w:val="000000"/>
                <w:spacing w:val="0"/>
                <w:w w:val="100"/>
                <w:position w:val="0"/>
              </w:rPr>
              <w:t>万元。</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尚未使用的募集资金用途及 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公司使用闲置募集资金购买理财产品及七天通知存款人民币</w:t>
            </w:r>
            <w:r>
              <w:rPr>
                <w:rFonts w:ascii="Times New Roman" w:eastAsia="Times New Roman" w:hAnsi="Times New Roman" w:cs="Times New Roman"/>
                <w:color w:val="000000"/>
                <w:spacing w:val="0"/>
                <w:w w:val="100"/>
                <w:position w:val="0"/>
              </w:rPr>
              <w:t>700,000,000.00</w:t>
            </w:r>
            <w:r>
              <w:rPr>
                <w:color w:val="000000"/>
                <w:spacing w:val="0"/>
                <w:w w:val="100"/>
                <w:position w:val="0"/>
              </w:rPr>
              <w:t>元，尚未使用的募集资金人 民币</w:t>
            </w:r>
            <w:r>
              <w:rPr>
                <w:rFonts w:ascii="Times New Roman" w:eastAsia="Times New Roman" w:hAnsi="Times New Roman" w:cs="Times New Roman"/>
                <w:color w:val="000000"/>
                <w:spacing w:val="0"/>
                <w:w w:val="100"/>
                <w:position w:val="0"/>
              </w:rPr>
              <w:t>459,576,095.40</w:t>
            </w:r>
            <w:r>
              <w:rPr>
                <w:color w:val="000000"/>
                <w:spacing w:val="0"/>
                <w:w w:val="100"/>
                <w:position w:val="0"/>
              </w:rPr>
              <w:t>元存放于募集资金专户，上述资金将继续按计划用于募集资金承诺投资项目。</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募集资金使用及披露中存在 的问题或其他情况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40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49"/>
      <w:bookmarkEnd w:id="250"/>
      <w:bookmarkEnd w:id="252"/>
    </w:p>
    <w:p>
      <w:pPr>
        <w:pStyle w:val="Style1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公司报告期不存在募集资金变更项目情况。</w:t>
      </w:r>
    </w:p>
    <w:p>
      <w:pPr>
        <w:pStyle w:val="Style24"/>
        <w:keepNext/>
        <w:keepLines/>
        <w:widowControl w:val="0"/>
        <w:shd w:val="clear" w:color="auto" w:fill="auto"/>
        <w:tabs>
          <w:tab w:pos="917" w:val="left"/>
        </w:tabs>
        <w:bidi w:val="0"/>
        <w:spacing w:before="0" w:after="360" w:line="240" w:lineRule="auto"/>
        <w:ind w:left="0" w:right="0" w:firstLine="400"/>
        <w:jc w:val="left"/>
      </w:pPr>
      <w:bookmarkStart w:id="253" w:name="bookmark253"/>
      <w:bookmarkStart w:id="254" w:name="bookmark254"/>
      <w:bookmarkStart w:id="255" w:name="bookmark255"/>
      <w:bookmarkStart w:id="256" w:name="bookmark256"/>
      <w:r>
        <w:rPr>
          <w:color w:val="000000"/>
          <w:spacing w:val="0"/>
          <w:w w:val="100"/>
          <w:position w:val="0"/>
          <w:sz w:val="24"/>
          <w:szCs w:val="24"/>
        </w:rPr>
        <w:t>八</w:t>
      </w:r>
      <w:bookmarkEnd w:id="255"/>
      <w:r>
        <w:rPr>
          <w:color w:val="000000"/>
          <w:spacing w:val="0"/>
          <w:w w:val="100"/>
          <w:position w:val="0"/>
          <w:sz w:val="24"/>
          <w:szCs w:val="24"/>
        </w:rPr>
        <w:t>、</w:t>
        <w:tab/>
        <w:t>重大资产和股权出售</w:t>
      </w:r>
      <w:bookmarkEnd w:id="253"/>
      <w:bookmarkEnd w:id="254"/>
      <w:bookmarkEnd w:id="256"/>
    </w:p>
    <w:p>
      <w:pPr>
        <w:pStyle w:val="Style30"/>
        <w:keepNext/>
        <w:keepLines/>
        <w:widowControl w:val="0"/>
        <w:shd w:val="clear" w:color="auto" w:fill="auto"/>
        <w:tabs>
          <w:tab w:pos="800" w:val="left"/>
        </w:tabs>
        <w:bidi w:val="0"/>
        <w:spacing w:before="0" w:line="240" w:lineRule="auto"/>
        <w:ind w:left="0" w:right="0" w:firstLine="40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w:t>
        <w:tab/>
        <w:t>出售重大资产情况</w:t>
      </w:r>
      <w:bookmarkEnd w:id="257"/>
      <w:bookmarkEnd w:id="258"/>
      <w:bookmarkEnd w:id="260"/>
    </w:p>
    <w:p>
      <w:pPr>
        <w:pStyle w:val="Style1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公司报告期未出售重大资产。</w:t>
      </w:r>
    </w:p>
    <w:p>
      <w:pPr>
        <w:pStyle w:val="Style30"/>
        <w:keepNext/>
        <w:keepLines/>
        <w:widowControl w:val="0"/>
        <w:shd w:val="clear" w:color="auto" w:fill="auto"/>
        <w:tabs>
          <w:tab w:pos="800" w:val="left"/>
        </w:tabs>
        <w:bidi w:val="0"/>
        <w:spacing w:before="0" w:line="240" w:lineRule="auto"/>
        <w:ind w:left="0" w:right="0" w:firstLine="40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2</w:t>
      </w:r>
      <w:bookmarkEnd w:id="263"/>
      <w:r>
        <w:rPr>
          <w:color w:val="000000"/>
          <w:spacing w:val="0"/>
          <w:w w:val="100"/>
          <w:position w:val="0"/>
        </w:rPr>
        <w:t>、</w:t>
        <w:tab/>
        <w:t>出售重大股权情况</w:t>
      </w:r>
      <w:bookmarkEnd w:id="261"/>
      <w:bookmarkEnd w:id="262"/>
      <w:bookmarkEnd w:id="264"/>
    </w:p>
    <w:p>
      <w:pPr>
        <w:pStyle w:val="Style17"/>
        <w:keepNext w:val="0"/>
        <w:keepLines w:val="0"/>
        <w:widowControl w:val="0"/>
        <w:shd w:val="clear" w:color="auto" w:fill="auto"/>
        <w:bidi w:val="0"/>
        <w:spacing w:before="0" w:after="36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917" w:val="left"/>
        </w:tabs>
        <w:bidi w:val="0"/>
        <w:spacing w:before="0" w:after="360" w:line="240" w:lineRule="auto"/>
        <w:ind w:left="0" w:right="0" w:firstLine="400"/>
        <w:jc w:val="left"/>
      </w:pPr>
      <w:bookmarkStart w:id="265" w:name="bookmark265"/>
      <w:bookmarkStart w:id="266" w:name="bookmark266"/>
      <w:bookmarkStart w:id="267" w:name="bookmark267"/>
      <w:bookmarkStart w:id="268" w:name="bookmark268"/>
      <w:r>
        <w:rPr>
          <w:color w:val="000000"/>
          <w:spacing w:val="0"/>
          <w:w w:val="100"/>
          <w:position w:val="0"/>
          <w:sz w:val="24"/>
          <w:szCs w:val="24"/>
        </w:rPr>
        <w:t>九</w:t>
      </w:r>
      <w:bookmarkEnd w:id="267"/>
      <w:r>
        <w:rPr>
          <w:color w:val="000000"/>
          <w:spacing w:val="0"/>
          <w:w w:val="100"/>
          <w:position w:val="0"/>
          <w:sz w:val="24"/>
          <w:szCs w:val="24"/>
        </w:rPr>
        <w:t>、</w:t>
        <w:tab/>
        <w:t>主要控股参股公司分析</w:t>
      </w:r>
      <w:bookmarkEnd w:id="265"/>
      <w:bookmarkEnd w:id="266"/>
      <w:bookmarkEnd w:id="268"/>
    </w:p>
    <w:p>
      <w:pPr>
        <w:pStyle w:val="Style17"/>
        <w:keepNext w:val="0"/>
        <w:keepLines w:val="0"/>
        <w:widowControl w:val="0"/>
        <w:shd w:val="clear" w:color="auto" w:fill="auto"/>
        <w:bidi w:val="0"/>
        <w:spacing w:before="0" w:after="14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86"/>
        <w:gridCol w:w="566"/>
        <w:gridCol w:w="989"/>
        <w:gridCol w:w="710"/>
        <w:gridCol w:w="1416"/>
        <w:gridCol w:w="1421"/>
        <w:gridCol w:w="1378"/>
        <w:gridCol w:w="1315"/>
        <w:gridCol w:w="128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HEALTH</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(HK) CO., 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基因组测序 和高效生物 信息学的分 析服务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美元</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18,800</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351,999.70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223,098.10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316,857.23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67,789.11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56,951.42</w:t>
            </w:r>
          </w:p>
        </w:tc>
      </w:tr>
    </w:tbl>
    <w:p>
      <w:pPr>
        <w:spacing w:lineRule="exact" w:line="1"/>
        <w:rPr>
          <w:sz w:val="2"/>
          <w:szCs w:val="2"/>
        </w:rPr>
      </w:pPr>
      <w:r>
        <w:br w:type="page"/>
      </w:r>
    </w:p>
    <w:tbl>
      <w:tblPr>
        <w:tblOverlap w:val="never"/>
        <w:jc w:val="center"/>
        <w:tblLayout w:type="fixed"/>
      </w:tblPr>
      <w:tblGrid>
        <w:gridCol w:w="1286"/>
        <w:gridCol w:w="566"/>
        <w:gridCol w:w="989"/>
        <w:gridCol w:w="710"/>
        <w:gridCol w:w="1416"/>
        <w:gridCol w:w="1421"/>
        <w:gridCol w:w="1378"/>
        <w:gridCol w:w="1315"/>
        <w:gridCol w:w="1286"/>
      </w:tblGrid>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华大生物科技</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体外诊断试 剂的生产与 销售及配套</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技术服务，</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一二三类医 疗器械的经 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人民币 </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万 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153,803.84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49,492.06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93,433.41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26,403.94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22,603.80</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BGI TECH</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SOLUTIONS (HONGKONG) CO., 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生物技术研 发、基因测 序、技术转 让、贸易、 投资商品销 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6,199.00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123,200.88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63,934.38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80,761.41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18,362.73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15,596.38</w:t>
            </w:r>
          </w:p>
        </w:tc>
      </w:tr>
    </w:tbl>
    <w:p>
      <w:pPr>
        <w:widowControl w:val="0"/>
        <w:spacing w:after="99" w:line="1" w:lineRule="exact"/>
      </w:pPr>
    </w:p>
    <w:p>
      <w:pPr>
        <w:pStyle w:val="Style1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118"/>
        <w:gridCol w:w="2837"/>
        <w:gridCol w:w="263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Solutions (Poland) SP Z O. 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海外业务拓展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北京华大吉比爱医学检验实验室有限公司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武汉华大火眼实验室有限公司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业务拓展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Almanahil Health for Medical Services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海外业务拓展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厦门华大吉比爱科学仪器有限公司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业务调整</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CHINA HONG KONG INTERNATIONAL MEDICAL</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CENTRE CO,LIMITED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业务调整</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240"/>
        <w:jc w:val="left"/>
      </w:pPr>
      <w:bookmarkStart w:id="269" w:name="bookmark269"/>
      <w:bookmarkStart w:id="270" w:name="bookmark270"/>
      <w:bookmarkStart w:id="271" w:name="bookmark271"/>
      <w:r>
        <w:rPr>
          <w:color w:val="000000"/>
          <w:spacing w:val="0"/>
          <w:w w:val="100"/>
          <w:position w:val="0"/>
          <w:sz w:val="24"/>
          <w:szCs w:val="24"/>
        </w:rPr>
        <w:t>十、公司控制的结构化主体情况</w:t>
      </w:r>
      <w:bookmarkEnd w:id="269"/>
      <w:bookmarkEnd w:id="270"/>
      <w:bookmarkEnd w:id="271"/>
    </w:p>
    <w:p>
      <w:pPr>
        <w:pStyle w:val="Style17"/>
        <w:keepNext w:val="0"/>
        <w:keepLines w:val="0"/>
        <w:widowControl w:val="0"/>
        <w:shd w:val="clear" w:color="auto" w:fill="auto"/>
        <w:bidi w:val="0"/>
        <w:spacing w:before="0" w:after="360" w:line="313" w:lineRule="exact"/>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240"/>
        <w:jc w:val="left"/>
      </w:pPr>
      <w:bookmarkStart w:id="272" w:name="bookmark272"/>
      <w:bookmarkStart w:id="273" w:name="bookmark273"/>
      <w:bookmarkStart w:id="274" w:name="bookmark274"/>
      <w:r>
        <w:rPr>
          <w:color w:val="000000"/>
          <w:spacing w:val="0"/>
          <w:w w:val="100"/>
          <w:position w:val="0"/>
          <w:sz w:val="24"/>
          <w:szCs w:val="24"/>
        </w:rPr>
        <w:t>十一、公司未来发展的展望</w:t>
      </w:r>
      <w:bookmarkEnd w:id="272"/>
      <w:bookmarkEnd w:id="273"/>
      <w:bookmarkEnd w:id="274"/>
    </w:p>
    <w:p>
      <w:pPr>
        <w:pStyle w:val="Style17"/>
        <w:keepNext w:val="0"/>
        <w:keepLines w:val="0"/>
        <w:widowControl w:val="0"/>
        <w:shd w:val="clear" w:color="auto" w:fill="auto"/>
        <w:bidi w:val="0"/>
        <w:spacing w:before="0" w:after="140" w:line="313" w:lineRule="exact"/>
        <w:ind w:left="0" w:right="0" w:firstLine="600"/>
        <w:jc w:val="left"/>
      </w:pPr>
      <w:bookmarkStart w:id="275" w:name="bookmark275"/>
      <w:r>
        <w:rPr>
          <w:b/>
          <w:bCs/>
          <w:color w:val="000000"/>
          <w:spacing w:val="0"/>
          <w:w w:val="100"/>
          <w:position w:val="0"/>
        </w:rPr>
        <w:t>（</w:t>
      </w:r>
      <w:bookmarkEnd w:id="275"/>
      <w:r>
        <w:rPr>
          <w:b/>
          <w:bCs/>
          <w:color w:val="000000"/>
          <w:spacing w:val="0"/>
          <w:w w:val="100"/>
          <w:position w:val="0"/>
        </w:rPr>
        <w:t>一）公司未来的发展规划与发展目标</w:t>
      </w:r>
    </w:p>
    <w:p>
      <w:pPr>
        <w:pStyle w:val="Style17"/>
        <w:keepNext w:val="0"/>
        <w:keepLines w:val="0"/>
        <w:widowControl w:val="0"/>
        <w:shd w:val="clear" w:color="auto" w:fill="auto"/>
        <w:bidi w:val="0"/>
        <w:spacing w:before="0" w:after="0" w:line="313" w:lineRule="exact"/>
        <w:ind w:left="240" w:right="0" w:firstLine="360"/>
        <w:jc w:val="left"/>
      </w:pPr>
      <w:r>
        <w:rPr>
          <w:color w:val="000000"/>
          <w:spacing w:val="0"/>
          <w:w w:val="100"/>
          <w:position w:val="0"/>
        </w:rPr>
        <w:t>华大基因自成立以来始终坚持以“基因科技造福人类”大目标为导向，依托自主化多组学平台，加速科技创新，减少出 生缺陷，加强肿瘤防控，精准治愈感染，致力于成为全球覆盖全产业链的精准医疗和公共卫生领域的引领者。未来将持续引 领新技术、拓展新领域、探索新模式、创造新业绩，全力以赴践行初心和使命。</w:t>
      </w:r>
    </w:p>
    <w:p>
      <w:pPr>
        <w:pStyle w:val="Style17"/>
        <w:keepNext w:val="0"/>
        <w:keepLines w:val="0"/>
        <w:widowControl w:val="0"/>
        <w:shd w:val="clear" w:color="auto" w:fill="auto"/>
        <w:tabs>
          <w:tab w:pos="939" w:val="left"/>
        </w:tabs>
        <w:bidi w:val="0"/>
        <w:spacing w:before="0" w:after="0" w:line="313" w:lineRule="exact"/>
        <w:ind w:left="0" w:right="0" w:firstLine="600"/>
        <w:jc w:val="left"/>
      </w:pPr>
      <w:bookmarkStart w:id="276" w:name="bookmark276"/>
      <w:r>
        <w:rPr>
          <w:rFonts w:ascii="Times New Roman" w:eastAsia="Times New Roman" w:hAnsi="Times New Roman" w:cs="Times New Roman"/>
          <w:b/>
          <w:bCs/>
          <w:color w:val="000000"/>
          <w:spacing w:val="0"/>
          <w:w w:val="100"/>
          <w:position w:val="0"/>
        </w:rPr>
        <w:t>1</w:t>
      </w:r>
      <w:bookmarkEnd w:id="276"/>
      <w:r>
        <w:rPr>
          <w:b/>
          <w:bCs/>
          <w:color w:val="000000"/>
          <w:spacing w:val="0"/>
          <w:w w:val="100"/>
          <w:position w:val="0"/>
        </w:rPr>
        <w:t>、</w:t>
        <w:tab/>
        <w:t>深化全球产业布局</w:t>
      </w:r>
    </w:p>
    <w:p>
      <w:pPr>
        <w:pStyle w:val="Style17"/>
        <w:keepNext w:val="0"/>
        <w:keepLines w:val="0"/>
        <w:widowControl w:val="0"/>
        <w:shd w:val="clear" w:color="auto" w:fill="auto"/>
        <w:bidi w:val="0"/>
        <w:spacing w:before="0" w:after="0" w:line="313" w:lineRule="exact"/>
        <w:ind w:left="240" w:right="0" w:firstLine="360"/>
        <w:jc w:val="left"/>
      </w:pPr>
      <w:r>
        <w:rPr>
          <w:color w:val="000000"/>
          <w:spacing w:val="0"/>
          <w:w w:val="100"/>
          <w:position w:val="0"/>
        </w:rPr>
        <w:t>公司长期积极拓宽国际多元化业务合作渠道，已在新冠疫情期间发挥巨大作用，为全球抗疫工作做出积极贡献。未来将 进一步深化国际合作，巩固现有市场地位，更高效地实现全球战略布局与业务部署，引领全球基因科技的发展。</w:t>
      </w:r>
    </w:p>
    <w:p>
      <w:pPr>
        <w:pStyle w:val="Style17"/>
        <w:keepNext w:val="0"/>
        <w:keepLines w:val="0"/>
        <w:widowControl w:val="0"/>
        <w:shd w:val="clear" w:color="auto" w:fill="auto"/>
        <w:tabs>
          <w:tab w:pos="954" w:val="left"/>
        </w:tabs>
        <w:bidi w:val="0"/>
        <w:spacing w:before="0" w:after="0" w:line="313" w:lineRule="exact"/>
        <w:ind w:left="0" w:right="0" w:firstLine="600"/>
        <w:jc w:val="left"/>
      </w:pPr>
      <w:bookmarkStart w:id="277" w:name="bookmark277"/>
      <w:r>
        <w:rPr>
          <w:rFonts w:ascii="Times New Roman" w:eastAsia="Times New Roman" w:hAnsi="Times New Roman" w:cs="Times New Roman"/>
          <w:b/>
          <w:bCs/>
          <w:color w:val="000000"/>
          <w:spacing w:val="0"/>
          <w:w w:val="100"/>
          <w:position w:val="0"/>
        </w:rPr>
        <w:t>2</w:t>
      </w:r>
      <w:bookmarkEnd w:id="277"/>
      <w:r>
        <w:rPr>
          <w:b/>
          <w:bCs/>
          <w:color w:val="000000"/>
          <w:spacing w:val="0"/>
          <w:w w:val="100"/>
          <w:position w:val="0"/>
        </w:rPr>
        <w:t>、</w:t>
        <w:tab/>
        <w:t>加速科研转化，战略性拓展产业链</w:t>
      </w:r>
    </w:p>
    <w:p>
      <w:pPr>
        <w:pStyle w:val="Style17"/>
        <w:keepNext w:val="0"/>
        <w:keepLines w:val="0"/>
        <w:widowControl w:val="0"/>
        <w:shd w:val="clear" w:color="auto" w:fill="auto"/>
        <w:bidi w:val="0"/>
        <w:spacing w:before="0" w:after="120" w:line="313" w:lineRule="exact"/>
        <w:ind w:left="240" w:right="0" w:firstLine="360"/>
        <w:jc w:val="left"/>
      </w:pPr>
      <w:r>
        <w:rPr>
          <w:color w:val="000000"/>
          <w:spacing w:val="0"/>
          <w:w w:val="100"/>
          <w:position w:val="0"/>
        </w:rPr>
        <w:t>公司依托多组学临床科研和基因检测业务，为精准医学、基因治疗、细胞治疗、生物智能、新药研发、合成生物学等领 域积极赋能，加速科研向应用的快速转化。在持续加强生育健康、肿瘤防控、传感染疾病防控等各项主营业务的前提下，战</w:t>
      </w:r>
    </w:p>
    <w:p>
      <w:pPr>
        <w:pStyle w:val="Style17"/>
        <w:keepNext w:val="0"/>
        <w:keepLines w:val="0"/>
        <w:widowControl w:val="0"/>
        <w:shd w:val="clear" w:color="auto" w:fill="auto"/>
        <w:bidi w:val="0"/>
        <w:spacing w:before="0" w:line="312" w:lineRule="exact"/>
        <w:ind w:left="0" w:right="0" w:firstLine="260"/>
        <w:jc w:val="left"/>
      </w:pPr>
      <w:r>
        <w:rPr>
          <w:color w:val="000000"/>
          <w:spacing w:val="0"/>
          <w:w w:val="100"/>
          <w:position w:val="0"/>
        </w:rPr>
        <w:t>略性布局慢病管理等创新领域，完成“生命全周期”健康管理闭环升级。</w:t>
      </w:r>
    </w:p>
    <w:p>
      <w:pPr>
        <w:pStyle w:val="Style17"/>
        <w:keepNext w:val="0"/>
        <w:keepLines w:val="0"/>
        <w:widowControl w:val="0"/>
        <w:shd w:val="clear" w:color="auto" w:fill="auto"/>
        <w:tabs>
          <w:tab w:pos="936" w:val="left"/>
        </w:tabs>
        <w:bidi w:val="0"/>
        <w:spacing w:before="0" w:after="0"/>
        <w:ind w:left="0" w:right="0" w:firstLine="620"/>
        <w:jc w:val="left"/>
      </w:pPr>
      <w:bookmarkStart w:id="278" w:name="bookmark278"/>
      <w:r>
        <w:rPr>
          <w:rFonts w:ascii="Times New Roman" w:eastAsia="Times New Roman" w:hAnsi="Times New Roman" w:cs="Times New Roman"/>
          <w:b/>
          <w:bCs/>
          <w:color w:val="000000"/>
          <w:spacing w:val="0"/>
          <w:w w:val="100"/>
          <w:position w:val="0"/>
        </w:rPr>
        <w:t>3</w:t>
      </w:r>
      <w:bookmarkEnd w:id="278"/>
      <w:r>
        <w:rPr>
          <w:b/>
          <w:bCs/>
          <w:color w:val="000000"/>
          <w:spacing w:val="0"/>
          <w:w w:val="100"/>
          <w:position w:val="0"/>
        </w:rPr>
        <w:t>、</w:t>
        <w:tab/>
        <w:t>自主核心科技助力全球抗疫</w:t>
      </w:r>
    </w:p>
    <w:p>
      <w:pPr>
        <w:pStyle w:val="Style17"/>
        <w:keepNext w:val="0"/>
        <w:keepLines w:val="0"/>
        <w:widowControl w:val="0"/>
        <w:shd w:val="clear" w:color="auto" w:fill="auto"/>
        <w:bidi w:val="0"/>
        <w:spacing w:before="0" w:line="312" w:lineRule="exact"/>
        <w:ind w:left="260" w:right="0" w:firstLine="360"/>
        <w:jc w:val="both"/>
      </w:pPr>
      <w:r>
        <w:rPr>
          <w:color w:val="000000"/>
          <w:spacing w:val="0"/>
          <w:w w:val="100"/>
          <w:position w:val="0"/>
        </w:rPr>
        <w:t>公司新冠检测产品已形成病毒测序、核酸检测、核酸快检、抗原快检、抗原自测、抗体快检、中和抗体检测等多产品覆 盖体系，现已覆盖全球超过</w:t>
      </w:r>
      <w:r>
        <w:rPr>
          <w:rFonts w:ascii="Times New Roman" w:eastAsia="Times New Roman" w:hAnsi="Times New Roman" w:cs="Times New Roman"/>
          <w:color w:val="000000"/>
          <w:spacing w:val="0"/>
          <w:w w:val="100"/>
          <w:position w:val="0"/>
        </w:rPr>
        <w:t>180</w:t>
      </w:r>
      <w:r>
        <w:rPr>
          <w:color w:val="000000"/>
          <w:spacing w:val="0"/>
          <w:w w:val="100"/>
          <w:position w:val="0"/>
        </w:rPr>
        <w:t>个国家和地区，累计在海外启动</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实验室近</w:t>
      </w:r>
      <w:r>
        <w:rPr>
          <w:rFonts w:ascii="Times New Roman" w:eastAsia="Times New Roman" w:hAnsi="Times New Roman" w:cs="Times New Roman"/>
          <w:color w:val="000000"/>
          <w:spacing w:val="0"/>
          <w:w w:val="100"/>
          <w:position w:val="0"/>
        </w:rPr>
        <w:t>100</w:t>
      </w:r>
      <w:r>
        <w:rPr>
          <w:color w:val="000000"/>
          <w:spacing w:val="0"/>
          <w:w w:val="100"/>
          <w:position w:val="0"/>
        </w:rPr>
        <w:t>个，分布在全球</w:t>
      </w:r>
      <w:r>
        <w:rPr>
          <w:rFonts w:ascii="Times New Roman" w:eastAsia="Times New Roman" w:hAnsi="Times New Roman" w:cs="Times New Roman"/>
          <w:color w:val="000000"/>
          <w:spacing w:val="0"/>
          <w:w w:val="100"/>
          <w:position w:val="0"/>
        </w:rPr>
        <w:t>30</w:t>
      </w:r>
      <w:r>
        <w:rPr>
          <w:color w:val="000000"/>
          <w:spacing w:val="0"/>
          <w:w w:val="100"/>
          <w:position w:val="0"/>
        </w:rPr>
        <w:t>余个国家和地区，未来 将继续依托工程化火眼平台，以自主核心科技巩固全球疫情防控成果，为各个国家和地区的公众健康做出积极贡献。</w:t>
      </w:r>
    </w:p>
    <w:p>
      <w:pPr>
        <w:pStyle w:val="Style17"/>
        <w:keepNext w:val="0"/>
        <w:keepLines w:val="0"/>
        <w:widowControl w:val="0"/>
        <w:shd w:val="clear" w:color="auto" w:fill="auto"/>
        <w:tabs>
          <w:tab w:pos="932" w:val="left"/>
        </w:tabs>
        <w:bidi w:val="0"/>
        <w:spacing w:before="0" w:after="0"/>
        <w:ind w:left="0" w:right="0" w:firstLine="620"/>
        <w:jc w:val="left"/>
      </w:pPr>
      <w:bookmarkStart w:id="279" w:name="bookmark279"/>
      <w:r>
        <w:rPr>
          <w:rFonts w:ascii="Times New Roman" w:eastAsia="Times New Roman" w:hAnsi="Times New Roman" w:cs="Times New Roman"/>
          <w:b/>
          <w:bCs/>
          <w:color w:val="000000"/>
          <w:spacing w:val="0"/>
          <w:w w:val="100"/>
          <w:position w:val="0"/>
        </w:rPr>
        <w:t>4</w:t>
      </w:r>
      <w:bookmarkEnd w:id="279"/>
      <w:r>
        <w:rPr>
          <w:b/>
          <w:bCs/>
          <w:color w:val="000000"/>
          <w:spacing w:val="0"/>
          <w:w w:val="100"/>
          <w:position w:val="0"/>
        </w:rPr>
        <w:t>、</w:t>
        <w:tab/>
        <w:t>核心技术持续引领，专利资质重点布局</w:t>
      </w:r>
    </w:p>
    <w:p>
      <w:pPr>
        <w:pStyle w:val="Style17"/>
        <w:keepNext w:val="0"/>
        <w:keepLines w:val="0"/>
        <w:widowControl w:val="0"/>
        <w:shd w:val="clear" w:color="auto" w:fill="auto"/>
        <w:bidi w:val="0"/>
        <w:spacing w:before="0" w:line="312" w:lineRule="exact"/>
        <w:ind w:left="260" w:right="0" w:firstLine="360"/>
        <w:jc w:val="left"/>
      </w:pPr>
      <w:r>
        <w:rPr>
          <w:color w:val="000000"/>
          <w:spacing w:val="0"/>
          <w:w w:val="100"/>
          <w:position w:val="0"/>
        </w:rPr>
        <w:t>公司高度重视创新科技研发与专利资质布局，多年来坚持在分子检测上游实验技术、信息技术，生育健康、肿瘤防控、 传感染疾病防控等前沿应用领域持续投入，取得了国内外一系列重要的专利、资质成果。未来将加大科技研发、知识产权布 局力度，在推进全球市场开拓的同时及时申请知识产权、完成资质认证。</w:t>
      </w:r>
    </w:p>
    <w:p>
      <w:pPr>
        <w:pStyle w:val="Style17"/>
        <w:keepNext w:val="0"/>
        <w:keepLines w:val="0"/>
        <w:widowControl w:val="0"/>
        <w:shd w:val="clear" w:color="auto" w:fill="auto"/>
        <w:tabs>
          <w:tab w:pos="932" w:val="left"/>
        </w:tabs>
        <w:bidi w:val="0"/>
        <w:spacing w:before="0" w:after="0"/>
        <w:ind w:left="0" w:right="0" w:firstLine="620"/>
        <w:jc w:val="left"/>
      </w:pPr>
      <w:bookmarkStart w:id="280" w:name="bookmark280"/>
      <w:r>
        <w:rPr>
          <w:rFonts w:ascii="Times New Roman" w:eastAsia="Times New Roman" w:hAnsi="Times New Roman" w:cs="Times New Roman"/>
          <w:b/>
          <w:bCs/>
          <w:color w:val="000000"/>
          <w:spacing w:val="0"/>
          <w:w w:val="100"/>
          <w:position w:val="0"/>
        </w:rPr>
        <w:t>5</w:t>
      </w:r>
      <w:bookmarkEnd w:id="280"/>
      <w:r>
        <w:rPr>
          <w:b/>
          <w:bCs/>
          <w:color w:val="000000"/>
          <w:spacing w:val="0"/>
          <w:w w:val="100"/>
          <w:position w:val="0"/>
        </w:rPr>
        <w:t>、</w:t>
        <w:tab/>
        <w:t>引领普惠民生项目</w:t>
      </w:r>
    </w:p>
    <w:p>
      <w:pPr>
        <w:pStyle w:val="Style17"/>
        <w:keepNext w:val="0"/>
        <w:keepLines w:val="0"/>
        <w:widowControl w:val="0"/>
        <w:shd w:val="clear" w:color="auto" w:fill="auto"/>
        <w:bidi w:val="0"/>
        <w:spacing w:before="0" w:line="312" w:lineRule="exact"/>
        <w:ind w:left="260" w:right="0" w:firstLine="360"/>
        <w:jc w:val="both"/>
      </w:pPr>
      <w:r>
        <w:rPr>
          <w:color w:val="000000"/>
          <w:spacing w:val="0"/>
          <w:w w:val="100"/>
          <w:position w:val="0"/>
        </w:rPr>
        <w:t>公司始终坚持“持续低价惠民”原则，基于国产自主测序平台的技术优势和大样本量检测的规模效应，率先拓展基因健 康筛查应用于大样本量的民生项目。公司未来将继续坚守科技造福，以基因组学自主核心科技力量支撑全球公共卫生体系发 展。</w:t>
      </w:r>
    </w:p>
    <w:p>
      <w:pPr>
        <w:pStyle w:val="Style17"/>
        <w:keepNext w:val="0"/>
        <w:keepLines w:val="0"/>
        <w:widowControl w:val="0"/>
        <w:shd w:val="clear" w:color="auto" w:fill="auto"/>
        <w:tabs>
          <w:tab w:pos="932" w:val="left"/>
        </w:tabs>
        <w:bidi w:val="0"/>
        <w:spacing w:before="0" w:after="0"/>
        <w:ind w:left="0" w:right="0" w:firstLine="620"/>
        <w:jc w:val="left"/>
      </w:pPr>
      <w:bookmarkStart w:id="281" w:name="bookmark281"/>
      <w:r>
        <w:rPr>
          <w:rFonts w:ascii="Times New Roman" w:eastAsia="Times New Roman" w:hAnsi="Times New Roman" w:cs="Times New Roman"/>
          <w:b/>
          <w:bCs/>
          <w:color w:val="000000"/>
          <w:spacing w:val="0"/>
          <w:w w:val="100"/>
          <w:position w:val="0"/>
        </w:rPr>
        <w:t>6</w:t>
      </w:r>
      <w:bookmarkEnd w:id="281"/>
      <w:r>
        <w:rPr>
          <w:b/>
          <w:bCs/>
          <w:color w:val="000000"/>
          <w:spacing w:val="0"/>
          <w:w w:val="100"/>
          <w:position w:val="0"/>
        </w:rPr>
        <w:t>、</w:t>
        <w:tab/>
        <w:t>多组学大数据支撑生命科学数据库建设</w:t>
      </w:r>
    </w:p>
    <w:p>
      <w:pPr>
        <w:pStyle w:val="Style17"/>
        <w:keepNext w:val="0"/>
        <w:keepLines w:val="0"/>
        <w:widowControl w:val="0"/>
        <w:shd w:val="clear" w:color="auto" w:fill="auto"/>
        <w:bidi w:val="0"/>
        <w:spacing w:before="0" w:line="312" w:lineRule="exact"/>
        <w:ind w:left="260" w:right="0" w:firstLine="360"/>
        <w:jc w:val="both"/>
      </w:pPr>
      <w:r>
        <w:rPr>
          <w:color w:val="000000"/>
          <w:spacing w:val="0"/>
          <w:w w:val="100"/>
          <w:position w:val="0"/>
        </w:rPr>
        <w:t>公司依托自主化多组学平台，可以实现生命科学多组学数据库的收集、整理、信息查阅等，未来可应用在精准医学、靶 向药物研发、动植物育种等多个前沿科学领域，形成可贯穿的“组学”研究方法，积极赋能医学、生物学等领域科学研究， 推动产业发展。</w:t>
      </w:r>
    </w:p>
    <w:p>
      <w:pPr>
        <w:pStyle w:val="Style17"/>
        <w:keepNext w:val="0"/>
        <w:keepLines w:val="0"/>
        <w:widowControl w:val="0"/>
        <w:shd w:val="clear" w:color="auto" w:fill="auto"/>
        <w:tabs>
          <w:tab w:pos="932" w:val="left"/>
        </w:tabs>
        <w:bidi w:val="0"/>
        <w:spacing w:before="0" w:after="0"/>
        <w:ind w:left="0" w:right="0" w:firstLine="620"/>
        <w:jc w:val="left"/>
      </w:pPr>
      <w:bookmarkStart w:id="282" w:name="bookmark282"/>
      <w:r>
        <w:rPr>
          <w:rFonts w:ascii="Times New Roman" w:eastAsia="Times New Roman" w:hAnsi="Times New Roman" w:cs="Times New Roman"/>
          <w:b/>
          <w:bCs/>
          <w:color w:val="000000"/>
          <w:spacing w:val="0"/>
          <w:w w:val="100"/>
          <w:position w:val="0"/>
        </w:rPr>
        <w:t>7</w:t>
      </w:r>
      <w:bookmarkEnd w:id="282"/>
      <w:r>
        <w:rPr>
          <w:b/>
          <w:bCs/>
          <w:color w:val="000000"/>
          <w:spacing w:val="0"/>
          <w:w w:val="100"/>
          <w:position w:val="0"/>
        </w:rPr>
        <w:t>、</w:t>
        <w:tab/>
        <w:t>平台技术持续提升，行业标准全面树立</w:t>
      </w:r>
    </w:p>
    <w:p>
      <w:pPr>
        <w:pStyle w:val="Style17"/>
        <w:keepNext w:val="0"/>
        <w:keepLines w:val="0"/>
        <w:widowControl w:val="0"/>
        <w:shd w:val="clear" w:color="auto" w:fill="auto"/>
        <w:bidi w:val="0"/>
        <w:spacing w:before="0" w:line="312" w:lineRule="exact"/>
        <w:ind w:left="260" w:right="0" w:firstLine="360"/>
        <w:jc w:val="both"/>
      </w:pPr>
      <w:r>
        <w:rPr>
          <w:color w:val="000000"/>
          <w:spacing w:val="0"/>
          <w:w w:val="100"/>
          <w:position w:val="0"/>
        </w:rPr>
        <w:t>公司将持续部署全球领先的高通量、低成本多组学平台，优化基因测序、质谱等关键核心技术和生物数据分析核心算法， 依靠全球领先的多组学大数据服务和应用研发能力，推动技术创新，树立行业标准，为全球客户提供卓越的多组学大数据服 务和医学检测服务。</w:t>
      </w:r>
    </w:p>
    <w:p>
      <w:pPr>
        <w:pStyle w:val="Style17"/>
        <w:keepNext w:val="0"/>
        <w:keepLines w:val="0"/>
        <w:widowControl w:val="0"/>
        <w:shd w:val="clear" w:color="auto" w:fill="auto"/>
        <w:tabs>
          <w:tab w:pos="932" w:val="left"/>
        </w:tabs>
        <w:bidi w:val="0"/>
        <w:spacing w:before="0" w:after="0"/>
        <w:ind w:left="0" w:right="0" w:firstLine="620"/>
        <w:jc w:val="left"/>
      </w:pPr>
      <w:bookmarkStart w:id="283" w:name="bookmark283"/>
      <w:r>
        <w:rPr>
          <w:rFonts w:ascii="Times New Roman" w:eastAsia="Times New Roman" w:hAnsi="Times New Roman" w:cs="Times New Roman"/>
          <w:b/>
          <w:bCs/>
          <w:color w:val="000000"/>
          <w:spacing w:val="0"/>
          <w:w w:val="100"/>
          <w:position w:val="0"/>
        </w:rPr>
        <w:t>8</w:t>
      </w:r>
      <w:bookmarkEnd w:id="283"/>
      <w:r>
        <w:rPr>
          <w:b/>
          <w:bCs/>
          <w:color w:val="000000"/>
          <w:spacing w:val="0"/>
          <w:w w:val="100"/>
          <w:position w:val="0"/>
        </w:rPr>
        <w:t>、</w:t>
        <w:tab/>
        <w:t>发挥金融工具作用，构建行业</w:t>
      </w:r>
      <w:r>
        <w:rPr>
          <w:rFonts w:ascii="Times New Roman" w:eastAsia="Times New Roman" w:hAnsi="Times New Roman" w:cs="Times New Roman"/>
          <w:b/>
          <w:bCs/>
          <w:color w:val="000000"/>
          <w:spacing w:val="0"/>
          <w:w w:val="100"/>
          <w:position w:val="0"/>
        </w:rPr>
        <w:t>“</w:t>
      </w:r>
      <w:r>
        <w:rPr>
          <w:b/>
          <w:bCs/>
          <w:color w:val="000000"/>
          <w:spacing w:val="0"/>
          <w:w w:val="100"/>
          <w:position w:val="0"/>
        </w:rPr>
        <w:t>生态圈</w:t>
      </w:r>
      <w:r>
        <w:rPr>
          <w:rFonts w:ascii="Times New Roman" w:eastAsia="Times New Roman" w:hAnsi="Times New Roman" w:cs="Times New Roman"/>
          <w:b/>
          <w:bCs/>
          <w:color w:val="000000"/>
          <w:spacing w:val="0"/>
          <w:w w:val="100"/>
          <w:position w:val="0"/>
        </w:rPr>
        <w:t>”</w:t>
      </w:r>
    </w:p>
    <w:p>
      <w:pPr>
        <w:pStyle w:val="Style17"/>
        <w:keepNext w:val="0"/>
        <w:keepLines w:val="0"/>
        <w:widowControl w:val="0"/>
        <w:shd w:val="clear" w:color="auto" w:fill="auto"/>
        <w:bidi w:val="0"/>
        <w:spacing w:before="0" w:line="312" w:lineRule="exact"/>
        <w:ind w:left="260" w:right="0" w:firstLine="360"/>
        <w:jc w:val="both"/>
      </w:pPr>
      <w:r>
        <w:rPr>
          <w:color w:val="000000"/>
          <w:spacing w:val="0"/>
          <w:w w:val="100"/>
          <w:position w:val="0"/>
        </w:rPr>
        <w:t>公司根据发展需要，综合运用多种金融工具，持续推动技术创新、产品创新并提升经营能力，进一步增强公司的综合竞 争实力，完善产业布局，优化产业结构，赢得发展先机，构建行业“生态圈”。</w:t>
      </w:r>
    </w:p>
    <w:p>
      <w:pPr>
        <w:pStyle w:val="Style17"/>
        <w:keepNext w:val="0"/>
        <w:keepLines w:val="0"/>
        <w:widowControl w:val="0"/>
        <w:shd w:val="clear" w:color="auto" w:fill="auto"/>
        <w:tabs>
          <w:tab w:pos="932" w:val="left"/>
        </w:tabs>
        <w:bidi w:val="0"/>
        <w:spacing w:before="0" w:after="0"/>
        <w:ind w:left="0" w:right="0" w:firstLine="620"/>
        <w:jc w:val="left"/>
      </w:pPr>
      <w:bookmarkStart w:id="284" w:name="bookmark284"/>
      <w:r>
        <w:rPr>
          <w:rFonts w:ascii="Times New Roman" w:eastAsia="Times New Roman" w:hAnsi="Times New Roman" w:cs="Times New Roman"/>
          <w:b/>
          <w:bCs/>
          <w:color w:val="000000"/>
          <w:spacing w:val="0"/>
          <w:w w:val="100"/>
          <w:position w:val="0"/>
        </w:rPr>
        <w:t>9</w:t>
      </w:r>
      <w:bookmarkEnd w:id="284"/>
      <w:r>
        <w:rPr>
          <w:b/>
          <w:bCs/>
          <w:color w:val="000000"/>
          <w:spacing w:val="0"/>
          <w:w w:val="100"/>
          <w:position w:val="0"/>
        </w:rPr>
        <w:t>、</w:t>
        <w:tab/>
        <w:t>大力提高运营效率，注重人才队伍建设</w:t>
      </w:r>
    </w:p>
    <w:p>
      <w:pPr>
        <w:pStyle w:val="Style17"/>
        <w:keepNext w:val="0"/>
        <w:keepLines w:val="0"/>
        <w:widowControl w:val="0"/>
        <w:shd w:val="clear" w:color="auto" w:fill="auto"/>
        <w:bidi w:val="0"/>
        <w:spacing w:before="0" w:line="278" w:lineRule="exact"/>
        <w:ind w:left="260" w:right="0" w:firstLine="360"/>
        <w:jc w:val="both"/>
      </w:pPr>
      <w:r>
        <w:rPr>
          <w:color w:val="000000"/>
          <w:spacing w:val="0"/>
          <w:w w:val="100"/>
          <w:position w:val="0"/>
        </w:rPr>
        <w:t>以公司战略为导向，构建公司文化体系，优化升级组织结构，培养和引进多学科、多层次的技术与产业人才，完善人才 培训和管理体系，构建国际化的团队，实践公司战略，提升运营效率。</w:t>
      </w:r>
    </w:p>
    <w:p>
      <w:pPr>
        <w:pStyle w:val="Style17"/>
        <w:keepNext w:val="0"/>
        <w:keepLines w:val="0"/>
        <w:widowControl w:val="0"/>
        <w:shd w:val="clear" w:color="auto" w:fill="auto"/>
        <w:bidi w:val="0"/>
        <w:spacing w:before="0" w:after="160" w:line="312" w:lineRule="exact"/>
        <w:ind w:left="0" w:right="0" w:firstLine="620"/>
        <w:jc w:val="left"/>
      </w:pPr>
      <w:bookmarkStart w:id="285" w:name="bookmark285"/>
      <w:r>
        <w:rPr>
          <w:b/>
          <w:bCs/>
          <w:color w:val="000000"/>
          <w:spacing w:val="0"/>
          <w:w w:val="100"/>
          <w:position w:val="0"/>
        </w:rPr>
        <w:t>（</w:t>
      </w:r>
      <w:bookmarkEnd w:id="285"/>
      <w:r>
        <w:rPr>
          <w:b/>
          <w:bCs/>
          <w:color w:val="000000"/>
          <w:spacing w:val="0"/>
          <w:w w:val="100"/>
          <w:position w:val="0"/>
        </w:rPr>
        <w:t>二）</w:t>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年度公司经营计划</w:t>
      </w:r>
    </w:p>
    <w:p>
      <w:pPr>
        <w:pStyle w:val="Style17"/>
        <w:keepNext w:val="0"/>
        <w:keepLines w:val="0"/>
        <w:widowControl w:val="0"/>
        <w:shd w:val="clear" w:color="auto" w:fill="auto"/>
        <w:bidi w:val="0"/>
        <w:spacing w:before="0" w:after="220" w:line="316" w:lineRule="exact"/>
        <w:ind w:left="26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年，公司将继续秉承</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的初心和使命，确保从研发端到市场端保持领先优势，在全球抗疫建立 的坚实基础上，继续围绕</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实验室，从新冠检测拓展到更多品种的传感染检测，并将持续转化为生育健康、肿瘤防控等 全生命周期的检测业务，全球深化突破探索新业务模式。通过疫情常态化时代的平战结合，帮助全球各地完成公共卫生的强 基建。公司将坚持</w:t>
      </w:r>
      <w:r>
        <w:rPr>
          <w:rFonts w:ascii="Times New Roman" w:eastAsia="Times New Roman" w:hAnsi="Times New Roman" w:cs="Times New Roman"/>
          <w:color w:val="000000"/>
          <w:spacing w:val="0"/>
          <w:w w:val="100"/>
          <w:position w:val="0"/>
        </w:rPr>
        <w:t>“</w:t>
      </w:r>
      <w:r>
        <w:rPr>
          <w:color w:val="000000"/>
          <w:spacing w:val="0"/>
          <w:w w:val="100"/>
          <w:position w:val="0"/>
        </w:rPr>
        <w:t>大目标造福</w:t>
      </w:r>
      <w:r>
        <w:rPr>
          <w:rFonts w:ascii="Times New Roman" w:eastAsia="Times New Roman" w:hAnsi="Times New Roman" w:cs="Times New Roman"/>
          <w:color w:val="000000"/>
          <w:spacing w:val="0"/>
          <w:w w:val="100"/>
          <w:position w:val="0"/>
        </w:rPr>
        <w:t>”</w:t>
      </w:r>
      <w:r>
        <w:rPr>
          <w:color w:val="000000"/>
          <w:spacing w:val="0"/>
          <w:w w:val="100"/>
          <w:position w:val="0"/>
        </w:rPr>
        <w:t>宗旨，结合政府工作方针指示，分析行业与市场发展的特点，密切关注资本市场的动向，持 续优化人才队伍结构，更富有前瞻性的战略调整，以及行业生态的有效构建，以确保业绩达到预期目标。</w:t>
      </w:r>
    </w:p>
    <w:p>
      <w:pPr>
        <w:pStyle w:val="Style17"/>
        <w:keepNext w:val="0"/>
        <w:keepLines w:val="0"/>
        <w:widowControl w:val="0"/>
        <w:shd w:val="clear" w:color="auto" w:fill="auto"/>
        <w:bidi w:val="0"/>
        <w:spacing w:before="0" w:after="0"/>
        <w:ind w:left="0" w:right="0" w:firstLine="620"/>
        <w:jc w:val="left"/>
      </w:pPr>
      <w:bookmarkStart w:id="286" w:name="bookmark286"/>
      <w:r>
        <w:rPr>
          <w:rFonts w:ascii="Times New Roman" w:eastAsia="Times New Roman" w:hAnsi="Times New Roman" w:cs="Times New Roman"/>
          <w:b/>
          <w:bCs/>
          <w:color w:val="000000"/>
          <w:spacing w:val="0"/>
          <w:w w:val="100"/>
          <w:position w:val="0"/>
        </w:rPr>
        <w:t>1</w:t>
      </w:r>
      <w:bookmarkEnd w:id="286"/>
      <w:r>
        <w:rPr>
          <w:b/>
          <w:bCs/>
          <w:color w:val="000000"/>
          <w:spacing w:val="0"/>
          <w:w w:val="100"/>
          <w:position w:val="0"/>
        </w:rPr>
        <w:t>、持续巩固疫情防控成果</w:t>
      </w:r>
    </w:p>
    <w:p>
      <w:pPr>
        <w:pStyle w:val="Style17"/>
        <w:keepNext w:val="0"/>
        <w:keepLines w:val="0"/>
        <w:widowControl w:val="0"/>
        <w:shd w:val="clear" w:color="auto" w:fill="auto"/>
        <w:bidi w:val="0"/>
        <w:spacing w:before="0" w:after="0" w:line="313" w:lineRule="exact"/>
        <w:ind w:left="260" w:right="0" w:firstLine="360"/>
        <w:jc w:val="both"/>
      </w:pPr>
      <w:r>
        <w:rPr>
          <w:color w:val="000000"/>
          <w:spacing w:val="0"/>
          <w:w w:val="100"/>
          <w:position w:val="0"/>
        </w:rPr>
        <w:t>全球新冠肺炎疫情形势依然严峻，做好疫情防控工作仍是重中之重。目前，公司新冠检测产品已形成病毒测序、核酸检 测、核酸快检、抗原快检、抗原自测、抗体快检、中和抗体检测等多产品覆盖体系，现已覆盖全球超过</w:t>
      </w:r>
      <w:r>
        <w:rPr>
          <w:rFonts w:ascii="Times New Roman" w:eastAsia="Times New Roman" w:hAnsi="Times New Roman" w:cs="Times New Roman"/>
          <w:color w:val="000000"/>
          <w:spacing w:val="0"/>
          <w:w w:val="100"/>
          <w:position w:val="0"/>
        </w:rPr>
        <w:t>18 0</w:t>
      </w:r>
      <w:r>
        <w:rPr>
          <w:color w:val="000000"/>
          <w:spacing w:val="0"/>
          <w:w w:val="100"/>
          <w:position w:val="0"/>
        </w:rPr>
        <w:t>个国家和地区， 累计在海外启动</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实验室近</w:t>
      </w:r>
      <w:r>
        <w:rPr>
          <w:rFonts w:ascii="Times New Roman" w:eastAsia="Times New Roman" w:hAnsi="Times New Roman" w:cs="Times New Roman"/>
          <w:color w:val="000000"/>
          <w:spacing w:val="0"/>
          <w:w w:val="100"/>
          <w:position w:val="0"/>
        </w:rPr>
        <w:t>100</w:t>
      </w:r>
      <w:r>
        <w:rPr>
          <w:color w:val="000000"/>
          <w:spacing w:val="0"/>
          <w:w w:val="100"/>
          <w:position w:val="0"/>
        </w:rPr>
        <w:t>个，分布在全球</w:t>
      </w:r>
      <w:r>
        <w:rPr>
          <w:rFonts w:ascii="Times New Roman" w:eastAsia="Times New Roman" w:hAnsi="Times New Roman" w:cs="Times New Roman"/>
          <w:color w:val="000000"/>
          <w:spacing w:val="0"/>
          <w:w w:val="100"/>
          <w:position w:val="0"/>
        </w:rPr>
        <w:t>30</w:t>
      </w:r>
      <w:r>
        <w:rPr>
          <w:color w:val="000000"/>
          <w:spacing w:val="0"/>
          <w:w w:val="100"/>
          <w:position w:val="0"/>
        </w:rPr>
        <w:t>余个国家和地区，未来将继续依托工程化火眼平台，以自主核心科技 巩固全球疫情防控成果，为各个国家和地区的公众健康做出积极贡献。</w:t>
      </w:r>
    </w:p>
    <w:p>
      <w:pPr>
        <w:pStyle w:val="Style17"/>
        <w:keepNext w:val="0"/>
        <w:keepLines w:val="0"/>
        <w:widowControl w:val="0"/>
        <w:shd w:val="clear" w:color="auto" w:fill="auto"/>
        <w:bidi w:val="0"/>
        <w:spacing w:before="0" w:after="0" w:line="313" w:lineRule="exact"/>
        <w:ind w:left="260" w:right="0" w:firstLine="420"/>
        <w:jc w:val="both"/>
      </w:pPr>
      <w:r>
        <w:rPr>
          <w:color w:val="000000"/>
          <w:spacing w:val="0"/>
          <w:w w:val="100"/>
          <w:position w:val="0"/>
        </w:rPr>
        <w:t>在国内，将持续做好新冠肺炎疫情防控工作，坚持</w:t>
      </w:r>
      <w:r>
        <w:rPr>
          <w:rFonts w:ascii="Times New Roman" w:eastAsia="Times New Roman" w:hAnsi="Times New Roman" w:cs="Times New Roman"/>
          <w:color w:val="000000"/>
          <w:spacing w:val="0"/>
          <w:w w:val="100"/>
          <w:position w:val="0"/>
        </w:rPr>
        <w:t>“</w:t>
      </w:r>
      <w:r>
        <w:rPr>
          <w:color w:val="000000"/>
          <w:spacing w:val="0"/>
          <w:w w:val="100"/>
          <w:position w:val="0"/>
        </w:rPr>
        <w:t>人民至上，生命至上</w:t>
      </w:r>
      <w:r>
        <w:rPr>
          <w:rFonts w:ascii="Times New Roman" w:eastAsia="Times New Roman" w:hAnsi="Times New Roman" w:cs="Times New Roman"/>
          <w:color w:val="000000"/>
          <w:spacing w:val="0"/>
          <w:w w:val="100"/>
          <w:position w:val="0"/>
        </w:rPr>
        <w:t>”</w:t>
      </w:r>
      <w:r>
        <w:rPr>
          <w:color w:val="000000"/>
          <w:spacing w:val="0"/>
          <w:w w:val="100"/>
          <w:position w:val="0"/>
        </w:rPr>
        <w:t>，按照国家疫情防控相关政策以及法律法规要 求，以自主核心科技助力疫情精准防控，为人民生命健康保驾护航。</w:t>
      </w:r>
    </w:p>
    <w:p>
      <w:pPr>
        <w:pStyle w:val="Style17"/>
        <w:keepNext w:val="0"/>
        <w:keepLines w:val="0"/>
        <w:widowControl w:val="0"/>
        <w:shd w:val="clear" w:color="auto" w:fill="auto"/>
        <w:bidi w:val="0"/>
        <w:spacing w:before="0" w:line="313" w:lineRule="exact"/>
        <w:ind w:left="260" w:right="0" w:firstLine="420"/>
        <w:jc w:val="both"/>
      </w:pPr>
      <w:r>
        <w:rPr>
          <w:color w:val="000000"/>
          <w:spacing w:val="0"/>
          <w:w w:val="100"/>
          <w:position w:val="0"/>
        </w:rPr>
        <w:t>在国际，不断加大新冠检测产品资质申报区域布局和产品体系覆盖范围。同时拓展应用场景、打造应用范式，如解决 跨境人员快速检测服务需求、在更多国家落地并实施机场</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实验室解决方案等。</w:t>
      </w:r>
    </w:p>
    <w:p>
      <w:pPr>
        <w:pStyle w:val="Style17"/>
        <w:keepNext w:val="0"/>
        <w:keepLines w:val="0"/>
        <w:widowControl w:val="0"/>
        <w:shd w:val="clear" w:color="auto" w:fill="auto"/>
        <w:tabs>
          <w:tab w:pos="914" w:val="left"/>
        </w:tabs>
        <w:bidi w:val="0"/>
        <w:spacing w:before="0" w:line="314" w:lineRule="exact"/>
        <w:ind w:left="0" w:right="0" w:firstLine="620"/>
        <w:jc w:val="both"/>
      </w:pPr>
      <w:bookmarkStart w:id="287" w:name="bookmark287"/>
      <w:r>
        <w:rPr>
          <w:rFonts w:ascii="Times New Roman" w:eastAsia="Times New Roman" w:hAnsi="Times New Roman" w:cs="Times New Roman"/>
          <w:b/>
          <w:bCs/>
          <w:color w:val="000000"/>
          <w:spacing w:val="0"/>
          <w:w w:val="100"/>
          <w:position w:val="0"/>
        </w:rPr>
        <w:t>2</w:t>
      </w:r>
      <w:bookmarkEnd w:id="287"/>
      <w:r>
        <w:rPr>
          <w:b/>
          <w:bCs/>
          <w:color w:val="000000"/>
          <w:spacing w:val="0"/>
          <w:w w:val="100"/>
          <w:position w:val="0"/>
        </w:rPr>
        <w:t>、</w:t>
        <w:tab/>
        <w:t>出生缺陷防控深入落地</w:t>
      </w:r>
    </w:p>
    <w:p>
      <w:pPr>
        <w:pStyle w:val="Style17"/>
        <w:keepNext w:val="0"/>
        <w:keepLines w:val="0"/>
        <w:widowControl w:val="0"/>
        <w:shd w:val="clear" w:color="auto" w:fill="auto"/>
        <w:bidi w:val="0"/>
        <w:spacing w:before="0" w:after="0" w:line="315" w:lineRule="exact"/>
        <w:ind w:left="260" w:right="0" w:firstLine="360"/>
        <w:jc w:val="both"/>
      </w:pPr>
      <w:r>
        <w:rPr>
          <w:b/>
          <w:bCs/>
          <w:color w:val="000000"/>
          <w:spacing w:val="0"/>
          <w:w w:val="100"/>
          <w:position w:val="0"/>
        </w:rPr>
        <w:t>孕前阶段</w:t>
      </w:r>
      <w:r>
        <w:rPr>
          <w:color w:val="000000"/>
          <w:spacing w:val="0"/>
          <w:w w:val="100"/>
          <w:position w:val="0"/>
        </w:rPr>
        <w:t>，重点布局以血红蛋白病为代表的单基因疾病检测，同时利用</w:t>
      </w:r>
      <w:r>
        <w:rPr>
          <w:rFonts w:ascii="Times New Roman" w:eastAsia="Times New Roman" w:hAnsi="Times New Roman" w:cs="Times New Roman"/>
          <w:color w:val="000000"/>
          <w:spacing w:val="0"/>
          <w:w w:val="100"/>
          <w:position w:val="0"/>
        </w:rPr>
        <w:t>2021</w:t>
      </w:r>
      <w:r>
        <w:rPr>
          <w:color w:val="000000"/>
          <w:spacing w:val="0"/>
          <w:w w:val="100"/>
          <w:position w:val="0"/>
        </w:rPr>
        <w:t>年获得的欧盟</w:t>
      </w:r>
      <w:r>
        <w:rPr>
          <w:rFonts w:ascii="Times New Roman" w:eastAsia="Times New Roman" w:hAnsi="Times New Roman" w:cs="Times New Roman"/>
          <w:color w:val="000000"/>
          <w:spacing w:val="0"/>
          <w:w w:val="100"/>
          <w:position w:val="0"/>
        </w:rPr>
        <w:t>CE</w:t>
      </w:r>
      <w:r>
        <w:rPr>
          <w:color w:val="000000"/>
          <w:spacing w:val="0"/>
          <w:w w:val="100"/>
          <w:position w:val="0"/>
        </w:rPr>
        <w:t>准入资质，依托火眼平台 拓展国际市场。进一步推动</w:t>
      </w:r>
      <w:r>
        <w:rPr>
          <w:rFonts w:ascii="Times New Roman" w:eastAsia="Times New Roman" w:hAnsi="Times New Roman" w:cs="Times New Roman"/>
          <w:color w:val="000000"/>
          <w:spacing w:val="0"/>
          <w:w w:val="100"/>
          <w:position w:val="0"/>
        </w:rPr>
        <w:t>WGS</w:t>
      </w:r>
      <w:r>
        <w:rPr>
          <w:color w:val="000000"/>
          <w:spacing w:val="0"/>
          <w:w w:val="100"/>
          <w:position w:val="0"/>
        </w:rPr>
        <w:t>检测技术在临床的应用，并结合</w:t>
      </w:r>
      <w:r>
        <w:rPr>
          <w:rFonts w:ascii="Times New Roman" w:eastAsia="Times New Roman" w:hAnsi="Times New Roman" w:cs="Times New Roman"/>
          <w:color w:val="000000"/>
          <w:spacing w:val="0"/>
          <w:w w:val="100"/>
          <w:position w:val="0"/>
        </w:rPr>
        <w:t>PGT</w:t>
      </w:r>
      <w:r>
        <w:rPr>
          <w:color w:val="000000"/>
          <w:spacing w:val="0"/>
          <w:w w:val="100"/>
          <w:position w:val="0"/>
        </w:rPr>
        <w:t>技术有效防控遗传病的垂直传递。探索多组学联合检测 解决方案，为提升临床遗传病综合检出率提供新范式。同时，推进出生缺陷防控关口前移，探索全外显子携带者筛查检测新 方案，推进临床共识的出台。</w:t>
      </w:r>
    </w:p>
    <w:p>
      <w:pPr>
        <w:pStyle w:val="Style17"/>
        <w:keepNext w:val="0"/>
        <w:keepLines w:val="0"/>
        <w:widowControl w:val="0"/>
        <w:shd w:val="clear" w:color="auto" w:fill="auto"/>
        <w:bidi w:val="0"/>
        <w:spacing w:before="0" w:after="0" w:line="315" w:lineRule="exact"/>
        <w:ind w:left="260" w:right="0" w:firstLine="420"/>
        <w:jc w:val="both"/>
      </w:pPr>
      <w:r>
        <w:rPr>
          <w:b/>
          <w:bCs/>
          <w:color w:val="000000"/>
          <w:spacing w:val="0"/>
          <w:w w:val="100"/>
          <w:position w:val="0"/>
        </w:rPr>
        <w:t>产前阶段</w:t>
      </w:r>
      <w:r>
        <w:rPr>
          <w:color w:val="000000"/>
          <w:spacing w:val="0"/>
          <w:w w:val="100"/>
          <w:position w:val="0"/>
        </w:rPr>
        <w:t>，加速</w:t>
      </w:r>
      <w:r>
        <w:rPr>
          <w:rFonts w:ascii="Times New Roman" w:eastAsia="Times New Roman" w:hAnsi="Times New Roman" w:cs="Times New Roman"/>
          <w:color w:val="000000"/>
          <w:spacing w:val="0"/>
          <w:w w:val="100"/>
          <w:position w:val="0"/>
        </w:rPr>
        <w:t>NIFTY</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从基础版向全因系列的转化，结合</w:t>
      </w:r>
      <w:r>
        <w:rPr>
          <w:rFonts w:ascii="Times New Roman" w:eastAsia="Times New Roman" w:hAnsi="Times New Roman" w:cs="Times New Roman"/>
          <w:color w:val="000000"/>
          <w:spacing w:val="0"/>
          <w:w w:val="100"/>
          <w:position w:val="0"/>
        </w:rPr>
        <w:t>CNV-seq</w:t>
      </w:r>
      <w:r>
        <w:rPr>
          <w:color w:val="000000"/>
          <w:spacing w:val="0"/>
          <w:w w:val="100"/>
          <w:position w:val="0"/>
        </w:rPr>
        <w:t>和</w:t>
      </w:r>
      <w:r>
        <w:rPr>
          <w:rFonts w:ascii="Times New Roman" w:eastAsia="Times New Roman" w:hAnsi="Times New Roman" w:cs="Times New Roman"/>
          <w:color w:val="000000"/>
          <w:spacing w:val="0"/>
          <w:w w:val="100"/>
          <w:position w:val="0"/>
        </w:rPr>
        <w:t>WES</w:t>
      </w:r>
      <w:r>
        <w:rPr>
          <w:color w:val="000000"/>
          <w:spacing w:val="0"/>
          <w:w w:val="100"/>
          <w:position w:val="0"/>
        </w:rPr>
        <w:t>本地化平台优势，在产品体系完善程度和市 场份额上，进一步巩固技术和市场的领先地位。探索推动</w:t>
      </w:r>
      <w:r>
        <w:rPr>
          <w:rFonts w:ascii="Times New Roman" w:eastAsia="Times New Roman" w:hAnsi="Times New Roman" w:cs="Times New Roman"/>
          <w:color w:val="000000"/>
          <w:spacing w:val="0"/>
          <w:w w:val="100"/>
          <w:position w:val="0"/>
        </w:rPr>
        <w:t>WGS</w:t>
      </w:r>
      <w:r>
        <w:rPr>
          <w:color w:val="000000"/>
          <w:spacing w:val="0"/>
          <w:w w:val="100"/>
          <w:position w:val="0"/>
        </w:rPr>
        <w:t>检测技术在产前应用的规范与标准，一站式解决产前遗传病 问题。同时加快孕期多组学研发项目的方法学建立及科研进展，保障出生缺陷防控技术体系的持续引领。</w:t>
      </w:r>
    </w:p>
    <w:p>
      <w:pPr>
        <w:pStyle w:val="Style17"/>
        <w:keepNext w:val="0"/>
        <w:keepLines w:val="0"/>
        <w:widowControl w:val="0"/>
        <w:shd w:val="clear" w:color="auto" w:fill="auto"/>
        <w:bidi w:val="0"/>
        <w:spacing w:before="0" w:line="315" w:lineRule="exact"/>
        <w:ind w:left="260" w:right="0" w:firstLine="420"/>
        <w:jc w:val="both"/>
      </w:pPr>
      <w:r>
        <w:rPr>
          <w:b/>
          <w:bCs/>
          <w:color w:val="000000"/>
          <w:spacing w:val="0"/>
          <w:w w:val="100"/>
          <w:position w:val="0"/>
        </w:rPr>
        <w:t>新生儿阶段</w:t>
      </w:r>
      <w:r>
        <w:rPr>
          <w:color w:val="000000"/>
          <w:spacing w:val="0"/>
          <w:w w:val="100"/>
          <w:position w:val="0"/>
        </w:rPr>
        <w:t>，将以耳聋基因检测本地化为契机，引入小通量</w:t>
      </w:r>
      <w:r>
        <w:rPr>
          <w:rFonts w:ascii="Times New Roman" w:eastAsia="Times New Roman" w:hAnsi="Times New Roman" w:cs="Times New Roman"/>
          <w:color w:val="000000"/>
          <w:spacing w:val="0"/>
          <w:w w:val="100"/>
          <w:position w:val="0"/>
        </w:rPr>
        <w:t>PCR</w:t>
      </w:r>
      <w:r>
        <w:rPr>
          <w:color w:val="000000"/>
          <w:spacing w:val="0"/>
          <w:w w:val="100"/>
          <w:position w:val="0"/>
        </w:rPr>
        <w:t>平台主攻二三级医院、测序平台主推大型新筛中心，多 平台组合进一步提升市场份额，全面完善耳聋检测筛诊闭环。研发快速版专科用药指导，在生命周期各个阶段个体化指导用 药方案。推动中国多中心新生儿遗传病基因筛查研究项目，联合行业专家发布共识并发布相应产品，助力新生儿阶段遗传病 的早发现早干预。</w:t>
      </w:r>
    </w:p>
    <w:p>
      <w:pPr>
        <w:pStyle w:val="Style17"/>
        <w:keepNext w:val="0"/>
        <w:keepLines w:val="0"/>
        <w:widowControl w:val="0"/>
        <w:shd w:val="clear" w:color="auto" w:fill="auto"/>
        <w:tabs>
          <w:tab w:pos="914" w:val="left"/>
        </w:tabs>
        <w:bidi w:val="0"/>
        <w:spacing w:before="0" w:line="314" w:lineRule="exact"/>
        <w:ind w:left="0" w:right="0" w:firstLine="620"/>
        <w:jc w:val="both"/>
      </w:pPr>
      <w:bookmarkStart w:id="288" w:name="bookmark288"/>
      <w:r>
        <w:rPr>
          <w:rFonts w:ascii="Times New Roman" w:eastAsia="Times New Roman" w:hAnsi="Times New Roman" w:cs="Times New Roman"/>
          <w:b/>
          <w:bCs/>
          <w:color w:val="000000"/>
          <w:spacing w:val="0"/>
          <w:w w:val="100"/>
          <w:position w:val="0"/>
        </w:rPr>
        <w:t>3</w:t>
      </w:r>
      <w:bookmarkEnd w:id="288"/>
      <w:r>
        <w:rPr>
          <w:b/>
          <w:bCs/>
          <w:color w:val="000000"/>
          <w:spacing w:val="0"/>
          <w:w w:val="100"/>
          <w:position w:val="0"/>
        </w:rPr>
        <w:t>、</w:t>
        <w:tab/>
        <w:t>肿瘤防控布局泛癌早筛</w:t>
      </w:r>
    </w:p>
    <w:p>
      <w:pPr>
        <w:pStyle w:val="Style17"/>
        <w:keepNext w:val="0"/>
        <w:keepLines w:val="0"/>
        <w:widowControl w:val="0"/>
        <w:shd w:val="clear" w:color="auto" w:fill="auto"/>
        <w:bidi w:val="0"/>
        <w:spacing w:before="0" w:after="0" w:line="314" w:lineRule="exact"/>
        <w:ind w:left="260" w:right="0" w:firstLine="42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普惠造福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防大于治</w:t>
      </w:r>
      <w:r>
        <w:rPr>
          <w:rFonts w:ascii="Times New Roman" w:eastAsia="Times New Roman" w:hAnsi="Times New Roman" w:cs="Times New Roman"/>
          <w:color w:val="000000"/>
          <w:spacing w:val="0"/>
          <w:w w:val="100"/>
          <w:position w:val="0"/>
        </w:rPr>
        <w:t>”</w:t>
      </w:r>
      <w:r>
        <w:rPr>
          <w:color w:val="000000"/>
          <w:spacing w:val="0"/>
          <w:w w:val="100"/>
          <w:position w:val="0"/>
        </w:rPr>
        <w:t>的发展理念，通过民生应用，持续探索以</w:t>
      </w:r>
      <w:r>
        <w:rPr>
          <w:rFonts w:ascii="Times New Roman" w:eastAsia="Times New Roman" w:hAnsi="Times New Roman" w:cs="Times New Roman"/>
          <w:color w:val="000000"/>
          <w:spacing w:val="0"/>
          <w:w w:val="100"/>
          <w:position w:val="0"/>
        </w:rPr>
        <w:t>“</w:t>
      </w:r>
      <w:r>
        <w:rPr>
          <w:color w:val="000000"/>
          <w:spacing w:val="0"/>
          <w:w w:val="100"/>
          <w:position w:val="0"/>
        </w:rPr>
        <w:t>精准数据</w:t>
      </w:r>
      <w:r>
        <w:rPr>
          <w:rFonts w:ascii="Times New Roman" w:eastAsia="Times New Roman" w:hAnsi="Times New Roman" w:cs="Times New Roman"/>
          <w:color w:val="000000"/>
          <w:spacing w:val="0"/>
          <w:w w:val="100"/>
          <w:position w:val="0"/>
        </w:rPr>
        <w:t>”</w:t>
      </w:r>
      <w:r>
        <w:rPr>
          <w:color w:val="000000"/>
          <w:spacing w:val="0"/>
          <w:w w:val="100"/>
          <w:position w:val="0"/>
        </w:rPr>
        <w:t>驱动的</w:t>
      </w:r>
      <w:r>
        <w:rPr>
          <w:rFonts w:ascii="Times New Roman" w:eastAsia="Times New Roman" w:hAnsi="Times New Roman" w:cs="Times New Roman"/>
          <w:color w:val="000000"/>
          <w:spacing w:val="0"/>
          <w:w w:val="100"/>
          <w:position w:val="0"/>
        </w:rPr>
        <w:t>“</w:t>
      </w:r>
      <w:r>
        <w:rPr>
          <w:color w:val="000000"/>
          <w:spacing w:val="0"/>
          <w:w w:val="100"/>
          <w:position w:val="0"/>
        </w:rPr>
        <w:t>创新科技</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创造市场</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的新型发展道路，取得了可复制、可推广的科研与产业成果。结合我国国情优势，公司将这一模式复制、推广为普惠大众的 实践，为</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的建设提供切实有效的解决方案。</w:t>
      </w:r>
    </w:p>
    <w:p>
      <w:pPr>
        <w:pStyle w:val="Style17"/>
        <w:keepNext w:val="0"/>
        <w:keepLines w:val="0"/>
        <w:widowControl w:val="0"/>
        <w:shd w:val="clear" w:color="auto" w:fill="auto"/>
        <w:bidi w:val="0"/>
        <w:spacing w:before="0" w:after="0" w:line="314" w:lineRule="exact"/>
        <w:ind w:left="26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年，公司将持续加大肠癌、肝癌早筛产品的性能升级，多癌种早筛的产品开发和应用转化、临床性能验证、国内 外资质申报等方面的投入力度。基于性能领先的自主研发技术、国产测序平台的成本优势、高效的实验室工程化建设及运营 经验及大规模自动化检测能力，公司计划推进多个省市级大人群癌症防控项目，形成肿瘤多组学早筛大数据和真实有效的卫 生经济学数据模型，建立区域示范成果和可持续商业模式，重新定义全球癌症防控新范式。</w:t>
      </w:r>
    </w:p>
    <w:p>
      <w:pPr>
        <w:pStyle w:val="Style17"/>
        <w:keepNext w:val="0"/>
        <w:keepLines w:val="0"/>
        <w:widowControl w:val="0"/>
        <w:shd w:val="clear" w:color="auto" w:fill="auto"/>
        <w:bidi w:val="0"/>
        <w:spacing w:before="0" w:line="314" w:lineRule="exact"/>
        <w:ind w:left="260" w:right="0" w:firstLine="420"/>
        <w:jc w:val="both"/>
      </w:pPr>
      <w:r>
        <w:rPr>
          <w:color w:val="000000"/>
          <w:spacing w:val="0"/>
          <w:w w:val="100"/>
          <w:position w:val="0"/>
        </w:rPr>
        <w:t>公司将继续为国内外医疗机构提供高通量、自动化、信息化的分子病理新基建综合解决方案和服务，助力区域肿瘤精 准预防中心的建设；依托完善的质量管理体系和丰富的开发经验，为生物医药企业提供高质量的研发服务，同时加强伴随诊 断开发合作及商业推广，从而满足医疗机构对于肿瘤用药指导的临床需要，引领肿瘤精准医疗的临床路径，实现肿瘤临床检 测业务稳健增长。</w:t>
      </w:r>
    </w:p>
    <w:p>
      <w:pPr>
        <w:pStyle w:val="Style17"/>
        <w:keepNext w:val="0"/>
        <w:keepLines w:val="0"/>
        <w:widowControl w:val="0"/>
        <w:shd w:val="clear" w:color="auto" w:fill="auto"/>
        <w:tabs>
          <w:tab w:pos="914" w:val="left"/>
        </w:tabs>
        <w:bidi w:val="0"/>
        <w:spacing w:before="0" w:line="314" w:lineRule="exact"/>
        <w:ind w:left="0" w:right="0" w:firstLine="620"/>
        <w:jc w:val="both"/>
      </w:pPr>
      <w:bookmarkStart w:id="289" w:name="bookmark289"/>
      <w:r>
        <w:rPr>
          <w:rFonts w:ascii="Times New Roman" w:eastAsia="Times New Roman" w:hAnsi="Times New Roman" w:cs="Times New Roman"/>
          <w:b/>
          <w:bCs/>
          <w:color w:val="000000"/>
          <w:spacing w:val="0"/>
          <w:w w:val="100"/>
          <w:position w:val="0"/>
        </w:rPr>
        <w:t>4</w:t>
      </w:r>
      <w:bookmarkEnd w:id="289"/>
      <w:r>
        <w:rPr>
          <w:b/>
          <w:bCs/>
          <w:color w:val="000000"/>
          <w:spacing w:val="0"/>
          <w:w w:val="100"/>
          <w:position w:val="0"/>
        </w:rPr>
        <w:t>、</w:t>
        <w:tab/>
        <w:t>感染精准检测多极发展</w:t>
      </w:r>
    </w:p>
    <w:p>
      <w:pPr>
        <w:pStyle w:val="Style17"/>
        <w:keepNext w:val="0"/>
        <w:keepLines w:val="0"/>
        <w:widowControl w:val="0"/>
        <w:shd w:val="clear" w:color="auto" w:fill="auto"/>
        <w:bidi w:val="0"/>
        <w:spacing w:before="0" w:after="0" w:line="311" w:lineRule="exact"/>
        <w:ind w:left="260" w:right="0" w:firstLine="360"/>
        <w:jc w:val="both"/>
      </w:pPr>
      <w:r>
        <w:rPr>
          <w:color w:val="000000"/>
          <w:spacing w:val="0"/>
          <w:w w:val="100"/>
          <w:position w:val="0"/>
        </w:rPr>
        <w:t>公司将继续围绕传感染性疾病病原学诊断及用药需求，基于免疫、分子技术平台，强化感染防控相关的高中低通量产品 研发，形成病原诊断、用药指导的全诊疗体系，继续助力感染性疾病精准防控，力争实现跨越式发展。检测性能优化、自动 化升级及平台适配转化三管齐下，持续提升高通量产品</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系列产品竞争力;加快中低通量产品体系研发，不断丰富</w:t>
      </w:r>
      <w:r>
        <w:rPr>
          <w:rFonts w:ascii="Times New Roman" w:eastAsia="Times New Roman" w:hAnsi="Times New Roman" w:cs="Times New Roman"/>
          <w:color w:val="000000"/>
          <w:spacing w:val="0"/>
          <w:w w:val="100"/>
          <w:position w:val="0"/>
        </w:rPr>
        <w:t xml:space="preserve">POCT </w:t>
      </w:r>
      <w:r>
        <w:rPr>
          <w:color w:val="000000"/>
          <w:spacing w:val="0"/>
          <w:w w:val="100"/>
          <w:position w:val="0"/>
        </w:rPr>
        <w:t>相关产品，同时快速引进或搭建相应技术平台，实现适用各类机型的合作开发和应用；稳步推进各类主打产品的</w:t>
      </w:r>
      <w:r>
        <w:rPr>
          <w:rFonts w:ascii="Times New Roman" w:eastAsia="Times New Roman" w:hAnsi="Times New Roman" w:cs="Times New Roman"/>
          <w:color w:val="000000"/>
          <w:spacing w:val="0"/>
          <w:w w:val="100"/>
          <w:position w:val="0"/>
        </w:rPr>
        <w:t>IVD</w:t>
      </w:r>
      <w:r>
        <w:rPr>
          <w:color w:val="000000"/>
          <w:spacing w:val="0"/>
          <w:w w:val="100"/>
          <w:position w:val="0"/>
        </w:rPr>
        <w:t>注册进 程，并建立稳定可靠的满足国家及企业标准的</w:t>
      </w:r>
      <w:r>
        <w:rPr>
          <w:rFonts w:ascii="Times New Roman" w:eastAsia="Times New Roman" w:hAnsi="Times New Roman" w:cs="Times New Roman"/>
          <w:color w:val="000000"/>
          <w:spacing w:val="0"/>
          <w:w w:val="100"/>
          <w:position w:val="0"/>
        </w:rPr>
        <w:t>IVD</w:t>
      </w:r>
      <w:r>
        <w:rPr>
          <w:color w:val="000000"/>
          <w:spacing w:val="0"/>
          <w:w w:val="100"/>
          <w:position w:val="0"/>
        </w:rPr>
        <w:t>生产及供应体系。</w:t>
      </w:r>
    </w:p>
    <w:p>
      <w:pPr>
        <w:pStyle w:val="Style17"/>
        <w:keepNext w:val="0"/>
        <w:keepLines w:val="0"/>
        <w:widowControl w:val="0"/>
        <w:shd w:val="clear" w:color="auto" w:fill="auto"/>
        <w:bidi w:val="0"/>
        <w:spacing w:before="0" w:line="311" w:lineRule="exact"/>
        <w:ind w:left="260" w:right="0" w:firstLine="360"/>
        <w:jc w:val="both"/>
      </w:pPr>
      <w:r>
        <w:rPr>
          <w:color w:val="000000"/>
          <w:spacing w:val="0"/>
          <w:w w:val="100"/>
          <w:position w:val="0"/>
        </w:rPr>
        <w:t>继续加大业务推广力度，以</w:t>
      </w:r>
      <w:r>
        <w:rPr>
          <w:rFonts w:ascii="Times New Roman" w:eastAsia="Times New Roman" w:hAnsi="Times New Roman" w:cs="Times New Roman"/>
          <w:color w:val="000000"/>
          <w:spacing w:val="0"/>
          <w:w w:val="100"/>
          <w:position w:val="0"/>
        </w:rPr>
        <w:t>IVD</w:t>
      </w:r>
      <w:r>
        <w:rPr>
          <w:color w:val="000000"/>
          <w:spacing w:val="0"/>
          <w:w w:val="100"/>
          <w:position w:val="0"/>
        </w:rPr>
        <w:t>和</w:t>
      </w:r>
      <w:r>
        <w:rPr>
          <w:rFonts w:ascii="Times New Roman" w:eastAsia="Times New Roman" w:hAnsi="Times New Roman" w:cs="Times New Roman"/>
          <w:color w:val="000000"/>
          <w:spacing w:val="0"/>
          <w:w w:val="100"/>
          <w:position w:val="0"/>
        </w:rPr>
        <w:t>ICL</w:t>
      </w:r>
      <w:r>
        <w:rPr>
          <w:color w:val="000000"/>
          <w:spacing w:val="0"/>
          <w:w w:val="100"/>
          <w:position w:val="0"/>
        </w:rPr>
        <w:t>的模式实现全产品输出，覆盖多层级医疗机构，实现临床样本量快速增长，并稳 步开拓亚太和欧洲等国际市场。升级</w:t>
      </w:r>
      <w:r>
        <w:rPr>
          <w:rFonts w:ascii="Times New Roman" w:eastAsia="Times New Roman" w:hAnsi="Times New Roman" w:cs="Times New Roman"/>
          <w:color w:val="000000"/>
          <w:spacing w:val="0"/>
          <w:w w:val="100"/>
          <w:position w:val="0"/>
        </w:rPr>
        <w:t>IVD</w:t>
      </w:r>
      <w:r>
        <w:rPr>
          <w:color w:val="000000"/>
          <w:spacing w:val="0"/>
          <w:w w:val="100"/>
          <w:position w:val="0"/>
        </w:rPr>
        <w:t>和</w:t>
      </w:r>
      <w:r>
        <w:rPr>
          <w:rFonts w:ascii="Times New Roman" w:eastAsia="Times New Roman" w:hAnsi="Times New Roman" w:cs="Times New Roman"/>
          <w:color w:val="000000"/>
          <w:spacing w:val="0"/>
          <w:w w:val="100"/>
          <w:position w:val="0"/>
        </w:rPr>
        <w:t>ICL</w:t>
      </w:r>
      <w:r>
        <w:rPr>
          <w:color w:val="000000"/>
          <w:spacing w:val="0"/>
          <w:w w:val="100"/>
          <w:position w:val="0"/>
        </w:rPr>
        <w:t>模式售后服务体系，促进</w:t>
      </w:r>
      <w:r>
        <w:rPr>
          <w:rFonts w:ascii="Times New Roman" w:eastAsia="Times New Roman" w:hAnsi="Times New Roman" w:cs="Times New Roman"/>
          <w:color w:val="000000"/>
          <w:spacing w:val="0"/>
          <w:w w:val="100"/>
          <w:position w:val="0"/>
        </w:rPr>
        <w:t>PMseq</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相关联合实验室、技术转化的推进工作，并 不断加强国际科研合作和国际新技术引进和转化。</w:t>
      </w:r>
    </w:p>
    <w:p>
      <w:pPr>
        <w:pStyle w:val="Style17"/>
        <w:keepNext w:val="0"/>
        <w:keepLines w:val="0"/>
        <w:widowControl w:val="0"/>
        <w:shd w:val="clear" w:color="auto" w:fill="auto"/>
        <w:tabs>
          <w:tab w:pos="909" w:val="left"/>
        </w:tabs>
        <w:bidi w:val="0"/>
        <w:spacing w:before="0" w:line="314" w:lineRule="exact"/>
        <w:ind w:left="0" w:right="0" w:firstLine="620"/>
        <w:jc w:val="both"/>
      </w:pPr>
      <w:bookmarkStart w:id="290" w:name="bookmark290"/>
      <w:r>
        <w:rPr>
          <w:rFonts w:ascii="Times New Roman" w:eastAsia="Times New Roman" w:hAnsi="Times New Roman" w:cs="Times New Roman"/>
          <w:b/>
          <w:bCs/>
          <w:color w:val="000000"/>
          <w:spacing w:val="0"/>
          <w:w w:val="100"/>
          <w:position w:val="0"/>
        </w:rPr>
        <w:t>5</w:t>
      </w:r>
      <w:bookmarkEnd w:id="290"/>
      <w:r>
        <w:rPr>
          <w:b/>
          <w:bCs/>
          <w:color w:val="000000"/>
          <w:spacing w:val="0"/>
          <w:w w:val="100"/>
          <w:position w:val="0"/>
        </w:rPr>
        <w:t>、</w:t>
        <w:tab/>
        <w:t>自主平台拉动全球科服</w:t>
      </w:r>
    </w:p>
    <w:p>
      <w:pPr>
        <w:pStyle w:val="Style17"/>
        <w:keepNext w:val="0"/>
        <w:keepLines w:val="0"/>
        <w:widowControl w:val="0"/>
        <w:shd w:val="clear" w:color="auto" w:fill="auto"/>
        <w:bidi w:val="0"/>
        <w:spacing w:before="0" w:after="0" w:line="317" w:lineRule="exact"/>
        <w:ind w:left="260" w:right="0" w:firstLine="420"/>
        <w:jc w:val="both"/>
      </w:pPr>
      <w:r>
        <w:rPr>
          <w:color w:val="000000"/>
          <w:spacing w:val="0"/>
          <w:w w:val="100"/>
          <w:position w:val="0"/>
        </w:rPr>
        <w:t>聚焦基于自主平台测序技术的单细胞测序技术、时空组学技术、微生物多组学技术、全转录组技术，以及动植物数据 库等关键技术和平台的开发和推广。</w:t>
      </w:r>
    </w:p>
    <w:p>
      <w:pPr>
        <w:pStyle w:val="Style17"/>
        <w:keepNext w:val="0"/>
        <w:keepLines w:val="0"/>
        <w:widowControl w:val="0"/>
        <w:shd w:val="clear" w:color="auto" w:fill="auto"/>
        <w:bidi w:val="0"/>
        <w:spacing w:before="0" w:after="0" w:line="317" w:lineRule="exact"/>
        <w:ind w:left="260" w:right="0" w:firstLine="420"/>
        <w:jc w:val="both"/>
      </w:pPr>
      <w:r>
        <w:rPr>
          <w:color w:val="000000"/>
          <w:spacing w:val="0"/>
          <w:w w:val="100"/>
          <w:position w:val="0"/>
        </w:rPr>
        <w:t>扩展单细胞</w:t>
      </w:r>
      <w:r>
        <w:rPr>
          <w:rFonts w:ascii="Times New Roman" w:eastAsia="Times New Roman" w:hAnsi="Times New Roman" w:cs="Times New Roman"/>
          <w:color w:val="000000"/>
          <w:spacing w:val="0"/>
          <w:w w:val="100"/>
          <w:position w:val="0"/>
        </w:rPr>
        <w:t>C4</w:t>
      </w:r>
      <w:r>
        <w:rPr>
          <w:color w:val="000000"/>
          <w:spacing w:val="0"/>
          <w:w w:val="100"/>
          <w:position w:val="0"/>
        </w:rPr>
        <w:t>平台在该领域的应用场景，积累全球范围内不同物种单细胞数据，建立涵盖上亿级别单细胞的数据库， 计划打造全球范围最大</w:t>
      </w:r>
      <w:r>
        <w:rPr>
          <w:rFonts w:ascii="Times New Roman" w:eastAsia="Times New Roman" w:hAnsi="Times New Roman" w:cs="Times New Roman"/>
          <w:color w:val="000000"/>
          <w:spacing w:val="0"/>
          <w:w w:val="100"/>
          <w:position w:val="0"/>
        </w:rPr>
        <w:t>C4</w:t>
      </w:r>
      <w:r>
        <w:rPr>
          <w:color w:val="000000"/>
          <w:spacing w:val="0"/>
          <w:w w:val="100"/>
          <w:position w:val="0"/>
        </w:rPr>
        <w:t>单细胞数据库。</w:t>
      </w:r>
    </w:p>
    <w:p>
      <w:pPr>
        <w:pStyle w:val="Style17"/>
        <w:keepNext w:val="0"/>
        <w:keepLines w:val="0"/>
        <w:widowControl w:val="0"/>
        <w:shd w:val="clear" w:color="auto" w:fill="auto"/>
        <w:bidi w:val="0"/>
        <w:spacing w:before="0" w:after="0" w:line="317" w:lineRule="exact"/>
        <w:ind w:left="260" w:right="0" w:firstLine="420"/>
        <w:jc w:val="both"/>
      </w:pPr>
      <w:r>
        <w:rPr>
          <w:color w:val="000000"/>
          <w:spacing w:val="0"/>
          <w:w w:val="100"/>
          <w:position w:val="0"/>
        </w:rPr>
        <w:t>在大人群国别基因组项目上，继续发挥</w:t>
      </w:r>
      <w:r>
        <w:rPr>
          <w:rFonts w:ascii="Times New Roman" w:eastAsia="Times New Roman" w:hAnsi="Times New Roman" w:cs="Times New Roman"/>
          <w:color w:val="000000"/>
          <w:spacing w:val="0"/>
          <w:w w:val="100"/>
          <w:position w:val="0"/>
        </w:rPr>
        <w:t>DNBSEQ</w:t>
      </w:r>
      <w:r>
        <w:rPr>
          <w:color w:val="000000"/>
          <w:spacing w:val="0"/>
          <w:w w:val="100"/>
          <w:position w:val="0"/>
        </w:rPr>
        <w:t>测序平台在数据质量与单位数据成本上的优势，为全球更多国家或跨 区域国际组织的国别基因组项目赋能，持续扩大公司在这一具有重要战略价值领域的影响力。</w:t>
      </w:r>
    </w:p>
    <w:p>
      <w:pPr>
        <w:pStyle w:val="Style17"/>
        <w:keepNext w:val="0"/>
        <w:keepLines w:val="0"/>
        <w:widowControl w:val="0"/>
        <w:shd w:val="clear" w:color="auto" w:fill="auto"/>
        <w:bidi w:val="0"/>
        <w:spacing w:before="0" w:line="317" w:lineRule="exact"/>
        <w:ind w:left="260" w:right="0" w:firstLine="420"/>
        <w:jc w:val="both"/>
      </w:pPr>
      <w:r>
        <w:rPr>
          <w:color w:val="000000"/>
          <w:spacing w:val="0"/>
          <w:w w:val="100"/>
          <w:position w:val="0"/>
        </w:rPr>
        <w:t>继续打磨</w:t>
      </w:r>
      <w:r>
        <w:rPr>
          <w:rFonts w:ascii="Times New Roman" w:eastAsia="Times New Roman" w:hAnsi="Times New Roman" w:cs="Times New Roman"/>
          <w:color w:val="000000"/>
          <w:spacing w:val="0"/>
          <w:w w:val="100"/>
          <w:position w:val="0"/>
        </w:rPr>
        <w:t>Dr. Tom</w:t>
      </w:r>
      <w:r>
        <w:rPr>
          <w:color w:val="000000"/>
          <w:spacing w:val="0"/>
          <w:w w:val="100"/>
          <w:position w:val="0"/>
        </w:rPr>
        <w:t>在线交付与多组学关联分析系统，使该系统适配表观组、蛋白组、全转录组、单细胞组、空间转录组 等多个组学的分析需求，成为完善的多组学信息整合和关联分析平台，深化在这一领域的市场领先地位。</w:t>
      </w:r>
    </w:p>
    <w:p>
      <w:pPr>
        <w:pStyle w:val="Style17"/>
        <w:keepNext w:val="0"/>
        <w:keepLines w:val="0"/>
        <w:widowControl w:val="0"/>
        <w:shd w:val="clear" w:color="auto" w:fill="auto"/>
        <w:bidi w:val="0"/>
        <w:spacing w:before="0" w:after="220" w:line="312" w:lineRule="exact"/>
        <w:ind w:left="260" w:right="0" w:firstLine="420"/>
        <w:jc w:val="both"/>
      </w:pPr>
      <w:r>
        <w:rPr>
          <w:color w:val="000000"/>
          <w:spacing w:val="0"/>
          <w:w w:val="100"/>
          <w:position w:val="0"/>
        </w:rPr>
        <w:t>积极拓宽国内外营销渠道，助力业绩快速增长。整合内部资源，搭建海内外实验室交付能力；整合市场外部资源，补 充定制化项目交付能力，通过极致交付和提供个性化服务拓展市场。</w:t>
      </w:r>
    </w:p>
    <w:p>
      <w:pPr>
        <w:pStyle w:val="Style17"/>
        <w:keepNext w:val="0"/>
        <w:keepLines w:val="0"/>
        <w:widowControl w:val="0"/>
        <w:shd w:val="clear" w:color="auto" w:fill="auto"/>
        <w:tabs>
          <w:tab w:pos="909" w:val="left"/>
        </w:tabs>
        <w:bidi w:val="0"/>
        <w:spacing w:before="0" w:after="0"/>
        <w:ind w:left="0" w:right="0" w:firstLine="620"/>
        <w:jc w:val="both"/>
      </w:pPr>
      <w:bookmarkStart w:id="291" w:name="bookmark291"/>
      <w:r>
        <w:rPr>
          <w:rFonts w:ascii="Times New Roman" w:eastAsia="Times New Roman" w:hAnsi="Times New Roman" w:cs="Times New Roman"/>
          <w:b/>
          <w:bCs/>
          <w:color w:val="000000"/>
          <w:spacing w:val="0"/>
          <w:w w:val="100"/>
          <w:position w:val="0"/>
        </w:rPr>
        <w:t>6</w:t>
      </w:r>
      <w:bookmarkEnd w:id="291"/>
      <w:r>
        <w:rPr>
          <w:b/>
          <w:bCs/>
          <w:color w:val="000000"/>
          <w:spacing w:val="0"/>
          <w:w w:val="100"/>
          <w:position w:val="0"/>
        </w:rPr>
        <w:t>、</w:t>
        <w:tab/>
        <w:t>国际拓展加速本地建设</w:t>
      </w:r>
    </w:p>
    <w:p>
      <w:pPr>
        <w:pStyle w:val="Style17"/>
        <w:keepNext w:val="0"/>
        <w:keepLines w:val="0"/>
        <w:widowControl w:val="0"/>
        <w:shd w:val="clear" w:color="auto" w:fill="auto"/>
        <w:bidi w:val="0"/>
        <w:spacing w:before="0" w:after="0" w:line="313" w:lineRule="exact"/>
        <w:ind w:left="260" w:right="0" w:firstLine="420"/>
        <w:jc w:val="both"/>
      </w:pPr>
      <w:r>
        <w:rPr>
          <w:color w:val="000000"/>
          <w:spacing w:val="0"/>
          <w:w w:val="100"/>
          <w:position w:val="0"/>
        </w:rPr>
        <w:t>设计开发满足海外各国家区域化分级诊疗的多种解决方案，建立所需实验室、机房、云计算的存储计算服务方案标准， 建设基因组数据为主的</w:t>
      </w:r>
      <w:r>
        <w:rPr>
          <w:rFonts w:ascii="Times New Roman" w:eastAsia="Times New Roman" w:hAnsi="Times New Roman" w:cs="Times New Roman"/>
          <w:color w:val="000000"/>
          <w:spacing w:val="0"/>
          <w:w w:val="100"/>
          <w:position w:val="0"/>
        </w:rPr>
        <w:t>“</w:t>
      </w:r>
      <w:r>
        <w:rPr>
          <w:color w:val="000000"/>
          <w:spacing w:val="0"/>
          <w:w w:val="100"/>
          <w:position w:val="0"/>
        </w:rPr>
        <w:t>汇洗存管算用</w:t>
      </w:r>
      <w:r>
        <w:rPr>
          <w:rFonts w:ascii="Times New Roman" w:eastAsia="Times New Roman" w:hAnsi="Times New Roman" w:cs="Times New Roman"/>
          <w:color w:val="000000"/>
          <w:spacing w:val="0"/>
          <w:w w:val="100"/>
          <w:position w:val="0"/>
        </w:rPr>
        <w:t>”</w:t>
      </w:r>
      <w:r>
        <w:rPr>
          <w:color w:val="000000"/>
          <w:spacing w:val="0"/>
          <w:w w:val="100"/>
          <w:position w:val="0"/>
        </w:rPr>
        <w:t>的组学数据中台，搭建</w:t>
      </w:r>
      <w:r>
        <w:rPr>
          <w:rFonts w:ascii="Times New Roman" w:eastAsia="Times New Roman" w:hAnsi="Times New Roman" w:cs="Times New Roman"/>
          <w:color w:val="000000"/>
          <w:spacing w:val="0"/>
          <w:w w:val="100"/>
          <w:position w:val="0"/>
        </w:rPr>
        <w:t>POCT+ICL</w:t>
      </w:r>
      <w:r>
        <w:rPr>
          <w:color w:val="000000"/>
          <w:spacing w:val="0"/>
          <w:w w:val="100"/>
          <w:position w:val="0"/>
        </w:rPr>
        <w:t>分级诊疗信息化体系及多种应用场景下生活染临床 应用一体化软件或系统，形成公司海外业务的</w:t>
      </w:r>
      <w:r>
        <w:rPr>
          <w:rFonts w:ascii="Times New Roman" w:eastAsia="Times New Roman" w:hAnsi="Times New Roman" w:cs="Times New Roman"/>
          <w:color w:val="000000"/>
          <w:spacing w:val="0"/>
          <w:w w:val="100"/>
          <w:position w:val="0"/>
        </w:rPr>
        <w:t>“</w:t>
      </w:r>
      <w:r>
        <w:rPr>
          <w:color w:val="000000"/>
          <w:spacing w:val="0"/>
          <w:w w:val="100"/>
          <w:position w:val="0"/>
        </w:rPr>
        <w:t>数字化资产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0" w:line="313" w:lineRule="exact"/>
        <w:ind w:left="260" w:right="0" w:firstLine="420"/>
        <w:jc w:val="both"/>
      </w:pPr>
      <w:r>
        <w:rPr>
          <w:color w:val="000000"/>
          <w:spacing w:val="0"/>
          <w:w w:val="100"/>
          <w:position w:val="0"/>
        </w:rPr>
        <w:t>依托现有供应链体系，集中优势资源，建设海外</w:t>
      </w:r>
      <w:r>
        <w:rPr>
          <w:rFonts w:ascii="Times New Roman" w:eastAsia="Times New Roman" w:hAnsi="Times New Roman" w:cs="Times New Roman"/>
          <w:color w:val="000000"/>
          <w:spacing w:val="0"/>
          <w:w w:val="100"/>
          <w:position w:val="0"/>
        </w:rPr>
        <w:t>IVD</w:t>
      </w:r>
      <w:r>
        <w:rPr>
          <w:color w:val="000000"/>
          <w:spacing w:val="0"/>
          <w:w w:val="100"/>
          <w:position w:val="0"/>
        </w:rPr>
        <w:t>优质渠道合作网络，进一步建设并完善以主要国家资质申报为核心 的海外</w:t>
      </w:r>
      <w:r>
        <w:rPr>
          <w:rFonts w:ascii="Times New Roman" w:eastAsia="Times New Roman" w:hAnsi="Times New Roman" w:cs="Times New Roman"/>
          <w:color w:val="000000"/>
          <w:spacing w:val="0"/>
          <w:w w:val="100"/>
          <w:position w:val="0"/>
        </w:rPr>
        <w:t>IVD</w:t>
      </w:r>
      <w:r>
        <w:rPr>
          <w:color w:val="000000"/>
          <w:spacing w:val="0"/>
          <w:w w:val="100"/>
          <w:position w:val="0"/>
        </w:rPr>
        <w:t>产品中心，加速推进</w:t>
      </w:r>
      <w:r>
        <w:rPr>
          <w:rFonts w:ascii="Times New Roman" w:eastAsia="Times New Roman" w:hAnsi="Times New Roman" w:cs="Times New Roman"/>
          <w:color w:val="000000"/>
          <w:spacing w:val="0"/>
          <w:w w:val="100"/>
          <w:position w:val="0"/>
        </w:rPr>
        <w:t>LDT</w:t>
      </w:r>
      <w:r>
        <w:rPr>
          <w:color w:val="000000"/>
          <w:spacing w:val="0"/>
          <w:w w:val="100"/>
          <w:position w:val="0"/>
        </w:rPr>
        <w:t>服务产品向</w:t>
      </w:r>
      <w:r>
        <w:rPr>
          <w:rFonts w:ascii="Times New Roman" w:eastAsia="Times New Roman" w:hAnsi="Times New Roman" w:cs="Times New Roman"/>
          <w:color w:val="000000"/>
          <w:spacing w:val="0"/>
          <w:w w:val="100"/>
          <w:position w:val="0"/>
        </w:rPr>
        <w:t>IVD</w:t>
      </w:r>
      <w:r>
        <w:rPr>
          <w:color w:val="000000"/>
          <w:spacing w:val="0"/>
          <w:w w:val="100"/>
          <w:position w:val="0"/>
        </w:rPr>
        <w:t>产品转化。持续完善海外精准医学分析解读方案，重点加速建设海外遗 传咨询服务体系，为公司业务落地增速。</w:t>
      </w:r>
    </w:p>
    <w:p>
      <w:pPr>
        <w:pStyle w:val="Style17"/>
        <w:keepNext w:val="0"/>
        <w:keepLines w:val="0"/>
        <w:widowControl w:val="0"/>
        <w:shd w:val="clear" w:color="auto" w:fill="auto"/>
        <w:bidi w:val="0"/>
        <w:spacing w:before="0" w:after="0" w:line="313" w:lineRule="exact"/>
        <w:ind w:left="260" w:right="0" w:firstLine="420"/>
        <w:jc w:val="both"/>
      </w:pPr>
      <w:r>
        <w:rPr>
          <w:color w:val="000000"/>
          <w:spacing w:val="0"/>
          <w:w w:val="100"/>
          <w:position w:val="0"/>
        </w:rPr>
        <w:t>加强全球渠道网络建设及本地化合作，提升海外本地化实验室、诊疗中心、医疗试剂耗材工厂等工程建设和运营能力， 以</w:t>
      </w:r>
      <w:r>
        <w:rPr>
          <w:rFonts w:ascii="Times New Roman" w:eastAsia="Times New Roman" w:hAnsi="Times New Roman" w:cs="Times New Roman"/>
          <w:color w:val="000000"/>
          <w:spacing w:val="0"/>
          <w:w w:val="100"/>
          <w:position w:val="0"/>
        </w:rPr>
        <w:t>“</w:t>
      </w:r>
      <w:r>
        <w:rPr>
          <w:color w:val="000000"/>
          <w:spacing w:val="0"/>
          <w:w w:val="100"/>
          <w:position w:val="0"/>
        </w:rPr>
        <w:t>科学、技术、质量、标准、知识产权</w:t>
      </w:r>
      <w:r>
        <w:rPr>
          <w:rFonts w:ascii="Times New Roman" w:eastAsia="Times New Roman" w:hAnsi="Times New Roman" w:cs="Times New Roman"/>
          <w:color w:val="000000"/>
          <w:spacing w:val="0"/>
          <w:w w:val="100"/>
          <w:position w:val="0"/>
        </w:rPr>
        <w:t>”</w:t>
      </w:r>
      <w:r>
        <w:rPr>
          <w:color w:val="000000"/>
          <w:spacing w:val="0"/>
          <w:w w:val="100"/>
          <w:position w:val="0"/>
        </w:rPr>
        <w:t>同步建立战略壁垒。</w:t>
      </w:r>
    </w:p>
    <w:p>
      <w:pPr>
        <w:pStyle w:val="Style17"/>
        <w:keepNext w:val="0"/>
        <w:keepLines w:val="0"/>
        <w:widowControl w:val="0"/>
        <w:shd w:val="clear" w:color="auto" w:fill="auto"/>
        <w:bidi w:val="0"/>
        <w:spacing w:before="0" w:after="220" w:line="313" w:lineRule="exact"/>
        <w:ind w:left="260" w:right="0" w:firstLine="420"/>
        <w:jc w:val="both"/>
      </w:pPr>
      <w:r>
        <w:rPr>
          <w:color w:val="000000"/>
          <w:spacing w:val="0"/>
          <w:w w:val="100"/>
          <w:position w:val="0"/>
        </w:rPr>
        <w:t>持续挖掘区域项目中心并搭建新的项目中心本地化团队，积极推进本地化公共卫生项目，建立并完善本地化独立经营 体系，不断在新兴国家增加实验室和</w:t>
      </w:r>
      <w:r>
        <w:rPr>
          <w:rFonts w:ascii="Times New Roman" w:eastAsia="Times New Roman" w:hAnsi="Times New Roman" w:cs="Times New Roman"/>
          <w:color w:val="000000"/>
          <w:spacing w:val="0"/>
          <w:w w:val="100"/>
          <w:position w:val="0"/>
        </w:rPr>
        <w:t>IVD</w:t>
      </w:r>
      <w:r>
        <w:rPr>
          <w:color w:val="000000"/>
          <w:spacing w:val="0"/>
          <w:w w:val="100"/>
          <w:position w:val="0"/>
        </w:rPr>
        <w:t>工厂的数量及规模，打造标杆项目，建设完善海外实验室连锁运营管理体系，完善 区域性本地化闭环价值链，促进目标区域市场、国家分级诊疗体系的建立与完善。</w:t>
      </w:r>
    </w:p>
    <w:p>
      <w:pPr>
        <w:pStyle w:val="Style17"/>
        <w:keepNext w:val="0"/>
        <w:keepLines w:val="0"/>
        <w:widowControl w:val="0"/>
        <w:shd w:val="clear" w:color="auto" w:fill="auto"/>
        <w:tabs>
          <w:tab w:pos="909" w:val="left"/>
        </w:tabs>
        <w:bidi w:val="0"/>
        <w:spacing w:before="0" w:after="0"/>
        <w:ind w:left="0" w:right="0" w:firstLine="620"/>
        <w:jc w:val="left"/>
      </w:pPr>
      <w:bookmarkStart w:id="292" w:name="bookmark292"/>
      <w:r>
        <w:rPr>
          <w:rFonts w:ascii="Times New Roman" w:eastAsia="Times New Roman" w:hAnsi="Times New Roman" w:cs="Times New Roman"/>
          <w:b/>
          <w:bCs/>
          <w:color w:val="000000"/>
          <w:spacing w:val="0"/>
          <w:w w:val="100"/>
          <w:position w:val="0"/>
        </w:rPr>
        <w:t>7</w:t>
      </w:r>
      <w:bookmarkEnd w:id="292"/>
      <w:r>
        <w:rPr>
          <w:b/>
          <w:bCs/>
          <w:color w:val="000000"/>
          <w:spacing w:val="0"/>
          <w:w w:val="100"/>
          <w:position w:val="0"/>
        </w:rPr>
        <w:t>、</w:t>
        <w:tab/>
        <w:t>民生普惠赋能乡村振兴</w:t>
      </w:r>
    </w:p>
    <w:p>
      <w:pPr>
        <w:pStyle w:val="Style17"/>
        <w:keepNext w:val="0"/>
        <w:keepLines w:val="0"/>
        <w:widowControl w:val="0"/>
        <w:shd w:val="clear" w:color="auto" w:fill="auto"/>
        <w:bidi w:val="0"/>
        <w:spacing w:before="0" w:after="0" w:line="312" w:lineRule="exact"/>
        <w:ind w:left="260" w:right="0" w:firstLine="420"/>
        <w:jc w:val="both"/>
      </w:pPr>
      <w:r>
        <w:rPr>
          <w:color w:val="000000"/>
          <w:spacing w:val="0"/>
          <w:w w:val="100"/>
          <w:position w:val="0"/>
        </w:rPr>
        <w:t>乡村振兴是实现中华民族伟大复兴的一项重大任务，脱贫攻坚取得胜利后，要全面推进乡村振兴，</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是全面建 设社会主义现代化新征程的第一个五年，加大农村地区医疗投入，持续增进民生福祉，对于巩固脱贫攻坚成果、推进乡村振 兴意义重大。</w:t>
      </w:r>
      <w:r>
        <w:rPr>
          <w:rFonts w:ascii="Times New Roman" w:eastAsia="Times New Roman" w:hAnsi="Times New Roman" w:cs="Times New Roman"/>
          <w:color w:val="000000"/>
          <w:spacing w:val="0"/>
          <w:w w:val="100"/>
          <w:position w:val="0"/>
        </w:rPr>
        <w:t>2022</w:t>
      </w:r>
      <w:r>
        <w:rPr>
          <w:color w:val="000000"/>
          <w:spacing w:val="0"/>
          <w:w w:val="100"/>
          <w:position w:val="0"/>
        </w:rPr>
        <w:t>年，公司将紧紧围绕十四五规划，在健康中国战略指导下，始终以人民为中心，高举科技创新，聚焦科研 突破，以更先进的技术、优质的产品与惠民的价格积极推进与政府的合作，在妇幼健康、肿瘤早筛、传感染病监测、地方病 综合防控等方面实现多地全覆盖、普惠共享、城乡一体。在乡镇，健康民生项目可带村医队伍，提升基层医疗水平及应对突 发公共卫生事件应急处置能力，通过健康民生项目落地加强基层公共卫生能力建设，筑牢基层服务网底，防止因病返贫，促 进乡村振兴与脱贫攻坚的有机衔接。</w:t>
      </w:r>
    </w:p>
    <w:p>
      <w:pPr>
        <w:pStyle w:val="Style17"/>
        <w:keepNext w:val="0"/>
        <w:keepLines w:val="0"/>
        <w:widowControl w:val="0"/>
        <w:shd w:val="clear" w:color="auto" w:fill="auto"/>
        <w:bidi w:val="0"/>
        <w:spacing w:before="0" w:after="220" w:line="312" w:lineRule="exact"/>
        <w:ind w:left="260" w:right="0" w:firstLine="420"/>
        <w:jc w:val="both"/>
      </w:pPr>
      <w:r>
        <w:rPr>
          <w:color w:val="000000"/>
          <w:spacing w:val="0"/>
          <w:w w:val="100"/>
          <w:position w:val="0"/>
        </w:rPr>
        <w:t>基因科技助推脱贫攻坚迈向乡村振兴。在脱贫攻坚战取得全面胜利的基础上，公司将继续携手各地政府开展健康民生 项目，助力</w:t>
      </w:r>
      <w:r>
        <w:rPr>
          <w:rFonts w:ascii="Times New Roman" w:eastAsia="Times New Roman" w:hAnsi="Times New Roman" w:cs="Times New Roman"/>
          <w:color w:val="000000"/>
          <w:spacing w:val="0"/>
          <w:w w:val="100"/>
          <w:position w:val="0"/>
        </w:rPr>
        <w:t>“</w:t>
      </w:r>
      <w:r>
        <w:rPr>
          <w:color w:val="000000"/>
          <w:spacing w:val="0"/>
          <w:w w:val="100"/>
          <w:position w:val="0"/>
        </w:rPr>
        <w:t>健康中国</w:t>
      </w:r>
      <w:r>
        <w:rPr>
          <w:rFonts w:ascii="Times New Roman" w:eastAsia="Times New Roman" w:hAnsi="Times New Roman" w:cs="Times New Roman"/>
          <w:color w:val="000000"/>
          <w:spacing w:val="0"/>
          <w:w w:val="100"/>
          <w:position w:val="0"/>
        </w:rPr>
        <w:t>”</w:t>
      </w:r>
      <w:r>
        <w:rPr>
          <w:color w:val="000000"/>
          <w:spacing w:val="0"/>
          <w:w w:val="100"/>
          <w:position w:val="0"/>
        </w:rPr>
        <w:t>，衔接乡村振兴，促进健康扶贫，有效惠民。</w:t>
      </w:r>
    </w:p>
    <w:p>
      <w:pPr>
        <w:pStyle w:val="Style17"/>
        <w:keepNext w:val="0"/>
        <w:keepLines w:val="0"/>
        <w:widowControl w:val="0"/>
        <w:shd w:val="clear" w:color="auto" w:fill="auto"/>
        <w:tabs>
          <w:tab w:pos="909" w:val="left"/>
        </w:tabs>
        <w:bidi w:val="0"/>
        <w:spacing w:before="0" w:after="0"/>
        <w:ind w:left="0" w:right="0" w:firstLine="620"/>
        <w:jc w:val="both"/>
      </w:pPr>
      <w:bookmarkStart w:id="293" w:name="bookmark293"/>
      <w:r>
        <w:rPr>
          <w:rFonts w:ascii="Times New Roman" w:eastAsia="Times New Roman" w:hAnsi="Times New Roman" w:cs="Times New Roman"/>
          <w:b/>
          <w:bCs/>
          <w:color w:val="000000"/>
          <w:spacing w:val="0"/>
          <w:w w:val="100"/>
          <w:position w:val="0"/>
        </w:rPr>
        <w:t>8</w:t>
      </w:r>
      <w:bookmarkEnd w:id="293"/>
      <w:r>
        <w:rPr>
          <w:b/>
          <w:bCs/>
          <w:color w:val="000000"/>
          <w:spacing w:val="0"/>
          <w:w w:val="100"/>
          <w:position w:val="0"/>
        </w:rPr>
        <w:t>、</w:t>
        <w:tab/>
        <w:t>产品持续升级资质开路</w:t>
      </w:r>
    </w:p>
    <w:p>
      <w:pPr>
        <w:pStyle w:val="Style17"/>
        <w:keepNext w:val="0"/>
        <w:keepLines w:val="0"/>
        <w:widowControl w:val="0"/>
        <w:shd w:val="clear" w:color="auto" w:fill="auto"/>
        <w:bidi w:val="0"/>
        <w:spacing w:before="0" w:after="0" w:line="316" w:lineRule="exact"/>
        <w:ind w:left="260" w:right="0" w:firstLine="420"/>
        <w:jc w:val="both"/>
      </w:pPr>
      <w:r>
        <w:rPr>
          <w:color w:val="000000"/>
          <w:spacing w:val="0"/>
          <w:w w:val="100"/>
          <w:position w:val="0"/>
        </w:rPr>
        <w:t>在国内医疗器械产品资质布局上，生育方向：地贫基因检测试剂盒已获国家药监局批准上市，康孕</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试剂资质申报在有 序推进中。肿瘤方向：</w:t>
      </w:r>
      <w:r>
        <w:rPr>
          <w:rFonts w:ascii="Times New Roman" w:eastAsia="Times New Roman" w:hAnsi="Times New Roman" w:cs="Times New Roman"/>
          <w:color w:val="000000"/>
          <w:spacing w:val="0"/>
          <w:w w:val="100"/>
          <w:position w:val="0"/>
        </w:rPr>
        <w:t>BRCA</w:t>
      </w:r>
      <w:r>
        <w:rPr>
          <w:color w:val="000000"/>
          <w:spacing w:val="0"/>
          <w:w w:val="100"/>
          <w:position w:val="0"/>
        </w:rPr>
        <w:t>试剂盒和软件、</w:t>
      </w:r>
      <w:r>
        <w:rPr>
          <w:rFonts w:ascii="Times New Roman" w:eastAsia="Times New Roman" w:hAnsi="Times New Roman" w:cs="Times New Roman"/>
          <w:color w:val="000000"/>
          <w:spacing w:val="0"/>
          <w:w w:val="100"/>
          <w:position w:val="0"/>
        </w:rPr>
        <w:t>HPV</w:t>
      </w:r>
      <w:r>
        <w:rPr>
          <w:color w:val="000000"/>
          <w:spacing w:val="0"/>
          <w:w w:val="100"/>
          <w:position w:val="0"/>
        </w:rPr>
        <w:t>试剂盒资质申报在有序推进中。感染防控：目前新冠抗原检测试剂盒已获 国家药监局批准上市，将持续进行关键病原体检测试剂盒的资质申报。</w:t>
      </w:r>
    </w:p>
    <w:p>
      <w:pPr>
        <w:pStyle w:val="Style17"/>
        <w:keepNext w:val="0"/>
        <w:keepLines w:val="0"/>
        <w:widowControl w:val="0"/>
        <w:shd w:val="clear" w:color="auto" w:fill="auto"/>
        <w:bidi w:val="0"/>
        <w:spacing w:before="0" w:after="0" w:line="316" w:lineRule="exact"/>
        <w:ind w:left="260" w:right="0" w:firstLine="420"/>
        <w:jc w:val="both"/>
      </w:pPr>
      <w:r>
        <w:rPr>
          <w:color w:val="000000"/>
          <w:spacing w:val="0"/>
          <w:w w:val="100"/>
          <w:position w:val="0"/>
        </w:rPr>
        <w:t>在国际医疗器械产品资质布局上，除抗原检测等多款新冠产品继续拓展海外资质外，公司将重点推进肠癌检测产品的 海外布局，大力推进生育、肿瘤、感染的产品在东南亚、中东、英国以及澳大利亚的资质申报，助力海外业务全线拓展。</w:t>
      </w:r>
    </w:p>
    <w:p>
      <w:pPr>
        <w:pStyle w:val="Style17"/>
        <w:keepNext w:val="0"/>
        <w:keepLines w:val="0"/>
        <w:widowControl w:val="0"/>
        <w:shd w:val="clear" w:color="auto" w:fill="auto"/>
        <w:bidi w:val="0"/>
        <w:spacing w:before="0" w:after="0" w:line="316" w:lineRule="exact"/>
        <w:ind w:left="260" w:right="0" w:firstLine="420"/>
        <w:jc w:val="both"/>
      </w:pPr>
      <w:r>
        <w:rPr>
          <w:color w:val="000000"/>
          <w:spacing w:val="0"/>
          <w:w w:val="100"/>
          <w:position w:val="0"/>
        </w:rPr>
        <w:t>在质量管理体系建设上，将继续拓展石家庄、澳洲、英国实验室</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15189</w:t>
      </w:r>
      <w:r>
        <w:rPr>
          <w:color w:val="000000"/>
          <w:spacing w:val="0"/>
          <w:w w:val="100"/>
          <w:position w:val="0"/>
        </w:rPr>
        <w:t>认可资质，推进海外</w:t>
      </w:r>
      <w:r>
        <w:rPr>
          <w:rFonts w:ascii="Times New Roman" w:eastAsia="Times New Roman" w:hAnsi="Times New Roman" w:cs="Times New Roman"/>
          <w:color w:val="000000"/>
          <w:spacing w:val="0"/>
          <w:w w:val="100"/>
          <w:position w:val="0"/>
        </w:rPr>
        <w:t>IC L</w:t>
      </w:r>
      <w:r>
        <w:rPr>
          <w:color w:val="000000"/>
          <w:spacing w:val="0"/>
          <w:w w:val="100"/>
          <w:position w:val="0"/>
        </w:rPr>
        <w:t>实验室质量体系建 设，持续提升国内外医学检测服务质量和实验室竞争力。</w:t>
      </w:r>
    </w:p>
    <w:p>
      <w:pPr>
        <w:pStyle w:val="Style17"/>
        <w:keepNext w:val="0"/>
        <w:keepLines w:val="0"/>
        <w:widowControl w:val="0"/>
        <w:shd w:val="clear" w:color="auto" w:fill="auto"/>
        <w:bidi w:val="0"/>
        <w:spacing w:before="0" w:after="220" w:line="316" w:lineRule="exact"/>
        <w:ind w:left="260" w:right="0" w:firstLine="420"/>
        <w:jc w:val="both"/>
      </w:pPr>
      <w:r>
        <w:rPr>
          <w:color w:val="000000"/>
          <w:spacing w:val="0"/>
          <w:w w:val="100"/>
          <w:position w:val="0"/>
        </w:rPr>
        <w:t>在标准化布局上，从主要产业板块出发，重点突破国际标准，并持续推进欧盟区域标准和</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国际区域标准。国 内重点布局全国医用临床检验实验室和体外诊断系统相关的国家、行业标准。</w:t>
      </w:r>
    </w:p>
    <w:p>
      <w:pPr>
        <w:pStyle w:val="Style17"/>
        <w:keepNext w:val="0"/>
        <w:keepLines w:val="0"/>
        <w:widowControl w:val="0"/>
        <w:shd w:val="clear" w:color="auto" w:fill="auto"/>
        <w:tabs>
          <w:tab w:pos="909" w:val="left"/>
        </w:tabs>
        <w:bidi w:val="0"/>
        <w:spacing w:before="0" w:after="0"/>
        <w:ind w:left="0" w:right="0" w:firstLine="620"/>
        <w:jc w:val="both"/>
      </w:pPr>
      <w:bookmarkStart w:id="294" w:name="bookmark294"/>
      <w:r>
        <w:rPr>
          <w:rFonts w:ascii="Times New Roman" w:eastAsia="Times New Roman" w:hAnsi="Times New Roman" w:cs="Times New Roman"/>
          <w:b/>
          <w:bCs/>
          <w:color w:val="000000"/>
          <w:spacing w:val="0"/>
          <w:w w:val="100"/>
          <w:position w:val="0"/>
        </w:rPr>
        <w:t>9</w:t>
      </w:r>
      <w:bookmarkEnd w:id="294"/>
      <w:r>
        <w:rPr>
          <w:b/>
          <w:bCs/>
          <w:color w:val="000000"/>
          <w:spacing w:val="0"/>
          <w:w w:val="100"/>
          <w:position w:val="0"/>
        </w:rPr>
        <w:t>、</w:t>
        <w:tab/>
        <w:t>全球人才培养志同道合</w:t>
      </w:r>
    </w:p>
    <w:p>
      <w:pPr>
        <w:pStyle w:val="Style17"/>
        <w:keepNext w:val="0"/>
        <w:keepLines w:val="0"/>
        <w:widowControl w:val="0"/>
        <w:shd w:val="clear" w:color="auto" w:fill="auto"/>
        <w:bidi w:val="0"/>
        <w:spacing w:before="0" w:after="0" w:line="314" w:lineRule="exact"/>
        <w:ind w:left="26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年人力资源工作将以满足业务全球发展趋势的需要为目标，加强全球人才培养体系建设，尤其针对干部群体进行梯 队建设和能力提升。</w:t>
      </w:r>
    </w:p>
    <w:p>
      <w:pPr>
        <w:pStyle w:val="Style17"/>
        <w:keepNext w:val="0"/>
        <w:keepLines w:val="0"/>
        <w:widowControl w:val="0"/>
        <w:shd w:val="clear" w:color="auto" w:fill="auto"/>
        <w:bidi w:val="0"/>
        <w:spacing w:before="0" w:after="0" w:line="314" w:lineRule="exact"/>
        <w:ind w:left="260" w:right="0" w:firstLine="360"/>
        <w:jc w:val="both"/>
      </w:pPr>
      <w:r>
        <w:rPr>
          <w:b/>
          <w:bCs/>
          <w:color w:val="000000"/>
          <w:spacing w:val="0"/>
          <w:w w:val="100"/>
          <w:position w:val="0"/>
        </w:rPr>
        <w:t>全球人才培养体系</w:t>
      </w:r>
      <w:r>
        <w:rPr>
          <w:color w:val="000000"/>
          <w:spacing w:val="0"/>
          <w:w w:val="100"/>
          <w:position w:val="0"/>
        </w:rPr>
        <w:t>：为支撑公司业务可持续拓展，需加强人才盘点，建立完善的人才信息库，同时优化人员结构，打造 一支综合素质高、面向全球的多能人才队伍，培养</w:t>
      </w:r>
      <w:r>
        <w:rPr>
          <w:rFonts w:ascii="Times New Roman" w:eastAsia="Times New Roman" w:hAnsi="Times New Roman" w:cs="Times New Roman"/>
          <w:color w:val="000000"/>
          <w:spacing w:val="0"/>
          <w:w w:val="100"/>
          <w:position w:val="0"/>
        </w:rPr>
        <w:t>“</w:t>
      </w:r>
      <w:r>
        <w:rPr>
          <w:color w:val="000000"/>
          <w:spacing w:val="0"/>
          <w:w w:val="100"/>
          <w:position w:val="0"/>
        </w:rPr>
        <w:t>全覆盖、全贯穿、全平台</w:t>
      </w:r>
      <w:r>
        <w:rPr>
          <w:rFonts w:ascii="Times New Roman" w:eastAsia="Times New Roman" w:hAnsi="Times New Roman" w:cs="Times New Roman"/>
          <w:color w:val="000000"/>
          <w:spacing w:val="0"/>
          <w:w w:val="100"/>
          <w:position w:val="0"/>
        </w:rPr>
        <w:t>”</w:t>
      </w:r>
      <w:r>
        <w:rPr>
          <w:color w:val="000000"/>
          <w:spacing w:val="0"/>
          <w:w w:val="100"/>
          <w:position w:val="0"/>
        </w:rPr>
        <w:t>的复合型营销人才；</w:t>
      </w:r>
      <w:r>
        <w:rPr>
          <w:rFonts w:ascii="Times New Roman" w:eastAsia="Times New Roman" w:hAnsi="Times New Roman" w:cs="Times New Roman"/>
          <w:color w:val="000000"/>
          <w:spacing w:val="0"/>
          <w:w w:val="100"/>
          <w:position w:val="0"/>
        </w:rPr>
        <w:t>“</w:t>
      </w:r>
      <w:r>
        <w:rPr>
          <w:color w:val="000000"/>
          <w:spacing w:val="0"/>
          <w:w w:val="100"/>
          <w:position w:val="0"/>
        </w:rPr>
        <w:t>精益、自动化、</w:t>
      </w:r>
      <w:r>
        <w:rPr>
          <w:rFonts w:ascii="Times New Roman" w:eastAsia="Times New Roman" w:hAnsi="Times New Roman" w:cs="Times New Roman"/>
          <w:color w:val="000000"/>
          <w:spacing w:val="0"/>
          <w:w w:val="100"/>
          <w:position w:val="0"/>
        </w:rPr>
        <w:t xml:space="preserve">TPM </w:t>
      </w:r>
      <w:r>
        <w:rPr>
          <w:color w:val="000000"/>
          <w:spacing w:val="0"/>
          <w:w w:val="100"/>
          <w:position w:val="0"/>
        </w:rPr>
        <w:t>（全 员生产维护）</w:t>
      </w:r>
      <w:r>
        <w:rPr>
          <w:rFonts w:ascii="Times New Roman" w:eastAsia="Times New Roman" w:hAnsi="Times New Roman" w:cs="Times New Roman"/>
          <w:color w:val="000000"/>
          <w:spacing w:val="0"/>
          <w:w w:val="100"/>
          <w:position w:val="0"/>
        </w:rPr>
        <w:t>”</w:t>
      </w:r>
      <w:r>
        <w:rPr>
          <w:color w:val="000000"/>
          <w:spacing w:val="0"/>
          <w:w w:val="100"/>
          <w:position w:val="0"/>
        </w:rPr>
        <w:t>的实验生产人才；</w:t>
      </w:r>
      <w:r>
        <w:rPr>
          <w:rFonts w:ascii="Times New Roman" w:eastAsia="Times New Roman" w:hAnsi="Times New Roman" w:cs="Times New Roman"/>
          <w:color w:val="000000"/>
          <w:spacing w:val="0"/>
          <w:w w:val="100"/>
          <w:position w:val="0"/>
        </w:rPr>
        <w:t>“</w:t>
      </w:r>
      <w:r>
        <w:rPr>
          <w:color w:val="000000"/>
          <w:spacing w:val="0"/>
          <w:w w:val="100"/>
          <w:position w:val="0"/>
        </w:rPr>
        <w:t>钻坚研微、强自主研发</w:t>
      </w:r>
      <w:r>
        <w:rPr>
          <w:rFonts w:ascii="Times New Roman" w:eastAsia="Times New Roman" w:hAnsi="Times New Roman" w:cs="Times New Roman"/>
          <w:color w:val="000000"/>
          <w:spacing w:val="0"/>
          <w:w w:val="100"/>
          <w:position w:val="0"/>
        </w:rPr>
        <w:t>”</w:t>
      </w:r>
      <w:r>
        <w:rPr>
          <w:color w:val="000000"/>
          <w:spacing w:val="0"/>
          <w:w w:val="100"/>
          <w:position w:val="0"/>
        </w:rPr>
        <w:t>的科技创新人才；</w:t>
      </w:r>
      <w:r>
        <w:rPr>
          <w:rFonts w:ascii="Times New Roman" w:eastAsia="Times New Roman" w:hAnsi="Times New Roman" w:cs="Times New Roman"/>
          <w:color w:val="000000"/>
          <w:spacing w:val="0"/>
          <w:w w:val="100"/>
          <w:position w:val="0"/>
        </w:rPr>
        <w:t>“</w:t>
      </w:r>
      <w:r>
        <w:rPr>
          <w:color w:val="000000"/>
          <w:spacing w:val="0"/>
          <w:w w:val="100"/>
          <w:position w:val="0"/>
        </w:rPr>
        <w:t>职业化、懂业务</w:t>
      </w:r>
      <w:r>
        <w:rPr>
          <w:rFonts w:ascii="Times New Roman" w:eastAsia="Times New Roman" w:hAnsi="Times New Roman" w:cs="Times New Roman"/>
          <w:color w:val="000000"/>
          <w:spacing w:val="0"/>
          <w:w w:val="100"/>
          <w:position w:val="0"/>
        </w:rPr>
        <w:t>”</w:t>
      </w:r>
      <w:r>
        <w:rPr>
          <w:color w:val="000000"/>
          <w:spacing w:val="0"/>
          <w:w w:val="100"/>
          <w:position w:val="0"/>
        </w:rPr>
        <w:t xml:space="preserve">的业务支撑人才。从全球视 野、行业分析、国际业务拓展、市场产品、交付支撑、项目整合及综合解决方案、国际化人员管理等方向进行专项培训，同 </w:t>
      </w:r>
      <w:r>
        <w:rPr>
          <w:color w:val="000000"/>
          <w:spacing w:val="0"/>
          <w:w w:val="100"/>
          <w:position w:val="0"/>
        </w:rPr>
        <w:t>时依托</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项目，通过轮岗、出海、前移等方式，给人才培养提供实践的</w:t>
      </w:r>
      <w:r>
        <w:rPr>
          <w:rFonts w:ascii="Times New Roman" w:eastAsia="Times New Roman" w:hAnsi="Times New Roman" w:cs="Times New Roman"/>
          <w:color w:val="000000"/>
          <w:spacing w:val="0"/>
          <w:w w:val="100"/>
          <w:position w:val="0"/>
        </w:rPr>
        <w:t>“</w:t>
      </w:r>
      <w:r>
        <w:rPr>
          <w:color w:val="000000"/>
          <w:spacing w:val="0"/>
          <w:w w:val="100"/>
          <w:position w:val="0"/>
        </w:rPr>
        <w:t>试金石</w:t>
      </w:r>
      <w:r>
        <w:rPr>
          <w:rFonts w:ascii="Times New Roman" w:eastAsia="Times New Roman" w:hAnsi="Times New Roman" w:cs="Times New Roman"/>
          <w:color w:val="000000"/>
          <w:spacing w:val="0"/>
          <w:w w:val="100"/>
          <w:position w:val="0"/>
        </w:rPr>
        <w:t>”</w:t>
      </w:r>
      <w:r>
        <w:rPr>
          <w:color w:val="000000"/>
          <w:spacing w:val="0"/>
          <w:w w:val="100"/>
          <w:position w:val="0"/>
        </w:rPr>
        <w:t>。持续打造学习型组织，提高人员素质， 加强团队作战能力，支撑公司全球发展战略。</w:t>
      </w:r>
    </w:p>
    <w:p>
      <w:pPr>
        <w:pStyle w:val="Style17"/>
        <w:keepNext w:val="0"/>
        <w:keepLines w:val="0"/>
        <w:widowControl w:val="0"/>
        <w:shd w:val="clear" w:color="auto" w:fill="auto"/>
        <w:bidi w:val="0"/>
        <w:spacing w:before="0" w:after="120" w:line="312" w:lineRule="exact"/>
        <w:ind w:left="260" w:right="0" w:firstLine="360"/>
        <w:jc w:val="both"/>
      </w:pPr>
      <w:r>
        <w:rPr>
          <w:b/>
          <w:bCs/>
          <w:color w:val="000000"/>
          <w:spacing w:val="0"/>
          <w:w w:val="100"/>
          <w:position w:val="0"/>
        </w:rPr>
        <w:t>干部梯队建设和能力提升：</w:t>
      </w:r>
      <w:r>
        <w:rPr>
          <w:color w:val="000000"/>
          <w:spacing w:val="0"/>
          <w:w w:val="100"/>
          <w:position w:val="0"/>
        </w:rPr>
        <w:t>在实现</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的愿景和使命的过程中，干部肩负着非常重要的责任，是支撑公 司实现大目标的重要力量。基于公司的愿景和使命，结合全球化发展战略对核心组织能力的要求，进行干部梯队打造，围绕 标准及角色要求，从引领业务、成就团队、管理关系和认知自我几个维度建立相应的培养标准和体系。构建面向未来的能力 建设机制，建立后备骨干和高潜人才培养体系。通过公司特有的身体好、学习好和工作好一</w:t>
      </w:r>
      <w:r>
        <w:rPr>
          <w:rFonts w:ascii="Times New Roman" w:eastAsia="Times New Roman" w:hAnsi="Times New Roman" w:cs="Times New Roman"/>
          <w:color w:val="000000"/>
          <w:spacing w:val="0"/>
          <w:w w:val="100"/>
          <w:position w:val="0"/>
        </w:rPr>
        <w:t>“</w:t>
      </w:r>
      <w:r>
        <w:rPr>
          <w:color w:val="000000"/>
          <w:spacing w:val="0"/>
          <w:w w:val="100"/>
          <w:position w:val="0"/>
        </w:rPr>
        <w:t>三好</w:t>
      </w:r>
      <w:r>
        <w:rPr>
          <w:rFonts w:ascii="Times New Roman" w:eastAsia="Times New Roman" w:hAnsi="Times New Roman" w:cs="Times New Roman"/>
          <w:color w:val="000000"/>
          <w:spacing w:val="0"/>
          <w:w w:val="100"/>
          <w:position w:val="0"/>
        </w:rPr>
        <w:t>”</w:t>
      </w:r>
      <w:r>
        <w:rPr>
          <w:color w:val="000000"/>
          <w:spacing w:val="0"/>
          <w:w w:val="100"/>
          <w:position w:val="0"/>
        </w:rPr>
        <w:t>培养模式，坚持</w:t>
      </w:r>
      <w:r>
        <w:rPr>
          <w:rFonts w:ascii="Times New Roman" w:eastAsia="Times New Roman" w:hAnsi="Times New Roman" w:cs="Times New Roman"/>
          <w:color w:val="000000"/>
          <w:spacing w:val="0"/>
          <w:w w:val="100"/>
          <w:position w:val="0"/>
        </w:rPr>
        <w:t>“</w:t>
      </w:r>
      <w:r>
        <w:rPr>
          <w:color w:val="000000"/>
          <w:spacing w:val="0"/>
          <w:w w:val="100"/>
          <w:position w:val="0"/>
        </w:rPr>
        <w:t>以项 目带人才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用任务带发展</w:t>
      </w:r>
      <w:r>
        <w:rPr>
          <w:rFonts w:ascii="Times New Roman" w:eastAsia="Times New Roman" w:hAnsi="Times New Roman" w:cs="Times New Roman"/>
          <w:color w:val="000000"/>
          <w:spacing w:val="0"/>
          <w:w w:val="100"/>
          <w:position w:val="0"/>
        </w:rPr>
        <w:t>”</w:t>
      </w:r>
      <w:r>
        <w:rPr>
          <w:color w:val="000000"/>
          <w:spacing w:val="0"/>
          <w:w w:val="100"/>
          <w:position w:val="0"/>
        </w:rPr>
        <w:t>的理念，对高潜人才开展特训，用以支持全球业务发展的调配需求，支撑战略机会的管理。</w:t>
      </w:r>
    </w:p>
    <w:p>
      <w:pPr>
        <w:pStyle w:val="Style17"/>
        <w:keepNext w:val="0"/>
        <w:keepLines w:val="0"/>
        <w:widowControl w:val="0"/>
        <w:shd w:val="clear" w:color="auto" w:fill="auto"/>
        <w:bidi w:val="0"/>
        <w:spacing w:before="0" w:after="120" w:line="312" w:lineRule="exact"/>
        <w:ind w:left="0" w:right="0" w:firstLine="620"/>
        <w:jc w:val="left"/>
      </w:pPr>
      <w:bookmarkStart w:id="295" w:name="bookmark295"/>
      <w:r>
        <w:rPr>
          <w:rFonts w:ascii="Times New Roman" w:eastAsia="Times New Roman" w:hAnsi="Times New Roman" w:cs="Times New Roman"/>
          <w:b/>
          <w:bCs/>
          <w:color w:val="000000"/>
          <w:spacing w:val="0"/>
          <w:w w:val="100"/>
          <w:position w:val="0"/>
        </w:rPr>
        <w:t>1</w:t>
      </w:r>
      <w:bookmarkEnd w:id="295"/>
      <w:r>
        <w:rPr>
          <w:rFonts w:ascii="Times New Roman" w:eastAsia="Times New Roman" w:hAnsi="Times New Roman" w:cs="Times New Roman"/>
          <w:b/>
          <w:bCs/>
          <w:color w:val="000000"/>
          <w:spacing w:val="0"/>
          <w:w w:val="100"/>
          <w:position w:val="0"/>
        </w:rPr>
        <w:t>0</w:t>
      </w:r>
      <w:r>
        <w:rPr>
          <w:b/>
          <w:bCs/>
          <w:color w:val="000000"/>
          <w:spacing w:val="0"/>
          <w:w w:val="100"/>
          <w:position w:val="0"/>
        </w:rPr>
        <w:t>、效率提升确保业绩达成</w:t>
      </w:r>
    </w:p>
    <w:p>
      <w:pPr>
        <w:pStyle w:val="Style17"/>
        <w:keepNext w:val="0"/>
        <w:keepLines w:val="0"/>
        <w:widowControl w:val="0"/>
        <w:shd w:val="clear" w:color="auto" w:fill="auto"/>
        <w:bidi w:val="0"/>
        <w:spacing w:before="0" w:after="0" w:line="310" w:lineRule="exact"/>
        <w:ind w:left="260" w:right="0" w:firstLine="360"/>
        <w:jc w:val="both"/>
      </w:pPr>
      <w:r>
        <w:rPr>
          <w:color w:val="000000"/>
          <w:spacing w:val="0"/>
          <w:w w:val="100"/>
          <w:position w:val="0"/>
        </w:rPr>
        <w:t>公司将搭建国际化财务型人才梯队，进一步提升海外财务核算和管理能力，持续关注海外税务、资金及合规性风险防控， 为海外业务提供高效支撑。</w:t>
      </w:r>
    </w:p>
    <w:p>
      <w:pPr>
        <w:pStyle w:val="Style17"/>
        <w:keepNext w:val="0"/>
        <w:keepLines w:val="0"/>
        <w:widowControl w:val="0"/>
        <w:shd w:val="clear" w:color="auto" w:fill="auto"/>
        <w:bidi w:val="0"/>
        <w:spacing w:before="0" w:after="0" w:line="310" w:lineRule="exact"/>
        <w:ind w:left="260" w:right="0" w:firstLine="360"/>
        <w:jc w:val="both"/>
      </w:pPr>
      <w:r>
        <w:rPr>
          <w:color w:val="000000"/>
          <w:spacing w:val="0"/>
          <w:w w:val="100"/>
          <w:position w:val="0"/>
        </w:rPr>
        <w:t>公司将提升成本核算精细化，为产品定价决策提供及时、精细、准确、多维的成本核算信息。公司将继续严格控制成本， 实行专项成本改善计划，通过端到端成本核算及分析挖掘成本降低空间，实现产品全价值链成本管理及项目全生命周期成本 管理，在全过程中不断地跟踪、更新，使实际成本向目标成本不断靠拢，做好极致的目标成本管理。</w:t>
      </w:r>
    </w:p>
    <w:p>
      <w:pPr>
        <w:pStyle w:val="Style17"/>
        <w:keepNext w:val="0"/>
        <w:keepLines w:val="0"/>
        <w:widowControl w:val="0"/>
        <w:shd w:val="clear" w:color="auto" w:fill="auto"/>
        <w:bidi w:val="0"/>
        <w:spacing w:before="0" w:after="120" w:line="310" w:lineRule="exact"/>
        <w:ind w:left="260" w:right="0" w:firstLine="360"/>
        <w:jc w:val="both"/>
      </w:pPr>
      <w:r>
        <w:rPr>
          <w:color w:val="000000"/>
          <w:spacing w:val="0"/>
          <w:w w:val="100"/>
          <w:position w:val="0"/>
        </w:rPr>
        <w:t>公司将强化资本运作，有效通过专业整合实现动态优化调整。强化价值型、战略型股权投资管理，优化股权业务结构、 地域结构，不断提高股权投资管理水平。强化参股企业管理，行使股东权责，规范无形资产使用，有效保障股东权益。</w:t>
      </w:r>
    </w:p>
    <w:p>
      <w:pPr>
        <w:pStyle w:val="Style17"/>
        <w:keepNext w:val="0"/>
        <w:keepLines w:val="0"/>
        <w:widowControl w:val="0"/>
        <w:shd w:val="clear" w:color="auto" w:fill="auto"/>
        <w:bidi w:val="0"/>
        <w:spacing w:before="0" w:after="120" w:line="312" w:lineRule="exact"/>
        <w:ind w:left="0" w:right="0" w:firstLine="800"/>
        <w:jc w:val="left"/>
      </w:pPr>
      <w:bookmarkStart w:id="296" w:name="bookmark296"/>
      <w:r>
        <w:rPr>
          <w:rFonts w:ascii="Times New Roman" w:eastAsia="Times New Roman" w:hAnsi="Times New Roman" w:cs="Times New Roman"/>
          <w:b/>
          <w:bCs/>
          <w:color w:val="000000"/>
          <w:spacing w:val="0"/>
          <w:w w:val="100"/>
          <w:position w:val="0"/>
        </w:rPr>
        <w:t>1</w:t>
      </w:r>
      <w:bookmarkEnd w:id="296"/>
      <w:r>
        <w:rPr>
          <w:rFonts w:ascii="Times New Roman" w:eastAsia="Times New Roman" w:hAnsi="Times New Roman" w:cs="Times New Roman"/>
          <w:b/>
          <w:bCs/>
          <w:color w:val="000000"/>
          <w:spacing w:val="0"/>
          <w:w w:val="100"/>
          <w:position w:val="0"/>
        </w:rPr>
        <w:t>1</w:t>
      </w:r>
      <w:r>
        <w:rPr>
          <w:b/>
          <w:bCs/>
          <w:color w:val="000000"/>
          <w:spacing w:val="0"/>
          <w:w w:val="100"/>
          <w:position w:val="0"/>
        </w:rPr>
        <w:t>、坚持科普公益久久为功</w:t>
      </w:r>
    </w:p>
    <w:p>
      <w:pPr>
        <w:pStyle w:val="Style17"/>
        <w:keepNext w:val="0"/>
        <w:keepLines w:val="0"/>
        <w:widowControl w:val="0"/>
        <w:shd w:val="clear" w:color="auto" w:fill="auto"/>
        <w:bidi w:val="0"/>
        <w:spacing w:before="0" w:after="0" w:line="312" w:lineRule="exact"/>
        <w:ind w:left="260" w:right="0" w:firstLine="420"/>
        <w:jc w:val="both"/>
      </w:pPr>
      <w:r>
        <w:rPr>
          <w:color w:val="000000"/>
          <w:spacing w:val="0"/>
          <w:w w:val="100"/>
          <w:position w:val="0"/>
        </w:rPr>
        <w:t>公司将坚持</w:t>
      </w:r>
      <w:r>
        <w:rPr>
          <w:rFonts w:ascii="Times New Roman" w:eastAsia="Times New Roman" w:hAnsi="Times New Roman" w:cs="Times New Roman"/>
          <w:color w:val="000000"/>
          <w:spacing w:val="0"/>
          <w:w w:val="100"/>
          <w:position w:val="0"/>
        </w:rPr>
        <w:t>“</w:t>
      </w:r>
      <w:r>
        <w:rPr>
          <w:color w:val="000000"/>
          <w:spacing w:val="0"/>
          <w:w w:val="100"/>
          <w:position w:val="0"/>
        </w:rPr>
        <w:t>科普即公益</w:t>
      </w:r>
      <w:r>
        <w:rPr>
          <w:rFonts w:ascii="Times New Roman" w:eastAsia="Times New Roman" w:hAnsi="Times New Roman" w:cs="Times New Roman"/>
          <w:color w:val="000000"/>
          <w:spacing w:val="0"/>
          <w:w w:val="100"/>
          <w:position w:val="0"/>
        </w:rPr>
        <w:t>”</w:t>
      </w:r>
      <w:r>
        <w:rPr>
          <w:color w:val="000000"/>
          <w:spacing w:val="0"/>
          <w:w w:val="100"/>
          <w:position w:val="0"/>
        </w:rPr>
        <w:t>的造福初心，围绕妇幼健康、肿瘤防治和精准治愈感染等精准医学核心领域和健康管理的重 要方向，及时推出长、短视频、音频和图文形式的科普内容，继续在微博、微信、抖音、喜马拉雅等平台发布，加大与科普 领域特别是生命科学相关专家的合作，向大众传递</w:t>
      </w:r>
      <w:r>
        <w:rPr>
          <w:rFonts w:ascii="Times New Roman" w:eastAsia="Times New Roman" w:hAnsi="Times New Roman" w:cs="Times New Roman"/>
          <w:color w:val="000000"/>
          <w:spacing w:val="0"/>
          <w:w w:val="100"/>
          <w:position w:val="0"/>
        </w:rPr>
        <w:t>“</w:t>
      </w:r>
      <w:r>
        <w:rPr>
          <w:color w:val="000000"/>
          <w:spacing w:val="0"/>
          <w:w w:val="100"/>
          <w:position w:val="0"/>
        </w:rPr>
        <w:t>防大于治</w:t>
      </w:r>
      <w:r>
        <w:rPr>
          <w:rFonts w:ascii="Times New Roman" w:eastAsia="Times New Roman" w:hAnsi="Times New Roman" w:cs="Times New Roman"/>
          <w:color w:val="000000"/>
          <w:spacing w:val="0"/>
          <w:w w:val="100"/>
          <w:position w:val="0"/>
        </w:rPr>
        <w:t>”</w:t>
      </w:r>
      <w:r>
        <w:rPr>
          <w:color w:val="000000"/>
          <w:spacing w:val="0"/>
          <w:w w:val="100"/>
          <w:position w:val="0"/>
        </w:rPr>
        <w:t>的健康中国核心理念。</w:t>
      </w:r>
    </w:p>
    <w:p>
      <w:pPr>
        <w:pStyle w:val="Style17"/>
        <w:keepNext w:val="0"/>
        <w:keepLines w:val="0"/>
        <w:widowControl w:val="0"/>
        <w:shd w:val="clear" w:color="auto" w:fill="auto"/>
        <w:bidi w:val="0"/>
        <w:spacing w:before="0" w:after="120" w:line="312" w:lineRule="exact"/>
        <w:ind w:left="260" w:right="0" w:firstLine="42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世界唐氏综合征日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全国爱耳日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全国爱肝日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全国肿瘤防治宣传周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世界脑膜炎日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世界地贫日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世 界卵巢癌日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全国爱眼日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中国预防出生缺陷日</w:t>
      </w:r>
      <w:r>
        <w:rPr>
          <w:rFonts w:ascii="Times New Roman" w:eastAsia="Times New Roman" w:hAnsi="Times New Roman" w:cs="Times New Roman"/>
          <w:color w:val="000000"/>
          <w:spacing w:val="0"/>
          <w:w w:val="100"/>
          <w:position w:val="0"/>
        </w:rPr>
        <w:t>”</w:t>
      </w:r>
      <w:r>
        <w:rPr>
          <w:color w:val="000000"/>
          <w:spacing w:val="0"/>
          <w:w w:val="100"/>
          <w:position w:val="0"/>
        </w:rPr>
        <w:t>等重要的公益日开展形式多样的科普公益活动，将科普直播常态化，探 索将浓缩知识点打造成更易观看及传播的短视频形式，再结合义诊、直播、互动活动等多形式给广大群众提供一个全方位的 科普知识交流平台，不仅帮助公众了解基因、健康相关的科普知识，培养用户对生命科学的兴趣，还能让用户及时准确地了 解和体验公司的产品和服务。</w:t>
      </w:r>
    </w:p>
    <w:p>
      <w:pPr>
        <w:pStyle w:val="Style17"/>
        <w:keepNext w:val="0"/>
        <w:keepLines w:val="0"/>
        <w:widowControl w:val="0"/>
        <w:shd w:val="clear" w:color="auto" w:fill="auto"/>
        <w:bidi w:val="0"/>
        <w:spacing w:before="0" w:after="120" w:line="312" w:lineRule="exact"/>
        <w:ind w:left="0" w:right="0" w:firstLine="620"/>
        <w:jc w:val="left"/>
      </w:pPr>
      <w:bookmarkStart w:id="297" w:name="bookmark297"/>
      <w:r>
        <w:rPr>
          <w:b/>
          <w:bCs/>
          <w:color w:val="000000"/>
          <w:spacing w:val="0"/>
          <w:w w:val="100"/>
          <w:position w:val="0"/>
        </w:rPr>
        <w:t>（</w:t>
      </w:r>
      <w:bookmarkEnd w:id="297"/>
      <w:r>
        <w:rPr>
          <w:b/>
          <w:bCs/>
          <w:color w:val="000000"/>
          <w:spacing w:val="0"/>
          <w:w w:val="100"/>
          <w:position w:val="0"/>
        </w:rPr>
        <w:t>三）可能面对的风险</w:t>
      </w:r>
    </w:p>
    <w:p>
      <w:pPr>
        <w:pStyle w:val="Style17"/>
        <w:keepNext w:val="0"/>
        <w:keepLines w:val="0"/>
        <w:widowControl w:val="0"/>
        <w:shd w:val="clear" w:color="auto" w:fill="auto"/>
        <w:tabs>
          <w:tab w:pos="899" w:val="left"/>
        </w:tabs>
        <w:bidi w:val="0"/>
        <w:spacing w:before="0" w:after="120" w:line="312" w:lineRule="exact"/>
        <w:ind w:left="0" w:right="0" w:firstLine="620"/>
        <w:jc w:val="left"/>
      </w:pPr>
      <w:bookmarkStart w:id="298" w:name="bookmark298"/>
      <w:r>
        <w:rPr>
          <w:rFonts w:ascii="Times New Roman" w:eastAsia="Times New Roman" w:hAnsi="Times New Roman" w:cs="Times New Roman"/>
          <w:b/>
          <w:bCs/>
          <w:color w:val="000000"/>
          <w:spacing w:val="0"/>
          <w:w w:val="100"/>
          <w:position w:val="0"/>
        </w:rPr>
        <w:t>1</w:t>
      </w:r>
      <w:bookmarkEnd w:id="298"/>
      <w:r>
        <w:rPr>
          <w:b/>
          <w:bCs/>
          <w:color w:val="000000"/>
          <w:spacing w:val="0"/>
          <w:w w:val="100"/>
          <w:position w:val="0"/>
        </w:rPr>
        <w:t>、</w:t>
        <w:tab/>
        <w:t>经营业绩波动风险</w:t>
      </w:r>
    </w:p>
    <w:p>
      <w:pPr>
        <w:pStyle w:val="Style17"/>
        <w:keepNext w:val="0"/>
        <w:keepLines w:val="0"/>
        <w:widowControl w:val="0"/>
        <w:shd w:val="clear" w:color="auto" w:fill="auto"/>
        <w:bidi w:val="0"/>
        <w:spacing w:before="0" w:after="120" w:line="312" w:lineRule="exact"/>
        <w:ind w:left="260" w:right="0" w:firstLine="360"/>
        <w:jc w:val="both"/>
      </w:pPr>
      <w:r>
        <w:rPr>
          <w:color w:val="000000"/>
          <w:spacing w:val="0"/>
          <w:w w:val="100"/>
          <w:position w:val="0"/>
        </w:rPr>
        <w:t>当前国内疫情精准管控、常态化防控形势下，经济发展的需要对各行各业全面复工复产与巩固疫情防控成果方面提出了 新的要求，全球新冠疫情的后续发展、市场对新冠病毒检测产品的需求、海外市场行业政策、国家进出口政策等未来存在较 大不确定性，且新冠检测产品市场竞争加剧，将对公司未来经营业绩带来一定的不确定性影响。</w:t>
      </w:r>
    </w:p>
    <w:p>
      <w:pPr>
        <w:pStyle w:val="Style17"/>
        <w:keepNext w:val="0"/>
        <w:keepLines w:val="0"/>
        <w:widowControl w:val="0"/>
        <w:shd w:val="clear" w:color="auto" w:fill="auto"/>
        <w:bidi w:val="0"/>
        <w:spacing w:before="0" w:after="120" w:line="312" w:lineRule="exact"/>
        <w:ind w:left="260" w:right="0" w:firstLine="360"/>
        <w:jc w:val="both"/>
      </w:pPr>
      <w:r>
        <w:rPr>
          <w:color w:val="000000"/>
          <w:spacing w:val="0"/>
          <w:w w:val="100"/>
          <w:position w:val="0"/>
        </w:rPr>
        <w:t>针对疫情带来的影响，公司将聚焦主营业务的市场需求，持续加大研发投入与前瞻性产品布局，并以专业的技术、高效 的服务和国产自主平台的成本优势巩固并提升全球市场份额；依托</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实验室渠道优势，加快向常规业务转化的规模，公 司的</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实验室平台通过与当地客户共建联合实验室和提供一站式解决方案的形式，在承担海外新冠疫情的防控及科学研 究工作的同时，积极助力和推广全球精准医疗。</w:t>
      </w:r>
    </w:p>
    <w:p>
      <w:pPr>
        <w:pStyle w:val="Style17"/>
        <w:keepNext w:val="0"/>
        <w:keepLines w:val="0"/>
        <w:widowControl w:val="0"/>
        <w:shd w:val="clear" w:color="auto" w:fill="auto"/>
        <w:tabs>
          <w:tab w:pos="914" w:val="left"/>
        </w:tabs>
        <w:bidi w:val="0"/>
        <w:spacing w:before="0" w:after="120" w:line="312" w:lineRule="exact"/>
        <w:ind w:left="0" w:right="0" w:firstLine="620"/>
        <w:jc w:val="left"/>
      </w:pPr>
      <w:bookmarkStart w:id="299" w:name="bookmark299"/>
      <w:r>
        <w:rPr>
          <w:rFonts w:ascii="Times New Roman" w:eastAsia="Times New Roman" w:hAnsi="Times New Roman" w:cs="Times New Roman"/>
          <w:b/>
          <w:bCs/>
          <w:color w:val="000000"/>
          <w:spacing w:val="0"/>
          <w:w w:val="100"/>
          <w:position w:val="0"/>
        </w:rPr>
        <w:t>2</w:t>
      </w:r>
      <w:bookmarkEnd w:id="299"/>
      <w:r>
        <w:rPr>
          <w:b/>
          <w:bCs/>
          <w:color w:val="000000"/>
          <w:spacing w:val="0"/>
          <w:w w:val="100"/>
          <w:position w:val="0"/>
        </w:rPr>
        <w:t>、</w:t>
        <w:tab/>
        <w:t>海外业务的风险</w:t>
      </w:r>
    </w:p>
    <w:p>
      <w:pPr>
        <w:pStyle w:val="Style17"/>
        <w:keepNext w:val="0"/>
        <w:keepLines w:val="0"/>
        <w:widowControl w:val="0"/>
        <w:shd w:val="clear" w:color="auto" w:fill="auto"/>
        <w:bidi w:val="0"/>
        <w:spacing w:before="0" w:after="120" w:line="311" w:lineRule="exact"/>
        <w:ind w:left="260" w:right="0" w:firstLine="360"/>
        <w:jc w:val="both"/>
      </w:pPr>
      <w:r>
        <w:rPr>
          <w:color w:val="000000"/>
          <w:spacing w:val="0"/>
          <w:w w:val="100"/>
          <w:position w:val="0"/>
        </w:rPr>
        <w:t>公司业务目前已经覆盖了全球超过</w:t>
      </w:r>
      <w:r>
        <w:rPr>
          <w:rFonts w:ascii="Times New Roman" w:eastAsia="Times New Roman" w:hAnsi="Times New Roman" w:cs="Times New Roman"/>
          <w:color w:val="000000"/>
          <w:spacing w:val="0"/>
          <w:w w:val="100"/>
          <w:position w:val="0"/>
        </w:rPr>
        <w:t>10 0</w:t>
      </w:r>
      <w:r>
        <w:rPr>
          <w:color w:val="000000"/>
          <w:spacing w:val="0"/>
          <w:w w:val="100"/>
          <w:position w:val="0"/>
        </w:rPr>
        <w:t>个国家和地区，报告期内，海外业务收入占公司总体营业收入比重较大，且国际 政治经济形势存在不确定性。公司在生产经营过程中力求遵守本国及海外国家及行业的监管法规与政策。如果发生以下情 形，例如境外业务所在海外国家和地区的法律法规、产业政策或者境外投资环境发生重大变化，或因国际政治经济形势出现 不利变化、海外重要客户合作协议到期不能续约、贸易摩擦等无法预知的因素，或其因新冠疫情及其他不可抗力，可能给公 司海外业务的正常开展、持续发展带来潜在不利影响。</w:t>
      </w:r>
    </w:p>
    <w:p>
      <w:pPr>
        <w:pStyle w:val="Style17"/>
        <w:keepNext w:val="0"/>
        <w:keepLines w:val="0"/>
        <w:widowControl w:val="0"/>
        <w:shd w:val="clear" w:color="auto" w:fill="auto"/>
        <w:bidi w:val="0"/>
        <w:spacing w:before="0" w:line="312" w:lineRule="exact"/>
        <w:ind w:left="0" w:right="0" w:firstLine="620"/>
        <w:jc w:val="both"/>
      </w:pPr>
      <w:r>
        <w:rPr>
          <w:color w:val="000000"/>
          <w:spacing w:val="0"/>
          <w:w w:val="100"/>
          <w:position w:val="0"/>
        </w:rPr>
        <w:t>美国近期频繁利用出口管制实体清单进行贸易限制，被列入</w:t>
      </w:r>
      <w:r>
        <w:rPr>
          <w:rFonts w:ascii="Times New Roman" w:eastAsia="Times New Roman" w:hAnsi="Times New Roman" w:cs="Times New Roman"/>
          <w:color w:val="000000"/>
          <w:spacing w:val="0"/>
          <w:w w:val="100"/>
          <w:position w:val="0"/>
        </w:rPr>
        <w:t>“</w:t>
      </w:r>
      <w:r>
        <w:rPr>
          <w:color w:val="000000"/>
          <w:spacing w:val="0"/>
          <w:w w:val="100"/>
          <w:position w:val="0"/>
        </w:rPr>
        <w:t>实体清单</w:t>
      </w:r>
      <w:r>
        <w:rPr>
          <w:rFonts w:ascii="Times New Roman" w:eastAsia="Times New Roman" w:hAnsi="Times New Roman" w:cs="Times New Roman"/>
          <w:color w:val="000000"/>
          <w:spacing w:val="0"/>
          <w:w w:val="100"/>
          <w:position w:val="0"/>
        </w:rPr>
        <w:t>”</w:t>
      </w:r>
      <w:r>
        <w:rPr>
          <w:color w:val="000000"/>
          <w:spacing w:val="0"/>
          <w:w w:val="100"/>
          <w:position w:val="0"/>
        </w:rPr>
        <w:t>的企业，采购受</w:t>
      </w:r>
      <w:r>
        <w:rPr>
          <w:rFonts w:ascii="Times New Roman" w:eastAsia="Times New Roman" w:hAnsi="Times New Roman" w:cs="Times New Roman"/>
          <w:color w:val="000000"/>
          <w:spacing w:val="0"/>
          <w:w w:val="100"/>
          <w:position w:val="0"/>
        </w:rPr>
        <w:t>EAR</w:t>
      </w:r>
      <w:r>
        <w:rPr>
          <w:color w:val="000000"/>
          <w:spacing w:val="0"/>
          <w:w w:val="100"/>
          <w:position w:val="0"/>
        </w:rPr>
        <w:t xml:space="preserve">管制的物项，需要出售方事 </w:t>
      </w:r>
      <w:r>
        <w:rPr>
          <w:color w:val="000000"/>
          <w:spacing w:val="0"/>
          <w:w w:val="100"/>
          <w:position w:val="0"/>
        </w:rPr>
        <w:t>先向美国商务部申请出口许可证。美国商务部</w:t>
      </w:r>
      <w:r>
        <w:rPr>
          <w:rFonts w:ascii="Times New Roman" w:eastAsia="Times New Roman" w:hAnsi="Times New Roman" w:cs="Times New Roman"/>
          <w:color w:val="000000"/>
          <w:spacing w:val="0"/>
          <w:w w:val="100"/>
          <w:position w:val="0"/>
        </w:rPr>
        <w:t>2020</w:t>
      </w:r>
      <w:r>
        <w:rPr>
          <w:color w:val="000000"/>
          <w:spacing w:val="0"/>
          <w:w w:val="100"/>
          <w:position w:val="0"/>
        </w:rPr>
        <w:t>年将公司子公司北京六合列入</w:t>
      </w:r>
      <w:r>
        <w:rPr>
          <w:rFonts w:ascii="Times New Roman" w:eastAsia="Times New Roman" w:hAnsi="Times New Roman" w:cs="Times New Roman"/>
          <w:color w:val="000000"/>
          <w:spacing w:val="0"/>
          <w:w w:val="100"/>
          <w:position w:val="0"/>
        </w:rPr>
        <w:t>“</w:t>
      </w:r>
      <w:r>
        <w:rPr>
          <w:color w:val="000000"/>
          <w:spacing w:val="0"/>
          <w:w w:val="100"/>
          <w:position w:val="0"/>
        </w:rPr>
        <w:t>实体清单</w:t>
      </w:r>
      <w:r>
        <w:rPr>
          <w:rFonts w:ascii="Times New Roman" w:eastAsia="Times New Roman" w:hAnsi="Times New Roman" w:cs="Times New Roman"/>
          <w:color w:val="000000"/>
          <w:spacing w:val="0"/>
          <w:w w:val="100"/>
          <w:position w:val="0"/>
        </w:rPr>
        <w:t>”</w:t>
      </w:r>
      <w:r>
        <w:rPr>
          <w:color w:val="000000"/>
          <w:spacing w:val="0"/>
          <w:w w:val="100"/>
          <w:position w:val="0"/>
        </w:rPr>
        <w:t>，北京六合可能存在不能采购部 分或全部受</w:t>
      </w:r>
      <w:r>
        <w:rPr>
          <w:rFonts w:ascii="Times New Roman" w:eastAsia="Times New Roman" w:hAnsi="Times New Roman" w:cs="Times New Roman"/>
          <w:color w:val="000000"/>
          <w:spacing w:val="0"/>
          <w:w w:val="100"/>
          <w:position w:val="0"/>
        </w:rPr>
        <w:t>EAR</w:t>
      </w:r>
      <w:r>
        <w:rPr>
          <w:color w:val="000000"/>
          <w:spacing w:val="0"/>
          <w:w w:val="100"/>
          <w:position w:val="0"/>
        </w:rPr>
        <w:t>管制物项，进而导致未来业务受限的风险。同时，若中美贸易摩擦继续发展，对基因组学应用行业的相关产 品提高关税，或进一步扩大产业链相关上下游企业进入</w:t>
      </w:r>
      <w:r>
        <w:rPr>
          <w:rFonts w:ascii="Times New Roman" w:eastAsia="Times New Roman" w:hAnsi="Times New Roman" w:cs="Times New Roman"/>
          <w:color w:val="000000"/>
          <w:spacing w:val="0"/>
          <w:w w:val="100"/>
          <w:position w:val="0"/>
        </w:rPr>
        <w:t>“</w:t>
      </w:r>
      <w:r>
        <w:rPr>
          <w:color w:val="000000"/>
          <w:spacing w:val="0"/>
          <w:w w:val="100"/>
          <w:position w:val="0"/>
        </w:rPr>
        <w:t>实体清单</w:t>
      </w:r>
      <w:r>
        <w:rPr>
          <w:rFonts w:ascii="Times New Roman" w:eastAsia="Times New Roman" w:hAnsi="Times New Roman" w:cs="Times New Roman"/>
          <w:color w:val="000000"/>
          <w:spacing w:val="0"/>
          <w:w w:val="100"/>
          <w:position w:val="0"/>
        </w:rPr>
        <w:t>”</w:t>
      </w:r>
      <w:r>
        <w:rPr>
          <w:color w:val="000000"/>
          <w:spacing w:val="0"/>
          <w:w w:val="100"/>
          <w:position w:val="0"/>
        </w:rPr>
        <w:t>，通过产业链传导，也可能给公司生产经营和盈利能力带 来潜在的不利影响。</w:t>
      </w:r>
    </w:p>
    <w:p>
      <w:pPr>
        <w:pStyle w:val="Style17"/>
        <w:keepNext w:val="0"/>
        <w:keepLines w:val="0"/>
        <w:widowControl w:val="0"/>
        <w:shd w:val="clear" w:color="auto" w:fill="auto"/>
        <w:bidi w:val="0"/>
        <w:spacing w:before="0" w:after="220" w:line="315" w:lineRule="exact"/>
        <w:ind w:left="260" w:right="0" w:firstLine="360"/>
        <w:jc w:val="both"/>
      </w:pPr>
      <w:r>
        <w:rPr>
          <w:color w:val="000000"/>
          <w:spacing w:val="0"/>
          <w:w w:val="100"/>
          <w:position w:val="0"/>
        </w:rPr>
        <w:t>针对上述风险，公司不断加强公司业务所涉地区法律法规以及政治、经济环境的了解与适应能力，制定差异化的国际业 务策略，坚持海外业务风险分级管理机制，完善海外业务的应急预案，努力降低海外市场的运营风险。针对海外重要客户， 加强服务意识，通过提升个性化需求订制能力不断增强双方的合作粘性，实现共赢；针对子公司被美国商务部列入</w:t>
      </w:r>
      <w:r>
        <w:rPr>
          <w:rFonts w:ascii="Times New Roman" w:eastAsia="Times New Roman" w:hAnsi="Times New Roman" w:cs="Times New Roman"/>
          <w:color w:val="000000"/>
          <w:spacing w:val="0"/>
          <w:w w:val="100"/>
          <w:position w:val="0"/>
        </w:rPr>
        <w:t>“</w:t>
      </w:r>
      <w:r>
        <w:rPr>
          <w:color w:val="000000"/>
          <w:spacing w:val="0"/>
          <w:w w:val="100"/>
          <w:position w:val="0"/>
        </w:rPr>
        <w:t>实体清 单</w:t>
      </w:r>
      <w:r>
        <w:rPr>
          <w:rFonts w:ascii="Times New Roman" w:eastAsia="Times New Roman" w:hAnsi="Times New Roman" w:cs="Times New Roman"/>
          <w:color w:val="000000"/>
          <w:spacing w:val="0"/>
          <w:w w:val="100"/>
          <w:position w:val="0"/>
        </w:rPr>
        <w:t>”</w:t>
      </w:r>
      <w:r>
        <w:rPr>
          <w:color w:val="000000"/>
          <w:spacing w:val="0"/>
          <w:w w:val="100"/>
          <w:position w:val="0"/>
        </w:rPr>
        <w:t>的情形，公司采取了多种措施积极应对，并将与美国商务部及相关部门保持沟通，尽最大努力消除不利影响。</w:t>
      </w:r>
    </w:p>
    <w:p>
      <w:pPr>
        <w:pStyle w:val="Style17"/>
        <w:keepNext w:val="0"/>
        <w:keepLines w:val="0"/>
        <w:widowControl w:val="0"/>
        <w:shd w:val="clear" w:color="auto" w:fill="auto"/>
        <w:tabs>
          <w:tab w:pos="914" w:val="left"/>
        </w:tabs>
        <w:bidi w:val="0"/>
        <w:spacing w:before="0" w:after="0"/>
        <w:ind w:left="0" w:right="0" w:firstLine="620"/>
        <w:jc w:val="left"/>
      </w:pPr>
      <w:bookmarkStart w:id="300" w:name="bookmark300"/>
      <w:r>
        <w:rPr>
          <w:rFonts w:ascii="Times New Roman" w:eastAsia="Times New Roman" w:hAnsi="Times New Roman" w:cs="Times New Roman"/>
          <w:b/>
          <w:bCs/>
          <w:color w:val="000000"/>
          <w:spacing w:val="0"/>
          <w:w w:val="100"/>
          <w:position w:val="0"/>
        </w:rPr>
        <w:t>3</w:t>
      </w:r>
      <w:bookmarkEnd w:id="300"/>
      <w:r>
        <w:rPr>
          <w:b/>
          <w:bCs/>
          <w:color w:val="000000"/>
          <w:spacing w:val="0"/>
          <w:w w:val="100"/>
          <w:position w:val="0"/>
        </w:rPr>
        <w:t>、</w:t>
        <w:tab/>
        <w:t>行业监管政策变化的风险</w:t>
      </w:r>
    </w:p>
    <w:p>
      <w:pPr>
        <w:pStyle w:val="Style17"/>
        <w:keepNext w:val="0"/>
        <w:keepLines w:val="0"/>
        <w:widowControl w:val="0"/>
        <w:shd w:val="clear" w:color="auto" w:fill="auto"/>
        <w:bidi w:val="0"/>
        <w:spacing w:before="0" w:line="313" w:lineRule="exact"/>
        <w:ind w:left="260" w:right="0" w:firstLine="360"/>
        <w:jc w:val="both"/>
      </w:pPr>
      <w:r>
        <w:rPr>
          <w:color w:val="000000"/>
          <w:spacing w:val="0"/>
          <w:w w:val="100"/>
          <w:position w:val="0"/>
        </w:rPr>
        <w:t>公司主营业务产品主要为通过多组学大数据技术手段提供研究服务和精准医学综合解决方案，须接受国家和地方各级 卫生健康委员会、国家药品监督管理局等相关部门的管理监督。近年来，国家陆续出台了一系列行业监管措施，对基于高通 量测序技术的基因检测服务行业、人类遗传资源管理、数据安全等相关监管法规进行调整和完善。如果未来国家监管政策、 具体监管执行，相关行业准入和技术标准等发生不利于公司主营业务的变化，可能会给公司的现有业务开展和生产经营带来 不利影响。</w:t>
      </w:r>
    </w:p>
    <w:p>
      <w:pPr>
        <w:pStyle w:val="Style17"/>
        <w:keepNext w:val="0"/>
        <w:keepLines w:val="0"/>
        <w:widowControl w:val="0"/>
        <w:shd w:val="clear" w:color="auto" w:fill="auto"/>
        <w:bidi w:val="0"/>
        <w:spacing w:before="0" w:after="220" w:line="314" w:lineRule="exact"/>
        <w:ind w:left="260" w:right="0" w:firstLine="360"/>
        <w:jc w:val="both"/>
      </w:pPr>
      <w:r>
        <w:rPr>
          <w:color w:val="000000"/>
          <w:spacing w:val="0"/>
          <w:w w:val="100"/>
          <w:position w:val="0"/>
        </w:rPr>
        <w:t>公司在生产经营过程中将严格遵守国家及行业相关监管法规与政策，密切关注相关行业监管政策的变化，在资质申报与 审查、生产经营和执业许可等方面做好应对部署。公司持续提高经营活动的合规管理水平，不断完善生产经营全流程合规管 理体系，尽可能降低行业监管政策变化带来的经营风险。公司持续加强数据安全治理能力和数据合规应用能力，在已成立信 息安全管理委员会和数据信息管理委员会的基础上，持续建立并完善信息和数据安全相关的制度，在操作监察、流程制度、 组织架构等多层面全方位地进行信息安全管理，以满足国际安全规范要求。</w:t>
      </w:r>
    </w:p>
    <w:p>
      <w:pPr>
        <w:pStyle w:val="Style17"/>
        <w:keepNext w:val="0"/>
        <w:keepLines w:val="0"/>
        <w:widowControl w:val="0"/>
        <w:shd w:val="clear" w:color="auto" w:fill="auto"/>
        <w:tabs>
          <w:tab w:pos="909" w:val="left"/>
        </w:tabs>
        <w:bidi w:val="0"/>
        <w:spacing w:before="0" w:after="0"/>
        <w:ind w:left="0" w:right="0" w:firstLine="620"/>
        <w:jc w:val="left"/>
      </w:pPr>
      <w:bookmarkStart w:id="301" w:name="bookmark301"/>
      <w:r>
        <w:rPr>
          <w:rFonts w:ascii="Times New Roman" w:eastAsia="Times New Roman" w:hAnsi="Times New Roman" w:cs="Times New Roman"/>
          <w:b/>
          <w:bCs/>
          <w:color w:val="000000"/>
          <w:spacing w:val="0"/>
          <w:w w:val="100"/>
          <w:position w:val="0"/>
        </w:rPr>
        <w:t>4</w:t>
      </w:r>
      <w:bookmarkEnd w:id="301"/>
      <w:r>
        <w:rPr>
          <w:b/>
          <w:bCs/>
          <w:color w:val="000000"/>
          <w:spacing w:val="0"/>
          <w:w w:val="100"/>
          <w:position w:val="0"/>
        </w:rPr>
        <w:t>、</w:t>
        <w:tab/>
        <w:t>市场竞争加剧的风险</w:t>
      </w:r>
    </w:p>
    <w:p>
      <w:pPr>
        <w:pStyle w:val="Style17"/>
        <w:keepNext w:val="0"/>
        <w:keepLines w:val="0"/>
        <w:widowControl w:val="0"/>
        <w:shd w:val="clear" w:color="auto" w:fill="auto"/>
        <w:bidi w:val="0"/>
        <w:spacing w:before="0" w:line="313" w:lineRule="exact"/>
        <w:ind w:left="260" w:right="0" w:firstLine="360"/>
        <w:jc w:val="both"/>
      </w:pPr>
      <w:r>
        <w:rPr>
          <w:color w:val="000000"/>
          <w:spacing w:val="0"/>
          <w:w w:val="100"/>
          <w:position w:val="0"/>
        </w:rPr>
        <w:t>公司所处的基因组学应用行业处于快速成长阶段。随着测序技术的发展，人们生活水平的提高和保健意识的增强，社会 对基因组学应用行业的关注度和接受程度越来越高。随着市场环境的日趋成熟，国家政策的逐步放开，行业内原有企业的发 展和更多新企业的加入，基因测序行业中基于成熟产品和服务的竞争变得愈发激烈进而会影响企业的盈利能力。如果公司在 产品和技术方面不能持续创新，在服务质量、研发能力、管理模式、营销渠道、人才培养等方面不能持续提升，未来面临的 竞争压力将会日益加大。</w:t>
      </w:r>
    </w:p>
    <w:p>
      <w:pPr>
        <w:pStyle w:val="Style17"/>
        <w:keepNext w:val="0"/>
        <w:keepLines w:val="0"/>
        <w:widowControl w:val="0"/>
        <w:shd w:val="clear" w:color="auto" w:fill="auto"/>
        <w:bidi w:val="0"/>
        <w:spacing w:before="0" w:after="220" w:line="312" w:lineRule="exact"/>
        <w:ind w:left="260" w:right="0" w:firstLine="360"/>
        <w:jc w:val="both"/>
      </w:pPr>
      <w:r>
        <w:rPr>
          <w:color w:val="000000"/>
          <w:spacing w:val="0"/>
          <w:w w:val="100"/>
          <w:position w:val="0"/>
        </w:rPr>
        <w:t>公司将继续聚焦主营业务，坚持技术创新，积极拓展产品线布局，推进主营产品的升级迭代；利用大数据和自主平台优 势，降低测序成本，提高产品附加值与服务质量，积极开拓销售市场，以应对市场竞争加剧所带来的影响。</w:t>
      </w:r>
    </w:p>
    <w:p>
      <w:pPr>
        <w:pStyle w:val="Style17"/>
        <w:keepNext w:val="0"/>
        <w:keepLines w:val="0"/>
        <w:widowControl w:val="0"/>
        <w:shd w:val="clear" w:color="auto" w:fill="auto"/>
        <w:tabs>
          <w:tab w:pos="909" w:val="left"/>
        </w:tabs>
        <w:bidi w:val="0"/>
        <w:spacing w:before="0" w:after="0"/>
        <w:ind w:left="0" w:right="0" w:firstLine="620"/>
        <w:jc w:val="left"/>
      </w:pPr>
      <w:bookmarkStart w:id="302" w:name="bookmark302"/>
      <w:r>
        <w:rPr>
          <w:rFonts w:ascii="Times New Roman" w:eastAsia="Times New Roman" w:hAnsi="Times New Roman" w:cs="Times New Roman"/>
          <w:b/>
          <w:bCs/>
          <w:color w:val="000000"/>
          <w:spacing w:val="0"/>
          <w:w w:val="100"/>
          <w:position w:val="0"/>
        </w:rPr>
        <w:t>5</w:t>
      </w:r>
      <w:bookmarkEnd w:id="302"/>
      <w:r>
        <w:rPr>
          <w:b/>
          <w:bCs/>
          <w:color w:val="000000"/>
          <w:spacing w:val="0"/>
          <w:w w:val="100"/>
          <w:position w:val="0"/>
        </w:rPr>
        <w:t>、</w:t>
        <w:tab/>
        <w:t>汇率波动风险</w:t>
      </w:r>
    </w:p>
    <w:p>
      <w:pPr>
        <w:pStyle w:val="Style17"/>
        <w:keepNext w:val="0"/>
        <w:keepLines w:val="0"/>
        <w:widowControl w:val="0"/>
        <w:shd w:val="clear" w:color="auto" w:fill="auto"/>
        <w:bidi w:val="0"/>
        <w:spacing w:before="0" w:after="0" w:line="314" w:lineRule="exact"/>
        <w:ind w:left="260" w:right="0" w:firstLine="360"/>
        <w:jc w:val="left"/>
      </w:pPr>
      <w:r>
        <w:rPr>
          <w:color w:val="000000"/>
          <w:spacing w:val="0"/>
          <w:w w:val="100"/>
          <w:position w:val="0"/>
        </w:rPr>
        <w:t>公司进行全球化的业务布局，在中国香港、欧洲、日本、新加坡和美国设立了多家全资子公司和控股子公司。随着公司 境外业务规模的扩大，公司的外币资产也将随之增加，且公司在境外销售的产品主要以美元等外币定价和结算，若人民币兑 美元等外币汇率持续波动的情况下，将直接影响公司的汇兑损益，对公司盈利状况造成一定的影响。</w:t>
      </w:r>
    </w:p>
    <w:p>
      <w:pPr>
        <w:pStyle w:val="Style17"/>
        <w:keepNext w:val="0"/>
        <w:keepLines w:val="0"/>
        <w:widowControl w:val="0"/>
        <w:shd w:val="clear" w:color="auto" w:fill="auto"/>
        <w:bidi w:val="0"/>
        <w:spacing w:before="0" w:after="220" w:line="310" w:lineRule="exact"/>
        <w:ind w:left="260" w:right="0" w:firstLine="360"/>
        <w:jc w:val="left"/>
      </w:pPr>
      <w:r>
        <w:rPr>
          <w:color w:val="000000"/>
          <w:spacing w:val="0"/>
          <w:w w:val="100"/>
          <w:position w:val="0"/>
        </w:rPr>
        <w:t>公司将密切关注国际市场环境变化和汇率变动情况，加强对汇率走势的研究分析，提高企业相关人员的风险防范意识， 提供应对外汇风险的能力。通过适时运用外汇套期保值等汇率避险工具，降低汇率波动对公司汇兑损益的影响。另外，公司 将根据资金需求，将部分外币择机结汇为人民币，以降低风险敞口。公司将通过渠道、管理、技术等创新，提高产品附加值， 同时结合汇率波动情况，适时调整产品销售价格，减少相关货币汇率波动对公司经营业绩的影响。</w:t>
      </w:r>
    </w:p>
    <w:p>
      <w:pPr>
        <w:pStyle w:val="Style17"/>
        <w:keepNext w:val="0"/>
        <w:keepLines w:val="0"/>
        <w:widowControl w:val="0"/>
        <w:shd w:val="clear" w:color="auto" w:fill="auto"/>
        <w:tabs>
          <w:tab w:pos="914" w:val="left"/>
        </w:tabs>
        <w:bidi w:val="0"/>
        <w:spacing w:before="0" w:after="0"/>
        <w:ind w:left="0" w:right="0" w:firstLine="620"/>
        <w:jc w:val="left"/>
      </w:pPr>
      <w:bookmarkStart w:id="303" w:name="bookmark303"/>
      <w:r>
        <w:rPr>
          <w:rFonts w:ascii="Times New Roman" w:eastAsia="Times New Roman" w:hAnsi="Times New Roman" w:cs="Times New Roman"/>
          <w:b/>
          <w:bCs/>
          <w:color w:val="000000"/>
          <w:spacing w:val="0"/>
          <w:w w:val="100"/>
          <w:position w:val="0"/>
        </w:rPr>
        <w:t>6</w:t>
      </w:r>
      <w:bookmarkEnd w:id="303"/>
      <w:r>
        <w:rPr>
          <w:b/>
          <w:bCs/>
          <w:color w:val="000000"/>
          <w:spacing w:val="0"/>
          <w:w w:val="100"/>
          <w:position w:val="0"/>
        </w:rPr>
        <w:t>、</w:t>
        <w:tab/>
        <w:t>知识产权纠纷风险</w:t>
      </w:r>
    </w:p>
    <w:p>
      <w:pPr>
        <w:pStyle w:val="Style17"/>
        <w:keepNext w:val="0"/>
        <w:keepLines w:val="0"/>
        <w:widowControl w:val="0"/>
        <w:shd w:val="clear" w:color="auto" w:fill="auto"/>
        <w:bidi w:val="0"/>
        <w:spacing w:before="0" w:line="313" w:lineRule="exact"/>
        <w:ind w:left="260" w:right="0" w:firstLine="360"/>
        <w:jc w:val="both"/>
      </w:pPr>
      <w:r>
        <w:rPr>
          <w:color w:val="000000"/>
          <w:spacing w:val="0"/>
          <w:w w:val="100"/>
          <w:position w:val="0"/>
        </w:rPr>
        <w:t xml:space="preserve">公司所从事的基因组学应用行业属于新兴的高新技术行业，具有技术复杂、专业性高和知识更新快的特点，而且各个国 家、地区及企业之间竞争激烈，不同国家、地区之间的监管存在一定差异。基因组学应用行业可以分为上游、中游、下游三 个主要环节。华大基因处于整个产业链中游，其上游为基因测序仪与试剂供应商，下游为医院、科研机构和受检者。行业上 游竞争激烈且一度被国外少数行业巨头所垄断，国外行业巨头之间，以及国外行业巨头与国内基因测序设备制造商，近些年 频频爆发专利侵权诉讼，该诉讼不可避免会波及牵涉中游基因测序仪与试剂使用企业，并有可能造成上游供给不畅。此外， </w:t>
      </w:r>
      <w:r>
        <w:rPr>
          <w:color w:val="000000"/>
          <w:spacing w:val="0"/>
          <w:w w:val="100"/>
          <w:position w:val="0"/>
        </w:rPr>
        <w:t>如果公司在运用相关技术进行生产经营时，未能充分认识到可能侵犯第三方申请在先的知识产权，或其他公司未经授权而擅 自使用或侵犯华大基因的知识产权，上述行为的发生亦可能会产生知识产权侵权的纠纷。</w:t>
      </w:r>
      <w:r>
        <w:rPr>
          <w:rFonts w:ascii="Times New Roman" w:eastAsia="Times New Roman" w:hAnsi="Times New Roman" w:cs="Times New Roman"/>
          <w:color w:val="000000"/>
          <w:spacing w:val="0"/>
          <w:w w:val="100"/>
          <w:position w:val="0"/>
        </w:rPr>
        <w:t>Illumina</w:t>
      </w:r>
      <w:r>
        <w:rPr>
          <w:color w:val="000000"/>
          <w:spacing w:val="0"/>
          <w:w w:val="100"/>
          <w:position w:val="0"/>
        </w:rPr>
        <w:t>自</w:t>
      </w:r>
      <w:r>
        <w:rPr>
          <w:color w:val="000000"/>
          <w:spacing w:val="0"/>
          <w:w w:val="100"/>
          <w:position w:val="0"/>
          <w:sz w:val="18"/>
          <w:szCs w:val="18"/>
        </w:rPr>
        <w:t>2019</w:t>
      </w:r>
      <w:r>
        <w:rPr>
          <w:color w:val="000000"/>
          <w:spacing w:val="0"/>
          <w:w w:val="100"/>
          <w:position w:val="0"/>
        </w:rPr>
        <w:t>年起，先后在丹麦、 美国及香港对公司及海外子公司提起专利诉讼，案件目前处在审理过程中，公司已在积极应对中（详见本报告“第六节重 要事项”之“十一、重大诉讼、仲裁事项”关于报告期内其他诉讼事项说明）。</w:t>
      </w:r>
    </w:p>
    <w:p>
      <w:pPr>
        <w:pStyle w:val="Style17"/>
        <w:keepNext w:val="0"/>
        <w:keepLines w:val="0"/>
        <w:widowControl w:val="0"/>
        <w:shd w:val="clear" w:color="auto" w:fill="auto"/>
        <w:bidi w:val="0"/>
        <w:spacing w:before="0" w:after="220" w:line="317" w:lineRule="exact"/>
        <w:ind w:left="260" w:right="0" w:firstLine="360"/>
        <w:jc w:val="both"/>
      </w:pPr>
      <w:r>
        <w:rPr>
          <w:color w:val="000000"/>
          <w:spacing w:val="0"/>
          <w:w w:val="100"/>
          <w:position w:val="0"/>
        </w:rPr>
        <w:t>针对上述风险，公司将充分了解目标市场所在地区的监管法规与知识产权法规政策，加大知识产权布局力度，推进市场 开拓尤其是海外市场时及时申请知识产权和进行资质认证，避免因知识产权侵权纠纷产生经济损失。</w:t>
      </w:r>
    </w:p>
    <w:p>
      <w:pPr>
        <w:pStyle w:val="Style17"/>
        <w:keepNext w:val="0"/>
        <w:keepLines w:val="0"/>
        <w:widowControl w:val="0"/>
        <w:shd w:val="clear" w:color="auto" w:fill="auto"/>
        <w:tabs>
          <w:tab w:pos="915" w:val="left"/>
        </w:tabs>
        <w:bidi w:val="0"/>
        <w:spacing w:before="0" w:after="0"/>
        <w:ind w:left="0" w:right="0" w:firstLine="620"/>
        <w:jc w:val="left"/>
      </w:pPr>
      <w:bookmarkStart w:id="304" w:name="bookmark304"/>
      <w:r>
        <w:rPr>
          <w:rFonts w:ascii="Times New Roman" w:eastAsia="Times New Roman" w:hAnsi="Times New Roman" w:cs="Times New Roman"/>
          <w:b/>
          <w:bCs/>
          <w:color w:val="000000"/>
          <w:spacing w:val="0"/>
          <w:w w:val="100"/>
          <w:position w:val="0"/>
        </w:rPr>
        <w:t>7</w:t>
      </w:r>
      <w:bookmarkEnd w:id="304"/>
      <w:r>
        <w:rPr>
          <w:b/>
          <w:bCs/>
          <w:color w:val="000000"/>
          <w:spacing w:val="0"/>
          <w:w w:val="100"/>
          <w:position w:val="0"/>
        </w:rPr>
        <w:t>、</w:t>
        <w:tab/>
        <w:t>供应链风险</w:t>
      </w:r>
    </w:p>
    <w:p>
      <w:pPr>
        <w:pStyle w:val="Style17"/>
        <w:keepNext w:val="0"/>
        <w:keepLines w:val="0"/>
        <w:widowControl w:val="0"/>
        <w:shd w:val="clear" w:color="auto" w:fill="auto"/>
        <w:bidi w:val="0"/>
        <w:spacing w:before="0" w:line="312" w:lineRule="exact"/>
        <w:ind w:left="260" w:right="0" w:firstLine="360"/>
        <w:jc w:val="both"/>
      </w:pPr>
      <w:r>
        <w:rPr>
          <w:color w:val="000000"/>
          <w:spacing w:val="0"/>
          <w:w w:val="100"/>
          <w:position w:val="0"/>
        </w:rPr>
        <w:t>公司产品的部分原材料来源于海外厂商，如果这些原材料的供应不稳定或交易成本增加，可能对公司未来业绩产生不利 影响；此外，公司与关联方存在一定比例的关联采购，若未来关联方根据自身发展或行业监管要求，调整产品结构或销售策 略，导致双方之间的供货方式、数量或价格发生变化，可能会对公司生产经营和财务状况产生不确定性影响。</w:t>
      </w:r>
    </w:p>
    <w:p>
      <w:pPr>
        <w:pStyle w:val="Style17"/>
        <w:keepNext w:val="0"/>
        <w:keepLines w:val="0"/>
        <w:widowControl w:val="0"/>
        <w:shd w:val="clear" w:color="auto" w:fill="auto"/>
        <w:bidi w:val="0"/>
        <w:spacing w:before="0" w:after="220" w:line="315" w:lineRule="exact"/>
        <w:ind w:left="260" w:right="0" w:firstLine="360"/>
        <w:jc w:val="both"/>
      </w:pPr>
      <w:r>
        <w:rPr>
          <w:color w:val="000000"/>
          <w:spacing w:val="0"/>
          <w:w w:val="100"/>
          <w:position w:val="0"/>
        </w:rPr>
        <w:t>针对上述风险，公司努力做好供应链的管理，加强与上游供应商的沟通合作稳定产能，公司采购部门积极关注上游主要 原材料供应变化情况，针对关键原材料供应变动趋势做出及时预判，制定灵活高效的采购策略，合理调控库存。同时，公司 努力推进多平台、多产品的梯次化布局，加强不同技术平台产品的替代方案，以应对上游主要原材料和设备供应波动对公司 业务经营带来的风险。</w:t>
      </w:r>
    </w:p>
    <w:p>
      <w:pPr>
        <w:pStyle w:val="Style17"/>
        <w:keepNext w:val="0"/>
        <w:keepLines w:val="0"/>
        <w:widowControl w:val="0"/>
        <w:shd w:val="clear" w:color="auto" w:fill="auto"/>
        <w:tabs>
          <w:tab w:pos="915" w:val="left"/>
        </w:tabs>
        <w:bidi w:val="0"/>
        <w:spacing w:before="0" w:after="0"/>
        <w:ind w:left="0" w:right="0" w:firstLine="620"/>
        <w:jc w:val="left"/>
      </w:pPr>
      <w:bookmarkStart w:id="305" w:name="bookmark305"/>
      <w:r>
        <w:rPr>
          <w:rFonts w:ascii="Times New Roman" w:eastAsia="Times New Roman" w:hAnsi="Times New Roman" w:cs="Times New Roman"/>
          <w:color w:val="000000"/>
          <w:spacing w:val="0"/>
          <w:w w:val="100"/>
          <w:position w:val="0"/>
        </w:rPr>
        <w:t>8</w:t>
      </w:r>
      <w:bookmarkEnd w:id="305"/>
      <w:r>
        <w:rPr>
          <w:b/>
          <w:bCs/>
          <w:color w:val="000000"/>
          <w:spacing w:val="0"/>
          <w:w w:val="100"/>
          <w:position w:val="0"/>
        </w:rPr>
        <w:t>、</w:t>
        <w:tab/>
        <w:t>新产品研发风险</w:t>
      </w:r>
    </w:p>
    <w:p>
      <w:pPr>
        <w:pStyle w:val="Style17"/>
        <w:keepNext w:val="0"/>
        <w:keepLines w:val="0"/>
        <w:widowControl w:val="0"/>
        <w:shd w:val="clear" w:color="auto" w:fill="auto"/>
        <w:bidi w:val="0"/>
        <w:spacing w:before="0" w:line="313" w:lineRule="exact"/>
        <w:ind w:left="260" w:right="0" w:firstLine="360"/>
        <w:jc w:val="both"/>
      </w:pPr>
      <w:r>
        <w:rPr>
          <w:color w:val="000000"/>
          <w:spacing w:val="0"/>
          <w:w w:val="100"/>
          <w:position w:val="0"/>
        </w:rPr>
        <w:t>为巩固和提升核心竞争能力，公司一直重视产品和服务品类的创新和升级迭代。公司在遗传性耳聋、孕前遗传病、无创 产前检测、肿瘤、病原感染等多个检测服务领域，以及多组学大数据服务领域都有大量研发项目布局。基因组学应用行业研 发项目具有技术水平高、发展变化快、资质报证周期较长的特点，且研发投入成本过高，项目在开展过程中易受行业政策、 市场变化等不可控因素的影响，在研发过程中，研发团队、管理水平、技术路线选择都会影响产品研发的成败。如果公司在 投入大量研发经费后，无法在预期时间内研发出具有商业价值且符合市场需求的产品，将对公司的盈利能力产生不利影响。</w:t>
      </w:r>
    </w:p>
    <w:p>
      <w:pPr>
        <w:pStyle w:val="Style17"/>
        <w:keepNext w:val="0"/>
        <w:keepLines w:val="0"/>
        <w:widowControl w:val="0"/>
        <w:shd w:val="clear" w:color="auto" w:fill="auto"/>
        <w:bidi w:val="0"/>
        <w:spacing w:before="0" w:after="220" w:line="312" w:lineRule="exact"/>
        <w:ind w:left="260" w:right="0" w:firstLine="360"/>
        <w:jc w:val="both"/>
      </w:pPr>
      <w:r>
        <w:rPr>
          <w:color w:val="000000"/>
          <w:spacing w:val="0"/>
          <w:w w:val="100"/>
          <w:position w:val="0"/>
        </w:rPr>
        <w:t>公司将在技术研发领域强化前瞻性战略布局，不断加大对新产品研发和并购的投入力度，结合临床试点经验与市场需 求，加快多组学产品技术的升级换代，促进基因测序技术在遗传病、肿瘤、微生物和个性化医疗等方面的应用与发展。</w:t>
      </w:r>
    </w:p>
    <w:p>
      <w:pPr>
        <w:pStyle w:val="Style17"/>
        <w:keepNext w:val="0"/>
        <w:keepLines w:val="0"/>
        <w:widowControl w:val="0"/>
        <w:shd w:val="clear" w:color="auto" w:fill="auto"/>
        <w:tabs>
          <w:tab w:pos="915" w:val="left"/>
        </w:tabs>
        <w:bidi w:val="0"/>
        <w:spacing w:before="0" w:after="0"/>
        <w:ind w:left="0" w:right="0" w:firstLine="620"/>
        <w:jc w:val="left"/>
      </w:pPr>
      <w:bookmarkStart w:id="306" w:name="bookmark306"/>
      <w:r>
        <w:rPr>
          <w:rFonts w:ascii="Times New Roman" w:eastAsia="Times New Roman" w:hAnsi="Times New Roman" w:cs="Times New Roman"/>
          <w:b/>
          <w:bCs/>
          <w:color w:val="000000"/>
          <w:spacing w:val="0"/>
          <w:w w:val="100"/>
          <w:position w:val="0"/>
        </w:rPr>
        <w:t>9</w:t>
      </w:r>
      <w:bookmarkEnd w:id="306"/>
      <w:r>
        <w:rPr>
          <w:b/>
          <w:bCs/>
          <w:color w:val="000000"/>
          <w:spacing w:val="0"/>
          <w:w w:val="100"/>
          <w:position w:val="0"/>
        </w:rPr>
        <w:t>、</w:t>
        <w:tab/>
        <w:t>因技术和工艺固有局限导致的公司运营风险</w:t>
      </w:r>
    </w:p>
    <w:p>
      <w:pPr>
        <w:pStyle w:val="Style17"/>
        <w:keepNext w:val="0"/>
        <w:keepLines w:val="0"/>
        <w:widowControl w:val="0"/>
        <w:shd w:val="clear" w:color="auto" w:fill="auto"/>
        <w:bidi w:val="0"/>
        <w:spacing w:before="0" w:line="313" w:lineRule="exact"/>
        <w:ind w:left="260" w:right="0" w:firstLine="360"/>
        <w:jc w:val="both"/>
      </w:pPr>
      <w:r>
        <w:rPr>
          <w:color w:val="000000"/>
          <w:spacing w:val="0"/>
          <w:w w:val="100"/>
          <w:position w:val="0"/>
        </w:rPr>
        <w:t>由于高通量测序技术和生物信息学分析手段存在一定局限性，难以达到</w:t>
      </w:r>
      <w:r>
        <w:rPr>
          <w:rFonts w:ascii="Times New Roman" w:eastAsia="Times New Roman" w:hAnsi="Times New Roman" w:cs="Times New Roman"/>
          <w:color w:val="000000"/>
          <w:spacing w:val="0"/>
          <w:w w:val="100"/>
          <w:position w:val="0"/>
        </w:rPr>
        <w:t>100%</w:t>
      </w:r>
      <w:r>
        <w:rPr>
          <w:color w:val="000000"/>
          <w:spacing w:val="0"/>
          <w:w w:val="100"/>
          <w:position w:val="0"/>
        </w:rPr>
        <w:t>的准确度。公司主营业务之一的无创产前 基因检测作为针对</w:t>
      </w:r>
      <w:r>
        <w:rPr>
          <w:rFonts w:ascii="Times New Roman" w:eastAsia="Times New Roman" w:hAnsi="Times New Roman" w:cs="Times New Roman"/>
          <w:color w:val="000000"/>
          <w:spacing w:val="0"/>
          <w:w w:val="100"/>
          <w:position w:val="0"/>
        </w:rPr>
        <w:t>21</w:t>
      </w:r>
      <w:r>
        <w:rPr>
          <w:color w:val="000000"/>
          <w:spacing w:val="0"/>
          <w:w w:val="100"/>
          <w:position w:val="0"/>
        </w:rPr>
        <w:t>号染色体、</w:t>
      </w:r>
      <w:r>
        <w:rPr>
          <w:rFonts w:ascii="Times New Roman" w:eastAsia="Times New Roman" w:hAnsi="Times New Roman" w:cs="Times New Roman"/>
          <w:color w:val="000000"/>
          <w:spacing w:val="0"/>
          <w:w w:val="100"/>
          <w:position w:val="0"/>
        </w:rPr>
        <w:t>18</w:t>
      </w:r>
      <w:r>
        <w:rPr>
          <w:color w:val="000000"/>
          <w:spacing w:val="0"/>
          <w:w w:val="100"/>
          <w:position w:val="0"/>
        </w:rPr>
        <w:t>号染色体和</w:t>
      </w:r>
      <w:r>
        <w:rPr>
          <w:rFonts w:ascii="Times New Roman" w:eastAsia="Times New Roman" w:hAnsi="Times New Roman" w:cs="Times New Roman"/>
          <w:color w:val="000000"/>
          <w:spacing w:val="0"/>
          <w:w w:val="100"/>
          <w:position w:val="0"/>
        </w:rPr>
        <w:t>13</w:t>
      </w:r>
      <w:r>
        <w:rPr>
          <w:color w:val="000000"/>
          <w:spacing w:val="0"/>
          <w:w w:val="100"/>
          <w:position w:val="0"/>
        </w:rPr>
        <w:t>号染色体非整倍体异常的筛查手段，存在适用范围和技术局限性，可能出现 假阳性和假阴性。虽然公司已与保险公司签订合作协议书，并出资为无创产前基因检测的受检者进行投保，最大可能地降低 了相关产品检测范围内因技术固有局限导致的公司运营风险，如果公司因生产工艺的技术限制导致在检测或研究服务中提 供了错误的结果，给检测或研究服务的使用人带来较为严重的后果，公司或将面临承担赔偿责任的风险。</w:t>
      </w:r>
    </w:p>
    <w:p>
      <w:pPr>
        <w:pStyle w:val="Style17"/>
        <w:keepNext w:val="0"/>
        <w:keepLines w:val="0"/>
        <w:widowControl w:val="0"/>
        <w:shd w:val="clear" w:color="auto" w:fill="auto"/>
        <w:bidi w:val="0"/>
        <w:spacing w:before="0" w:after="220" w:line="310" w:lineRule="exact"/>
        <w:ind w:left="260" w:right="0" w:firstLine="360"/>
        <w:jc w:val="both"/>
      </w:pPr>
      <w:r>
        <w:rPr>
          <w:color w:val="000000"/>
          <w:spacing w:val="0"/>
          <w:w w:val="100"/>
          <w:position w:val="0"/>
        </w:rPr>
        <w:t>公司将强化技术布局，不断加大对新产品研发投入力度，提升高通量测序技术的准确度，在检测量加大的基础上，加强 检测报告信息分析的敏感度，尽最大可能降低因技术固有局限导致的公司运营风险。同时通过多种形式和渠道加强与医疗机 构、医生之间的培训与交流，通过对知情同意的充分告知，让受检者了解基因检测的技术优势和技术局限，形成客观的科学 认知。</w:t>
      </w:r>
    </w:p>
    <w:p>
      <w:pPr>
        <w:pStyle w:val="Style17"/>
        <w:keepNext w:val="0"/>
        <w:keepLines w:val="0"/>
        <w:widowControl w:val="0"/>
        <w:shd w:val="clear" w:color="auto" w:fill="auto"/>
        <w:tabs>
          <w:tab w:pos="990" w:val="left"/>
        </w:tabs>
        <w:bidi w:val="0"/>
        <w:spacing w:before="0" w:after="0"/>
        <w:ind w:left="0" w:right="0" w:firstLine="620"/>
        <w:jc w:val="left"/>
      </w:pPr>
      <w:bookmarkStart w:id="307" w:name="bookmark307"/>
      <w:r>
        <w:rPr>
          <w:rFonts w:ascii="Times New Roman" w:eastAsia="Times New Roman" w:hAnsi="Times New Roman" w:cs="Times New Roman"/>
          <w:b/>
          <w:bCs/>
          <w:color w:val="000000"/>
          <w:spacing w:val="0"/>
          <w:w w:val="100"/>
          <w:position w:val="0"/>
        </w:rPr>
        <w:t>1</w:t>
      </w:r>
      <w:bookmarkEnd w:id="307"/>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募集资金投资项目的风险</w:t>
      </w:r>
    </w:p>
    <w:p>
      <w:pPr>
        <w:pStyle w:val="Style17"/>
        <w:keepNext w:val="0"/>
        <w:keepLines w:val="0"/>
        <w:widowControl w:val="0"/>
        <w:shd w:val="clear" w:color="auto" w:fill="auto"/>
        <w:bidi w:val="0"/>
        <w:spacing w:before="0" w:line="312" w:lineRule="exact"/>
        <w:ind w:left="260" w:right="0" w:firstLine="360"/>
        <w:jc w:val="both"/>
      </w:pPr>
      <w:r>
        <w:rPr>
          <w:color w:val="000000"/>
          <w:spacing w:val="0"/>
          <w:w w:val="100"/>
          <w:position w:val="0"/>
        </w:rPr>
        <w:t>公司已完成向特定对象发行股票，募集资金用于青岛华大基因检测试剂生产及基因检测服务项目、医学检验解决方案平 台建设项目、云数据处理系统升级项目及生物样本库建设项目。公司募集资金投资项目经过充分的市场调研和分析论证，可 行性分析是基于当时的市场环境、技术发展趋势及公司的实际情况做出的，在项目实施过程中，可能存在因市场环境变化、 政府规划调整、意外事故或其他不可抗力因素，造成项目不能按期建设、项目达产延迟等不确定情况，最终导致募投项目投 资周期延长、投资超支、投产延迟，未能实现预期效益的风险。此外，项目建设投产后，存在因产业及行业监管政策变化、 技术发展、市场需求变化、新产品替代等因素导致市场需求减少、新增产能难以消化、产品价格下滑，导致项目未能实现预 期效益的风险。</w:t>
      </w:r>
      <w:r>
        <w:br w:type="page"/>
      </w:r>
    </w:p>
    <w:p>
      <w:pPr>
        <w:pStyle w:val="Style17"/>
        <w:keepNext w:val="0"/>
        <w:keepLines w:val="0"/>
        <w:widowControl w:val="0"/>
        <w:shd w:val="clear" w:color="auto" w:fill="auto"/>
        <w:bidi w:val="0"/>
        <w:spacing w:before="0" w:after="360" w:line="317" w:lineRule="exact"/>
        <w:ind w:left="240" w:right="0"/>
        <w:jc w:val="left"/>
      </w:pPr>
      <w:r>
        <w:rPr>
          <w:color w:val="000000"/>
          <w:spacing w:val="0"/>
          <w:w w:val="100"/>
          <w:position w:val="0"/>
        </w:rPr>
        <w:t>针对上述风险，公司将持续关注并积极跟进募集资金项目进展情况，重视并关注募投项目的施工建设，紧抓项目实施质 量和进度，合理规划、督促募投项目按期完工；及时掌握行业发展趋势、密切跟踪行业技术动态、深入了解市场发展状况， 按照募集资金投资项目建设方案能够确保实现预期经济效益的方向稳步实施，保障公司全体股东的利益。</w:t>
      </w:r>
    </w:p>
    <w:p>
      <w:pPr>
        <w:pStyle w:val="Style24"/>
        <w:keepNext/>
        <w:keepLines/>
        <w:widowControl w:val="0"/>
        <w:shd w:val="clear" w:color="auto" w:fill="auto"/>
        <w:bidi w:val="0"/>
        <w:spacing w:before="0" w:after="360" w:line="240" w:lineRule="auto"/>
        <w:ind w:left="0" w:right="0" w:firstLine="240"/>
        <w:jc w:val="left"/>
      </w:pPr>
      <w:bookmarkStart w:id="308" w:name="bookmark308"/>
      <w:bookmarkStart w:id="309" w:name="bookmark309"/>
      <w:bookmarkStart w:id="310" w:name="bookmark310"/>
      <w:r>
        <w:rPr>
          <w:color w:val="000000"/>
          <w:spacing w:val="0"/>
          <w:w w:val="100"/>
          <w:position w:val="0"/>
          <w:sz w:val="24"/>
          <w:szCs w:val="24"/>
        </w:rPr>
        <w:t>十二、报告期内接待调研、沟通、采访等活动登记表</w:t>
      </w:r>
      <w:bookmarkEnd w:id="308"/>
      <w:bookmarkEnd w:id="309"/>
      <w:bookmarkEnd w:id="31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1272"/>
        <w:gridCol w:w="566"/>
        <w:gridCol w:w="710"/>
        <w:gridCol w:w="2928"/>
        <w:gridCol w:w="1042"/>
        <w:gridCol w:w="2064"/>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接待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接待对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谈论的主要</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内容及提供</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的资料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广东省深圳市 盐田区北山道 </w:t>
            </w:r>
            <w:r>
              <w:rPr>
                <w:rFonts w:ascii="Times New Roman" w:eastAsia="Times New Roman" w:hAnsi="Times New Roman" w:cs="Times New Roman"/>
                <w:color w:val="000000"/>
                <w:spacing w:val="0"/>
                <w:w w:val="100"/>
                <w:position w:val="0"/>
              </w:rPr>
              <w:t>136</w:t>
            </w:r>
            <w:r>
              <w:rPr>
                <w:color w:val="000000"/>
                <w:spacing w:val="0"/>
                <w:w w:val="100"/>
                <w:position w:val="0"/>
              </w:rPr>
              <w:t xml:space="preserve">号华大基因 </w:t>
            </w:r>
            <w:r>
              <w:rPr>
                <w:rFonts w:ascii="Times New Roman" w:eastAsia="Times New Roman" w:hAnsi="Times New Roman" w:cs="Times New Roman"/>
                <w:color w:val="000000"/>
                <w:spacing w:val="0"/>
                <w:w w:val="100"/>
                <w:position w:val="0"/>
              </w:rPr>
              <w:t>8</w:t>
            </w:r>
            <w:r>
              <w:rPr>
                <w:color w:val="000000"/>
                <w:spacing w:val="0"/>
                <w:w w:val="100"/>
                <w:position w:val="0"/>
              </w:rPr>
              <w:t>楼会议室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申万宏源：凌静怡，陈烨远；渤海 证券：张山峰，范钟允；高毅资 产：万明亮；正心谷资本：谢博 涛；兴全基金：邱晓旭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年前三季度 的经营状况 和各业务板 块产品布局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p>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r>
              <w:rPr>
                <w:color w:val="000000"/>
                <w:spacing w:val="0"/>
                <w:w w:val="100"/>
                <w:position w:val="0"/>
              </w:rPr>
              <w:t>披露的《华大基因：</w:t>
            </w:r>
          </w:p>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日投资者 关系活动记录表》</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号华大基 因会议室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电话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中信证券：陈竹、孙晓晖、谭震； 国信证券：朱寒青；西南证券：杜 向阳；东兴证券：胡博新、李勇； 国金证券：袁维、杨芳；东吴证 券：周新明、郑丁源；安信证券： 贺鑫；博道基金：任一林；明达资 产：张希源；江苏瑞华投资：张小 兵等；合计</w:t>
            </w:r>
            <w:r>
              <w:rPr>
                <w:rFonts w:ascii="Times New Roman" w:eastAsia="Times New Roman" w:hAnsi="Times New Roman" w:cs="Times New Roman"/>
                <w:color w:val="000000"/>
                <w:spacing w:val="0"/>
                <w:w w:val="100"/>
                <w:position w:val="0"/>
              </w:rPr>
              <w:t>102</w:t>
            </w: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年度业绩预</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计及相关业</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务情况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p>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日投资者 关系活动记录表》</w:t>
            </w:r>
          </w:p>
        </w:tc>
      </w:tr>
      <w:tr>
        <w:trPr>
          <w:trHeight w:val="28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广东省深圳市 盐田区北山道 </w:t>
            </w:r>
            <w:r>
              <w:rPr>
                <w:rFonts w:ascii="Times New Roman" w:eastAsia="Times New Roman" w:hAnsi="Times New Roman" w:cs="Times New Roman"/>
                <w:color w:val="000000"/>
                <w:spacing w:val="0"/>
                <w:w w:val="100"/>
                <w:position w:val="0"/>
              </w:rPr>
              <w:t>136</w:t>
            </w:r>
            <w:r>
              <w:rPr>
                <w:color w:val="000000"/>
                <w:spacing w:val="0"/>
                <w:w w:val="100"/>
                <w:position w:val="0"/>
              </w:rPr>
              <w:t xml:space="preserve">号华大基因 </w:t>
            </w:r>
            <w:r>
              <w:rPr>
                <w:rFonts w:ascii="Times New Roman" w:eastAsia="Times New Roman" w:hAnsi="Times New Roman" w:cs="Times New Roman"/>
                <w:color w:val="000000"/>
                <w:spacing w:val="0"/>
                <w:w w:val="100"/>
                <w:position w:val="0"/>
              </w:rPr>
              <w:t>7</w:t>
            </w:r>
            <w:r>
              <w:rPr>
                <w:color w:val="000000"/>
                <w:spacing w:val="0"/>
                <w:w w:val="100"/>
                <w:position w:val="0"/>
              </w:rPr>
              <w:t>楼</w:t>
            </w:r>
            <w:r>
              <w:rPr>
                <w:rFonts w:ascii="Times New Roman" w:eastAsia="Times New Roman" w:hAnsi="Times New Roman" w:cs="Times New Roman"/>
                <w:color w:val="000000"/>
                <w:spacing w:val="0"/>
                <w:w w:val="100"/>
                <w:position w:val="0"/>
              </w:rPr>
              <w:t>701</w:t>
            </w:r>
            <w:r>
              <w:rPr>
                <w:color w:val="000000"/>
                <w:spacing w:val="0"/>
                <w:w w:val="100"/>
                <w:position w:val="0"/>
              </w:rPr>
              <w:t>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电话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中信证券：陈竹、谭震；东方证 券：李峰；兴业证券：储乐延；海 通证券：及晶晶；高瓴资本：蒋 南、陈晔；华夏基金：罗鸣；勤远 投资：徐曼；中欧基金：缪始倩； 华安基金：苏绪盛；国寿养老：王 雁杰；中信证金：赵梦远、金骁、 刘喆；江苏瑞华投资：张小兵等； 合计</w:t>
            </w:r>
            <w:r>
              <w:rPr>
                <w:rFonts w:ascii="Times New Roman" w:eastAsia="Times New Roman" w:hAnsi="Times New Roman" w:cs="Times New Roman"/>
                <w:color w:val="000000"/>
                <w:spacing w:val="0"/>
                <w:w w:val="100"/>
                <w:position w:val="0"/>
              </w:rPr>
              <w:t>97</w:t>
            </w: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年年度和</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季度经营业</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绩和公司相</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关业务情况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p>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日投资者 关系活动记录表》</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全景网</w:t>
            </w:r>
            <w:r>
              <w:rPr>
                <w:rFonts w:ascii="Times New Roman" w:eastAsia="Times New Roman" w:hAnsi="Times New Roman" w:cs="Times New Roman"/>
                <w:color w:val="000000"/>
                <w:spacing w:val="0"/>
                <w:w w:val="100"/>
                <w:position w:val="0"/>
              </w:rPr>
              <w:t>“</w:t>
            </w:r>
            <w:r>
              <w:rPr>
                <w:color w:val="000000"/>
                <w:spacing w:val="0"/>
                <w:w w:val="100"/>
                <w:position w:val="0"/>
              </w:rPr>
              <w:t>投资者 关系互动平台</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"http://ir.p5w.n" </w:instrText>
            </w:r>
            <w:r>
              <w:fldChar w:fldCharType="separate"/>
            </w:r>
            <w:r>
              <w:rPr>
                <w:rFonts w:ascii="Times New Roman" w:eastAsia="Times New Roman" w:hAnsi="Times New Roman" w:cs="Times New Roman"/>
                <w:color w:val="000000"/>
                <w:spacing w:val="0"/>
                <w:w w:val="100"/>
                <w:position w:val="0"/>
              </w:rPr>
              <w:t>http://ir.p5w.n</w:t>
            </w:r>
            <w:r>
              <w:fldChar w:fldCharType="end"/>
            </w:r>
            <w:r>
              <w:rPr>
                <w:rFonts w:ascii="Times New Roman" w:eastAsia="Times New Roman" w:hAnsi="Times New Roman" w:cs="Times New Roman"/>
                <w:color w:val="000000"/>
                <w:spacing w:val="0"/>
                <w:w w:val="100"/>
                <w:position w:val="0"/>
              </w:rPr>
              <w:t xml:space="preserve"> et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通过全景网</w:t>
            </w:r>
            <w:r>
              <w:rPr>
                <w:rFonts w:ascii="Times New Roman" w:eastAsia="Times New Roman" w:hAnsi="Times New Roman" w:cs="Times New Roman"/>
                <w:color w:val="000000"/>
                <w:spacing w:val="0"/>
                <w:w w:val="100"/>
                <w:position w:val="0"/>
              </w:rPr>
              <w:t>“</w:t>
            </w:r>
            <w:r>
              <w:rPr>
                <w:color w:val="000000"/>
                <w:spacing w:val="0"/>
                <w:w w:val="100"/>
                <w:position w:val="0"/>
              </w:rPr>
              <w:t>投资者关系互动平台</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fldChar w:fldCharType="begin"/>
            </w:r>
            <w:r>
              <w:rPr/>
              <w:instrText> HYPERLINK "http://ir.p5w.net" </w:instrText>
            </w:r>
            <w:r>
              <w:fldChar w:fldCharType="separate"/>
            </w:r>
            <w:r>
              <w:rPr>
                <w:rFonts w:ascii="Times New Roman" w:eastAsia="Times New Roman" w:hAnsi="Times New Roman" w:cs="Times New Roman"/>
                <w:color w:val="000000"/>
                <w:spacing w:val="0"/>
                <w:w w:val="100"/>
                <w:position w:val="0"/>
              </w:rPr>
              <w:t>http://ir.p5w.net</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)参与公司 </w:t>
            </w:r>
            <w:r>
              <w:rPr>
                <w:rFonts w:ascii="Times New Roman" w:eastAsia="Times New Roman" w:hAnsi="Times New Roman" w:cs="Times New Roman"/>
                <w:color w:val="000000"/>
                <w:spacing w:val="0"/>
                <w:w w:val="100"/>
                <w:position w:val="0"/>
              </w:rPr>
              <w:t>2020</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年度网上业绩说明会的投资者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年度业绩和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经营情况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p>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r>
              <w:rPr>
                <w:color w:val="000000"/>
                <w:spacing w:val="0"/>
                <w:w w:val="100"/>
                <w:position w:val="0"/>
              </w:rPr>
              <w:t>披露的《华大基因：</w:t>
            </w:r>
          </w:p>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日投资者 关系活动记录表》</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 基因会议室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沟通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大成基金：戴军、杨挺、邹建、孟 繁卓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公司各主营 业务板块运 营情况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p>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日投资者 关系活动记录表》</w:t>
            </w:r>
          </w:p>
        </w:tc>
      </w:tr>
    </w:tbl>
    <w:p>
      <w:pPr>
        <w:spacing w:lineRule="exact" w:line="1"/>
        <w:rPr>
          <w:sz w:val="2"/>
          <w:szCs w:val="2"/>
        </w:rPr>
      </w:pPr>
      <w:r>
        <w:br w:type="page"/>
      </w:r>
    </w:p>
    <w:tbl>
      <w:tblPr>
        <w:tblOverlap w:val="never"/>
        <w:jc w:val="center"/>
        <w:tblLayout w:type="fixed"/>
      </w:tblPr>
      <w:tblGrid>
        <w:gridCol w:w="1003"/>
        <w:gridCol w:w="1272"/>
        <w:gridCol w:w="566"/>
        <w:gridCol w:w="710"/>
        <w:gridCol w:w="2928"/>
        <w:gridCol w:w="1042"/>
        <w:gridCol w:w="2064"/>
      </w:tblGrid>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 基因会议室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电话</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中信证券：陈竹、宋硕、谭震；兴 业证券：赵培森；天弘基金：郭相 博；兴华基金：冷文鹏；君和资 本：胡梦承；中融信托：赵晓媛； 中海基金：易小金；国泰君安：秦 瑶函；东方证券：李威；上海混沌 道然资产管理有限公司：周宇；鼎 晖投资：夏杨；沣沛投资：王锦坤 等</w:t>
            </w:r>
            <w:r>
              <w:rPr>
                <w:rFonts w:ascii="Times New Roman" w:eastAsia="Times New Roman" w:hAnsi="Times New Roman" w:cs="Times New Roman"/>
                <w:color w:val="000000"/>
                <w:spacing w:val="0"/>
                <w:w w:val="100"/>
                <w:position w:val="0"/>
              </w:rPr>
              <w:t>106</w:t>
            </w: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323" w:lineRule="exact"/>
              <w:ind w:left="0" w:right="0" w:firstLine="0"/>
              <w:jc w:val="both"/>
            </w:pPr>
            <w:r>
              <w:rPr>
                <w:color w:val="000000"/>
                <w:spacing w:val="0"/>
                <w:w w:val="100"/>
                <w:position w:val="0"/>
              </w:rPr>
              <w:t>年上半年经 营情况及公 司各板块业 务的发展情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r>
              <w:rPr>
                <w:color w:val="000000"/>
                <w:spacing w:val="0"/>
                <w:w w:val="100"/>
                <w:position w:val="0"/>
              </w:rPr>
              <w:t>披露的《华大基因：</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日投资者 关系活动记录表》</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 基因会议室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电话</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天风证券：杨松、徐晓欣；中天国 富：戴阳；富国基金：方辰左；嘉 实基金：谢泽林；睿远基金：唐 倩；中欧基金：田川；兴证资管： 刁举鹏；高毅资产：邓晓峰；大成 基金：陈泉龙；东方基金：党新 星；海通证券：贺文斌；北京宏道 投资管理有限公司：孙宗禹等</w:t>
            </w:r>
            <w:r>
              <w:rPr>
                <w:rFonts w:ascii="Times New Roman" w:eastAsia="Times New Roman" w:hAnsi="Times New Roman" w:cs="Times New Roman"/>
                <w:color w:val="000000"/>
                <w:spacing w:val="0"/>
                <w:w w:val="100"/>
                <w:position w:val="0"/>
              </w:rPr>
              <w:t xml:space="preserve">101 </w:t>
            </w: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323" w:lineRule="exact"/>
              <w:ind w:left="0" w:right="0" w:firstLine="0"/>
              <w:jc w:val="both"/>
            </w:pPr>
            <w:r>
              <w:rPr>
                <w:color w:val="000000"/>
                <w:spacing w:val="0"/>
                <w:w w:val="100"/>
                <w:position w:val="0"/>
              </w:rPr>
              <w:t>年上半年经 营情况及公 司各板块业 务的发展情 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p>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日投资者 关系活动记录表》</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 基因会议室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电话</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兴业证券：徐佳熹、赵培森；财通 证券：王哲；南银理财有限责任公 司：钱晟；国信证券：朱寒青；博 裕资本：李嘉冕；光大证券：刘 勇；泰康保险集团股份有限公司： 刘志林等</w:t>
            </w:r>
            <w:r>
              <w:rPr>
                <w:rFonts w:ascii="Times New Roman" w:eastAsia="Times New Roman" w:hAnsi="Times New Roman" w:cs="Times New Roman"/>
                <w:color w:val="000000"/>
                <w:spacing w:val="0"/>
                <w:w w:val="100"/>
                <w:position w:val="0"/>
              </w:rPr>
              <w:t>33</w:t>
            </w: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年半年度报</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告及相关业</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务情况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p>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日投资者 关系活动记录表》</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 基因会议室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电话</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安信证券：马帅、贺鑫；财通资 管：周奕涛；诚盛投资：杨洁；非 马投资：鲁长剑；高林资本：尤丹 丹；高瓴资本：蒋南、陈晔；国投 创益：高伟哲；嘉实基金：谢泽 林；海通证券：彭娉、郑琴；天风 证券：杨松、徐晓欣；西南证券： 周章庆；兴全基金：谢长雁；兴业 证券：孙媛媛；中信证券：陈竹、 谭震等</w:t>
            </w:r>
            <w:r>
              <w:rPr>
                <w:rFonts w:ascii="Times New Roman" w:eastAsia="Times New Roman" w:hAnsi="Times New Roman" w:cs="Times New Roman"/>
                <w:color w:val="000000"/>
                <w:spacing w:val="0"/>
                <w:w w:val="100"/>
                <w:position w:val="0"/>
              </w:rPr>
              <w:t>50</w:t>
            </w: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前三季度的 经营业绩及 相关业务情 况、公司未 来的战略发 展前景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r>
              <w:rPr>
                <w:rFonts w:ascii="Times New Roman" w:eastAsia="Times New Roman" w:hAnsi="Times New Roman" w:cs="Times New Roman"/>
                <w:color w:val="000000"/>
                <w:spacing w:val="0"/>
                <w:w w:val="100"/>
                <w:position w:val="0"/>
              </w:rPr>
              <w:t xml:space="preserve"> 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日投资 者关系活动记录表》</w:t>
            </w:r>
          </w:p>
        </w:tc>
      </w:tr>
      <w:tr>
        <w:trPr>
          <w:trHeight w:val="28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广东省深圳市 盐田区洪安三 街</w:t>
            </w:r>
            <w:r>
              <w:rPr>
                <w:rFonts w:ascii="Times New Roman" w:eastAsia="Times New Roman" w:hAnsi="Times New Roman" w:cs="Times New Roman"/>
                <w:color w:val="000000"/>
                <w:spacing w:val="0"/>
                <w:w w:val="100"/>
                <w:position w:val="0"/>
              </w:rPr>
              <w:t>21</w:t>
            </w:r>
            <w:r>
              <w:rPr>
                <w:color w:val="000000"/>
                <w:spacing w:val="0"/>
                <w:w w:val="100"/>
                <w:position w:val="0"/>
              </w:rPr>
              <w:t>号华大 基因会议室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电话</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海通证券：余文心、贺文斌、孟 陆、彭娉、郑琴；</w:t>
            </w:r>
            <w:r>
              <w:rPr>
                <w:rFonts w:ascii="Times New Roman" w:eastAsia="Times New Roman" w:hAnsi="Times New Roman" w:cs="Times New Roman"/>
                <w:color w:val="000000"/>
                <w:spacing w:val="0"/>
                <w:w w:val="100"/>
                <w:position w:val="0"/>
              </w:rPr>
              <w:t>Blackrock</w:t>
            </w:r>
            <w:r>
              <w:rPr>
                <w:color w:val="000000"/>
                <w:spacing w:val="0"/>
                <w:w w:val="100"/>
                <w:position w:val="0"/>
              </w:rPr>
              <w:t xml:space="preserve">： </w:t>
            </w:r>
            <w:r>
              <w:rPr>
                <w:rFonts w:ascii="Times New Roman" w:eastAsia="Times New Roman" w:hAnsi="Times New Roman" w:cs="Times New Roman"/>
                <w:color w:val="000000"/>
                <w:spacing w:val="0"/>
                <w:w w:val="100"/>
                <w:position w:val="0"/>
              </w:rPr>
              <w:t>Yaohan; China Chengtong Investment Company Limited</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Ann Wang </w:t>
            </w:r>
            <w:r>
              <w:rPr>
                <w:color w:val="000000"/>
                <w:spacing w:val="0"/>
                <w:w w:val="100"/>
                <w:position w:val="0"/>
              </w:rPr>
              <w:t xml:space="preserve">； </w:t>
            </w:r>
            <w:r>
              <w:rPr>
                <w:rFonts w:ascii="Times New Roman" w:eastAsia="Times New Roman" w:hAnsi="Times New Roman" w:cs="Times New Roman"/>
                <w:color w:val="000000"/>
                <w:spacing w:val="0"/>
                <w:w w:val="100"/>
                <w:position w:val="0"/>
              </w:rPr>
              <w:t>OrbiMed Advisors LLC</w:t>
            </w:r>
            <w:r>
              <w:rPr>
                <w:color w:val="000000"/>
                <w:spacing w:val="0"/>
                <w:w w:val="100"/>
                <w:position w:val="0"/>
              </w:rPr>
              <w:t xml:space="preserve">： </w:t>
            </w:r>
            <w:r>
              <w:rPr>
                <w:rFonts w:ascii="Times New Roman" w:eastAsia="Times New Roman" w:hAnsi="Times New Roman" w:cs="Times New Roman"/>
                <w:color w:val="000000"/>
                <w:spacing w:val="0"/>
                <w:w w:val="100"/>
                <w:position w:val="0"/>
              </w:rPr>
              <w:t>Claire Hu</w:t>
            </w:r>
            <w:r>
              <w:rPr>
                <w:color w:val="000000"/>
                <w:spacing w:val="0"/>
                <w:w w:val="100"/>
                <w:position w:val="0"/>
              </w:rPr>
              <w:t xml:space="preserve">； </w:t>
            </w:r>
            <w:r>
              <w:rPr>
                <w:color w:val="000000"/>
                <w:spacing w:val="0"/>
                <w:w w:val="100"/>
                <w:position w:val="0"/>
              </w:rPr>
              <w:t>上海中域投资有限公司：韩雪；东 兴基金马成骥；农银人寿：赵晶； 天弘基金：宋鹏、张秀磊；新华资 产管理股份有限公司：刘婷；混沌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前三季度的 经营业绩及 相关业务情 况、公司未 来的战略发 展前景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r>
              <w:rPr>
                <w:rFonts w:ascii="Times New Roman" w:eastAsia="Times New Roman" w:hAnsi="Times New Roman" w:cs="Times New Roman"/>
                <w:color w:val="000000"/>
                <w:spacing w:val="0"/>
                <w:w w:val="100"/>
                <w:position w:val="0"/>
              </w:rPr>
              <w:t xml:space="preserve"> 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日投资 者关系活动记录表》</w:t>
            </w:r>
          </w:p>
        </w:tc>
      </w:tr>
    </w:tbl>
    <w:p>
      <w:pPr>
        <w:spacing w:lineRule="exact" w:line="1"/>
        <w:rPr>
          <w:sz w:val="2"/>
          <w:szCs w:val="2"/>
        </w:rPr>
      </w:pPr>
      <w:r>
        <w:br w:type="page"/>
      </w:r>
    </w:p>
    <w:tbl>
      <w:tblPr>
        <w:tblOverlap w:val="never"/>
        <w:jc w:val="center"/>
        <w:tblLayout w:type="fixed"/>
      </w:tblPr>
      <w:tblGrid>
        <w:gridCol w:w="1003"/>
        <w:gridCol w:w="1272"/>
        <w:gridCol w:w="566"/>
        <w:gridCol w:w="710"/>
        <w:gridCol w:w="2928"/>
        <w:gridCol w:w="1042"/>
        <w:gridCol w:w="206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道然：周宇；高瓴资本：蒋南等</w:t>
            </w:r>
            <w:r>
              <w:rPr>
                <w:rFonts w:ascii="Times New Roman" w:eastAsia="Times New Roman" w:hAnsi="Times New Roman" w:cs="Times New Roman"/>
                <w:color w:val="000000"/>
                <w:spacing w:val="0"/>
                <w:w w:val="100"/>
                <w:position w:val="0"/>
              </w:rPr>
              <w:t xml:space="preserve">61 </w:t>
            </w:r>
            <w:r>
              <w:rPr>
                <w:color w:val="000000"/>
                <w:spacing w:val="0"/>
                <w:w w:val="100"/>
                <w:position w:val="0"/>
              </w:rPr>
              <w:t>家机构的</w:t>
            </w:r>
            <w:r>
              <w:rPr>
                <w:rFonts w:ascii="Times New Roman" w:eastAsia="Times New Roman" w:hAnsi="Times New Roman" w:cs="Times New Roman"/>
                <w:color w:val="000000"/>
                <w:spacing w:val="0"/>
                <w:w w:val="100"/>
                <w:position w:val="0"/>
              </w:rPr>
              <w:t>74</w:t>
            </w: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路演天</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下</w:t>
            </w:r>
            <w:r>
              <w:rPr>
                <w:rFonts w:ascii="Times New Roman" w:eastAsia="Times New Roman" w:hAnsi="Times New Roman" w:cs="Times New Roman"/>
                <w:color w:val="000000"/>
                <w:spacing w:val="0"/>
                <w:w w:val="100"/>
                <w:position w:val="0"/>
              </w:rPr>
              <w:t>”</w:t>
            </w:r>
            <w:r>
              <w:rPr>
                <w:color w:val="000000"/>
                <w:spacing w:val="0"/>
                <w:w w:val="100"/>
                <w:position w:val="0"/>
              </w:rPr>
              <w:t>网站</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"http://rs.p5w.n" </w:instrText>
            </w:r>
            <w:r>
              <w:fldChar w:fldCharType="separate"/>
            </w:r>
            <w:r>
              <w:rPr>
                <w:rFonts w:ascii="Times New Roman" w:eastAsia="Times New Roman" w:hAnsi="Times New Roman" w:cs="Times New Roman"/>
                <w:color w:val="000000"/>
                <w:spacing w:val="0"/>
                <w:w w:val="100"/>
                <w:position w:val="0"/>
              </w:rPr>
              <w:t>http://rs.p5w.n</w:t>
            </w:r>
            <w:r>
              <w:fldChar w:fldCharType="end"/>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et/</w:t>
            </w:r>
            <w:r>
              <w:rPr>
                <w:color w:val="000000"/>
                <w:spacing w:val="0"/>
                <w:w w:val="100"/>
                <w:position w:val="0"/>
              </w:rPr>
              <w:t>)</w:t>
            </w:r>
            <w:r>
              <w:rPr>
                <w:color w:val="000000"/>
                <w:spacing w:val="0"/>
                <w:w w:val="100"/>
                <w:position w:val="0"/>
              </w:rPr>
              <w:t>或微信公 众号：全景财 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rPr>
              <w:t>“</w:t>
            </w: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路演天下</w:t>
            </w:r>
            <w:r>
              <w:rPr>
                <w:rFonts w:ascii="Times New Roman" w:eastAsia="Times New Roman" w:hAnsi="Times New Roman" w:cs="Times New Roman"/>
                <w:color w:val="000000"/>
                <w:spacing w:val="0"/>
                <w:w w:val="100"/>
                <w:position w:val="0"/>
              </w:rPr>
              <w:t>”</w:t>
            </w:r>
            <w:r>
              <w:rPr>
                <w:color w:val="000000"/>
                <w:spacing w:val="0"/>
                <w:w w:val="100"/>
                <w:position w:val="0"/>
              </w:rPr>
              <w:t>网站</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fldChar w:fldCharType="begin"/>
            </w:r>
            <w:r>
              <w:rPr/>
              <w:instrText> HYPERLINK "http://rs.p5w.net/)%e6%88%96%e5%be%ae%e4%bf%a1%e5%85%ac%e4%bc%97%e5%8f%b7%ef%bc%9a" </w:instrText>
            </w:r>
            <w:r>
              <w:fldChar w:fldCharType="separate"/>
            </w:r>
            <w:r>
              <w:rPr>
                <w:rFonts w:ascii="Times New Roman" w:eastAsia="Times New Roman" w:hAnsi="Times New Roman" w:cs="Times New Roman"/>
                <w:color w:val="000000"/>
                <w:spacing w:val="0"/>
                <w:w w:val="100"/>
                <w:position w:val="0"/>
              </w:rPr>
              <w:t>http://rs.p5w.net/</w:t>
            </w:r>
            <w:r>
              <w:rPr>
                <w:color w:val="000000"/>
                <w:spacing w:val="0"/>
                <w:w w:val="100"/>
                <w:position w:val="0"/>
              </w:rPr>
              <w:t>)或微信公众号：</w:t>
            </w:r>
            <w:r>
              <w:fldChar w:fldCharType="end"/>
            </w:r>
            <w:r>
              <w:rPr>
                <w:color w:val="000000"/>
                <w:spacing w:val="0"/>
                <w:w w:val="100"/>
                <w:position w:val="0"/>
              </w:rPr>
              <w:t xml:space="preserve"> 全景财经，参与公司本次投资者集 体接待日活动的投资者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公司经营情</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况及相关业</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务情况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r>
              <w:rPr>
                <w:rFonts w:ascii="Times New Roman" w:eastAsia="Times New Roman" w:hAnsi="Times New Roman" w:cs="Times New Roman"/>
                <w:color w:val="000000"/>
                <w:spacing w:val="0"/>
                <w:w w:val="100"/>
                <w:position w:val="0"/>
              </w:rPr>
              <w:t xml:space="preserve"> 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日投资 者关系活动记录表》</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实地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浙商证券司清蕊；玖鹏资产邓 可；富荣基金管理有限公司杨皓 童；东莞山金资产管理有限公司陈 展智；上海正享投资管理有限公司 钟辉；安信证券贺鑫；华强集团 邹群；富荣基金：杨皓童、王诗 宇；广东博众张和润正；思诺铂基 金戎会长；卓岭基金邢奕才；君 茂资本陈晓燊；观澜湖投资谢举 德；领创投资杨长创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公司经营情</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况及相关业</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务情况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r>
              <w:rPr>
                <w:rFonts w:ascii="Times New Roman" w:eastAsia="Times New Roman" w:hAnsi="Times New Roman" w:cs="Times New Roman"/>
                <w:color w:val="000000"/>
                <w:spacing w:val="0"/>
                <w:w w:val="100"/>
                <w:position w:val="0"/>
              </w:rPr>
              <w:t xml:space="preserve"> 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-15</w:t>
            </w:r>
            <w:r>
              <w:rPr>
                <w:color w:val="000000"/>
                <w:spacing w:val="0"/>
                <w:w w:val="100"/>
                <w:position w:val="0"/>
              </w:rPr>
              <w:t>日 投资者关系活动记录表》</w:t>
            </w:r>
          </w:p>
        </w:tc>
      </w:tr>
      <w:tr>
        <w:trPr>
          <w:trHeight w:val="3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实地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浙商证券司清蕊；玖鹏资产邓 可；富荣基金管理有限公司杨皓 童；东莞山金资产管理有限公司陈 展智；上海正享投资管理有限公司 钟辉；安信证券贺鑫；华强集团 邹群；富荣基金：杨皓童、王诗 宇；广东博众张和润正；思诺铂基 金戎会长；卓岭基金邢奕才；君 茂资本陈晓燊；观澜湖投资谢举 德；领创投资杨长创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公司经营情</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况及相关业</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务情况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rPr>
              <w:t>http://www.cninfo.com.c</w:t>
            </w:r>
            <w:r>
              <w:fldChar w:fldCharType="end"/>
            </w:r>
            <w:r>
              <w:rPr>
                <w:rFonts w:ascii="Times New Roman" w:eastAsia="Times New Roman" w:hAnsi="Times New Roman" w:cs="Times New Roman"/>
                <w:color w:val="000000"/>
                <w:spacing w:val="0"/>
                <w:w w:val="100"/>
                <w:position w:val="0"/>
              </w:rPr>
              <w:t xml:space="preserve"> n</w:t>
            </w:r>
            <w:r>
              <w:rPr>
                <w:color w:val="000000"/>
                <w:spacing w:val="0"/>
                <w:w w:val="100"/>
                <w:position w:val="0"/>
              </w:rPr>
              <w:t>)</w:t>
            </w:r>
            <w:r>
              <w:rPr>
                <w:color w:val="000000"/>
                <w:spacing w:val="0"/>
                <w:w w:val="100"/>
                <w:position w:val="0"/>
              </w:rPr>
              <w:t xml:space="preserve">披露的《华大基因：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-15</w:t>
            </w:r>
            <w:r>
              <w:rPr>
                <w:color w:val="000000"/>
                <w:spacing w:val="0"/>
                <w:w w:val="100"/>
                <w:position w:val="0"/>
              </w:rPr>
              <w:t>日 投资者关系活动记录表》</w:t>
            </w:r>
          </w:p>
        </w:tc>
      </w:tr>
    </w:tbl>
    <w:p>
      <w:pPr>
        <w:sectPr>
          <w:footnotePr>
            <w:pos w:val="pageBottom"/>
            <w:numFmt w:val="decimal"/>
            <w:numRestart w:val="continuous"/>
          </w:footnotePr>
          <w:pgSz w:w="11900" w:h="16840"/>
          <w:pgMar w:top="1374" w:right="594" w:bottom="1436" w:left="655" w:header="0" w:footer="3" w:gutter="0"/>
          <w:cols w:space="720"/>
          <w:noEndnote/>
          <w:rtlGutter w:val="0"/>
          <w:docGrid w:linePitch="360"/>
        </w:sectPr>
      </w:pPr>
    </w:p>
    <w:p>
      <w:pPr>
        <w:pStyle w:val="Style10"/>
        <w:keepNext/>
        <w:keepLines/>
        <w:widowControl w:val="0"/>
        <w:shd w:val="clear" w:color="auto" w:fill="auto"/>
        <w:bidi w:val="0"/>
        <w:spacing w:before="520" w:after="560" w:line="240" w:lineRule="auto"/>
        <w:ind w:left="0" w:right="0" w:firstLine="0"/>
        <w:jc w:val="center"/>
      </w:pPr>
      <w:bookmarkStart w:id="311" w:name="bookmark311"/>
      <w:bookmarkStart w:id="312" w:name="bookmark312"/>
      <w:bookmarkStart w:id="313" w:name="bookmark313"/>
      <w:r>
        <w:rPr>
          <w:color w:val="000000"/>
          <w:spacing w:val="0"/>
          <w:w w:val="100"/>
          <w:position w:val="0"/>
        </w:rPr>
        <w:t>第四节公司治理</w:t>
      </w:r>
      <w:bookmarkEnd w:id="311"/>
      <w:bookmarkEnd w:id="312"/>
      <w:bookmarkEnd w:id="313"/>
    </w:p>
    <w:p>
      <w:pPr>
        <w:pStyle w:val="Style24"/>
        <w:keepNext/>
        <w:keepLines/>
        <w:widowControl w:val="0"/>
        <w:shd w:val="clear" w:color="auto" w:fill="auto"/>
        <w:bidi w:val="0"/>
        <w:spacing w:before="0" w:after="240" w:line="240" w:lineRule="auto"/>
        <w:ind w:left="0" w:right="0" w:firstLine="0"/>
        <w:jc w:val="left"/>
      </w:pPr>
      <w:bookmarkStart w:id="314" w:name="bookmark314"/>
      <w:bookmarkStart w:id="315" w:name="bookmark315"/>
      <w:bookmarkStart w:id="316" w:name="bookmark316"/>
      <w:bookmarkStart w:id="317" w:name="bookmark317"/>
      <w:bookmarkStart w:id="318" w:name="bookmark318"/>
      <w:r>
        <w:rPr>
          <w:color w:val="000000"/>
          <w:spacing w:val="0"/>
          <w:w w:val="100"/>
          <w:position w:val="0"/>
          <w:sz w:val="24"/>
          <w:szCs w:val="24"/>
        </w:rPr>
        <w:t>一</w:t>
      </w:r>
      <w:bookmarkEnd w:id="317"/>
      <w:r>
        <w:rPr>
          <w:color w:val="000000"/>
          <w:spacing w:val="0"/>
          <w:w w:val="100"/>
          <w:position w:val="0"/>
          <w:sz w:val="24"/>
          <w:szCs w:val="24"/>
        </w:rPr>
        <w:t>、公司治理的基本状况</w:t>
      </w:r>
      <w:bookmarkEnd w:id="315"/>
      <w:bookmarkEnd w:id="316"/>
      <w:bookmarkEnd w:id="318"/>
      <w:bookmarkEnd w:id="314"/>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报告期内，公司严格按照《公司法》《证券法》《上市公司治理准则》《深圳证券交易所创业板股票上市规则》（以下 简称《创业板上市规则》）、《深圳证券交易所上市公司自律监管指引第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号——创业板上市公司规范运作》（以下简称《创 业板规范运作》）等法律法规、规范性文件的要求，不断完善公司治理结构，持续健全公司内部控制制度，强化公司规范运 作，有效提高公司治理水平。</w:t>
      </w:r>
    </w:p>
    <w:p>
      <w:pPr>
        <w:pStyle w:val="Style17"/>
        <w:keepNext w:val="0"/>
        <w:keepLines w:val="0"/>
        <w:widowControl w:val="0"/>
        <w:shd w:val="clear" w:color="auto" w:fill="auto"/>
        <w:bidi w:val="0"/>
        <w:spacing w:before="0" w:line="314" w:lineRule="exact"/>
        <w:ind w:left="0" w:right="0"/>
        <w:jc w:val="both"/>
      </w:pPr>
      <w:r>
        <w:rPr>
          <w:color w:val="000000"/>
          <w:spacing w:val="0"/>
          <w:w w:val="100"/>
          <w:position w:val="0"/>
        </w:rPr>
        <w:t>截至报告期末，公司股东大会、董事会、监事会和经营管理层各机构权责分明、各司其职、相互制衡，确保公司决策、 执行、监督等各方面规范有效运作。公司治理的实际情况符合《上市公司治理准则》和《创业板规范运作》等相关法律法规 的要求。</w:t>
      </w:r>
    </w:p>
    <w:p>
      <w:pPr>
        <w:pStyle w:val="Style17"/>
        <w:keepNext w:val="0"/>
        <w:keepLines w:val="0"/>
        <w:widowControl w:val="0"/>
        <w:shd w:val="clear" w:color="auto" w:fill="auto"/>
        <w:tabs>
          <w:tab w:pos="861" w:val="left"/>
        </w:tabs>
        <w:bidi w:val="0"/>
        <w:spacing w:before="0" w:line="313" w:lineRule="exact"/>
        <w:ind w:left="0" w:right="0"/>
        <w:jc w:val="both"/>
      </w:pPr>
      <w:bookmarkStart w:id="319" w:name="bookmark319"/>
      <w:r>
        <w:rPr>
          <w:b/>
          <w:bCs/>
          <w:color w:val="000000"/>
          <w:spacing w:val="0"/>
          <w:w w:val="100"/>
          <w:position w:val="0"/>
        </w:rPr>
        <w:t>（</w:t>
      </w:r>
      <w:bookmarkEnd w:id="319"/>
      <w:r>
        <w:rPr>
          <w:b/>
          <w:bCs/>
          <w:color w:val="000000"/>
          <w:spacing w:val="0"/>
          <w:w w:val="100"/>
          <w:position w:val="0"/>
        </w:rPr>
        <w:t>一）</w:t>
        <w:tab/>
        <w:t>关于股东与股东大会</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公司严格按照《公司法》《上市公司股东大会规则》《公司章程》《股东大会议事规则》等的规定和要求召集、召开股 东大会，公司股东大会严格遵守表决事项和表决程序的有关规定，采取现场表决和网络投票相结合的方式召开，尽可能为股 东参加股东大会创造便利条件，对每一项需要审议的事项均设定充裕的时间给股东表达意见，确保全体股东特别是中小股东 享有平等地位、平等权利，合法充分地行使自身的权利，并承担相应的义务。</w:t>
      </w:r>
    </w:p>
    <w:p>
      <w:pPr>
        <w:pStyle w:val="Style17"/>
        <w:keepNext w:val="0"/>
        <w:keepLines w:val="0"/>
        <w:widowControl w:val="0"/>
        <w:shd w:val="clear" w:color="auto" w:fill="auto"/>
        <w:bidi w:val="0"/>
        <w:spacing w:before="0" w:line="313" w:lineRule="exact"/>
        <w:ind w:left="0" w:right="0" w:firstLine="0"/>
        <w:jc w:val="both"/>
      </w:pPr>
      <w:r>
        <w:rPr>
          <w:color w:val="000000"/>
          <w:spacing w:val="0"/>
          <w:w w:val="100"/>
          <w:position w:val="0"/>
        </w:rPr>
        <w:t>报告期内，公司严格按照相关规定召开股东大会，股东大会提案审议符合法定程序，公司聘请的法律顾问对历次股东大会进 行了见证并出具了法律意见书，确保会议召集、召开以及审议、表决程序符合相关法律规定；公司股东大会在审议每项议案 过程中，能够平等对待所有股东，认真听取股东的建议与意见，并就股东的提问和质询作出解释和说明，保证了中小股东的 话语权，切实维护了股东的合法权益。报告期内，公司共召开股东大会</w:t>
      </w:r>
      <w:r>
        <w:rPr>
          <w:rFonts w:ascii="Times New Roman" w:eastAsia="Times New Roman" w:hAnsi="Times New Roman" w:cs="Times New Roman"/>
          <w:color w:val="000000"/>
          <w:spacing w:val="0"/>
          <w:w w:val="100"/>
          <w:position w:val="0"/>
        </w:rPr>
        <w:t>3</w:t>
      </w:r>
      <w:r>
        <w:rPr>
          <w:color w:val="000000"/>
          <w:spacing w:val="0"/>
          <w:w w:val="100"/>
          <w:position w:val="0"/>
        </w:rPr>
        <w:t>次，审议并通过议案共计</w:t>
      </w:r>
      <w:r>
        <w:rPr>
          <w:rFonts w:ascii="Times New Roman" w:eastAsia="Times New Roman" w:hAnsi="Times New Roman" w:cs="Times New Roman"/>
          <w:color w:val="000000"/>
          <w:spacing w:val="0"/>
          <w:w w:val="100"/>
          <w:position w:val="0"/>
        </w:rPr>
        <w:t>20</w:t>
      </w:r>
      <w:r>
        <w:rPr>
          <w:color w:val="000000"/>
          <w:spacing w:val="0"/>
          <w:w w:val="100"/>
          <w:position w:val="0"/>
        </w:rPr>
        <w:t>项。</w:t>
      </w:r>
    </w:p>
    <w:p>
      <w:pPr>
        <w:pStyle w:val="Style17"/>
        <w:keepNext w:val="0"/>
        <w:keepLines w:val="0"/>
        <w:widowControl w:val="0"/>
        <w:shd w:val="clear" w:color="auto" w:fill="auto"/>
        <w:tabs>
          <w:tab w:pos="861" w:val="left"/>
        </w:tabs>
        <w:bidi w:val="0"/>
        <w:spacing w:before="0" w:line="313" w:lineRule="exact"/>
        <w:ind w:left="0" w:right="0"/>
        <w:jc w:val="both"/>
      </w:pPr>
      <w:bookmarkStart w:id="320" w:name="bookmark320"/>
      <w:r>
        <w:rPr>
          <w:b/>
          <w:bCs/>
          <w:color w:val="000000"/>
          <w:spacing w:val="0"/>
          <w:w w:val="100"/>
          <w:position w:val="0"/>
        </w:rPr>
        <w:t>（</w:t>
      </w:r>
      <w:bookmarkEnd w:id="320"/>
      <w:r>
        <w:rPr>
          <w:b/>
          <w:bCs/>
          <w:color w:val="000000"/>
          <w:spacing w:val="0"/>
          <w:w w:val="100"/>
          <w:position w:val="0"/>
        </w:rPr>
        <w:t>二）</w:t>
        <w:tab/>
        <w:t>关于公司与控股股东、实际控制人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公司拥有独立完整的业务体系和自主经营能力，在业务、人员、资产、管理机构、财务核算上独立于控股股东、实际控 制人及其控制的其他企业，符合中国证监会关于上市公司独立性的相关规定。公司董事会、监事会和其他内部机构独立运作， 保证了公司的独立经营、独立承担责任和风险的能力。</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公司控股股东华大控股、实际控制人汪建先生严格按照《创业板上市规则》《创业板规范运作》《公司章程》等相关规 定和要求规范自身行为，通过股东大会依法行使其权利并承担义务，不存在超越股东大会直接或间接干预公司重大事项决策 和经营活动及利用其控制地位侵害其他股东利益的行为。报告期内，公司不存在为控股股东及其关联企业提供担保，亦不存 在控股股东占用公司非经营性资金的情形。</w:t>
      </w:r>
    </w:p>
    <w:p>
      <w:pPr>
        <w:pStyle w:val="Style17"/>
        <w:keepNext w:val="0"/>
        <w:keepLines w:val="0"/>
        <w:widowControl w:val="0"/>
        <w:shd w:val="clear" w:color="auto" w:fill="auto"/>
        <w:tabs>
          <w:tab w:pos="861" w:val="left"/>
        </w:tabs>
        <w:bidi w:val="0"/>
        <w:spacing w:before="0" w:line="313" w:lineRule="exact"/>
        <w:ind w:left="0" w:right="0"/>
        <w:jc w:val="both"/>
      </w:pPr>
      <w:bookmarkStart w:id="321" w:name="bookmark321"/>
      <w:r>
        <w:rPr>
          <w:b/>
          <w:bCs/>
          <w:color w:val="000000"/>
          <w:spacing w:val="0"/>
          <w:w w:val="100"/>
          <w:position w:val="0"/>
        </w:rPr>
        <w:t>（</w:t>
      </w:r>
      <w:bookmarkEnd w:id="321"/>
      <w:r>
        <w:rPr>
          <w:b/>
          <w:bCs/>
          <w:color w:val="000000"/>
          <w:spacing w:val="0"/>
          <w:w w:val="100"/>
          <w:position w:val="0"/>
        </w:rPr>
        <w:t>三）</w:t>
        <w:tab/>
        <w:t>关于董事和董事会</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公司严格按照法律法规和《公司章程》规定的选聘标准和选任程序选举董事。公司董事会设董事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 包含会计专业人士</w:t>
      </w:r>
      <w:r>
        <w:rPr>
          <w:rFonts w:ascii="Times New Roman" w:eastAsia="Times New Roman" w:hAnsi="Times New Roman" w:cs="Times New Roman"/>
          <w:color w:val="000000"/>
          <w:spacing w:val="0"/>
          <w:w w:val="100"/>
          <w:position w:val="0"/>
        </w:rPr>
        <w:t>1</w:t>
      </w:r>
      <w:r>
        <w:rPr>
          <w:color w:val="000000"/>
          <w:spacing w:val="0"/>
          <w:w w:val="100"/>
          <w:position w:val="0"/>
        </w:rPr>
        <w:t>名。董事会的人数及人员构成符合法律、法规和《公司章程》的要求。全体董事能够依据《创业板规范 运作》《董事会议事规则》《独立董事制度》的要求开展工作，任职期间按规定出席董事会和股东大会，勤勉尽责地履行职 责和义务；持续关注公司经营状况、财务状况和重大事件的进展情况，主动调查和获取做出决策所需的资料；主动参加相关 培训，熟悉相关法律法规，提高履职能力。独立董事独立于公司实际控制人、控股股东和其他关联方，独立履行职责，充分 发挥了制约、监督作用及各自的专业特长，对于公司相关重大事项能够独立地作出判断并发表意见，切实维护了公司和股东 的利益，尤其是中小股东的利益。</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根据《上市公司治理准则》的要求，公司董事会下设审计委员会、薪酬与考核委员会和提名委员会，并制定了各委员会 实施细则。各专门委员会分工明确，严格按照有关法律法规、《公司章程》和各专门委员会实施细则的规定履行职责，均由 独立董事担任召集人，不受公司任何其他部门和个人的干预，为董事会的决策提供了科学和专业的意见。</w:t>
      </w:r>
    </w:p>
    <w:p>
      <w:pPr>
        <w:pStyle w:val="Style17"/>
        <w:keepNext w:val="0"/>
        <w:keepLines w:val="0"/>
        <w:widowControl w:val="0"/>
        <w:shd w:val="clear" w:color="auto" w:fill="auto"/>
        <w:bidi w:val="0"/>
        <w:spacing w:before="0" w:after="120" w:line="313" w:lineRule="exact"/>
        <w:ind w:left="0" w:right="0" w:firstLine="0"/>
        <w:jc w:val="both"/>
      </w:pPr>
      <w:r>
        <w:rPr>
          <w:color w:val="000000"/>
          <w:spacing w:val="0"/>
          <w:w w:val="100"/>
          <w:position w:val="0"/>
        </w:rPr>
        <w:t xml:space="preserve">公司董事会会议的召集、召开和表决程序均符合相关规定的要求，历次董事会会议记录内容真实、准确、完整，会议决议做 </w:t>
      </w:r>
      <w:r>
        <w:rPr>
          <w:color w:val="000000"/>
          <w:spacing w:val="0"/>
          <w:w w:val="100"/>
          <w:position w:val="0"/>
        </w:rPr>
        <w:t>到真实、准确、完整、及时、公平地披露。报告期内，董事会依法履行了《公司法》《公司章程》赋予的权利和义务，决策 程序合法合规，运作规范高效，不存在违反相关法律法规行使职权的行为。报告期内，公司共召开董事会</w:t>
      </w:r>
      <w:r>
        <w:rPr>
          <w:rFonts w:ascii="Times New Roman" w:eastAsia="Times New Roman" w:hAnsi="Times New Roman" w:cs="Times New Roman"/>
          <w:color w:val="000000"/>
          <w:spacing w:val="0"/>
          <w:w w:val="100"/>
          <w:position w:val="0"/>
        </w:rPr>
        <w:t>10</w:t>
      </w:r>
      <w:r>
        <w:rPr>
          <w:color w:val="000000"/>
          <w:spacing w:val="0"/>
          <w:w w:val="100"/>
          <w:position w:val="0"/>
        </w:rPr>
        <w:t>次，审议并通过 议案共计</w:t>
      </w:r>
      <w:r>
        <w:rPr>
          <w:rFonts w:ascii="Times New Roman" w:eastAsia="Times New Roman" w:hAnsi="Times New Roman" w:cs="Times New Roman"/>
          <w:color w:val="000000"/>
          <w:spacing w:val="0"/>
          <w:w w:val="100"/>
          <w:position w:val="0"/>
        </w:rPr>
        <w:t>54</w:t>
      </w:r>
      <w:r>
        <w:rPr>
          <w:color w:val="000000"/>
          <w:spacing w:val="0"/>
          <w:w w:val="100"/>
          <w:position w:val="0"/>
        </w:rPr>
        <w:t>项。</w:t>
      </w:r>
    </w:p>
    <w:p>
      <w:pPr>
        <w:pStyle w:val="Style17"/>
        <w:keepNext w:val="0"/>
        <w:keepLines w:val="0"/>
        <w:widowControl w:val="0"/>
        <w:shd w:val="clear" w:color="auto" w:fill="auto"/>
        <w:tabs>
          <w:tab w:pos="861" w:val="left"/>
        </w:tabs>
        <w:bidi w:val="0"/>
        <w:spacing w:before="0" w:after="120" w:line="312" w:lineRule="exact"/>
        <w:ind w:left="0" w:right="0"/>
        <w:jc w:val="both"/>
      </w:pPr>
      <w:bookmarkStart w:id="322" w:name="bookmark322"/>
      <w:r>
        <w:rPr>
          <w:b/>
          <w:bCs/>
          <w:color w:val="000000"/>
          <w:spacing w:val="0"/>
          <w:w w:val="100"/>
          <w:position w:val="0"/>
        </w:rPr>
        <w:t>（</w:t>
      </w:r>
      <w:bookmarkEnd w:id="322"/>
      <w:r>
        <w:rPr>
          <w:b/>
          <w:bCs/>
          <w:color w:val="000000"/>
          <w:spacing w:val="0"/>
          <w:w w:val="100"/>
          <w:position w:val="0"/>
        </w:rPr>
        <w:t>四）</w:t>
        <w:tab/>
        <w:t>关于监事和监事会</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公司严格按照《公司法》《公司章程》等法律法规的选聘标准和选任程序选举监事。公司监事会设监事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 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名，监事会的人数和构成符合法律法规和《公司章程》的要求；公司监事能够按照《公司章程》《监事会议事规则》 等的规定，认真履行监督职责，对公司财务状况、募集资金使用与管理、关联交易、提供担保等重大事项以及公司董事、高 级管理人员履行职责的合法合规性进行有效监督，持续关注公司经营情况，行使《公司章程》赋予的其他职权，维护公司及 股东的合法权益。</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报告期内，公司监事会会议的召集、召开和表决程序符合《公司章程》《监事会议事规则》的相关规定，各位监事能够 按照有关规定出席监事会会议，认真审议各项议案，勤勉尽责，依法行使职权，对完善公司治理结构和规范运作发挥了积极 的作用。报告期内，公司共召开监事会</w:t>
      </w:r>
      <w:r>
        <w:rPr>
          <w:rFonts w:ascii="Times New Roman" w:eastAsia="Times New Roman" w:hAnsi="Times New Roman" w:cs="Times New Roman"/>
          <w:color w:val="000000"/>
          <w:spacing w:val="0"/>
          <w:w w:val="100"/>
          <w:position w:val="0"/>
        </w:rPr>
        <w:t>9</w:t>
      </w:r>
      <w:r>
        <w:rPr>
          <w:color w:val="000000"/>
          <w:spacing w:val="0"/>
          <w:w w:val="100"/>
          <w:position w:val="0"/>
        </w:rPr>
        <w:t>次，审议并通过议案共计</w:t>
      </w:r>
      <w:r>
        <w:rPr>
          <w:rFonts w:ascii="Times New Roman" w:eastAsia="Times New Roman" w:hAnsi="Times New Roman" w:cs="Times New Roman"/>
          <w:color w:val="000000"/>
          <w:spacing w:val="0"/>
          <w:w w:val="100"/>
          <w:position w:val="0"/>
        </w:rPr>
        <w:t>36</w:t>
      </w:r>
      <w:r>
        <w:rPr>
          <w:color w:val="000000"/>
          <w:spacing w:val="0"/>
          <w:w w:val="100"/>
          <w:position w:val="0"/>
        </w:rPr>
        <w:t>项。</w:t>
      </w:r>
    </w:p>
    <w:p>
      <w:pPr>
        <w:pStyle w:val="Style17"/>
        <w:keepNext w:val="0"/>
        <w:keepLines w:val="0"/>
        <w:widowControl w:val="0"/>
        <w:shd w:val="clear" w:color="auto" w:fill="auto"/>
        <w:tabs>
          <w:tab w:pos="861" w:val="left"/>
        </w:tabs>
        <w:bidi w:val="0"/>
        <w:spacing w:before="0" w:after="120" w:line="312" w:lineRule="exact"/>
        <w:ind w:left="0" w:right="0"/>
        <w:jc w:val="both"/>
      </w:pPr>
      <w:bookmarkStart w:id="323" w:name="bookmark323"/>
      <w:r>
        <w:rPr>
          <w:b/>
          <w:bCs/>
          <w:color w:val="000000"/>
          <w:spacing w:val="0"/>
          <w:w w:val="100"/>
          <w:position w:val="0"/>
        </w:rPr>
        <w:t>（</w:t>
      </w:r>
      <w:bookmarkEnd w:id="323"/>
      <w:r>
        <w:rPr>
          <w:b/>
          <w:bCs/>
          <w:color w:val="000000"/>
          <w:spacing w:val="0"/>
          <w:w w:val="100"/>
          <w:position w:val="0"/>
        </w:rPr>
        <w:t>五）</w:t>
        <w:tab/>
        <w:t>关于绩效评价与激励约束机制</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公司建立了较为完善的绩效评价与激励约束机制，董事、监事、高级管理人员的绩效评价标准和评价程序公正透明，其 收入与企业经营业绩挂钩，公司现有考核及激励约束机制符合公司现阶段实际发展的要求，公司将不断完善董事、监事、高 级管理人员绩效评价标准和激励约束机制。</w:t>
      </w:r>
    </w:p>
    <w:p>
      <w:pPr>
        <w:pStyle w:val="Style17"/>
        <w:keepNext w:val="0"/>
        <w:keepLines w:val="0"/>
        <w:widowControl w:val="0"/>
        <w:shd w:val="clear" w:color="auto" w:fill="auto"/>
        <w:tabs>
          <w:tab w:pos="861" w:val="left"/>
        </w:tabs>
        <w:bidi w:val="0"/>
        <w:spacing w:before="0" w:after="120" w:line="312" w:lineRule="exact"/>
        <w:ind w:left="0" w:right="0"/>
        <w:jc w:val="both"/>
      </w:pPr>
      <w:bookmarkStart w:id="324" w:name="bookmark324"/>
      <w:r>
        <w:rPr>
          <w:b/>
          <w:bCs/>
          <w:color w:val="000000"/>
          <w:spacing w:val="0"/>
          <w:w w:val="100"/>
          <w:position w:val="0"/>
        </w:rPr>
        <w:t>（</w:t>
      </w:r>
      <w:bookmarkEnd w:id="324"/>
      <w:r>
        <w:rPr>
          <w:b/>
          <w:bCs/>
          <w:color w:val="000000"/>
          <w:spacing w:val="0"/>
          <w:w w:val="100"/>
          <w:position w:val="0"/>
        </w:rPr>
        <w:t>六）</w:t>
        <w:tab/>
        <w:t>关于信息披露与透明度</w:t>
      </w:r>
    </w:p>
    <w:p>
      <w:pPr>
        <w:pStyle w:val="Style17"/>
        <w:keepNext w:val="0"/>
        <w:keepLines w:val="0"/>
        <w:widowControl w:val="0"/>
        <w:shd w:val="clear" w:color="auto" w:fill="auto"/>
        <w:bidi w:val="0"/>
        <w:spacing w:before="0" w:after="120" w:line="313" w:lineRule="exact"/>
        <w:ind w:left="0" w:right="0"/>
        <w:jc w:val="both"/>
      </w:pPr>
      <w:r>
        <w:rPr>
          <w:color w:val="000000"/>
          <w:spacing w:val="0"/>
          <w:w w:val="100"/>
          <w:position w:val="0"/>
        </w:rPr>
        <w:t xml:space="preserve">公司高度重视信息披露工作，严格按照《上市公司信息披露管理办法》《创业板上市规则》《创业板规范运作》以及公 司《信息披露管理制度》《重大信息内部报告制度》等相关规定，真实、准确、完整、及时、公平地披露信息。同时，明确 董事长为公司信息披露工作第一责任人，董事会秘书为信息披露工作主要责任人，公司证券部为信息披露事务的日常管理部 门。公司选定《证券日报》《中国证券报》《证券时报》《上海证券报》为公司信息披露纸质媒体，巨潮资讯网 </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为符合中国证监会规定条件的信息披露网站。报告期内，公司持续加强信息披露的规范性、保</w:t>
      </w:r>
      <w:r>
        <w:rPr>
          <w:color w:val="000000"/>
          <w:spacing w:val="0"/>
          <w:w w:val="100"/>
          <w:position w:val="0"/>
        </w:rPr>
        <w:t xml:space="preserve"> 证信息披露的透明度，确保所有股东能公平地获取公司信息。</w:t>
      </w:r>
    </w:p>
    <w:p>
      <w:pPr>
        <w:pStyle w:val="Style17"/>
        <w:keepNext w:val="0"/>
        <w:keepLines w:val="0"/>
        <w:widowControl w:val="0"/>
        <w:shd w:val="clear" w:color="auto" w:fill="auto"/>
        <w:tabs>
          <w:tab w:pos="861" w:val="left"/>
        </w:tabs>
        <w:bidi w:val="0"/>
        <w:spacing w:before="0" w:after="120" w:line="312" w:lineRule="exact"/>
        <w:ind w:left="0" w:right="0"/>
        <w:jc w:val="both"/>
      </w:pPr>
      <w:bookmarkStart w:id="325" w:name="bookmark325"/>
      <w:r>
        <w:rPr>
          <w:b/>
          <w:bCs/>
          <w:color w:val="000000"/>
          <w:spacing w:val="0"/>
          <w:w w:val="100"/>
          <w:position w:val="0"/>
        </w:rPr>
        <w:t>（</w:t>
      </w:r>
      <w:bookmarkEnd w:id="325"/>
      <w:r>
        <w:rPr>
          <w:b/>
          <w:bCs/>
          <w:color w:val="000000"/>
          <w:spacing w:val="0"/>
          <w:w w:val="100"/>
          <w:position w:val="0"/>
        </w:rPr>
        <w:t>七）</w:t>
        <w:tab/>
        <w:t>关于内部审计制度的建立与执行情况</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公司董事会下设审计委员会，审计委员会下设内审内控部为日常办事机构，并配置了专职内部审计人员。为加强内部控 制活动的监督和评价，有效控制风险，公司制定了《董事会审计委员会实施细则》《内部审计工作制度》，由审计委员会负 责公司内、外部审计的沟通、监督和核查工作。内审内控部对公司内部控制制度的完整性、合理性及实施的有效性进行检查 和监督，结合公司会计资料及其他有关经济资料，反映财务收支及有关的经济活动的合法性、合规性、真实性和完整性进行 审计，包括但不限于财务报告、募集资金使用、经营专项等，及时向审计委员会提交工作计划并汇报审计工作报告，就审 计过程中发现的问题进行督促整改。</w:t>
      </w:r>
    </w:p>
    <w:p>
      <w:pPr>
        <w:pStyle w:val="Style17"/>
        <w:keepNext w:val="0"/>
        <w:keepLines w:val="0"/>
        <w:widowControl w:val="0"/>
        <w:shd w:val="clear" w:color="auto" w:fill="auto"/>
        <w:tabs>
          <w:tab w:pos="861" w:val="left"/>
        </w:tabs>
        <w:bidi w:val="0"/>
        <w:spacing w:before="0" w:after="120" w:line="312" w:lineRule="exact"/>
        <w:ind w:left="0" w:right="0"/>
        <w:jc w:val="both"/>
      </w:pPr>
      <w:bookmarkStart w:id="326" w:name="bookmark326"/>
      <w:r>
        <w:rPr>
          <w:b/>
          <w:bCs/>
          <w:color w:val="000000"/>
          <w:spacing w:val="0"/>
          <w:w w:val="100"/>
          <w:position w:val="0"/>
        </w:rPr>
        <w:t>（</w:t>
      </w:r>
      <w:bookmarkEnd w:id="326"/>
      <w:r>
        <w:rPr>
          <w:b/>
          <w:bCs/>
          <w:color w:val="000000"/>
          <w:spacing w:val="0"/>
          <w:w w:val="100"/>
          <w:position w:val="0"/>
        </w:rPr>
        <w:t>八）</w:t>
        <w:tab/>
        <w:t>关于投资者关系管理</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公司高度重视投资者关系管理工作，严格按照相关法律法规及《投资者关系管理制度》的要求开展投资者关系工作。公 司指定董事会秘书为公司投资者关系管理负责人，公司证券部为投资者关系管理职能部门，具体负责公司投资者关系的日常 管理工作。本着公平、公正、公开的原则，公司通过投资者调研、业绩说明会、专线电话、传真、专用邮箱、深交所</w:t>
      </w:r>
      <w:r>
        <w:rPr>
          <w:rFonts w:ascii="Times New Roman" w:eastAsia="Times New Roman" w:hAnsi="Times New Roman" w:cs="Times New Roman"/>
          <w:color w:val="000000"/>
          <w:spacing w:val="0"/>
          <w:w w:val="100"/>
          <w:position w:val="0"/>
        </w:rPr>
        <w:t>“</w:t>
      </w:r>
      <w:r>
        <w:rPr>
          <w:color w:val="000000"/>
          <w:spacing w:val="0"/>
          <w:w w:val="100"/>
          <w:position w:val="0"/>
        </w:rPr>
        <w:t>互动 易</w:t>
      </w:r>
      <w:r>
        <w:rPr>
          <w:rFonts w:ascii="Times New Roman" w:eastAsia="Times New Roman" w:hAnsi="Times New Roman" w:cs="Times New Roman"/>
          <w:color w:val="000000"/>
          <w:spacing w:val="0"/>
          <w:w w:val="100"/>
          <w:position w:val="0"/>
        </w:rPr>
        <w:t>,</w:t>
      </w:r>
      <w:r>
        <w:rPr>
          <w:color w:val="000000"/>
          <w:spacing w:val="0"/>
          <w:w w:val="100"/>
          <w:position w:val="0"/>
        </w:rPr>
        <w:t>，平台等渠道向投资者传递影响其价值判断和决策的相关信息，与股东充分交流、保持良好互动；认真回复投资者关注的 相关问题，客观、真实、准确、完整地介绍公司实际情况并做好风险提示，严格按照信息披露的相关要求，及时公告业绩说 明会、投资者调研等投资者活动记录的内容，促进与投资者良性互动，切实提高公司的透明度，树立公司在资本市场的良好 形象。</w:t>
      </w:r>
    </w:p>
    <w:p>
      <w:pPr>
        <w:pStyle w:val="Style17"/>
        <w:keepNext w:val="0"/>
        <w:keepLines w:val="0"/>
        <w:widowControl w:val="0"/>
        <w:shd w:val="clear" w:color="auto" w:fill="auto"/>
        <w:tabs>
          <w:tab w:pos="861" w:val="left"/>
        </w:tabs>
        <w:bidi w:val="0"/>
        <w:spacing w:before="0" w:after="120" w:line="312" w:lineRule="exact"/>
        <w:ind w:left="0" w:right="0"/>
        <w:jc w:val="both"/>
      </w:pPr>
      <w:bookmarkStart w:id="327" w:name="bookmark327"/>
      <w:r>
        <w:rPr>
          <w:b/>
          <w:bCs/>
          <w:color w:val="000000"/>
          <w:spacing w:val="0"/>
          <w:w w:val="100"/>
          <w:position w:val="0"/>
        </w:rPr>
        <w:t>（</w:t>
      </w:r>
      <w:bookmarkEnd w:id="327"/>
      <w:r>
        <w:rPr>
          <w:b/>
          <w:bCs/>
          <w:color w:val="000000"/>
          <w:spacing w:val="0"/>
          <w:w w:val="100"/>
          <w:position w:val="0"/>
        </w:rPr>
        <w:t>九）</w:t>
        <w:tab/>
        <w:t>关于相关利益者</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公司充分尊重和维护相关利益者的合法权益，重视公司的社会责任，加强与各方的沟通和交流，力求实现股东、员工、 </w:t>
      </w:r>
      <w:r>
        <w:rPr>
          <w:color w:val="000000"/>
          <w:spacing w:val="0"/>
          <w:w w:val="100"/>
          <w:position w:val="0"/>
        </w:rPr>
        <w:t>社会等各方利益的协调平衡。在公司持续健康发展、实现股东利益的同时，严格遵守各项行政法规，关注环境保护，积极参 与公益事业，维护公司社会形象。</w:t>
      </w:r>
    </w:p>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300" w:line="312" w:lineRule="exact"/>
        <w:ind w:left="0" w:right="0"/>
        <w:jc w:val="left"/>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499" w:val="left"/>
        </w:tabs>
        <w:bidi w:val="0"/>
        <w:spacing w:before="0" w:after="240" w:line="331" w:lineRule="exact"/>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二</w:t>
      </w:r>
      <w:bookmarkEnd w:id="330"/>
      <w:r>
        <w:rPr>
          <w:color w:val="000000"/>
          <w:spacing w:val="0"/>
          <w:w w:val="100"/>
          <w:position w:val="0"/>
          <w:sz w:val="24"/>
          <w:szCs w:val="24"/>
        </w:rPr>
        <w:t>、</w:t>
        <w:tab/>
        <w:t>公司相对于控股股东、实际控制人在保证公司资产、人员、财务、机构、业务等方面的 独立情况</w:t>
      </w:r>
      <w:bookmarkEnd w:id="328"/>
      <w:bookmarkEnd w:id="329"/>
      <w:bookmarkEnd w:id="331"/>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公司严格按照《公司法》《证券法》等有关法律法规及《公司章程》的相关要求规范运作，报告期内，公司与控股股东 深圳华大基因科技有限公司在资产、人员、财务、机构、业务等方面相互独立，具有完整的业务体系和直接面向市场独立经 营的能力。</w:t>
      </w:r>
    </w:p>
    <w:p>
      <w:pPr>
        <w:pStyle w:val="Style17"/>
        <w:keepNext w:val="0"/>
        <w:keepLines w:val="0"/>
        <w:widowControl w:val="0"/>
        <w:shd w:val="clear" w:color="auto" w:fill="auto"/>
        <w:tabs>
          <w:tab w:pos="879" w:val="left"/>
        </w:tabs>
        <w:bidi w:val="0"/>
        <w:spacing w:before="0" w:after="0" w:line="312" w:lineRule="exact"/>
        <w:ind w:left="0" w:right="0"/>
        <w:jc w:val="left"/>
      </w:pPr>
      <w:bookmarkStart w:id="332" w:name="bookmark332"/>
      <w:r>
        <w:rPr>
          <w:color w:val="000000"/>
          <w:spacing w:val="0"/>
          <w:w w:val="100"/>
          <w:position w:val="0"/>
        </w:rPr>
        <w:t>（</w:t>
      </w:r>
      <w:bookmarkEnd w:id="332"/>
      <w:r>
        <w:rPr>
          <w:color w:val="000000"/>
          <w:spacing w:val="0"/>
          <w:w w:val="100"/>
          <w:position w:val="0"/>
        </w:rPr>
        <w:t>一）</w:t>
        <w:tab/>
        <w:t>资产独立</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公司作为业内领先的多组学科学技术服务提供商和精准医疗服务运营商，已具备与经营有关的业务体系及主要相关资 产，拥有独立完整的采购、生产、销售系统及运营设施，合法拥有与生产经营有关的主要土地、厂房、机器设备以及商标、 专利、非专利技术的所有权或者使用权，具有独立的原料采购和服务提供系统。公司资产独立完整，权属清晰，不存在控股 股东及其他关联方违规占用公司资产的情形。</w:t>
      </w:r>
    </w:p>
    <w:p>
      <w:pPr>
        <w:pStyle w:val="Style17"/>
        <w:keepNext w:val="0"/>
        <w:keepLines w:val="0"/>
        <w:widowControl w:val="0"/>
        <w:shd w:val="clear" w:color="auto" w:fill="auto"/>
        <w:tabs>
          <w:tab w:pos="879" w:val="left"/>
        </w:tabs>
        <w:bidi w:val="0"/>
        <w:spacing w:before="0" w:after="0" w:line="312" w:lineRule="exact"/>
        <w:ind w:left="0" w:right="0"/>
        <w:jc w:val="left"/>
      </w:pPr>
      <w:bookmarkStart w:id="333" w:name="bookmark333"/>
      <w:r>
        <w:rPr>
          <w:color w:val="000000"/>
          <w:spacing w:val="0"/>
          <w:w w:val="100"/>
          <w:position w:val="0"/>
        </w:rPr>
        <w:t>（</w:t>
      </w:r>
      <w:bookmarkEnd w:id="333"/>
      <w:r>
        <w:rPr>
          <w:color w:val="000000"/>
          <w:spacing w:val="0"/>
          <w:w w:val="100"/>
          <w:position w:val="0"/>
        </w:rPr>
        <w:t>二）</w:t>
        <w:tab/>
        <w:t>人员独立</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公司建立健全了法人治理结构，董事、监事及高级管理人员严格按照《公司法》《公司章程》的相关规定选举和聘任， 不存在控股股东指派或干预高级管理人员任免的情形。公司总经理</w:t>
      </w:r>
      <w:r>
        <w:rPr>
          <w:color w:val="000000"/>
          <w:spacing w:val="0"/>
          <w:w w:val="100"/>
          <w:position w:val="0"/>
        </w:rPr>
        <w:t>（</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、副总经理、财务负责人和董事会秘书等高级管 理人员未在控股股东、实际控制人及其控制的其他企业中担任除董事、监事以外的其他行政职务，未在控股股东、实际控制 人及其控制的其他企业领薪;公司财务人员未在控股股东、实际控制人及其控制的其他企业中兼职。公司已建立独立的劳动、 人事、社会保障体系及工资管理体系，与员工均签订了《劳动合同》，员工管理方面不存在受控股股东干涉的情形。</w:t>
      </w:r>
    </w:p>
    <w:p>
      <w:pPr>
        <w:pStyle w:val="Style17"/>
        <w:keepNext w:val="0"/>
        <w:keepLines w:val="0"/>
        <w:widowControl w:val="0"/>
        <w:shd w:val="clear" w:color="auto" w:fill="auto"/>
        <w:tabs>
          <w:tab w:pos="879" w:val="left"/>
        </w:tabs>
        <w:bidi w:val="0"/>
        <w:spacing w:before="0" w:after="0" w:line="312" w:lineRule="exact"/>
        <w:ind w:left="0" w:right="0"/>
        <w:jc w:val="both"/>
      </w:pPr>
      <w:bookmarkStart w:id="334" w:name="bookmark334"/>
      <w:r>
        <w:rPr>
          <w:color w:val="000000"/>
          <w:spacing w:val="0"/>
          <w:w w:val="100"/>
          <w:position w:val="0"/>
        </w:rPr>
        <w:t>（</w:t>
      </w:r>
      <w:bookmarkEnd w:id="334"/>
      <w:r>
        <w:rPr>
          <w:color w:val="000000"/>
          <w:spacing w:val="0"/>
          <w:w w:val="100"/>
          <w:position w:val="0"/>
        </w:rPr>
        <w:t>三）</w:t>
        <w:tab/>
        <w:t>财务独立</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公司设立了独立的财务部门，建立了独立的会计核算体系和财务管理内控制度，配备了专职财务人员，独立进行会计核 算和财务决策。公司开设有独立的银行账户，依法独立纳税，不存在控股股东干预公司资金使用的情形；公司不存在违规为 股东及其附属企业提供担保或以公司名义申请的借款转借给股东单位使用的情况，不存在控股股东非经营性占用公司资金、 资源的情形。</w:t>
      </w:r>
    </w:p>
    <w:p>
      <w:pPr>
        <w:pStyle w:val="Style17"/>
        <w:keepNext w:val="0"/>
        <w:keepLines w:val="0"/>
        <w:widowControl w:val="0"/>
        <w:shd w:val="clear" w:color="auto" w:fill="auto"/>
        <w:tabs>
          <w:tab w:pos="879" w:val="left"/>
        </w:tabs>
        <w:bidi w:val="0"/>
        <w:spacing w:before="0" w:after="0" w:line="312" w:lineRule="exact"/>
        <w:ind w:left="0" w:right="0"/>
        <w:jc w:val="both"/>
      </w:pPr>
      <w:bookmarkStart w:id="335" w:name="bookmark335"/>
      <w:r>
        <w:rPr>
          <w:color w:val="000000"/>
          <w:spacing w:val="0"/>
          <w:w w:val="100"/>
          <w:position w:val="0"/>
        </w:rPr>
        <w:t>（</w:t>
      </w:r>
      <w:bookmarkEnd w:id="335"/>
      <w:r>
        <w:rPr>
          <w:color w:val="000000"/>
          <w:spacing w:val="0"/>
          <w:w w:val="100"/>
          <w:position w:val="0"/>
        </w:rPr>
        <w:t>四）</w:t>
        <w:tab/>
        <w:t>机构独立</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公司设立了健全的组织架构，股东大会、董事会、监事会、管理层等均按照法律法规及《公司章程》的规定履行各自的 职责，形成了有效的法人治理结构。公司建立了独立的、适应自身发展需要的内部经营管理的组织架构，制定了完善的岗位 职责和管理制度，能够独立行使经营管理职权，拥有完整的采购、生产、销售系统及配套部门，各部门按照规定的职责独立 运作，与控股股东和实际控制人及其控制的其他企业间不存在机构混同的情形。</w:t>
      </w:r>
    </w:p>
    <w:p>
      <w:pPr>
        <w:pStyle w:val="Style17"/>
        <w:keepNext w:val="0"/>
        <w:keepLines w:val="0"/>
        <w:widowControl w:val="0"/>
        <w:shd w:val="clear" w:color="auto" w:fill="auto"/>
        <w:tabs>
          <w:tab w:pos="879" w:val="left"/>
        </w:tabs>
        <w:bidi w:val="0"/>
        <w:spacing w:before="0" w:after="0" w:line="312" w:lineRule="exact"/>
        <w:ind w:left="0" w:right="0"/>
        <w:jc w:val="both"/>
      </w:pPr>
      <w:bookmarkStart w:id="336" w:name="bookmark336"/>
      <w:r>
        <w:rPr>
          <w:color w:val="000000"/>
          <w:spacing w:val="0"/>
          <w:w w:val="100"/>
          <w:position w:val="0"/>
        </w:rPr>
        <w:t>（</w:t>
      </w:r>
      <w:bookmarkEnd w:id="336"/>
      <w:r>
        <w:rPr>
          <w:color w:val="000000"/>
          <w:spacing w:val="0"/>
          <w:w w:val="100"/>
          <w:position w:val="0"/>
        </w:rPr>
        <w:t>五）</w:t>
        <w:tab/>
        <w:t>业务独立</w:t>
      </w:r>
    </w:p>
    <w:p>
      <w:pPr>
        <w:pStyle w:val="Style17"/>
        <w:keepNext w:val="0"/>
        <w:keepLines w:val="0"/>
        <w:widowControl w:val="0"/>
        <w:shd w:val="clear" w:color="auto" w:fill="auto"/>
        <w:bidi w:val="0"/>
        <w:spacing w:before="0" w:after="300" w:line="312" w:lineRule="exact"/>
        <w:ind w:left="0" w:right="0"/>
        <w:jc w:val="both"/>
      </w:pPr>
      <w:r>
        <w:rPr>
          <w:color w:val="000000"/>
          <w:spacing w:val="0"/>
          <w:w w:val="100"/>
          <w:position w:val="0"/>
        </w:rPr>
        <w:t>公司具有独立完整的研发、生产、采购及销售业务系统，具备独立自主经营管理的能力，在业务上不存在依赖控股股东 及其他关联方的情形；公司业务独立于控股股东、实际控制人及其控制的其他企业，与控股股东、实际控制人及其控制的其 他企业间不存在同业竞争或者显失公平的关联交易。</w:t>
      </w:r>
    </w:p>
    <w:p>
      <w:pPr>
        <w:pStyle w:val="Style24"/>
        <w:keepNext/>
        <w:keepLines/>
        <w:widowControl w:val="0"/>
        <w:shd w:val="clear" w:color="auto" w:fill="auto"/>
        <w:tabs>
          <w:tab w:pos="499" w:val="left"/>
        </w:tabs>
        <w:bidi w:val="0"/>
        <w:spacing w:before="0" w:after="380" w:line="331" w:lineRule="exact"/>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三</w:t>
      </w:r>
      <w:bookmarkEnd w:id="339"/>
      <w:r>
        <w:rPr>
          <w:color w:val="000000"/>
          <w:spacing w:val="0"/>
          <w:w w:val="100"/>
          <w:position w:val="0"/>
          <w:sz w:val="24"/>
          <w:szCs w:val="24"/>
        </w:rPr>
        <w:t>、</w:t>
        <w:tab/>
        <w:t>同业竞争情况</w:t>
      </w:r>
      <w:bookmarkEnd w:id="337"/>
      <w:bookmarkEnd w:id="338"/>
      <w:bookmarkEnd w:id="340"/>
    </w:p>
    <w:p>
      <w:pPr>
        <w:pStyle w:val="Style17"/>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4"/>
        <w:keepNext/>
        <w:keepLines/>
        <w:widowControl w:val="0"/>
        <w:shd w:val="clear" w:color="auto" w:fill="auto"/>
        <w:bidi w:val="0"/>
        <w:spacing w:before="0" w:after="34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四</w:t>
      </w:r>
      <w:bookmarkEnd w:id="343"/>
      <w:r>
        <w:rPr>
          <w:color w:val="000000"/>
          <w:spacing w:val="0"/>
          <w:w w:val="100"/>
          <w:position w:val="0"/>
          <w:sz w:val="24"/>
          <w:szCs w:val="24"/>
        </w:rPr>
        <w:t>、报告期内召开的年度股东大会和临时股东大会的有关情况</w:t>
      </w:r>
      <w:bookmarkEnd w:id="341"/>
      <w:bookmarkEnd w:id="342"/>
      <w:bookmarkEnd w:id="344"/>
    </w:p>
    <w:p>
      <w:pPr>
        <w:pStyle w:val="Style30"/>
        <w:keepNext/>
        <w:keepLines/>
        <w:widowControl w:val="0"/>
        <w:shd w:val="clear" w:color="auto" w:fill="auto"/>
        <w:bidi w:val="0"/>
        <w:spacing w:before="0" w:after="34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、本报告期股东大会情况</w:t>
      </w:r>
      <w:bookmarkEnd w:id="345"/>
      <w:bookmarkEnd w:id="346"/>
      <w:bookmarkEnd w:id="348"/>
    </w:p>
    <w:tbl>
      <w:tblPr>
        <w:tblOverlap w:val="never"/>
        <w:jc w:val="center"/>
        <w:tblLayout w:type="fixed"/>
      </w:tblPr>
      <w:tblGrid>
        <w:gridCol w:w="1853"/>
        <w:gridCol w:w="134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 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年第一次临时股东 大会决议公告》（公 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032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年年度股东大会决 议公告》（公告编 号：</w:t>
            </w:r>
            <w:r>
              <w:rPr>
                <w:rFonts w:ascii="Times New Roman" w:eastAsia="Times New Roman" w:hAnsi="Times New Roman" w:cs="Times New Roman"/>
                <w:color w:val="000000"/>
                <w:spacing w:val="0"/>
                <w:w w:val="100"/>
                <w:position w:val="0"/>
              </w:rPr>
              <w:t>2021-068</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 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年第二次临时股东 大会决议公告》（公 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085</w:t>
            </w:r>
            <w:r>
              <w:rPr>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、表决权恢复的优先股股东请求召开临时股东大会</w:t>
      </w:r>
      <w:bookmarkEnd w:id="349"/>
      <w:bookmarkEnd w:id="350"/>
      <w:bookmarkEnd w:id="352"/>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4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sz w:val="24"/>
          <w:szCs w:val="24"/>
        </w:rPr>
        <w:t>五</w:t>
      </w:r>
      <w:bookmarkEnd w:id="355"/>
      <w:r>
        <w:rPr>
          <w:color w:val="000000"/>
          <w:spacing w:val="0"/>
          <w:w w:val="100"/>
          <w:position w:val="0"/>
          <w:sz w:val="24"/>
          <w:szCs w:val="24"/>
        </w:rPr>
        <w:t>、</w:t>
        <w:tab/>
        <w:t>公司具有表决权差异安排</w:t>
      </w:r>
      <w:bookmarkEnd w:id="353"/>
      <w:bookmarkEnd w:id="354"/>
      <w:bookmarkEnd w:id="356"/>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4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sz w:val="24"/>
          <w:szCs w:val="24"/>
        </w:rPr>
        <w:t>六</w:t>
      </w:r>
      <w:bookmarkEnd w:id="359"/>
      <w:r>
        <w:rPr>
          <w:color w:val="000000"/>
          <w:spacing w:val="0"/>
          <w:w w:val="100"/>
          <w:position w:val="0"/>
          <w:sz w:val="24"/>
          <w:szCs w:val="24"/>
        </w:rPr>
        <w:t>、</w:t>
        <w:tab/>
        <w:t>红筹架构公司治理情况</w:t>
      </w:r>
      <w:bookmarkEnd w:id="357"/>
      <w:bookmarkEnd w:id="358"/>
      <w:bookmarkEnd w:id="360"/>
    </w:p>
    <w:p>
      <w:pPr>
        <w:pStyle w:val="Style1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4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sz w:val="24"/>
          <w:szCs w:val="24"/>
        </w:rPr>
        <w:t>七</w:t>
      </w:r>
      <w:bookmarkEnd w:id="363"/>
      <w:r>
        <w:rPr>
          <w:color w:val="000000"/>
          <w:spacing w:val="0"/>
          <w:w w:val="100"/>
          <w:position w:val="0"/>
          <w:sz w:val="24"/>
          <w:szCs w:val="24"/>
        </w:rPr>
        <w:t>、</w:t>
        <w:tab/>
        <w:t>董事、监事和高级管理人员情况</w:t>
      </w:r>
      <w:bookmarkEnd w:id="361"/>
      <w:bookmarkEnd w:id="362"/>
      <w:bookmarkEnd w:id="364"/>
    </w:p>
    <w:p>
      <w:pPr>
        <w:pStyle w:val="Style30"/>
        <w:keepNext/>
        <w:keepLines/>
        <w:widowControl w:val="0"/>
        <w:shd w:val="clear" w:color="auto" w:fill="auto"/>
        <w:bidi w:val="0"/>
        <w:spacing w:before="0" w:after="34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、基本情况</w:t>
      </w:r>
      <w:bookmarkEnd w:id="365"/>
      <w:bookmarkEnd w:id="366"/>
      <w:bookmarkEnd w:id="368"/>
    </w:p>
    <w:tbl>
      <w:tblPr>
        <w:tblOverlap w:val="never"/>
        <w:jc w:val="center"/>
        <w:tblLayout w:type="fixed"/>
      </w:tblPr>
      <w:tblGrid>
        <w:gridCol w:w="739"/>
        <w:gridCol w:w="734"/>
        <w:gridCol w:w="739"/>
        <w:gridCol w:w="490"/>
        <w:gridCol w:w="566"/>
        <w:gridCol w:w="850"/>
        <w:gridCol w:w="850"/>
        <w:gridCol w:w="850"/>
        <w:gridCol w:w="811"/>
        <w:gridCol w:w="734"/>
        <w:gridCol w:w="581"/>
        <w:gridCol w:w="893"/>
        <w:gridCol w:w="744"/>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期初持股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本期增持</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股份数量</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本期减</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持股份</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数量</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增减</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变动</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w:t>
            </w:r>
          </w:p>
          <w:p>
            <w:pPr>
              <w:pStyle w:val="Style20"/>
              <w:keepNext w:val="0"/>
              <w:keepLines w:val="0"/>
              <w:widowControl w:val="0"/>
              <w:shd w:val="clear" w:color="auto" w:fill="auto"/>
              <w:bidi w:val="0"/>
              <w:spacing w:before="0" w:line="240" w:lineRule="auto"/>
              <w:ind w:left="0" w:right="0" w:firstLine="200"/>
              <w:jc w:val="left"/>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期末持股</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1,908,300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2,209,400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际控制</w:t>
            </w:r>
          </w:p>
        </w:tc>
      </w:tr>
    </w:tbl>
    <w:p>
      <w:pPr>
        <w:spacing w:lineRule="exact" w:line="1"/>
        <w:rPr>
          <w:sz w:val="2"/>
          <w:szCs w:val="2"/>
        </w:rPr>
      </w:pPr>
      <w:r>
        <w:br w:type="page"/>
      </w:r>
    </w:p>
    <w:tbl>
      <w:tblPr>
        <w:tblOverlap w:val="never"/>
        <w:jc w:val="center"/>
        <w:tblLayout w:type="fixed"/>
      </w:tblPr>
      <w:tblGrid>
        <w:gridCol w:w="739"/>
        <w:gridCol w:w="734"/>
        <w:gridCol w:w="739"/>
        <w:gridCol w:w="490"/>
        <w:gridCol w:w="566"/>
        <w:gridCol w:w="850"/>
        <w:gridCol w:w="850"/>
        <w:gridCol w:w="850"/>
        <w:gridCol w:w="811"/>
        <w:gridCol w:w="734"/>
        <w:gridCol w:w="581"/>
        <w:gridCol w:w="893"/>
        <w:gridCol w:w="74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人、董</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事长增</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持</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副董事 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i/>
                <w:iCs/>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1,064,000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i/>
                <w:iCs/>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个人原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因增持</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93,300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WANGH</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ONGQI（ </w:t>
            </w:r>
            <w:r>
              <w:rPr>
                <w:color w:val="000000"/>
                <w:spacing w:val="0"/>
                <w:w w:val="100"/>
                <w:position w:val="0"/>
              </w:rPr>
              <w:t>王洪 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刘斯奇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监事会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李雯琪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9"/>
        <w:gridCol w:w="490"/>
        <w:gridCol w:w="566"/>
        <w:gridCol w:w="850"/>
        <w:gridCol w:w="850"/>
        <w:gridCol w:w="850"/>
        <w:gridCol w:w="811"/>
        <w:gridCol w:w="734"/>
        <w:gridCol w:w="581"/>
        <w:gridCol w:w="893"/>
        <w:gridCol w:w="744"/>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胡宇洁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陈唯军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个人原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因减持</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122,600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个人原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因减持</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朱师达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个人原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因减持</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个人原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因增持</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徐茜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310" w:lineRule="exact"/>
              <w:ind w:left="0" w:right="0" w:firstLine="0"/>
              <w:jc w:val="both"/>
            </w:pPr>
            <w:r>
              <w:rPr>
                <w:color w:val="000000"/>
                <w:spacing w:val="0"/>
                <w:w w:val="100"/>
                <w:position w:val="0"/>
              </w:rPr>
              <w:t>董事会 秘书、 法务总</w:t>
            </w:r>
          </w:p>
          <w:p>
            <w:pPr>
              <w:pStyle w:val="Style20"/>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u w:val="single"/>
              </w:rPr>
              <w:t>rm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王玉珏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财务总</w:t>
            </w:r>
          </w:p>
          <w:p>
            <w:pPr>
              <w:pStyle w:val="Style20"/>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u w:val="single"/>
              </w:rPr>
              <w:t>rm</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霍守江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人力资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源总监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孙英俊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253,700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个人原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因减持</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陈鹏辉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蒋昌建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9"/>
        <w:gridCol w:w="490"/>
        <w:gridCol w:w="566"/>
        <w:gridCol w:w="850"/>
        <w:gridCol w:w="850"/>
        <w:gridCol w:w="850"/>
        <w:gridCol w:w="811"/>
        <w:gridCol w:w="734"/>
        <w:gridCol w:w="581"/>
        <w:gridCol w:w="893"/>
        <w:gridCol w:w="744"/>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监事会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财务总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20"/>
              <w:keepNext w:val="0"/>
              <w:keepLines w:val="0"/>
              <w:widowControl w:val="0"/>
              <w:shd w:val="clear" w:color="auto" w:fill="auto"/>
              <w:bidi w:val="0"/>
              <w:spacing w:before="0" w:after="0" w:line="180" w:lineRule="auto"/>
              <w:ind w:left="0" w:right="0" w:firstLine="0"/>
              <w:jc w:val="left"/>
            </w:pPr>
            <w:r>
              <w:rPr>
                <w:rFonts w:ascii="Times New Roman" w:eastAsia="Times New Roman" w:hAnsi="Times New Roman" w:cs="Times New Roman"/>
                <w:color w:val="000000"/>
                <w:spacing w:val="0"/>
                <w:w w:val="100"/>
                <w:position w:val="0"/>
                <w:u w:val="single"/>
              </w:rPr>
              <w:t>n~n.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李治平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人力资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源总监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4,123,600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4,348,900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报告期是否存在任期内董事、监事离任和高级管理人员解聘的情况</w:t>
      </w:r>
    </w:p>
    <w:p>
      <w:pPr>
        <w:pStyle w:val="Style17"/>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bidi w:val="0"/>
        <w:spacing w:before="0" w:after="40" w:line="302" w:lineRule="exact"/>
        <w:ind w:left="0" w:right="0" w:firstLine="360"/>
        <w:jc w:val="both"/>
      </w:pPr>
      <w:r>
        <w:rPr>
          <w:color w:val="000000"/>
          <w:spacing w:val="0"/>
          <w:w w:val="100"/>
          <w:position w:val="0"/>
        </w:rPr>
        <w:t>报告期内，陈轶青先生因个人原因申请辞去公司副总经理职务，辞任后不在公司担任任何职务。详见公司于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w:t>
      </w:r>
      <w:r>
        <w:rPr>
          <w:color w:val="000000"/>
          <w:spacing w:val="0"/>
          <w:w w:val="100"/>
          <w:position w:val="0"/>
        </w:rPr>
        <w:t>日披露于巨潮资讯网的《关于公司高级管理人员辞任的公告》（公告编号：</w:t>
      </w:r>
      <w:r>
        <w:rPr>
          <w:rFonts w:ascii="Times New Roman" w:eastAsia="Times New Roman" w:hAnsi="Times New Roman" w:cs="Times New Roman"/>
          <w:color w:val="000000"/>
          <w:spacing w:val="0"/>
          <w:w w:val="100"/>
          <w:position w:val="0"/>
        </w:rPr>
        <w:t>2021 -113</w:t>
      </w:r>
      <w:r>
        <w:rPr>
          <w:color w:val="000000"/>
          <w:spacing w:val="0"/>
          <w:w w:val="100"/>
          <w:position w:val="0"/>
        </w:rPr>
        <w:t>）。</w:t>
      </w:r>
    </w:p>
    <w:p>
      <w:pPr>
        <w:pStyle w:val="Style17"/>
        <w:keepNext w:val="0"/>
        <w:keepLines w:val="0"/>
        <w:widowControl w:val="0"/>
        <w:shd w:val="clear" w:color="auto" w:fill="auto"/>
        <w:bidi w:val="0"/>
        <w:spacing w:before="0" w:after="140" w:line="302" w:lineRule="exact"/>
        <w:ind w:left="0" w:right="0" w:firstLine="0"/>
        <w:jc w:val="both"/>
      </w:pPr>
      <w:r>
        <w:rPr>
          <w:color w:val="000000"/>
          <w:spacing w:val="0"/>
          <w:w w:val="100"/>
          <w:position w:val="0"/>
        </w:rPr>
        <w:t>公司董事、监事、高级管理人员变动情况</w:t>
      </w:r>
    </w:p>
    <w:p>
      <w:pPr>
        <w:pStyle w:val="Style17"/>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36"/>
        <w:gridCol w:w="1272"/>
        <w:gridCol w:w="1138"/>
        <w:gridCol w:w="1982"/>
        <w:gridCol w:w="30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任期届满不再担任公司总经理，经换 届选举为公司第三届董事会副董事长</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换届后新聘任</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WANG HONGQ </w:t>
            </w:r>
            <w:r>
              <w:rPr>
                <w:rFonts w:ascii="Times New Roman" w:eastAsia="Times New Roman" w:hAnsi="Times New Roman" w:cs="Times New Roman"/>
                <w:color w:val="000000"/>
                <w:spacing w:val="0"/>
                <w:w w:val="100"/>
                <w:position w:val="0"/>
              </w:rPr>
              <w:t>1（</w:t>
            </w:r>
            <w:r>
              <w:rPr>
                <w:color w:val="000000"/>
                <w:spacing w:val="0"/>
                <w:w w:val="100"/>
                <w:position w:val="0"/>
              </w:rPr>
              <w:t>王洪</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WANG HONGQ </w:t>
            </w:r>
            <w:r>
              <w:rPr>
                <w:rFonts w:ascii="Times New Roman" w:eastAsia="Times New Roman" w:hAnsi="Times New Roman" w:cs="Times New Roman"/>
                <w:color w:val="000000"/>
                <w:spacing w:val="0"/>
                <w:w w:val="100"/>
                <w:position w:val="0"/>
              </w:rPr>
              <w:t>1（</w:t>
            </w:r>
            <w:r>
              <w:rPr>
                <w:color w:val="000000"/>
                <w:spacing w:val="0"/>
                <w:w w:val="100"/>
                <w:position w:val="0"/>
              </w:rPr>
              <w:t>王洪</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换届后新聘任</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刘斯奇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陈唯军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换届后新聘任</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换届后新聘任</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朱师达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换届后新聘任</w:t>
            </w:r>
          </w:p>
        </w:tc>
      </w:tr>
    </w:tbl>
    <w:tbl>
      <w:tblPr>
        <w:tblOverlap w:val="never"/>
        <w:jc w:val="center"/>
        <w:tblLayout w:type="fixed"/>
      </w:tblPr>
      <w:tblGrid>
        <w:gridCol w:w="2136"/>
        <w:gridCol w:w="1272"/>
        <w:gridCol w:w="1138"/>
        <w:gridCol w:w="1982"/>
        <w:gridCol w:w="305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换届后新聘任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任期届满后离任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换届后新聘任</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换届后新聘任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霍守江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换届后新聘任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孙英俊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任期届满后离任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陈鹏辉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任期届满后离任</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任期届满后离任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任期届满后离任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任期届满后离任</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李治平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人力资源总监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任期届满后离任</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2</w:t>
      </w:r>
      <w:bookmarkEnd w:id="371"/>
      <w:r>
        <w:rPr>
          <w:color w:val="000000"/>
          <w:spacing w:val="0"/>
          <w:w w:val="100"/>
          <w:position w:val="0"/>
        </w:rPr>
        <w:t>、任职情况</w:t>
      </w:r>
      <w:bookmarkEnd w:id="369"/>
      <w:bookmarkEnd w:id="370"/>
      <w:bookmarkEnd w:id="372"/>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bidi w:val="0"/>
        <w:spacing w:before="0" w:after="120" w:line="312" w:lineRule="exact"/>
        <w:ind w:left="0" w:right="0"/>
        <w:jc w:val="left"/>
      </w:pPr>
      <w:bookmarkStart w:id="373" w:name="bookmark373"/>
      <w:r>
        <w:rPr>
          <w:b/>
          <w:bCs/>
          <w:color w:val="000000"/>
          <w:spacing w:val="0"/>
          <w:w w:val="100"/>
          <w:position w:val="0"/>
        </w:rPr>
        <w:t>（</w:t>
      </w:r>
      <w:bookmarkEnd w:id="373"/>
      <w:r>
        <w:rPr>
          <w:b/>
          <w:bCs/>
          <w:color w:val="000000"/>
          <w:spacing w:val="0"/>
          <w:w w:val="100"/>
          <w:position w:val="0"/>
        </w:rPr>
        <w:t>一）董事</w:t>
      </w:r>
    </w:p>
    <w:p>
      <w:pPr>
        <w:pStyle w:val="Style17"/>
        <w:keepNext w:val="0"/>
        <w:keepLines w:val="0"/>
        <w:widowControl w:val="0"/>
        <w:shd w:val="clear" w:color="auto" w:fill="auto"/>
        <w:bidi w:val="0"/>
        <w:spacing w:before="0" w:after="120" w:line="322" w:lineRule="exact"/>
        <w:ind w:left="0" w:right="0"/>
        <w:jc w:val="left"/>
      </w:pPr>
      <w:r>
        <w:rPr>
          <w:b/>
          <w:bCs/>
          <w:color w:val="000000"/>
          <w:spacing w:val="0"/>
          <w:w w:val="100"/>
          <w:position w:val="0"/>
        </w:rPr>
        <w:t>汪建，</w:t>
      </w:r>
      <w:r>
        <w:rPr>
          <w:color w:val="000000"/>
          <w:spacing w:val="0"/>
          <w:w w:val="100"/>
          <w:position w:val="0"/>
        </w:rPr>
        <w:t>男，</w:t>
      </w:r>
      <w:r>
        <w:rPr>
          <w:rFonts w:ascii="Times New Roman" w:eastAsia="Times New Roman" w:hAnsi="Times New Roman" w:cs="Times New Roman"/>
          <w:color w:val="000000"/>
          <w:spacing w:val="0"/>
          <w:w w:val="100"/>
          <w:position w:val="0"/>
        </w:rPr>
        <w:t>1954</w:t>
      </w:r>
      <w:r>
        <w:rPr>
          <w:color w:val="000000"/>
          <w:spacing w:val="0"/>
          <w:w w:val="100"/>
          <w:position w:val="0"/>
        </w:rPr>
        <w:t>年出生，中国国籍，无境外居留权。硕士、研究员。现任华大基因董事长，华大控股董事长、总经 理，深圳华大智造控股有限公司执行董事、总经理，深圳华大智造科技股份有限公司董事长。曾任华大研究院院长。</w:t>
      </w:r>
    </w:p>
    <w:p>
      <w:pPr>
        <w:pStyle w:val="Style17"/>
        <w:keepNext w:val="0"/>
        <w:keepLines w:val="0"/>
        <w:widowControl w:val="0"/>
        <w:shd w:val="clear" w:color="auto" w:fill="auto"/>
        <w:bidi w:val="0"/>
        <w:spacing w:before="0" w:after="120" w:line="312" w:lineRule="exact"/>
        <w:ind w:left="0" w:right="0"/>
        <w:jc w:val="left"/>
      </w:pPr>
      <w:r>
        <w:rPr>
          <w:b/>
          <w:bCs/>
          <w:color w:val="000000"/>
          <w:spacing w:val="0"/>
          <w:w w:val="100"/>
          <w:position w:val="0"/>
        </w:rPr>
        <w:t>尹烨，</w:t>
      </w:r>
      <w:r>
        <w:rPr>
          <w:color w:val="000000"/>
          <w:spacing w:val="0"/>
          <w:w w:val="100"/>
          <w:position w:val="0"/>
        </w:rPr>
        <w:t>男，</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年出生，中国国籍，无境外居留权。博士。现任华大基因副董事长、华大控股</w:t>
      </w:r>
      <w:r>
        <w:rPr>
          <w:rFonts w:ascii="Times New Roman" w:eastAsia="Times New Roman" w:hAnsi="Times New Roman" w:cs="Times New Roman"/>
          <w:color w:val="000000"/>
          <w:spacing w:val="0"/>
          <w:w w:val="100"/>
          <w:position w:val="0"/>
        </w:rPr>
        <w:t>CEO</w:t>
      </w:r>
      <w:r>
        <w:rPr>
          <w:color w:val="000000"/>
          <w:spacing w:val="0"/>
          <w:w w:val="100"/>
          <w:position w:val="0"/>
        </w:rPr>
        <w:t>。曾任华大基因总 经理、华大控股首席运营官、深圳华大基因医学有限公司（现已与深圳华大基因科技服务有限公司合并为华大基因）总经 理。</w:t>
      </w:r>
    </w:p>
    <w:p>
      <w:pPr>
        <w:pStyle w:val="Style17"/>
        <w:keepNext w:val="0"/>
        <w:keepLines w:val="0"/>
        <w:widowControl w:val="0"/>
        <w:shd w:val="clear" w:color="auto" w:fill="auto"/>
        <w:bidi w:val="0"/>
        <w:spacing w:before="0" w:after="120" w:line="317" w:lineRule="exact"/>
        <w:ind w:left="0" w:right="0"/>
        <w:jc w:val="left"/>
      </w:pPr>
      <w:r>
        <w:rPr>
          <w:b/>
          <w:bCs/>
          <w:color w:val="000000"/>
          <w:spacing w:val="0"/>
          <w:w w:val="100"/>
          <w:position w:val="0"/>
        </w:rPr>
        <w:t>赵立见</w:t>
      </w:r>
      <w:r>
        <w:rPr>
          <w:color w:val="000000"/>
          <w:spacing w:val="0"/>
          <w:w w:val="100"/>
          <w:position w:val="0"/>
        </w:rPr>
        <w:t>，男，</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年出生，中国国籍，无境外居留权。本科。现任华大基因董事、总经理。曾任华大基因首席市场 官、生育健康事业部负责人、运营团队成员并分管华大基因华南区业务，深圳华大基因医学有限公司（现已与深圳华大基 因科技服务有限公司合并为华大基因）运营团队成员。</w:t>
      </w:r>
    </w:p>
    <w:p>
      <w:pPr>
        <w:pStyle w:val="Style17"/>
        <w:keepNext w:val="0"/>
        <w:keepLines w:val="0"/>
        <w:widowControl w:val="0"/>
        <w:shd w:val="clear" w:color="auto" w:fill="auto"/>
        <w:bidi w:val="0"/>
        <w:spacing w:before="0" w:after="120" w:line="322" w:lineRule="exact"/>
        <w:ind w:left="0" w:right="0"/>
        <w:jc w:val="left"/>
      </w:pPr>
      <w:r>
        <w:rPr>
          <w:b/>
          <w:bCs/>
          <w:color w:val="000000"/>
          <w:spacing w:val="0"/>
          <w:w w:val="100"/>
          <w:position w:val="0"/>
        </w:rPr>
        <w:t>杜玉涛，</w:t>
      </w:r>
      <w:r>
        <w:rPr>
          <w:color w:val="000000"/>
          <w:spacing w:val="0"/>
          <w:w w:val="100"/>
          <w:position w:val="0"/>
        </w:rPr>
        <w:t>女，</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年出生，中国国籍，无境外居留权。博士，研究员。现任华大基因董事、副总经理、深圳华大生命 科学研究院党委书记。曾任华大控股执行副总裁，深圳华大运动控股有限责任公司首席科学家。</w:t>
      </w:r>
    </w:p>
    <w:p>
      <w:pPr>
        <w:pStyle w:val="Style17"/>
        <w:keepNext w:val="0"/>
        <w:keepLines w:val="0"/>
        <w:widowControl w:val="0"/>
        <w:shd w:val="clear" w:color="auto" w:fill="auto"/>
        <w:bidi w:val="0"/>
        <w:spacing w:before="0" w:after="120" w:line="312" w:lineRule="exact"/>
        <w:ind w:left="0" w:right="0"/>
        <w:jc w:val="left"/>
      </w:pPr>
      <w:r>
        <w:rPr>
          <w:rFonts w:ascii="Times New Roman" w:eastAsia="Times New Roman" w:hAnsi="Times New Roman" w:cs="Times New Roman"/>
          <w:b/>
          <w:bCs/>
          <w:color w:val="000000"/>
          <w:spacing w:val="0"/>
          <w:w w:val="100"/>
          <w:position w:val="0"/>
        </w:rPr>
        <w:t>WANGHONGQ</w:t>
      </w:r>
      <w:r>
        <w:rPr>
          <w:rFonts w:ascii="Times New Roman" w:eastAsia="Times New Roman" w:hAnsi="Times New Roman" w:cs="Times New Roman"/>
          <w:b/>
          <w:bCs/>
          <w:color w:val="000000"/>
          <w:spacing w:val="0"/>
          <w:w w:val="100"/>
          <w:position w:val="0"/>
        </w:rPr>
        <w:t>I</w:t>
      </w:r>
      <w:r>
        <w:rPr>
          <w:b/>
          <w:bCs/>
          <w:color w:val="000000"/>
          <w:spacing w:val="0"/>
          <w:w w:val="100"/>
          <w:position w:val="0"/>
        </w:rPr>
        <w:t>（王洪琦）</w:t>
      </w:r>
      <w:r>
        <w:rPr>
          <w:color w:val="000000"/>
          <w:spacing w:val="0"/>
          <w:w w:val="100"/>
          <w:position w:val="0"/>
        </w:rPr>
        <w:t>，男，</w:t>
      </w:r>
      <w:r>
        <w:rPr>
          <w:rFonts w:ascii="Times New Roman" w:eastAsia="Times New Roman" w:hAnsi="Times New Roman" w:cs="Times New Roman"/>
          <w:color w:val="000000"/>
          <w:spacing w:val="0"/>
          <w:w w:val="100"/>
          <w:position w:val="0"/>
        </w:rPr>
        <w:t>1964</w:t>
      </w:r>
      <w:r>
        <w:rPr>
          <w:color w:val="000000"/>
          <w:spacing w:val="0"/>
          <w:w w:val="100"/>
          <w:position w:val="0"/>
        </w:rPr>
        <w:t>年出生，美国国籍，有境外居留权。中美联合招生项目</w:t>
      </w:r>
      <w:r>
        <w:rPr>
          <w:rFonts w:ascii="Times New Roman" w:eastAsia="Times New Roman" w:hAnsi="Times New Roman" w:cs="Times New Roman"/>
          <w:color w:val="000000"/>
          <w:spacing w:val="0"/>
          <w:w w:val="100"/>
          <w:position w:val="0"/>
        </w:rPr>
        <w:t>CUSBEA</w:t>
      </w:r>
      <w:r>
        <w:rPr>
          <w:color w:val="000000"/>
          <w:spacing w:val="0"/>
          <w:w w:val="100"/>
          <w:position w:val="0"/>
        </w:rPr>
        <w:t>（</w:t>
      </w:r>
      <w:r>
        <w:rPr>
          <w:rFonts w:ascii="Times New Roman" w:eastAsia="Times New Roman" w:hAnsi="Times New Roman" w:cs="Times New Roman"/>
          <w:color w:val="000000"/>
          <w:spacing w:val="0"/>
          <w:w w:val="100"/>
          <w:position w:val="0"/>
        </w:rPr>
        <w:t>China- United States Biochemistry Examination and Application</w:t>
      </w:r>
      <w:r>
        <w:rPr>
          <w:color w:val="000000"/>
          <w:spacing w:val="0"/>
          <w:w w:val="100"/>
          <w:position w:val="0"/>
        </w:rPr>
        <w:t>）</w:t>
      </w:r>
      <w:r>
        <w:rPr>
          <w:color w:val="000000"/>
          <w:spacing w:val="0"/>
          <w:w w:val="100"/>
          <w:position w:val="0"/>
        </w:rPr>
        <w:t>美国普渡大学生物化学博士。现任华大基因董事、副总经 理、首席商务官、科技服务事业部负责人、质谱事业部负责人。曾任华大控股副总裁，北京六合华大基因有限公司董事 长、总经理，布鲁克公司</w:t>
      </w:r>
      <w:r>
        <w:rPr>
          <w:color w:val="000000"/>
          <w:spacing w:val="0"/>
          <w:w w:val="100"/>
          <w:position w:val="0"/>
        </w:rPr>
        <w:t>（</w:t>
      </w:r>
      <w:r>
        <w:rPr>
          <w:rFonts w:ascii="Times New Roman" w:eastAsia="Times New Roman" w:hAnsi="Times New Roman" w:cs="Times New Roman"/>
          <w:color w:val="000000"/>
          <w:spacing w:val="0"/>
          <w:w w:val="100"/>
          <w:position w:val="0"/>
        </w:rPr>
        <w:t>Bruker</w:t>
      </w:r>
      <w:r>
        <w:rPr>
          <w:color w:val="000000"/>
          <w:spacing w:val="0"/>
          <w:w w:val="100"/>
          <w:position w:val="0"/>
        </w:rPr>
        <w:t>）大中华区总裁，千年制药公司（</w:t>
      </w:r>
      <w:r>
        <w:rPr>
          <w:rFonts w:ascii="Times New Roman" w:eastAsia="Times New Roman" w:hAnsi="Times New Roman" w:cs="Times New Roman"/>
          <w:color w:val="000000"/>
          <w:spacing w:val="0"/>
          <w:w w:val="100"/>
          <w:position w:val="0"/>
        </w:rPr>
        <w:t>Millennium Pharmaceuticals</w:t>
      </w:r>
      <w:r>
        <w:rPr>
          <w:color w:val="000000"/>
          <w:spacing w:val="0"/>
          <w:w w:val="100"/>
          <w:position w:val="0"/>
        </w:rPr>
        <w:t>）资深科学家，美国应用 生物系统公司</w:t>
      </w:r>
      <w:r>
        <w:rPr>
          <w:color w:val="000000"/>
          <w:spacing w:val="0"/>
          <w:w w:val="100"/>
          <w:position w:val="0"/>
        </w:rPr>
        <w:t>（</w:t>
      </w:r>
      <w:r>
        <w:rPr>
          <w:rFonts w:ascii="Times New Roman" w:eastAsia="Times New Roman" w:hAnsi="Times New Roman" w:cs="Times New Roman"/>
          <w:color w:val="000000"/>
          <w:spacing w:val="0"/>
          <w:w w:val="100"/>
          <w:position w:val="0"/>
        </w:rPr>
        <w:t>PerSeptive Biosystems （AB Sciex）</w:t>
      </w:r>
      <w:r>
        <w:rPr>
          <w:color w:val="000000"/>
          <w:spacing w:val="0"/>
          <w:w w:val="100"/>
          <w:position w:val="0"/>
        </w:rPr>
        <w:t>）</w:t>
      </w:r>
      <w:r>
        <w:rPr>
          <w:color w:val="000000"/>
          <w:spacing w:val="0"/>
          <w:w w:val="100"/>
          <w:position w:val="0"/>
        </w:rPr>
        <w:t>产品经理。</w:t>
      </w:r>
    </w:p>
    <w:p>
      <w:pPr>
        <w:pStyle w:val="Style17"/>
        <w:keepNext w:val="0"/>
        <w:keepLines w:val="0"/>
        <w:widowControl w:val="0"/>
        <w:shd w:val="clear" w:color="auto" w:fill="auto"/>
        <w:bidi w:val="0"/>
        <w:spacing w:before="0" w:after="120" w:line="312" w:lineRule="exact"/>
        <w:ind w:left="0" w:right="0"/>
        <w:jc w:val="left"/>
      </w:pPr>
      <w:r>
        <w:rPr>
          <w:b/>
          <w:bCs/>
          <w:color w:val="000000"/>
          <w:spacing w:val="0"/>
          <w:w w:val="100"/>
          <w:position w:val="0"/>
        </w:rPr>
        <w:t>王洪涛，</w:t>
      </w:r>
      <w:r>
        <w:rPr>
          <w:color w:val="000000"/>
          <w:spacing w:val="0"/>
          <w:w w:val="100"/>
          <w:position w:val="0"/>
        </w:rPr>
        <w:t>男，</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年出生，中国国籍，无境外居留权。硕士。现任华大基因董事，高林资本管理有限公司创始合伙 人、董事长，北京高林投资有限公司执行董事、总经理，北京宅急送快运股份有限公司董事长兼</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历任泰康资产管理 有限责任公司股权投资负责人、董事总经理，中信基金投委会委员、基金经理，光大控股创业投资（深圳）有限公司资产 管理部总经理，招商证券研发中心产品经理，平安保险资产管理中心投资经理。</w:t>
      </w:r>
    </w:p>
    <w:p>
      <w:pPr>
        <w:pStyle w:val="Style17"/>
        <w:keepNext w:val="0"/>
        <w:keepLines w:val="0"/>
        <w:widowControl w:val="0"/>
        <w:shd w:val="clear" w:color="auto" w:fill="auto"/>
        <w:bidi w:val="0"/>
        <w:spacing w:before="0" w:after="120" w:line="326" w:lineRule="exact"/>
        <w:ind w:left="0" w:right="0"/>
        <w:jc w:val="left"/>
      </w:pPr>
      <w:r>
        <w:rPr>
          <w:b/>
          <w:bCs/>
          <w:color w:val="000000"/>
          <w:spacing w:val="0"/>
          <w:w w:val="100"/>
          <w:position w:val="0"/>
        </w:rPr>
        <w:t>曹亚</w:t>
      </w:r>
      <w:r>
        <w:rPr>
          <w:color w:val="000000"/>
          <w:spacing w:val="0"/>
          <w:w w:val="100"/>
          <w:position w:val="0"/>
        </w:rPr>
        <w:t>，女，</w:t>
      </w:r>
      <w:r>
        <w:rPr>
          <w:rFonts w:ascii="Times New Roman" w:eastAsia="Times New Roman" w:hAnsi="Times New Roman" w:cs="Times New Roman"/>
          <w:color w:val="000000"/>
          <w:spacing w:val="0"/>
          <w:w w:val="100"/>
          <w:position w:val="0"/>
        </w:rPr>
        <w:t>1951</w:t>
      </w:r>
      <w:r>
        <w:rPr>
          <w:color w:val="000000"/>
          <w:spacing w:val="0"/>
          <w:w w:val="100"/>
          <w:position w:val="0"/>
        </w:rPr>
        <w:t>年出生，中国国籍，无境外居留权。硕士，教授，博士生导师。</w:t>
      </w:r>
      <w:r>
        <w:rPr>
          <w:rFonts w:ascii="Times New Roman" w:eastAsia="Times New Roman" w:hAnsi="Times New Roman" w:cs="Times New Roman"/>
          <w:color w:val="000000"/>
          <w:spacing w:val="0"/>
          <w:w w:val="100"/>
          <w:position w:val="0"/>
        </w:rPr>
        <w:t>1981</w:t>
      </w:r>
      <w:r>
        <w:rPr>
          <w:color w:val="000000"/>
          <w:spacing w:val="0"/>
          <w:w w:val="100"/>
          <w:position w:val="0"/>
        </w:rPr>
        <w:t xml:space="preserve">年至今任职于中南大学湘雅医学 院，现任华大基因独立董事，中南大学湘雅医学院肿瘤研究所教授、博士生导师，教育部癌变与侵袭原理重点实验室学术 </w:t>
      </w:r>
      <w:r>
        <w:rPr>
          <w:color w:val="000000"/>
          <w:spacing w:val="0"/>
          <w:w w:val="100"/>
          <w:position w:val="0"/>
        </w:rPr>
        <w:t>委员会副主任，中南大学分子影像学中心学术委员会主任，圣湘生物科技股份有限公司独立董事。</w:t>
      </w:r>
    </w:p>
    <w:p>
      <w:pPr>
        <w:pStyle w:val="Style17"/>
        <w:keepNext w:val="0"/>
        <w:keepLines w:val="0"/>
        <w:widowControl w:val="0"/>
        <w:shd w:val="clear" w:color="auto" w:fill="auto"/>
        <w:bidi w:val="0"/>
        <w:spacing w:before="0" w:after="120" w:line="322" w:lineRule="exact"/>
        <w:ind w:left="0" w:right="0"/>
        <w:jc w:val="both"/>
      </w:pPr>
      <w:r>
        <w:rPr>
          <w:b/>
          <w:bCs/>
          <w:color w:val="000000"/>
          <w:spacing w:val="0"/>
          <w:w w:val="100"/>
          <w:position w:val="0"/>
        </w:rPr>
        <w:t>杜兰</w:t>
      </w: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年出生，中国国籍，无境外居留权。博士、正高级经济师。现任华大基因独立董事、科大讯飞股份有 限公司副总裁。曾任中国移动互联网公司综合部总经理。</w:t>
      </w:r>
    </w:p>
    <w:p>
      <w:pPr>
        <w:pStyle w:val="Style17"/>
        <w:keepNext w:val="0"/>
        <w:keepLines w:val="0"/>
        <w:widowControl w:val="0"/>
        <w:shd w:val="clear" w:color="auto" w:fill="auto"/>
        <w:bidi w:val="0"/>
        <w:spacing w:before="0" w:after="120" w:line="314" w:lineRule="exact"/>
        <w:ind w:left="0" w:right="0"/>
        <w:jc w:val="both"/>
      </w:pPr>
      <w:r>
        <w:rPr>
          <w:b/>
          <w:bCs/>
          <w:color w:val="000000"/>
          <w:spacing w:val="0"/>
          <w:w w:val="100"/>
          <w:position w:val="0"/>
        </w:rPr>
        <w:t>吴育辉</w:t>
      </w:r>
      <w:r>
        <w:rPr>
          <w:color w:val="000000"/>
          <w:spacing w:val="0"/>
          <w:w w:val="100"/>
          <w:position w:val="0"/>
        </w:rPr>
        <w:t>，男，</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年出生，中国国籍，无境外居留权。博士，教授，博士生导师。现任华大基因独立董事，厦门大学 管理学院财务学系主任，青岛征和工业股份有限公司独立董事，世纪证券有限责任公司独立董事，环创（厦门）科技股份 有限公司独立董事，福建七匹狼实业股份有限公司独立董事，厦门美科安防科技股份有限公司独立董事。曾任福耀玻璃工 业集团股份有限公司独立董事、深圳顺络电子股份有限公司独立董事、合力泰科技股份有限公司独立董事和游族网络股份 有限公司独立董事。</w:t>
      </w:r>
    </w:p>
    <w:p>
      <w:pPr>
        <w:pStyle w:val="Style17"/>
        <w:keepNext w:val="0"/>
        <w:keepLines w:val="0"/>
        <w:widowControl w:val="0"/>
        <w:shd w:val="clear" w:color="auto" w:fill="auto"/>
        <w:tabs>
          <w:tab w:pos="893" w:val="left"/>
        </w:tabs>
        <w:bidi w:val="0"/>
        <w:spacing w:before="0" w:after="120" w:line="319" w:lineRule="exact"/>
        <w:ind w:left="0" w:right="0"/>
        <w:jc w:val="both"/>
      </w:pPr>
      <w:bookmarkStart w:id="374" w:name="bookmark374"/>
      <w:r>
        <w:rPr>
          <w:b/>
          <w:bCs/>
          <w:color w:val="000000"/>
          <w:spacing w:val="0"/>
          <w:w w:val="100"/>
          <w:position w:val="0"/>
        </w:rPr>
        <w:t>（</w:t>
      </w:r>
      <w:bookmarkEnd w:id="374"/>
      <w:r>
        <w:rPr>
          <w:b/>
          <w:bCs/>
          <w:color w:val="000000"/>
          <w:spacing w:val="0"/>
          <w:w w:val="100"/>
          <w:position w:val="0"/>
        </w:rPr>
        <w:t>二）</w:t>
        <w:tab/>
        <w:t>监事</w:t>
      </w:r>
    </w:p>
    <w:p>
      <w:pPr>
        <w:pStyle w:val="Style17"/>
        <w:keepNext w:val="0"/>
        <w:keepLines w:val="0"/>
        <w:widowControl w:val="0"/>
        <w:shd w:val="clear" w:color="auto" w:fill="auto"/>
        <w:bidi w:val="0"/>
        <w:spacing w:before="0" w:after="120" w:line="322" w:lineRule="exact"/>
        <w:ind w:left="0" w:right="0"/>
        <w:jc w:val="both"/>
      </w:pPr>
      <w:r>
        <w:rPr>
          <w:b/>
          <w:bCs/>
          <w:color w:val="000000"/>
          <w:spacing w:val="0"/>
          <w:w w:val="100"/>
          <w:position w:val="0"/>
        </w:rPr>
        <w:t>刘斯奇，</w:t>
      </w:r>
      <w:r>
        <w:rPr>
          <w:color w:val="000000"/>
          <w:spacing w:val="0"/>
          <w:w w:val="100"/>
          <w:position w:val="0"/>
        </w:rPr>
        <w:t>男，</w:t>
      </w:r>
      <w:r>
        <w:rPr>
          <w:rFonts w:ascii="Times New Roman" w:eastAsia="Times New Roman" w:hAnsi="Times New Roman" w:cs="Times New Roman"/>
          <w:color w:val="000000"/>
          <w:spacing w:val="0"/>
          <w:w w:val="100"/>
          <w:position w:val="0"/>
        </w:rPr>
        <w:t>1953</w:t>
      </w:r>
      <w:r>
        <w:rPr>
          <w:color w:val="000000"/>
          <w:spacing w:val="0"/>
          <w:w w:val="100"/>
          <w:position w:val="0"/>
        </w:rPr>
        <w:t>年出生，中国国籍，有境外居留权。博士学历。华大控股联合创始人，现任华大基因监事会主席、 华大控股董事，曾任中国科学院北京基因组研究所研究员，美国路易维尔大学医学院助理教授。</w:t>
      </w:r>
    </w:p>
    <w:p>
      <w:pPr>
        <w:pStyle w:val="Style17"/>
        <w:keepNext w:val="0"/>
        <w:keepLines w:val="0"/>
        <w:widowControl w:val="0"/>
        <w:shd w:val="clear" w:color="auto" w:fill="auto"/>
        <w:bidi w:val="0"/>
        <w:spacing w:before="0" w:after="120" w:line="322" w:lineRule="exact"/>
        <w:ind w:left="0" w:right="0"/>
        <w:jc w:val="both"/>
      </w:pPr>
      <w:r>
        <w:rPr>
          <w:b/>
          <w:bCs/>
          <w:color w:val="000000"/>
          <w:spacing w:val="0"/>
          <w:w w:val="100"/>
          <w:position w:val="0"/>
        </w:rPr>
        <w:t>李雯琪，</w:t>
      </w:r>
      <w:r>
        <w:rPr>
          <w:color w:val="000000"/>
          <w:spacing w:val="0"/>
          <w:w w:val="100"/>
          <w:position w:val="0"/>
        </w:rPr>
        <w:t>女，</w:t>
      </w:r>
      <w:r>
        <w:rPr>
          <w:rFonts w:ascii="Times New Roman" w:eastAsia="Times New Roman" w:hAnsi="Times New Roman" w:cs="Times New Roman"/>
          <w:color w:val="000000"/>
          <w:spacing w:val="0"/>
          <w:w w:val="100"/>
          <w:position w:val="0"/>
        </w:rPr>
        <w:t>1986</w:t>
      </w:r>
      <w:r>
        <w:rPr>
          <w:color w:val="000000"/>
          <w:spacing w:val="0"/>
          <w:w w:val="100"/>
          <w:position w:val="0"/>
        </w:rPr>
        <w:t>年出生，中国国籍，无境外居留权。硕士学历。现任华大基因监事、国际医学事业部国际项目中心 联席运营团队成员。曾任华大科技日本片区业务经理、实验平台行政总监。</w:t>
      </w:r>
    </w:p>
    <w:p>
      <w:pPr>
        <w:pStyle w:val="Style17"/>
        <w:keepNext w:val="0"/>
        <w:keepLines w:val="0"/>
        <w:widowControl w:val="0"/>
        <w:shd w:val="clear" w:color="auto" w:fill="auto"/>
        <w:bidi w:val="0"/>
        <w:spacing w:before="0" w:after="120" w:line="317" w:lineRule="exact"/>
        <w:ind w:left="0" w:right="0"/>
        <w:jc w:val="both"/>
      </w:pPr>
      <w:r>
        <w:rPr>
          <w:b/>
          <w:bCs/>
          <w:color w:val="000000"/>
          <w:spacing w:val="0"/>
          <w:w w:val="100"/>
          <w:position w:val="0"/>
        </w:rPr>
        <w:t>胡宇洁，</w:t>
      </w:r>
      <w:r>
        <w:rPr>
          <w:color w:val="000000"/>
          <w:spacing w:val="0"/>
          <w:w w:val="100"/>
          <w:position w:val="0"/>
        </w:rPr>
        <w:t>女，</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年出生，中国国籍，无境外居留权。硕士。现任华大基因监事、华大基因医学市场总监。曾任华大 基因总办主任，华大科技人力资源总监。</w:t>
      </w:r>
    </w:p>
    <w:p>
      <w:pPr>
        <w:pStyle w:val="Style17"/>
        <w:keepNext w:val="0"/>
        <w:keepLines w:val="0"/>
        <w:widowControl w:val="0"/>
        <w:shd w:val="clear" w:color="auto" w:fill="auto"/>
        <w:tabs>
          <w:tab w:pos="893" w:val="left"/>
        </w:tabs>
        <w:bidi w:val="0"/>
        <w:spacing w:before="0" w:after="120" w:line="319" w:lineRule="exact"/>
        <w:ind w:left="0" w:right="0"/>
        <w:jc w:val="both"/>
      </w:pPr>
      <w:bookmarkStart w:id="375" w:name="bookmark375"/>
      <w:r>
        <w:rPr>
          <w:b/>
          <w:bCs/>
          <w:color w:val="000000"/>
          <w:spacing w:val="0"/>
          <w:w w:val="100"/>
          <w:position w:val="0"/>
        </w:rPr>
        <w:t>（</w:t>
      </w:r>
      <w:bookmarkEnd w:id="375"/>
      <w:r>
        <w:rPr>
          <w:b/>
          <w:bCs/>
          <w:color w:val="000000"/>
          <w:spacing w:val="0"/>
          <w:w w:val="100"/>
          <w:position w:val="0"/>
        </w:rPr>
        <w:t>三）</w:t>
        <w:tab/>
        <w:t>高级管理人员</w:t>
      </w:r>
    </w:p>
    <w:p>
      <w:pPr>
        <w:pStyle w:val="Style17"/>
        <w:keepNext w:val="0"/>
        <w:keepLines w:val="0"/>
        <w:widowControl w:val="0"/>
        <w:shd w:val="clear" w:color="auto" w:fill="auto"/>
        <w:bidi w:val="0"/>
        <w:spacing w:before="0" w:after="120" w:line="319" w:lineRule="exact"/>
        <w:ind w:left="0" w:right="0"/>
        <w:jc w:val="both"/>
      </w:pPr>
      <w:r>
        <w:rPr>
          <w:b/>
          <w:bCs/>
          <w:color w:val="000000"/>
          <w:spacing w:val="0"/>
          <w:w w:val="100"/>
          <w:position w:val="0"/>
        </w:rPr>
        <w:t>赵立见，</w:t>
      </w:r>
      <w:r>
        <w:rPr>
          <w:color w:val="000000"/>
          <w:spacing w:val="0"/>
          <w:w w:val="100"/>
          <w:position w:val="0"/>
        </w:rPr>
        <w:t>简历见本节之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120" w:line="319" w:lineRule="exact"/>
        <w:ind w:left="0" w:right="0"/>
        <w:jc w:val="both"/>
      </w:pPr>
      <w:r>
        <w:rPr>
          <w:b/>
          <w:bCs/>
          <w:color w:val="000000"/>
          <w:spacing w:val="0"/>
          <w:w w:val="100"/>
          <w:position w:val="0"/>
        </w:rPr>
        <w:t>杜玉涛，</w:t>
      </w:r>
      <w:r>
        <w:rPr>
          <w:color w:val="000000"/>
          <w:spacing w:val="0"/>
          <w:w w:val="100"/>
          <w:position w:val="0"/>
        </w:rPr>
        <w:t>简历见本节之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（一）董事会成员匚</w:t>
      </w:r>
    </w:p>
    <w:p>
      <w:pPr>
        <w:pStyle w:val="Style17"/>
        <w:keepNext w:val="0"/>
        <w:keepLines w:val="0"/>
        <w:widowControl w:val="0"/>
        <w:shd w:val="clear" w:color="auto" w:fill="auto"/>
        <w:bidi w:val="0"/>
        <w:spacing w:before="0" w:after="120" w:line="322" w:lineRule="exact"/>
        <w:ind w:left="0" w:right="0"/>
        <w:jc w:val="both"/>
      </w:pPr>
      <w:r>
        <w:rPr>
          <w:b/>
          <w:bCs/>
          <w:color w:val="000000"/>
          <w:spacing w:val="0"/>
          <w:w w:val="100"/>
          <w:position w:val="0"/>
        </w:rPr>
        <w:t>陈唯军，</w:t>
      </w: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年出生，中国国籍，无境外居留权。博士。现任华大基因副总经理、感染防控事业部负责人。曾任 华大控股副总经理，北京华大吉比爱生物技术有限公司副总经理。</w:t>
      </w:r>
    </w:p>
    <w:p>
      <w:pPr>
        <w:pStyle w:val="Style17"/>
        <w:keepNext w:val="0"/>
        <w:keepLines w:val="0"/>
        <w:widowControl w:val="0"/>
        <w:shd w:val="clear" w:color="auto" w:fill="auto"/>
        <w:bidi w:val="0"/>
        <w:spacing w:before="0" w:after="120" w:line="319" w:lineRule="exact"/>
        <w:ind w:left="0" w:right="0"/>
        <w:jc w:val="both"/>
      </w:pPr>
      <w:r>
        <w:rPr>
          <w:b/>
          <w:bCs/>
          <w:color w:val="000000"/>
          <w:spacing w:val="0"/>
          <w:w w:val="100"/>
          <w:position w:val="0"/>
        </w:rPr>
        <w:t>王洪琦，</w:t>
      </w:r>
      <w:r>
        <w:rPr>
          <w:color w:val="000000"/>
          <w:spacing w:val="0"/>
          <w:w w:val="100"/>
          <w:position w:val="0"/>
        </w:rPr>
        <w:t>简历见本节之</w:t>
      </w:r>
      <w:r>
        <w:rPr>
          <w:rFonts w:ascii="Times New Roman" w:eastAsia="Times New Roman" w:hAnsi="Times New Roman" w:cs="Times New Roman"/>
          <w:color w:val="000000"/>
          <w:spacing w:val="0"/>
          <w:w w:val="100"/>
          <w:position w:val="0"/>
        </w:rPr>
        <w:t>“</w:t>
      </w:r>
      <w:r>
        <w:rPr>
          <w:color w:val="000000"/>
          <w:spacing w:val="0"/>
          <w:w w:val="100"/>
          <w:position w:val="0"/>
        </w:rPr>
        <w:t>（一）董事会成员匚</w:t>
      </w:r>
    </w:p>
    <w:p>
      <w:pPr>
        <w:pStyle w:val="Style17"/>
        <w:keepNext w:val="0"/>
        <w:keepLines w:val="0"/>
        <w:widowControl w:val="0"/>
        <w:shd w:val="clear" w:color="auto" w:fill="auto"/>
        <w:bidi w:val="0"/>
        <w:spacing w:before="0" w:after="120" w:line="317" w:lineRule="exact"/>
        <w:ind w:left="0" w:right="0"/>
        <w:jc w:val="both"/>
      </w:pPr>
      <w:r>
        <w:rPr>
          <w:b/>
          <w:bCs/>
          <w:color w:val="000000"/>
          <w:spacing w:val="0"/>
          <w:w w:val="100"/>
          <w:position w:val="0"/>
        </w:rPr>
        <w:t>李宁，</w:t>
      </w:r>
      <w:r>
        <w:rPr>
          <w:color w:val="000000"/>
          <w:spacing w:val="0"/>
          <w:w w:val="100"/>
          <w:position w:val="0"/>
        </w:rPr>
        <w:t>男，</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年出生，中国国籍，无境外居留权。博士。现任华大基因副总经理、首席发展官、国际医学事业部负 责人。曾任华大基因首席商务官，华大控股欧非片区总经理。</w:t>
      </w:r>
    </w:p>
    <w:p>
      <w:pPr>
        <w:pStyle w:val="Style17"/>
        <w:keepNext w:val="0"/>
        <w:keepLines w:val="0"/>
        <w:widowControl w:val="0"/>
        <w:shd w:val="clear" w:color="auto" w:fill="auto"/>
        <w:bidi w:val="0"/>
        <w:spacing w:before="0" w:after="120" w:line="322" w:lineRule="exact"/>
        <w:ind w:left="0" w:right="0"/>
        <w:jc w:val="both"/>
      </w:pPr>
      <w:r>
        <w:rPr>
          <w:b/>
          <w:bCs/>
          <w:color w:val="000000"/>
          <w:spacing w:val="0"/>
          <w:w w:val="100"/>
          <w:position w:val="0"/>
        </w:rPr>
        <w:t>朱师达</w:t>
      </w:r>
      <w:r>
        <w:rPr>
          <w:color w:val="000000"/>
          <w:spacing w:val="0"/>
          <w:w w:val="100"/>
          <w:position w:val="0"/>
        </w:rPr>
        <w:t>，男，</w:t>
      </w:r>
      <w:r>
        <w:rPr>
          <w:rFonts w:ascii="Times New Roman" w:eastAsia="Times New Roman" w:hAnsi="Times New Roman" w:cs="Times New Roman"/>
          <w:color w:val="000000"/>
          <w:spacing w:val="0"/>
          <w:w w:val="100"/>
          <w:position w:val="0"/>
        </w:rPr>
        <w:t>1987</w:t>
      </w:r>
      <w:r>
        <w:rPr>
          <w:color w:val="000000"/>
          <w:spacing w:val="0"/>
          <w:w w:val="100"/>
          <w:position w:val="0"/>
        </w:rPr>
        <w:t>年出生，中国国籍，无境外居留权。硕士。现任华大基因副总经理、肿瘤事业部负责人。曾任深圳 华大生命科学研究院执行副院长、项目负责人。</w:t>
      </w:r>
    </w:p>
    <w:p>
      <w:pPr>
        <w:pStyle w:val="Style17"/>
        <w:keepNext w:val="0"/>
        <w:keepLines w:val="0"/>
        <w:widowControl w:val="0"/>
        <w:shd w:val="clear" w:color="auto" w:fill="auto"/>
        <w:bidi w:val="0"/>
        <w:spacing w:before="0" w:after="120" w:line="314" w:lineRule="exact"/>
        <w:ind w:left="0" w:right="0"/>
        <w:jc w:val="both"/>
      </w:pPr>
      <w:r>
        <w:rPr>
          <w:b/>
          <w:bCs/>
          <w:color w:val="000000"/>
          <w:spacing w:val="0"/>
          <w:w w:val="100"/>
          <w:position w:val="0"/>
        </w:rPr>
        <w:t>刘娜</w:t>
      </w:r>
      <w:r>
        <w:rPr>
          <w:color w:val="000000"/>
          <w:spacing w:val="0"/>
          <w:w w:val="100"/>
          <w:position w:val="0"/>
        </w:rPr>
        <w:t>，女，</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年出生，中国国籍，无境外居留权。博士。现任华大基因副总经理，兼任华大吉比爱事业部运营团队 成员。曾任华大控股科技合作事业部</w:t>
      </w:r>
      <w:r>
        <w:rPr>
          <w:rFonts w:ascii="Times New Roman" w:eastAsia="Times New Roman" w:hAnsi="Times New Roman" w:cs="Times New Roman"/>
          <w:color w:val="000000"/>
          <w:spacing w:val="0"/>
          <w:w w:val="100"/>
          <w:position w:val="0"/>
        </w:rPr>
        <w:t>RNA</w:t>
      </w:r>
      <w:r>
        <w:rPr>
          <w:color w:val="000000"/>
          <w:spacing w:val="0"/>
          <w:w w:val="100"/>
          <w:position w:val="0"/>
        </w:rPr>
        <w:t>业务线总监、制药与生物技术研究业务线总监，深圳华大基因科技服务有限公司 董事长、副总裁。</w:t>
      </w:r>
    </w:p>
    <w:p>
      <w:pPr>
        <w:pStyle w:val="Style17"/>
        <w:keepNext w:val="0"/>
        <w:keepLines w:val="0"/>
        <w:widowControl w:val="0"/>
        <w:shd w:val="clear" w:color="auto" w:fill="auto"/>
        <w:bidi w:val="0"/>
        <w:spacing w:before="0" w:after="120" w:line="326" w:lineRule="exact"/>
        <w:ind w:left="0" w:right="0"/>
        <w:jc w:val="both"/>
      </w:pPr>
      <w:r>
        <w:rPr>
          <w:b/>
          <w:bCs/>
          <w:color w:val="000000"/>
          <w:spacing w:val="0"/>
          <w:w w:val="100"/>
          <w:position w:val="0"/>
        </w:rPr>
        <w:t>徐茜，</w:t>
      </w:r>
      <w:r>
        <w:rPr>
          <w:color w:val="000000"/>
          <w:spacing w:val="0"/>
          <w:w w:val="100"/>
          <w:position w:val="0"/>
        </w:rPr>
        <w:t>女，</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年出生，中国国籍，无境外居留权。硕士，具有深圳证券交易所董事会秘书资格和法律职业资格。现 任华大基因副总经理、董事会秘书、法务总监。曾任深圳华大基因科技服务有限公司法务总监。</w:t>
      </w:r>
    </w:p>
    <w:p>
      <w:pPr>
        <w:pStyle w:val="Style17"/>
        <w:keepNext w:val="0"/>
        <w:keepLines w:val="0"/>
        <w:widowControl w:val="0"/>
        <w:shd w:val="clear" w:color="auto" w:fill="auto"/>
        <w:bidi w:val="0"/>
        <w:spacing w:before="0" w:after="0" w:line="317" w:lineRule="exact"/>
        <w:ind w:left="0" w:right="0"/>
        <w:jc w:val="both"/>
      </w:pPr>
      <w:r>
        <w:rPr>
          <w:b/>
          <w:bCs/>
          <w:color w:val="000000"/>
          <w:spacing w:val="0"/>
          <w:w w:val="100"/>
          <w:position w:val="0"/>
        </w:rPr>
        <w:t>王玉珏，</w:t>
      </w:r>
      <w:r>
        <w:rPr>
          <w:color w:val="000000"/>
          <w:spacing w:val="0"/>
          <w:w w:val="100"/>
          <w:position w:val="0"/>
        </w:rPr>
        <w:t>男，</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年出生，中国国籍，无境外居留权。硕士，中国注册会计师、高级会计师、高级经济师。现任华大 基因财务总监。曾任华大基因财务部总经理、华大控股助理总裁、制度与风控中心主任，华大基因内审内控部总监、财务 部副总监，深圳华大基因医学有限公司财务总监，华为技术有限公司预算会计。</w:t>
      </w:r>
    </w:p>
    <w:p>
      <w:pPr>
        <w:pStyle w:val="Style17"/>
        <w:keepNext w:val="0"/>
        <w:keepLines w:val="0"/>
        <w:widowControl w:val="0"/>
        <w:shd w:val="clear" w:color="auto" w:fill="auto"/>
        <w:bidi w:val="0"/>
        <w:spacing w:before="0" w:after="480" w:line="322" w:lineRule="exact"/>
        <w:ind w:left="0" w:right="0"/>
        <w:jc w:val="both"/>
      </w:pPr>
      <w:r>
        <w:rPr>
          <w:b/>
          <w:bCs/>
          <w:color w:val="000000"/>
          <w:spacing w:val="0"/>
          <w:w w:val="100"/>
          <w:position w:val="0"/>
        </w:rPr>
        <w:t>霍守江，</w:t>
      </w:r>
      <w:r>
        <w:rPr>
          <w:color w:val="000000"/>
          <w:spacing w:val="0"/>
          <w:w w:val="100"/>
          <w:position w:val="0"/>
        </w:rPr>
        <w:t>男，</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年出生，中国国籍，无境外居留权。本科。现任华大基因人力资源总监。曾任华大基因人力资源副 总监、华大控股人力资源副总监、薪酬福利经理。</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r>
        <w:br w:type="page"/>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6"/>
        <w:gridCol w:w="3120"/>
        <w:gridCol w:w="1416"/>
        <w:gridCol w:w="1560"/>
        <w:gridCol w:w="710"/>
        <w:gridCol w:w="135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任期终</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刘斯奇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深圳和玉高林股权投资合伙企业（有限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执行事务合伙人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2837"/>
        <w:gridCol w:w="1416"/>
        <w:gridCol w:w="1560"/>
        <w:gridCol w:w="1560"/>
        <w:gridCol w:w="135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深圳华盈科技管理有限公司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义合控股有限公司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深圳市同并相联科技有限公司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华昇诊断中心有限公司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深圳华大万物科技有限公司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高林资本管理有限公司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创始合伙人、董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北京高林投资有限公司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北京高林管理咨询有限公司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深圳盈泰华瑞投资管理有限公司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执行（常务）董 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上海高林固泰投资管理有限公司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上海高林固泰创业投资管理有限公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高林</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私募证券基金管理有限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执行（常务）董 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深圳弘泰资本投资有限公司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2837"/>
        <w:gridCol w:w="1416"/>
        <w:gridCol w:w="1560"/>
        <w:gridCol w:w="1560"/>
        <w:gridCol w:w="135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吉贝克信息技术（北京）有限公司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北京丽家丽婴婴童用品股份有限公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北京宅急送快运股份有限公司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r>
              <w:rPr>
                <w:rFonts w:ascii="Times New Roman" w:eastAsia="Times New Roman" w:hAnsi="Times New Roman" w:cs="Times New Roman"/>
                <w:color w:val="000000"/>
                <w:spacing w:val="0"/>
                <w:w w:val="100"/>
                <w:position w:val="0"/>
              </w:rPr>
              <w:t>CEO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石家庄优创科技股份有限公司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高林厚健（上海）创业投资合伙企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执行事务合伙人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上海高林同创股权投资合伙企业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执行事务合伙人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上海领送供应链科技有限公司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北京高林控股有限公司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执行董事、总经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圣湘生物科技股份有限公司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曹亚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中南大学湘雅医学院肿瘤研究所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科大讯飞股份有限公司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科大讯飞华南有限公司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广州科语信息科技有限公司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广州科音信息科技有限公司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广州易听说投资咨询合伙企业（有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广州讯飞易听说网络科技有限公司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广东爱因智能科技有限公司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深圳讯飞智慧科技有限公司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科大讯飞华南人工智能研究院</w:t>
            </w:r>
            <w:r>
              <w:rPr>
                <w:rFonts w:ascii="Times New Roman" w:eastAsia="Times New Roman" w:hAnsi="Times New Roman" w:cs="Times New Roman"/>
                <w:color w:val="000000"/>
                <w:spacing w:val="0"/>
                <w:w w:val="100"/>
                <w:position w:val="0"/>
              </w:rPr>
              <w:t>（</w:t>
            </w:r>
            <w:r>
              <w:rPr>
                <w:color w:val="000000"/>
                <w:spacing w:val="0"/>
                <w:w w:val="100"/>
                <w:position w:val="0"/>
              </w:rPr>
              <w:t>广 州</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广州讯飞超脑科技有限公司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厦门大学管理学院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上海博睿财务管理咨询中心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世纪证券有限责任公司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青岛征和工业股份有限公司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环创（厦门）科技股份有限公司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福建七匹狼实业股份有限公司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厦门美科安防科技股份有限公司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刘斯奇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北京华大蛋白质研发中心有限公司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刘斯奇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华大</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蛋白质工程科技有限公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tbl>
      <w:tblPr>
        <w:tblOverlap w:val="never"/>
        <w:jc w:val="center"/>
        <w:tblLayout w:type="fixed"/>
      </w:tblPr>
      <w:tblGrid>
        <w:gridCol w:w="859"/>
        <w:gridCol w:w="2837"/>
        <w:gridCol w:w="1416"/>
        <w:gridCol w:w="1560"/>
        <w:gridCol w:w="1560"/>
        <w:gridCol w:w="135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刘斯奇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深圳华盈科技管理有限公司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刘斯奇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深圳华大创始人投资中心</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执行事务合伙人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（委派代表）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陈唯军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北京瑞药科技有限公司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陈唯军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西藏雅拉香波生物技术合伙企业</w:t>
            </w:r>
            <w:r>
              <w:rPr>
                <w:rFonts w:ascii="Times New Roman" w:eastAsia="Times New Roman" w:hAnsi="Times New Roman" w:cs="Times New Roman"/>
                <w:color w:val="000000"/>
                <w:spacing w:val="0"/>
                <w:w w:val="100"/>
                <w:position w:val="0"/>
              </w:rPr>
              <w:t>（</w:t>
            </w:r>
            <w:r>
              <w:rPr>
                <w:color w:val="000000"/>
                <w:spacing w:val="0"/>
                <w:w w:val="100"/>
                <w:position w:val="0"/>
              </w:rPr>
              <w:t>有 限合伙</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陈唯军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西藏吉雪祥诚生物技术合伙企业</w:t>
            </w:r>
            <w:r>
              <w:rPr>
                <w:rFonts w:ascii="Times New Roman" w:eastAsia="Times New Roman" w:hAnsi="Times New Roman" w:cs="Times New Roman"/>
                <w:color w:val="000000"/>
                <w:spacing w:val="0"/>
                <w:w w:val="100"/>
                <w:position w:val="0"/>
              </w:rPr>
              <w:t>（</w:t>
            </w:r>
            <w:r>
              <w:rPr>
                <w:color w:val="000000"/>
                <w:spacing w:val="0"/>
                <w:w w:val="100"/>
                <w:position w:val="0"/>
              </w:rPr>
              <w:t>有 限合伙</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朱师达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西藏安维洛普生物技术合伙企业</w:t>
            </w:r>
            <w:r>
              <w:rPr>
                <w:rFonts w:ascii="Times New Roman" w:eastAsia="Times New Roman" w:hAnsi="Times New Roman" w:cs="Times New Roman"/>
                <w:color w:val="000000"/>
                <w:spacing w:val="0"/>
                <w:w w:val="100"/>
                <w:position w:val="0"/>
              </w:rPr>
              <w:t>（</w:t>
            </w:r>
            <w:r>
              <w:rPr>
                <w:color w:val="000000"/>
                <w:spacing w:val="0"/>
                <w:w w:val="100"/>
                <w:position w:val="0"/>
              </w:rPr>
              <w:t>有 限合伙</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西藏华瞻创业投资有限公司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深圳市猛犯公益基金会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位任职情</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、董事、监事、高级管理人员报酬情况</w:t>
      </w:r>
      <w:bookmarkEnd w:id="376"/>
      <w:bookmarkEnd w:id="377"/>
      <w:bookmarkEnd w:id="379"/>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tabs>
          <w:tab w:pos="921" w:val="left"/>
        </w:tabs>
        <w:bidi w:val="0"/>
        <w:spacing w:before="0" w:after="0" w:line="317" w:lineRule="exact"/>
        <w:ind w:left="0" w:right="0"/>
        <w:jc w:val="both"/>
      </w:pPr>
      <w:bookmarkStart w:id="380" w:name="bookmark380"/>
      <w:r>
        <w:rPr>
          <w:b/>
          <w:bCs/>
          <w:color w:val="000000"/>
          <w:spacing w:val="0"/>
          <w:w w:val="100"/>
          <w:position w:val="0"/>
        </w:rPr>
        <w:t>（</w:t>
      </w:r>
      <w:bookmarkEnd w:id="380"/>
      <w:r>
        <w:rPr>
          <w:b/>
          <w:bCs/>
          <w:color w:val="000000"/>
          <w:spacing w:val="0"/>
          <w:w w:val="100"/>
          <w:position w:val="0"/>
        </w:rPr>
        <w:t>一）</w:t>
        <w:tab/>
        <w:t>董事、监事、高级管理人员报酬的决策程序</w:t>
      </w:r>
    </w:p>
    <w:p>
      <w:pPr>
        <w:pStyle w:val="Style17"/>
        <w:keepNext w:val="0"/>
        <w:keepLines w:val="0"/>
        <w:widowControl w:val="0"/>
        <w:shd w:val="clear" w:color="auto" w:fill="auto"/>
        <w:tabs>
          <w:tab w:pos="714" w:val="left"/>
        </w:tabs>
        <w:bidi w:val="0"/>
        <w:spacing w:before="0" w:after="0" w:line="317" w:lineRule="exact"/>
        <w:ind w:left="0" w:right="0"/>
        <w:jc w:val="both"/>
      </w:pPr>
      <w:bookmarkStart w:id="381" w:name="bookmark381"/>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公司董事、监事报酬由股东大会审议决定，高级管理人员报酬由董事会审议决定；</w:t>
      </w:r>
    </w:p>
    <w:p>
      <w:pPr>
        <w:pStyle w:val="Style17"/>
        <w:keepNext w:val="0"/>
        <w:keepLines w:val="0"/>
        <w:widowControl w:val="0"/>
        <w:shd w:val="clear" w:color="auto" w:fill="auto"/>
        <w:tabs>
          <w:tab w:pos="709" w:val="left"/>
        </w:tabs>
        <w:bidi w:val="0"/>
        <w:spacing w:before="0" w:after="0" w:line="317" w:lineRule="exact"/>
        <w:ind w:left="0" w:right="0"/>
        <w:jc w:val="both"/>
      </w:pPr>
      <w:bookmarkStart w:id="382" w:name="bookmark382"/>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在公司任职的董事、监事、高级管理人员报酬由公司按照公司薪酬考核体系确定的标准支付，不再另外领取津贴。 根据公司《董事会薪酬与考核委员会实施细则》，薪酬与考核委员会提出的公司董事及高级管理人员薪酬计划或方案，须 报公司董事会审批同意后，提交股东大会审议通过后方可实施；</w:t>
      </w:r>
    </w:p>
    <w:p>
      <w:pPr>
        <w:pStyle w:val="Style17"/>
        <w:keepNext w:val="0"/>
        <w:keepLines w:val="0"/>
        <w:widowControl w:val="0"/>
        <w:shd w:val="clear" w:color="auto" w:fill="auto"/>
        <w:tabs>
          <w:tab w:pos="734" w:val="left"/>
        </w:tabs>
        <w:bidi w:val="0"/>
        <w:spacing w:before="0" w:after="0" w:line="317" w:lineRule="exact"/>
        <w:ind w:left="0" w:right="0"/>
        <w:jc w:val="both"/>
      </w:pPr>
      <w:bookmarkStart w:id="383" w:name="bookmark383"/>
      <w:r>
        <w:rPr>
          <w:rFonts w:ascii="Times New Roman" w:eastAsia="Times New Roman" w:hAnsi="Times New Roman" w:cs="Times New Roman"/>
          <w:color w:val="000000"/>
          <w:spacing w:val="0"/>
          <w:w w:val="100"/>
          <w:position w:val="0"/>
        </w:rPr>
        <w:t>3</w:t>
      </w:r>
      <w:bookmarkEnd w:id="383"/>
      <w:r>
        <w:rPr>
          <w:color w:val="000000"/>
          <w:spacing w:val="0"/>
          <w:w w:val="100"/>
          <w:position w:val="0"/>
        </w:rPr>
        <w:t>、</w:t>
        <w:tab/>
        <w:t>公司独立董事津贴由公司董事会薪酬与考核委员会提出方案，报公司董事会、股东大会审议通过后实施；</w:t>
      </w:r>
    </w:p>
    <w:p>
      <w:pPr>
        <w:pStyle w:val="Style17"/>
        <w:keepNext w:val="0"/>
        <w:keepLines w:val="0"/>
        <w:widowControl w:val="0"/>
        <w:shd w:val="clear" w:color="auto" w:fill="auto"/>
        <w:tabs>
          <w:tab w:pos="734" w:val="left"/>
        </w:tabs>
        <w:bidi w:val="0"/>
        <w:spacing w:before="0" w:after="0" w:line="317" w:lineRule="exact"/>
        <w:ind w:left="0" w:right="0"/>
        <w:jc w:val="both"/>
      </w:pPr>
      <w:bookmarkStart w:id="384" w:name="bookmark384"/>
      <w:r>
        <w:rPr>
          <w:rFonts w:ascii="Times New Roman" w:eastAsia="Times New Roman" w:hAnsi="Times New Roman" w:cs="Times New Roman"/>
          <w:color w:val="000000"/>
          <w:spacing w:val="0"/>
          <w:w w:val="100"/>
          <w:position w:val="0"/>
        </w:rPr>
        <w:t>4</w:t>
      </w:r>
      <w:bookmarkEnd w:id="384"/>
      <w:r>
        <w:rPr>
          <w:color w:val="000000"/>
          <w:spacing w:val="0"/>
          <w:w w:val="100"/>
          <w:position w:val="0"/>
        </w:rPr>
        <w:t>、</w:t>
        <w:tab/>
        <w:t>未在公司任职的公司监事领取津贴，经公司监事会审批同意后，公司股东大会审议通过后实施。</w:t>
      </w:r>
    </w:p>
    <w:p>
      <w:pPr>
        <w:pStyle w:val="Style17"/>
        <w:keepNext w:val="0"/>
        <w:keepLines w:val="0"/>
        <w:widowControl w:val="0"/>
        <w:shd w:val="clear" w:color="auto" w:fill="auto"/>
        <w:tabs>
          <w:tab w:pos="921" w:val="left"/>
        </w:tabs>
        <w:bidi w:val="0"/>
        <w:spacing w:before="0" w:after="80" w:line="317" w:lineRule="exact"/>
        <w:ind w:left="0" w:right="0"/>
        <w:jc w:val="both"/>
      </w:pPr>
      <w:bookmarkStart w:id="385" w:name="bookmark385"/>
      <w:r>
        <w:rPr>
          <w:b/>
          <w:bCs/>
          <w:color w:val="000000"/>
          <w:spacing w:val="0"/>
          <w:w w:val="100"/>
          <w:position w:val="0"/>
        </w:rPr>
        <w:t>（</w:t>
      </w:r>
      <w:bookmarkEnd w:id="385"/>
      <w:r>
        <w:rPr>
          <w:b/>
          <w:bCs/>
          <w:color w:val="000000"/>
          <w:spacing w:val="0"/>
          <w:w w:val="100"/>
          <w:position w:val="0"/>
        </w:rPr>
        <w:t>二）</w:t>
        <w:tab/>
        <w:t>董事、监事、高级管理人员报酬确定依据</w:t>
      </w:r>
    </w:p>
    <w:p>
      <w:pPr>
        <w:pStyle w:val="Style17"/>
        <w:keepNext w:val="0"/>
        <w:keepLines w:val="0"/>
        <w:widowControl w:val="0"/>
        <w:shd w:val="clear" w:color="auto" w:fill="auto"/>
        <w:tabs>
          <w:tab w:pos="709" w:val="left"/>
        </w:tabs>
        <w:bidi w:val="0"/>
        <w:spacing w:before="0" w:after="0" w:line="317" w:lineRule="exact"/>
        <w:ind w:left="0" w:right="0"/>
        <w:jc w:val="both"/>
      </w:pPr>
      <w:bookmarkStart w:id="386" w:name="bookmark386"/>
      <w:r>
        <w:rPr>
          <w:rFonts w:ascii="Times New Roman" w:eastAsia="Times New Roman" w:hAnsi="Times New Roman" w:cs="Times New Roman"/>
          <w:color w:val="000000"/>
          <w:spacing w:val="0"/>
          <w:w w:val="100"/>
          <w:position w:val="0"/>
        </w:rPr>
        <w:t>1</w:t>
      </w:r>
      <w:bookmarkEnd w:id="386"/>
      <w:r>
        <w:rPr>
          <w:color w:val="000000"/>
          <w:spacing w:val="0"/>
          <w:w w:val="100"/>
          <w:position w:val="0"/>
        </w:rPr>
        <w:t>、</w:t>
        <w:tab/>
        <w:t>在公司任职的董事、监事和高级管理人员薪酬方案根据公司经营业绩、个人工作能力考核、同行业上市公司相应岗 位薪资情况综合确定。</w:t>
      </w:r>
    </w:p>
    <w:p>
      <w:pPr>
        <w:pStyle w:val="Style17"/>
        <w:keepNext w:val="0"/>
        <w:keepLines w:val="0"/>
        <w:widowControl w:val="0"/>
        <w:shd w:val="clear" w:color="auto" w:fill="auto"/>
        <w:tabs>
          <w:tab w:pos="734" w:val="left"/>
        </w:tabs>
        <w:bidi w:val="0"/>
        <w:spacing w:before="0" w:after="0" w:line="317" w:lineRule="exact"/>
        <w:ind w:left="0" w:right="0"/>
        <w:jc w:val="both"/>
      </w:pPr>
      <w:bookmarkStart w:id="387" w:name="bookmark387"/>
      <w:r>
        <w:rPr>
          <w:rFonts w:ascii="Times New Roman" w:eastAsia="Times New Roman" w:hAnsi="Times New Roman" w:cs="Times New Roman"/>
          <w:color w:val="000000"/>
          <w:spacing w:val="0"/>
          <w:w w:val="100"/>
          <w:position w:val="0"/>
        </w:rPr>
        <w:t>2</w:t>
      </w:r>
      <w:bookmarkEnd w:id="387"/>
      <w:r>
        <w:rPr>
          <w:color w:val="000000"/>
          <w:spacing w:val="0"/>
          <w:w w:val="100"/>
          <w:position w:val="0"/>
        </w:rPr>
        <w:t>、</w:t>
        <w:tab/>
        <w:t>独立董事、监事的津贴标准参照本地区、同行业上市公司的整体水平来确定。</w:t>
      </w:r>
    </w:p>
    <w:p>
      <w:pPr>
        <w:pStyle w:val="Style17"/>
        <w:keepNext w:val="0"/>
        <w:keepLines w:val="0"/>
        <w:widowControl w:val="0"/>
        <w:shd w:val="clear" w:color="auto" w:fill="auto"/>
        <w:tabs>
          <w:tab w:pos="921" w:val="left"/>
        </w:tabs>
        <w:bidi w:val="0"/>
        <w:spacing w:before="0" w:after="0" w:line="317" w:lineRule="exact"/>
        <w:ind w:left="0" w:right="0"/>
        <w:jc w:val="both"/>
      </w:pPr>
      <w:bookmarkStart w:id="388" w:name="bookmark388"/>
      <w:r>
        <w:rPr>
          <w:b/>
          <w:bCs/>
          <w:color w:val="000000"/>
          <w:spacing w:val="0"/>
          <w:w w:val="100"/>
          <w:position w:val="0"/>
        </w:rPr>
        <w:t>（</w:t>
      </w:r>
      <w:bookmarkEnd w:id="388"/>
      <w:r>
        <w:rPr>
          <w:b/>
          <w:bCs/>
          <w:color w:val="000000"/>
          <w:spacing w:val="0"/>
          <w:w w:val="100"/>
          <w:position w:val="0"/>
        </w:rPr>
        <w:t>三）</w:t>
        <w:tab/>
        <w:t>董事、监事和高级管理人员报酬的实际支付情况</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日完成董事会、监事会及高级管理人员的换届，具体改选情况详见本节</w:t>
      </w:r>
      <w:r>
        <w:rPr>
          <w:rFonts w:ascii="Times New Roman" w:eastAsia="Times New Roman" w:hAnsi="Times New Roman" w:cs="Times New Roman"/>
          <w:color w:val="000000"/>
          <w:spacing w:val="0"/>
          <w:w w:val="100"/>
          <w:position w:val="0"/>
        </w:rPr>
        <w:t>“</w:t>
      </w:r>
      <w:r>
        <w:rPr>
          <w:color w:val="000000"/>
          <w:spacing w:val="0"/>
          <w:w w:val="100"/>
          <w:position w:val="0"/>
        </w:rPr>
        <w:t>公司董事、监事和高级管理 人员变动情况</w:t>
      </w:r>
      <w:r>
        <w:rPr>
          <w:rFonts w:ascii="Times New Roman" w:eastAsia="Times New Roman" w:hAnsi="Times New Roman" w:cs="Times New Roman"/>
          <w:color w:val="000000"/>
          <w:spacing w:val="0"/>
          <w:w w:val="100"/>
          <w:position w:val="0"/>
        </w:rPr>
        <w:t>”</w:t>
      </w:r>
      <w:r>
        <w:rPr>
          <w:color w:val="000000"/>
          <w:spacing w:val="0"/>
          <w:w w:val="100"/>
          <w:position w:val="0"/>
        </w:rPr>
        <w:t>。公司报告期内董监高报酬情况统计口径为对应董监高任期内领取的薪酬。</w:t>
      </w:r>
      <w:r>
        <w:rPr>
          <w:rFonts w:ascii="Times New Roman" w:eastAsia="Times New Roman" w:hAnsi="Times New Roman" w:cs="Times New Roman"/>
          <w:color w:val="000000"/>
          <w:spacing w:val="0"/>
          <w:w w:val="100"/>
          <w:position w:val="0"/>
        </w:rPr>
        <w:t>2021</w:t>
      </w:r>
      <w:r>
        <w:rPr>
          <w:color w:val="000000"/>
          <w:spacing w:val="0"/>
          <w:w w:val="100"/>
          <w:position w:val="0"/>
        </w:rPr>
        <w:t>年度，在上市公司领薪的董 事、监事、高级管理人员共</w:t>
      </w:r>
      <w:r>
        <w:rPr>
          <w:rFonts w:ascii="Times New Roman" w:eastAsia="Times New Roman" w:hAnsi="Times New Roman" w:cs="Times New Roman"/>
          <w:color w:val="000000"/>
          <w:spacing w:val="0"/>
          <w:w w:val="100"/>
          <w:position w:val="0"/>
        </w:rPr>
        <w:t>22</w:t>
      </w:r>
      <w:r>
        <w:rPr>
          <w:color w:val="000000"/>
          <w:spacing w:val="0"/>
          <w:w w:val="100"/>
          <w:position w:val="0"/>
        </w:rPr>
        <w:t>人，均按规定全额发放。</w:t>
      </w:r>
      <w:r>
        <w:rPr>
          <w:rFonts w:ascii="Times New Roman" w:eastAsia="Times New Roman" w:hAnsi="Times New Roman" w:cs="Times New Roman"/>
          <w:color w:val="000000"/>
          <w:spacing w:val="0"/>
          <w:w w:val="100"/>
          <w:position w:val="0"/>
        </w:rPr>
        <w:t>2021</w:t>
      </w:r>
      <w:r>
        <w:rPr>
          <w:color w:val="000000"/>
          <w:spacing w:val="0"/>
          <w:w w:val="100"/>
          <w:position w:val="0"/>
        </w:rPr>
        <w:t>年度公司实际支付上述人员薪酬</w:t>
      </w:r>
      <w:r>
        <w:rPr>
          <w:rFonts w:ascii="Times New Roman" w:eastAsia="Times New Roman" w:hAnsi="Times New Roman" w:cs="Times New Roman"/>
          <w:color w:val="000000"/>
          <w:spacing w:val="0"/>
          <w:w w:val="100"/>
          <w:position w:val="0"/>
        </w:rPr>
        <w:t>2,115.56</w:t>
      </w:r>
      <w:r>
        <w:rPr>
          <w:color w:val="000000"/>
          <w:spacing w:val="0"/>
          <w:w w:val="100"/>
          <w:position w:val="0"/>
        </w:rPr>
        <w:t>万元，其中支付独立董 事津贴</w:t>
      </w:r>
      <w:r>
        <w:rPr>
          <w:rFonts w:ascii="Times New Roman" w:eastAsia="Times New Roman" w:hAnsi="Times New Roman" w:cs="Times New Roman"/>
          <w:color w:val="000000"/>
          <w:spacing w:val="0"/>
          <w:w w:val="100"/>
          <w:position w:val="0"/>
        </w:rPr>
        <w:t>60.56</w:t>
      </w:r>
      <w:r>
        <w:rPr>
          <w:color w:val="000000"/>
          <w:spacing w:val="0"/>
          <w:w w:val="100"/>
          <w:position w:val="0"/>
        </w:rPr>
        <w:t>万元。</w:t>
      </w:r>
      <w:r>
        <w:br w:type="page"/>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136"/>
        <w:gridCol w:w="1982"/>
        <w:gridCol w:w="850"/>
        <w:gridCol w:w="850"/>
        <w:gridCol w:w="994"/>
        <w:gridCol w:w="1402"/>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WANG HONGQI </w:t>
            </w:r>
            <w:r>
              <w:rPr>
                <w:color w:val="000000"/>
                <w:spacing w:val="0"/>
                <w:w w:val="100"/>
                <w:position w:val="0"/>
              </w:rPr>
              <w:t>（王洪</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刘斯奇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李雯琪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胡宇洁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陈唯军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朱师达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副总经理、董事会秘</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书、法务总监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霍守江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孙英俊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陈鹏辉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李治平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2,115.56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4"/>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sz w:val="24"/>
          <w:szCs w:val="24"/>
        </w:rPr>
        <w:t>八</w:t>
      </w:r>
      <w:bookmarkEnd w:id="391"/>
      <w:r>
        <w:rPr>
          <w:color w:val="000000"/>
          <w:spacing w:val="0"/>
          <w:w w:val="100"/>
          <w:position w:val="0"/>
          <w:sz w:val="24"/>
          <w:szCs w:val="24"/>
        </w:rPr>
        <w:t>、报告期内董事履行职责的情况</w:t>
      </w:r>
      <w:bookmarkEnd w:id="389"/>
      <w:bookmarkEnd w:id="390"/>
      <w:bookmarkEnd w:id="392"/>
    </w:p>
    <w:p>
      <w:pPr>
        <w:pStyle w:val="Style30"/>
        <w:keepNext/>
        <w:keepLines/>
        <w:widowControl w:val="0"/>
        <w:shd w:val="clear" w:color="auto" w:fill="auto"/>
        <w:bidi w:val="0"/>
        <w:spacing w:before="0" w:after="32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、本报告期董事会情况</w:t>
      </w:r>
      <w:bookmarkEnd w:id="393"/>
      <w:bookmarkEnd w:id="394"/>
      <w:bookmarkEnd w:id="396"/>
    </w:p>
    <w:tbl>
      <w:tblPr>
        <w:tblOverlap w:val="never"/>
        <w:jc w:val="center"/>
        <w:tblLayout w:type="fixed"/>
      </w:tblPr>
      <w:tblGrid>
        <w:gridCol w:w="2558"/>
        <w:gridCol w:w="1843"/>
        <w:gridCol w:w="1987"/>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二届董事会第二十七次会议决议公告》</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2021-001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二届董事会第二十八次会议决议公告》</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2021-003</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第二届董事会第二十九次会议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二届董事会第二十九次会议决议公告》</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2021-015</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 二届董事会第三十次会议决议公告》</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2021-044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二届董事会第三十一次会议决议公告》</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2021-065</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二届董事会第三十二次会议决议公告》</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2021-071</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 三届董事会第一次会议决议公告》(公 告编号：</w:t>
            </w:r>
            <w:r>
              <w:rPr>
                <w:rFonts w:ascii="Times New Roman" w:eastAsia="Times New Roman" w:hAnsi="Times New Roman" w:cs="Times New Roman"/>
                <w:color w:val="000000"/>
                <w:spacing w:val="0"/>
                <w:w w:val="100"/>
                <w:position w:val="0"/>
              </w:rPr>
              <w:t>2021-086</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 三届董事会第二次会议决议公告》(公 告编号：</w:t>
            </w:r>
            <w:r>
              <w:rPr>
                <w:rFonts w:ascii="Times New Roman" w:eastAsia="Times New Roman" w:hAnsi="Times New Roman" w:cs="Times New Roman"/>
                <w:color w:val="000000"/>
                <w:spacing w:val="0"/>
                <w:w w:val="100"/>
                <w:position w:val="0"/>
              </w:rPr>
              <w:t>2021-109</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 三届董事会第三次会议决议公告》(公 告编号：</w:t>
            </w:r>
            <w:r>
              <w:rPr>
                <w:rFonts w:ascii="Times New Roman" w:eastAsia="Times New Roman" w:hAnsi="Times New Roman" w:cs="Times New Roman"/>
                <w:color w:val="000000"/>
                <w:spacing w:val="0"/>
                <w:w w:val="100"/>
                <w:position w:val="0"/>
              </w:rPr>
              <w:t>2021-118</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第三届董事会第四次会议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 三届董事会第四次会议决议公告》(公 告编号：</w:t>
            </w:r>
            <w:r>
              <w:rPr>
                <w:rFonts w:ascii="Times New Roman" w:eastAsia="Times New Roman" w:hAnsi="Times New Roman" w:cs="Times New Roman"/>
                <w:color w:val="000000"/>
                <w:spacing w:val="0"/>
                <w:w w:val="100"/>
                <w:position w:val="0"/>
              </w:rPr>
              <w:t>2021-131</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、董事出席董事会及股东大会的情况</w:t>
      </w:r>
      <w:bookmarkEnd w:id="397"/>
      <w:bookmarkEnd w:id="398"/>
      <w:bookmarkEnd w:id="400"/>
    </w:p>
    <w:tbl>
      <w:tblPr>
        <w:tblOverlap w:val="never"/>
        <w:jc w:val="center"/>
        <w:tblLayout w:type="fixed"/>
      </w:tblPr>
      <w:tblGrid>
        <w:gridCol w:w="1435"/>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本报告期应参</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以通讯方式参</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是否连续两次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未亲自参加董</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bl>
    <w:p>
      <w:pPr>
        <w:spacing w:lineRule="exact" w:line="1"/>
        <w:rPr>
          <w:sz w:val="2"/>
          <w:szCs w:val="2"/>
        </w:rPr>
      </w:pPr>
      <w:r>
        <w:br w:type="page"/>
      </w:r>
    </w:p>
    <w:tbl>
      <w:tblPr>
        <w:tblOverlap w:val="never"/>
        <w:jc w:val="center"/>
        <w:tblLayout w:type="fixed"/>
      </w:tblPr>
      <w:tblGrid>
        <w:gridCol w:w="1435"/>
        <w:gridCol w:w="1162"/>
        <w:gridCol w:w="1166"/>
        <w:gridCol w:w="1162"/>
        <w:gridCol w:w="1166"/>
        <w:gridCol w:w="1162"/>
        <w:gridCol w:w="1162"/>
        <w:gridCol w:w="117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曹亚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孙英俊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陈鹏辉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蒋昌建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徐爱民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17"/>
        <w:keepNext w:val="0"/>
        <w:keepLines w:val="0"/>
        <w:widowControl w:val="0"/>
        <w:shd w:val="clear" w:color="auto" w:fill="auto"/>
        <w:bidi w:val="0"/>
        <w:spacing w:before="0" w:after="380" w:line="314" w:lineRule="exact"/>
        <w:ind w:left="0" w:right="0"/>
        <w:jc w:val="left"/>
      </w:pPr>
      <w:r>
        <w:rPr>
          <w:color w:val="000000"/>
          <w:spacing w:val="0"/>
          <w:w w:val="100"/>
          <w:position w:val="0"/>
        </w:rPr>
        <w:t>不存在董事连续两次未亲自出席董事会的情况。</w:t>
      </w:r>
    </w:p>
    <w:p>
      <w:pPr>
        <w:pStyle w:val="Style30"/>
        <w:keepNext/>
        <w:keepLines/>
        <w:widowControl w:val="0"/>
        <w:shd w:val="clear" w:color="auto" w:fill="auto"/>
        <w:tabs>
          <w:tab w:pos="378" w:val="left"/>
        </w:tabs>
        <w:bidi w:val="0"/>
        <w:spacing w:before="0" w:after="2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3</w:t>
      </w:r>
      <w:bookmarkEnd w:id="403"/>
      <w:r>
        <w:rPr>
          <w:color w:val="000000"/>
          <w:spacing w:val="0"/>
          <w:w w:val="100"/>
          <w:position w:val="0"/>
        </w:rPr>
        <w:t>、</w:t>
        <w:tab/>
        <w:t>董事对公司有关事项提出异议的情况</w:t>
      </w:r>
      <w:bookmarkEnd w:id="401"/>
      <w:bookmarkEnd w:id="402"/>
      <w:bookmarkEnd w:id="404"/>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380" w:line="314" w:lineRule="exact"/>
        <w:ind w:left="0" w:right="0"/>
        <w:jc w:val="left"/>
      </w:pPr>
      <w:r>
        <w:rPr>
          <w:color w:val="000000"/>
          <w:spacing w:val="0"/>
          <w:w w:val="100"/>
          <w:position w:val="0"/>
        </w:rPr>
        <w:t>报告期内董事对公司有关事项未提出异议。</w:t>
      </w:r>
    </w:p>
    <w:p>
      <w:pPr>
        <w:pStyle w:val="Style30"/>
        <w:keepNext/>
        <w:keepLines/>
        <w:widowControl w:val="0"/>
        <w:shd w:val="clear" w:color="auto" w:fill="auto"/>
        <w:tabs>
          <w:tab w:pos="378" w:val="left"/>
        </w:tabs>
        <w:bidi w:val="0"/>
        <w:spacing w:before="0" w:after="28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4</w:t>
      </w:r>
      <w:bookmarkEnd w:id="407"/>
      <w:r>
        <w:rPr>
          <w:color w:val="000000"/>
          <w:spacing w:val="0"/>
          <w:w w:val="100"/>
          <w:position w:val="0"/>
        </w:rPr>
        <w:t>、</w:t>
        <w:tab/>
        <w:t>董事履行职责的其他说明</w:t>
      </w:r>
      <w:bookmarkEnd w:id="405"/>
      <w:bookmarkEnd w:id="406"/>
      <w:bookmarkEnd w:id="408"/>
    </w:p>
    <w:p>
      <w:pPr>
        <w:pStyle w:val="Style1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董事对公司有关建议是否被采纳</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报告期内，公司全体董事勤勉尽责，严格按照中国证监会和深圳证券交易所的相关规定以及《公司章程》《董事会议事 规则》等制度开展工作，认真审议董事会各项议案，高度关注公司规范运作和经营情况，根据公司的实际情况，对公司治理 和日常经营决策提出了专业性建议，经过充分沟通讨论，形成一致意见，并有效监督和推动董事会决议的执行，确保决策科 学、及时、高效，切实维护公司和股东，尤其是中小股东的合法权益。</w:t>
      </w:r>
    </w:p>
    <w:p>
      <w:pPr>
        <w:pStyle w:val="Style24"/>
        <w:keepNext/>
        <w:keepLines/>
        <w:widowControl w:val="0"/>
        <w:shd w:val="clear" w:color="auto" w:fill="auto"/>
        <w:bidi w:val="0"/>
        <w:spacing w:before="0" w:after="28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sz w:val="24"/>
          <w:szCs w:val="24"/>
        </w:rPr>
        <w:t>九</w:t>
      </w:r>
      <w:bookmarkEnd w:id="411"/>
      <w:r>
        <w:rPr>
          <w:color w:val="000000"/>
          <w:spacing w:val="0"/>
          <w:w w:val="100"/>
          <w:position w:val="0"/>
          <w:sz w:val="24"/>
          <w:szCs w:val="24"/>
        </w:rPr>
        <w:t>、董事会下设专门委员会在报告期内的情况</w:t>
      </w:r>
      <w:bookmarkEnd w:id="409"/>
      <w:bookmarkEnd w:id="410"/>
      <w:bookmarkEnd w:id="412"/>
    </w:p>
    <w:tbl>
      <w:tblPr>
        <w:tblOverlap w:val="never"/>
        <w:jc w:val="center"/>
        <w:tblLayout w:type="fixed"/>
      </w:tblPr>
      <w:tblGrid>
        <w:gridCol w:w="715"/>
        <w:gridCol w:w="994"/>
        <w:gridCol w:w="427"/>
        <w:gridCol w:w="850"/>
        <w:gridCol w:w="2266"/>
        <w:gridCol w:w="2126"/>
        <w:gridCol w:w="1421"/>
        <w:gridCol w:w="787"/>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召开</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会议</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其他履行职责的 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异议事项</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具体情况</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（如有）</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吴育辉（主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w:t>
            </w:r>
            <w:r>
              <w:rPr>
                <w:rFonts w:ascii="Times New Roman" w:eastAsia="Times New Roman" w:hAnsi="Times New Roman" w:cs="Times New Roman"/>
                <w:color w:val="000000"/>
                <w:spacing w:val="0"/>
                <w:w w:val="100"/>
                <w:position w:val="0"/>
              </w:rPr>
              <w:t>2021</w:t>
            </w:r>
            <w:r>
              <w:rPr>
                <w:color w:val="000000"/>
                <w:spacing w:val="0"/>
                <w:w w:val="100"/>
                <w:position w:val="0"/>
              </w:rPr>
              <w:t>年度拟与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建议关注日常关联交易的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详细了解议案背</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15"/>
        <w:gridCol w:w="994"/>
        <w:gridCol w:w="427"/>
        <w:gridCol w:w="850"/>
        <w:gridCol w:w="2266"/>
        <w:gridCol w:w="2126"/>
        <w:gridCol w:w="1421"/>
        <w:gridCol w:w="787"/>
      </w:tblGrid>
      <w:tr>
        <w:trPr>
          <w:trHeight w:val="1301"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董事会</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审计委</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任委员）、 孙英俊、蒋 昌建</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关联方进行日常关联交易的 议案》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必要性、交易模式以及合 规开展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景情况，了解申 报的日常关联交 易的具体交易模 式</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审议《关于</w:t>
            </w:r>
            <w:r>
              <w:rPr>
                <w:rFonts w:ascii="Times New Roman" w:eastAsia="Times New Roman" w:hAnsi="Times New Roman" w:cs="Times New Roman"/>
                <w:color w:val="000000"/>
                <w:spacing w:val="0"/>
                <w:w w:val="100"/>
                <w:position w:val="0"/>
              </w:rPr>
              <w:t>2021</w:t>
            </w:r>
            <w:r>
              <w:rPr>
                <w:color w:val="000000"/>
                <w:spacing w:val="0"/>
                <w:w w:val="100"/>
                <w:position w:val="0"/>
              </w:rPr>
              <w:t>年度日常 关联交易预计的议案》；</w:t>
            </w:r>
            <w:r>
              <w:rPr>
                <w:rFonts w:ascii="Times New Roman" w:eastAsia="Times New Roman" w:hAnsi="Times New Roman" w:cs="Times New Roman"/>
                <w:color w:val="000000"/>
                <w:spacing w:val="0"/>
                <w:w w:val="100"/>
                <w:position w:val="0"/>
              </w:rPr>
              <w:t>2.</w:t>
            </w:r>
            <w:r>
              <w:rPr>
                <w:color w:val="000000"/>
                <w:spacing w:val="0"/>
                <w:w w:val="100"/>
                <w:position w:val="0"/>
              </w:rPr>
              <w:t>审 议《关于向深圳市猛犸公益 基金会捐赠暨关联交易的议 案》；</w:t>
            </w:r>
            <w:r>
              <w:rPr>
                <w:rFonts w:ascii="Times New Roman" w:eastAsia="Times New Roman" w:hAnsi="Times New Roman" w:cs="Times New Roman"/>
                <w:color w:val="000000"/>
                <w:spacing w:val="0"/>
                <w:w w:val="100"/>
                <w:position w:val="0"/>
              </w:rPr>
              <w:t>3.</w:t>
            </w:r>
            <w:r>
              <w:rPr>
                <w:color w:val="000000"/>
                <w:spacing w:val="0"/>
                <w:w w:val="100"/>
                <w:position w:val="0"/>
              </w:rPr>
              <w:t>审议《关于使用募集 资金向子公司增资及提供借 款以实施募投项目的议 案》；</w:t>
            </w:r>
            <w:r>
              <w:rPr>
                <w:rFonts w:ascii="Times New Roman" w:eastAsia="Times New Roman" w:hAnsi="Times New Roman" w:cs="Times New Roman"/>
                <w:color w:val="000000"/>
                <w:spacing w:val="0"/>
                <w:w w:val="100"/>
                <w:position w:val="0"/>
              </w:rPr>
              <w:t>4.</w:t>
            </w:r>
            <w:r>
              <w:rPr>
                <w:color w:val="000000"/>
                <w:spacing w:val="0"/>
                <w:w w:val="100"/>
                <w:position w:val="0"/>
              </w:rPr>
              <w:t>审议《关于开展外汇 衍生品交易业务的议案》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建议开展外汇衍生品交易 过程中要做好风险控制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详细了解议案背 景情况，其中重 点了解了外汇衍 生品交易原因以 及具体开展方式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973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numPr>
                <w:ilvl w:val="0"/>
                <w:numId w:val="7"/>
              </w:numPr>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审议《关于</w:t>
            </w:r>
            <w:r>
              <w:rPr>
                <w:rFonts w:ascii="Times New Roman" w:eastAsia="Times New Roman" w:hAnsi="Times New Roman" w:cs="Times New Roman"/>
                <w:color w:val="000000"/>
                <w:spacing w:val="0"/>
                <w:w w:val="100"/>
                <w:position w:val="0"/>
              </w:rPr>
              <w:t>＜2020</w:t>
            </w:r>
            <w:r>
              <w:rPr>
                <w:color w:val="000000"/>
                <w:spacing w:val="0"/>
                <w:w w:val="100"/>
                <w:position w:val="0"/>
              </w:rPr>
              <w:t>年年度 报告</w:t>
            </w:r>
            <w:r>
              <w:rPr>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 xml:space="preserve">2. </w:t>
            </w:r>
            <w:r>
              <w:rPr>
                <w:color w:val="000000"/>
                <w:spacing w:val="0"/>
                <w:w w:val="100"/>
                <w:position w:val="0"/>
              </w:rPr>
              <w:t>审议《关于</w:t>
            </w:r>
            <w:r>
              <w:rPr>
                <w:rFonts w:ascii="Times New Roman" w:eastAsia="Times New Roman" w:hAnsi="Times New Roman" w:cs="Times New Roman"/>
                <w:color w:val="000000"/>
                <w:spacing w:val="0"/>
                <w:w w:val="100"/>
                <w:position w:val="0"/>
              </w:rPr>
              <w:t>2021</w:t>
            </w:r>
            <w:r>
              <w:rPr>
                <w:color w:val="000000"/>
                <w:spacing w:val="0"/>
                <w:w w:val="100"/>
                <w:position w:val="0"/>
              </w:rPr>
              <w:t>年第一季 度报告的议案》；</w:t>
            </w:r>
            <w:r>
              <w:rPr>
                <w:rFonts w:ascii="Times New Roman" w:eastAsia="Times New Roman" w:hAnsi="Times New Roman" w:cs="Times New Roman"/>
                <w:color w:val="000000"/>
                <w:spacing w:val="0"/>
                <w:w w:val="100"/>
                <w:position w:val="0"/>
              </w:rPr>
              <w:t>3.</w:t>
            </w:r>
            <w:r>
              <w:rPr>
                <w:color w:val="000000"/>
                <w:spacing w:val="0"/>
                <w:w w:val="100"/>
                <w:position w:val="0"/>
              </w:rPr>
              <w:t>审议《关 于</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 与</w:t>
            </w:r>
            <w:r>
              <w:rPr>
                <w:rFonts w:ascii="Times New Roman" w:eastAsia="Times New Roman" w:hAnsi="Times New Roman" w:cs="Times New Roman"/>
                <w:color w:val="000000"/>
                <w:spacing w:val="0"/>
                <w:w w:val="100"/>
                <w:position w:val="0"/>
              </w:rPr>
              <w:t>2021</w:t>
            </w:r>
            <w:r>
              <w:rPr>
                <w:color w:val="000000"/>
                <w:spacing w:val="0"/>
                <w:w w:val="100"/>
                <w:position w:val="0"/>
              </w:rPr>
              <w:t>年度财务预算报告 的议案》；</w:t>
            </w:r>
            <w:r>
              <w:rPr>
                <w:rFonts w:ascii="Times New Roman" w:eastAsia="Times New Roman" w:hAnsi="Times New Roman" w:cs="Times New Roman"/>
                <w:color w:val="000000"/>
                <w:spacing w:val="0"/>
                <w:w w:val="100"/>
                <w:position w:val="0"/>
              </w:rPr>
              <w:t>4.</w:t>
            </w:r>
            <w:r>
              <w:rPr>
                <w:color w:val="000000"/>
                <w:spacing w:val="0"/>
                <w:w w:val="100"/>
                <w:position w:val="0"/>
              </w:rPr>
              <w:t xml:space="preserve">审议《关于续聘 </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案》；</w:t>
            </w:r>
            <w:r>
              <w:rPr>
                <w:rFonts w:ascii="Times New Roman" w:eastAsia="Times New Roman" w:hAnsi="Times New Roman" w:cs="Times New Roman"/>
                <w:color w:val="000000"/>
                <w:spacing w:val="0"/>
                <w:w w:val="100"/>
                <w:position w:val="0"/>
              </w:rPr>
              <w:t>5.</w:t>
            </w:r>
            <w:r>
              <w:rPr>
                <w:color w:val="000000"/>
                <w:spacing w:val="0"/>
                <w:w w:val="100"/>
                <w:position w:val="0"/>
              </w:rPr>
              <w:t>审议《</w:t>
            </w:r>
            <w:r>
              <w:rPr>
                <w:rFonts w:ascii="Times New Roman" w:eastAsia="Times New Roman" w:hAnsi="Times New Roman" w:cs="Times New Roman"/>
                <w:color w:val="000000"/>
                <w:spacing w:val="0"/>
                <w:w w:val="100"/>
                <w:position w:val="0"/>
              </w:rPr>
              <w:t>2020</w:t>
            </w:r>
            <w:r>
              <w:rPr>
                <w:color w:val="000000"/>
                <w:spacing w:val="0"/>
                <w:w w:val="100"/>
                <w:position w:val="0"/>
              </w:rPr>
              <w:t>年度募 集资金存放与实际使用情况 的专项报告》；</w:t>
            </w:r>
            <w:r>
              <w:rPr>
                <w:rFonts w:ascii="Times New Roman" w:eastAsia="Times New Roman" w:hAnsi="Times New Roman" w:cs="Times New Roman"/>
                <w:color w:val="000000"/>
                <w:spacing w:val="0"/>
                <w:w w:val="100"/>
                <w:position w:val="0"/>
              </w:rPr>
              <w:t>6.</w:t>
            </w:r>
            <w:r>
              <w:rPr>
                <w:color w:val="000000"/>
                <w:spacing w:val="0"/>
                <w:w w:val="100"/>
                <w:position w:val="0"/>
              </w:rPr>
              <w:t xml:space="preserve">审议《关于 </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 的议案》；</w:t>
            </w:r>
            <w:r>
              <w:rPr>
                <w:rFonts w:ascii="Times New Roman" w:eastAsia="Times New Roman" w:hAnsi="Times New Roman" w:cs="Times New Roman"/>
                <w:color w:val="000000"/>
                <w:spacing w:val="0"/>
                <w:w w:val="100"/>
                <w:position w:val="0"/>
              </w:rPr>
              <w:t>7.</w:t>
            </w:r>
            <w:r>
              <w:rPr>
                <w:color w:val="000000"/>
                <w:spacing w:val="0"/>
                <w:w w:val="100"/>
                <w:position w:val="0"/>
              </w:rPr>
              <w:t>审议《关于使用 募集资金置换预先已投入募 投项目自筹资金的议案》；</w:t>
            </w:r>
            <w:r>
              <w:rPr>
                <w:rFonts w:ascii="Times New Roman" w:eastAsia="Times New Roman" w:hAnsi="Times New Roman" w:cs="Times New Roman"/>
                <w:color w:val="000000"/>
                <w:spacing w:val="0"/>
                <w:w w:val="100"/>
                <w:position w:val="0"/>
              </w:rPr>
              <w:t xml:space="preserve">8. </w:t>
            </w:r>
            <w:r>
              <w:rPr>
                <w:color w:val="000000"/>
                <w:spacing w:val="0"/>
                <w:w w:val="100"/>
                <w:position w:val="0"/>
              </w:rPr>
              <w:t>审议《关于增加</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日常关联交易预计额度的议 案》；</w:t>
            </w:r>
            <w:r>
              <w:rPr>
                <w:rFonts w:ascii="Times New Roman" w:eastAsia="Times New Roman" w:hAnsi="Times New Roman" w:cs="Times New Roman"/>
                <w:color w:val="000000"/>
                <w:spacing w:val="0"/>
                <w:w w:val="100"/>
                <w:position w:val="0"/>
              </w:rPr>
              <w:t>9.</w:t>
            </w:r>
            <w:r>
              <w:rPr>
                <w:color w:val="000000"/>
                <w:spacing w:val="0"/>
                <w:w w:val="100"/>
                <w:position w:val="0"/>
              </w:rPr>
              <w:t>审议《关于向深圳市 猛犸公益基金会捐赠暨关联 交易的议案》；</w:t>
            </w:r>
            <w:r>
              <w:rPr>
                <w:rFonts w:ascii="Times New Roman" w:eastAsia="Times New Roman" w:hAnsi="Times New Roman" w:cs="Times New Roman"/>
                <w:color w:val="000000"/>
                <w:spacing w:val="0"/>
                <w:w w:val="100"/>
                <w:position w:val="0"/>
              </w:rPr>
              <w:t>10.</w:t>
            </w:r>
            <w:r>
              <w:rPr>
                <w:color w:val="000000"/>
                <w:spacing w:val="0"/>
                <w:w w:val="100"/>
                <w:position w:val="0"/>
              </w:rPr>
              <w:t>审议《关 于会计政策变更的议案》；</w:t>
            </w:r>
          </w:p>
          <w:p>
            <w:pPr>
              <w:pStyle w:val="Style20"/>
              <w:keepNext w:val="0"/>
              <w:keepLines w:val="0"/>
              <w:widowControl w:val="0"/>
              <w:numPr>
                <w:ilvl w:val="0"/>
                <w:numId w:val="7"/>
              </w:numPr>
              <w:shd w:val="clear" w:color="auto" w:fill="auto"/>
              <w:tabs>
                <w:tab w:pos="226" w:val="left"/>
              </w:tabs>
              <w:bidi w:val="0"/>
              <w:spacing w:before="0" w:after="0" w:line="313" w:lineRule="exact"/>
              <w:ind w:left="0" w:right="0" w:firstLine="0"/>
              <w:jc w:val="left"/>
            </w:pPr>
            <w:r>
              <w:rPr>
                <w:color w:val="000000"/>
                <w:spacing w:val="0"/>
                <w:w w:val="100"/>
                <w:position w:val="0"/>
              </w:rPr>
              <w:t>审议《关于</w:t>
            </w:r>
            <w:r>
              <w:rPr>
                <w:rFonts w:ascii="Times New Roman" w:eastAsia="Times New Roman" w:hAnsi="Times New Roman" w:cs="Times New Roman"/>
                <w:color w:val="000000"/>
                <w:spacing w:val="0"/>
                <w:w w:val="100"/>
                <w:position w:val="0"/>
              </w:rPr>
              <w:t>2020</w:t>
            </w:r>
            <w:r>
              <w:rPr>
                <w:color w:val="000000"/>
                <w:spacing w:val="0"/>
                <w:w w:val="100"/>
                <w:position w:val="0"/>
              </w:rPr>
              <w:t>年度计 提信用减值损失、资产减值 损失和核销资产的议案》；</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审议《关于受让控股子公 司少数股东股权暨关联交易 的议案》；</w:t>
            </w:r>
            <w:r>
              <w:rPr>
                <w:rFonts w:ascii="Times New Roman" w:eastAsia="Times New Roman" w:hAnsi="Times New Roman" w:cs="Times New Roman"/>
                <w:color w:val="000000"/>
                <w:spacing w:val="0"/>
                <w:w w:val="100"/>
                <w:position w:val="0"/>
              </w:rPr>
              <w:t>13 .</w:t>
            </w:r>
            <w:r>
              <w:rPr>
                <w:color w:val="000000"/>
                <w:spacing w:val="0"/>
                <w:w w:val="100"/>
                <w:position w:val="0"/>
              </w:rPr>
              <w:t>审议《董事会 审计委员会关于会计师事务 所从事</w:t>
            </w:r>
            <w:r>
              <w:rPr>
                <w:rFonts w:ascii="Times New Roman" w:eastAsia="Times New Roman" w:hAnsi="Times New Roman" w:cs="Times New Roman"/>
                <w:color w:val="000000"/>
                <w:spacing w:val="0"/>
                <w:w w:val="100"/>
                <w:position w:val="0"/>
              </w:rPr>
              <w:t>2020</w:t>
            </w:r>
            <w:r>
              <w:rPr>
                <w:color w:val="000000"/>
                <w:spacing w:val="0"/>
                <w:w w:val="100"/>
                <w:position w:val="0"/>
              </w:rPr>
              <w:t>年度公司审计 工作的总结报告》；</w:t>
            </w:r>
            <w:r>
              <w:rPr>
                <w:rFonts w:ascii="Times New Roman" w:eastAsia="Times New Roman" w:hAnsi="Times New Roman" w:cs="Times New Roman"/>
                <w:color w:val="000000"/>
                <w:spacing w:val="0"/>
                <w:w w:val="100"/>
                <w:position w:val="0"/>
              </w:rPr>
              <w:t>14 .</w:t>
            </w:r>
            <w:r>
              <w:rPr>
                <w:color w:val="000000"/>
                <w:spacing w:val="0"/>
                <w:w w:val="100"/>
                <w:position w:val="0"/>
              </w:rPr>
              <w:t>审议</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年度内审内控工作总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建议继续加强募集资金管 理，抓好募投项目建设； 日常关联交易和捐赠事项 合规进行；内审内控工作 围绕公司重点业务和可能 存在高风险环节开展工作 和制定工作计划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严格审查公司 相关议案事项， 详细了解议案背 景资料，认真查 阅相关文件；</w:t>
            </w:r>
            <w:r>
              <w:rPr>
                <w:rFonts w:ascii="Times New Roman" w:eastAsia="Times New Roman" w:hAnsi="Times New Roman" w:cs="Times New Roman"/>
                <w:color w:val="000000"/>
                <w:spacing w:val="0"/>
                <w:w w:val="100"/>
                <w:position w:val="0"/>
              </w:rPr>
              <w:t xml:space="preserve">2. </w:t>
            </w:r>
            <w:r>
              <w:rPr>
                <w:color w:val="000000"/>
                <w:spacing w:val="0"/>
                <w:w w:val="100"/>
                <w:position w:val="0"/>
              </w:rPr>
              <w:t>勤勉尽责，切实 有效地监督、评 估上市公司内外 部审计工作，促 进公司建立有效 的内部控制并提 供真实、准确、 完整的财务报 告；</w:t>
            </w:r>
            <w:r>
              <w:rPr>
                <w:rFonts w:ascii="Times New Roman" w:eastAsia="Times New Roman" w:hAnsi="Times New Roman" w:cs="Times New Roman"/>
                <w:color w:val="000000"/>
                <w:spacing w:val="0"/>
                <w:w w:val="100"/>
                <w:position w:val="0"/>
              </w:rPr>
              <w:t>3.</w:t>
            </w:r>
            <w:r>
              <w:rPr>
                <w:color w:val="000000"/>
                <w:spacing w:val="0"/>
                <w:w w:val="100"/>
                <w:position w:val="0"/>
              </w:rPr>
              <w:t>对公司生 产经营和运作情 况等进行考察， 深入了解公司的 生产经营、管理 和内部控制等制 度的完善及执行 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15"/>
        <w:gridCol w:w="994"/>
        <w:gridCol w:w="427"/>
        <w:gridCol w:w="850"/>
        <w:gridCol w:w="2266"/>
        <w:gridCol w:w="2126"/>
        <w:gridCol w:w="1421"/>
        <w:gridCol w:w="78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结》；</w:t>
            </w:r>
            <w:r>
              <w:rPr>
                <w:rFonts w:ascii="Times New Roman" w:eastAsia="Times New Roman" w:hAnsi="Times New Roman" w:cs="Times New Roman"/>
                <w:color w:val="000000"/>
                <w:spacing w:val="0"/>
                <w:w w:val="100"/>
                <w:position w:val="0"/>
              </w:rPr>
              <w:t>15.</w:t>
            </w:r>
            <w:r>
              <w:rPr>
                <w:color w:val="000000"/>
                <w:spacing w:val="0"/>
                <w:w w:val="100"/>
                <w:position w:val="0"/>
              </w:rPr>
              <w:t>审议《</w:t>
            </w:r>
            <w:r>
              <w:rPr>
                <w:rFonts w:ascii="Times New Roman" w:eastAsia="Times New Roman" w:hAnsi="Times New Roman" w:cs="Times New Roman"/>
                <w:color w:val="000000"/>
                <w:spacing w:val="0"/>
                <w:w w:val="100"/>
                <w:position w:val="0"/>
              </w:rPr>
              <w:t>2021</w:t>
            </w:r>
            <w:r>
              <w:rPr>
                <w:color w:val="000000"/>
                <w:spacing w:val="0"/>
                <w:w w:val="100"/>
                <w:position w:val="0"/>
              </w:rPr>
              <w:t>年度内 审内控工作计划》；</w:t>
            </w:r>
            <w:r>
              <w:rPr>
                <w:rFonts w:ascii="Times New Roman" w:eastAsia="Times New Roman" w:hAnsi="Times New Roman" w:cs="Times New Roman"/>
                <w:color w:val="000000"/>
                <w:spacing w:val="0"/>
                <w:w w:val="100"/>
                <w:position w:val="0"/>
              </w:rPr>
              <w:t>16 .</w:t>
            </w:r>
            <w:r>
              <w:rPr>
                <w:color w:val="000000"/>
                <w:spacing w:val="0"/>
                <w:w w:val="100"/>
                <w:position w:val="0"/>
              </w:rPr>
              <w:t>审议</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年第一季度内审内控 工作总结及第二季度工作计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第三届 董事会 审计委 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吴育辉（主 任委员）、 杜玉涛、曹 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审议《关于提名公司内审内 控部负责人的议案》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认同内审内控部提名人的 专业背景、工作经验符合 岗位职责要求，同意提名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充分审查了内审 内控部负责人任 职条件和任职资 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numPr>
                <w:ilvl w:val="0"/>
                <w:numId w:val="9"/>
              </w:numPr>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审议《关于</w:t>
            </w:r>
            <w:r>
              <w:rPr>
                <w:rFonts w:ascii="Times New Roman" w:eastAsia="Times New Roman" w:hAnsi="Times New Roman" w:cs="Times New Roman"/>
                <w:color w:val="000000"/>
                <w:spacing w:val="0"/>
                <w:w w:val="100"/>
                <w:position w:val="0"/>
              </w:rPr>
              <w:t>＜2021</w:t>
            </w:r>
            <w:r>
              <w:rPr>
                <w:color w:val="000000"/>
                <w:spacing w:val="0"/>
                <w:w w:val="100"/>
                <w:position w:val="0"/>
              </w:rPr>
              <w:t>年半年 度报告</w:t>
            </w:r>
            <w:r>
              <w:rPr>
                <w:color w:val="000000"/>
                <w:spacing w:val="0"/>
                <w:w w:val="100"/>
                <w:position w:val="0"/>
              </w:rPr>
              <w:t>〉</w:t>
            </w:r>
            <w:r>
              <w:rPr>
                <w:color w:val="000000"/>
                <w:spacing w:val="0"/>
                <w:w w:val="100"/>
                <w:position w:val="0"/>
              </w:rPr>
              <w:t>及其摘要的议案》；</w:t>
            </w:r>
          </w:p>
          <w:p>
            <w:pPr>
              <w:pStyle w:val="Style20"/>
              <w:keepNext w:val="0"/>
              <w:keepLines w:val="0"/>
              <w:widowControl w:val="0"/>
              <w:numPr>
                <w:ilvl w:val="0"/>
                <w:numId w:val="9"/>
              </w:numPr>
              <w:shd w:val="clear" w:color="auto" w:fill="auto"/>
              <w:tabs>
                <w:tab w:pos="154" w:val="left"/>
              </w:tabs>
              <w:bidi w:val="0"/>
              <w:spacing w:before="0" w:after="0" w:line="313"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 资金存放与实际使用情况的 专项报告》；</w:t>
            </w:r>
            <w:r>
              <w:rPr>
                <w:rFonts w:ascii="Times New Roman" w:eastAsia="Times New Roman" w:hAnsi="Times New Roman" w:cs="Times New Roman"/>
                <w:color w:val="000000"/>
                <w:spacing w:val="0"/>
                <w:w w:val="100"/>
                <w:position w:val="0"/>
              </w:rPr>
              <w:t>3.</w:t>
            </w:r>
            <w:r>
              <w:rPr>
                <w:color w:val="000000"/>
                <w:spacing w:val="0"/>
                <w:w w:val="100"/>
                <w:position w:val="0"/>
              </w:rPr>
              <w:t>审议《关于增 加</w:t>
            </w:r>
            <w:r>
              <w:rPr>
                <w:rFonts w:ascii="Times New Roman" w:eastAsia="Times New Roman" w:hAnsi="Times New Roman" w:cs="Times New Roman"/>
                <w:color w:val="000000"/>
                <w:spacing w:val="0"/>
                <w:w w:val="100"/>
                <w:position w:val="0"/>
              </w:rPr>
              <w:t>2021</w:t>
            </w:r>
            <w:r>
              <w:rPr>
                <w:color w:val="000000"/>
                <w:spacing w:val="0"/>
                <w:w w:val="100"/>
                <w:position w:val="0"/>
              </w:rPr>
              <w:t>年度日常关联交易 预计额度的议案》；</w:t>
            </w:r>
            <w:r>
              <w:rPr>
                <w:rFonts w:ascii="Times New Roman" w:eastAsia="Times New Roman" w:hAnsi="Times New Roman" w:cs="Times New Roman"/>
                <w:color w:val="000000"/>
                <w:spacing w:val="0"/>
                <w:w w:val="100"/>
                <w:position w:val="0"/>
              </w:rPr>
              <w:t>4.</w:t>
            </w:r>
            <w:r>
              <w:rPr>
                <w:color w:val="000000"/>
                <w:spacing w:val="0"/>
                <w:w w:val="100"/>
                <w:position w:val="0"/>
              </w:rPr>
              <w:t>审议</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《关于拟参与投资设立合伙 企业暨关联交易的议案》；</w:t>
            </w:r>
            <w:r>
              <w:rPr>
                <w:rFonts w:ascii="Times New Roman" w:eastAsia="Times New Roman" w:hAnsi="Times New Roman" w:cs="Times New Roman"/>
                <w:color w:val="000000"/>
                <w:spacing w:val="0"/>
                <w:w w:val="100"/>
                <w:position w:val="0"/>
              </w:rPr>
              <w:t xml:space="preserve">5. </w:t>
            </w:r>
            <w:r>
              <w:rPr>
                <w:color w:val="000000"/>
                <w:spacing w:val="0"/>
                <w:w w:val="100"/>
                <w:position w:val="0"/>
              </w:rPr>
              <w:t>审议《</w:t>
            </w:r>
            <w:r>
              <w:rPr>
                <w:rFonts w:ascii="Times New Roman" w:eastAsia="Times New Roman" w:hAnsi="Times New Roman" w:cs="Times New Roman"/>
                <w:color w:val="000000"/>
                <w:spacing w:val="0"/>
                <w:w w:val="100"/>
                <w:position w:val="0"/>
              </w:rPr>
              <w:t>2021</w:t>
            </w:r>
            <w:r>
              <w:rPr>
                <w:color w:val="000000"/>
                <w:spacing w:val="0"/>
                <w:w w:val="100"/>
                <w:position w:val="0"/>
              </w:rPr>
              <w:t>年上半年内审内 控工作总结及下半年工作计 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及时了解公司</w:t>
            </w:r>
          </w:p>
          <w:p>
            <w:pPr>
              <w:pStyle w:val="Style20"/>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年半年度经 营情况，充分了 解了议案背景情 况和相关资料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审议《关于</w:t>
            </w:r>
            <w:r>
              <w:rPr>
                <w:rFonts w:ascii="Times New Roman" w:eastAsia="Times New Roman" w:hAnsi="Times New Roman" w:cs="Times New Roman"/>
                <w:color w:val="000000"/>
                <w:spacing w:val="0"/>
                <w:w w:val="100"/>
                <w:position w:val="0"/>
              </w:rPr>
              <w:t>2021</w:t>
            </w:r>
            <w:r>
              <w:rPr>
                <w:color w:val="000000"/>
                <w:spacing w:val="0"/>
                <w:w w:val="100"/>
                <w:position w:val="0"/>
              </w:rPr>
              <w:t>年第三季 度报告的议案》；</w:t>
            </w:r>
            <w:r>
              <w:rPr>
                <w:rFonts w:ascii="Times New Roman" w:eastAsia="Times New Roman" w:hAnsi="Times New Roman" w:cs="Times New Roman"/>
                <w:color w:val="000000"/>
                <w:spacing w:val="0"/>
                <w:w w:val="100"/>
                <w:position w:val="0"/>
              </w:rPr>
              <w:t>2.</w:t>
            </w:r>
            <w:r>
              <w:rPr>
                <w:color w:val="000000"/>
                <w:spacing w:val="0"/>
                <w:w w:val="100"/>
                <w:position w:val="0"/>
              </w:rPr>
              <w:t>审议《关 于部分募集资金投资项目延 期的议案》；</w:t>
            </w:r>
            <w:r>
              <w:rPr>
                <w:rFonts w:ascii="Times New Roman" w:eastAsia="Times New Roman" w:hAnsi="Times New Roman" w:cs="Times New Roman"/>
                <w:color w:val="000000"/>
                <w:spacing w:val="0"/>
                <w:w w:val="100"/>
                <w:position w:val="0"/>
              </w:rPr>
              <w:t>3.</w:t>
            </w:r>
            <w:r>
              <w:rPr>
                <w:color w:val="000000"/>
                <w:spacing w:val="0"/>
                <w:w w:val="100"/>
                <w:position w:val="0"/>
              </w:rPr>
              <w:t>审议《</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年第三季度内审内控工作总 结及第四季度工作计划》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充分审查了公司 </w:t>
            </w:r>
            <w:r>
              <w:rPr>
                <w:rFonts w:ascii="Times New Roman" w:eastAsia="Times New Roman" w:hAnsi="Times New Roman" w:cs="Times New Roman"/>
                <w:color w:val="000000"/>
                <w:spacing w:val="0"/>
                <w:w w:val="100"/>
                <w:position w:val="0"/>
              </w:rPr>
              <w:t>2021</w:t>
            </w:r>
            <w:r>
              <w:rPr>
                <w:color w:val="000000"/>
                <w:spacing w:val="0"/>
                <w:w w:val="100"/>
                <w:position w:val="0"/>
              </w:rPr>
              <w:t>年第三季度 财务报表和主要 财务指标变化情 况，了解了募投 项目延期的进展 和延期原因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8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审议《关于以债转股方式 对深圳市早知道科技有限公 司增资并受让其部分股权暨 关联交易的议案》；</w:t>
            </w:r>
            <w:r>
              <w:rPr>
                <w:rFonts w:ascii="Times New Roman" w:eastAsia="Times New Roman" w:hAnsi="Times New Roman" w:cs="Times New Roman"/>
                <w:color w:val="000000"/>
                <w:spacing w:val="0"/>
                <w:w w:val="100"/>
                <w:position w:val="0"/>
              </w:rPr>
              <w:t>2.</w:t>
            </w:r>
            <w:r>
              <w:rPr>
                <w:color w:val="000000"/>
                <w:spacing w:val="0"/>
                <w:w w:val="100"/>
                <w:position w:val="0"/>
              </w:rPr>
              <w:t>审议</w:t>
            </w:r>
          </w:p>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《关于签署技术转让合同暨 关联交易的议案》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提示关注投资标的深圳 市早知道科技有限公司在 所属行业内的技术水平， 未来发展前景和定价合理 性；</w:t>
            </w:r>
            <w:r>
              <w:rPr>
                <w:rFonts w:ascii="Times New Roman" w:eastAsia="Times New Roman" w:hAnsi="Times New Roman" w:cs="Times New Roman"/>
                <w:color w:val="000000"/>
                <w:spacing w:val="0"/>
                <w:w w:val="100"/>
                <w:position w:val="0"/>
              </w:rPr>
              <w:t>2.</w:t>
            </w:r>
            <w:r>
              <w:rPr>
                <w:color w:val="000000"/>
                <w:spacing w:val="0"/>
                <w:w w:val="100"/>
                <w:position w:val="0"/>
              </w:rPr>
              <w:t>提示关注技术转让 合同涉及的专利、著作权 和专有技术在所属行业内 的技术水平、转让价格的 合理性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充分审查了议案 的背景原因和相 关资料，向公司 求证投资标的和 受让资产的评估 方法选择、估值 定价分析资料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第二届 董事会 提名委 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蒋昌建（主 任委员）、 尹烨、徐爱 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审议《关于公司董事会换届 暨提名第三届董事会董事候 选人的议案》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建议根据公司的实际情况 和岗位具体要求，按照相 关法律法规规定的董事任 职资格提名董事候选人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结合公司实际情 况，对公司的董 事候选人的任职 条件、提名程序 进行了充分核查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15"/>
        <w:gridCol w:w="994"/>
        <w:gridCol w:w="427"/>
        <w:gridCol w:w="850"/>
        <w:gridCol w:w="2266"/>
        <w:gridCol w:w="2126"/>
        <w:gridCol w:w="1421"/>
        <w:gridCol w:w="787"/>
      </w:tblGrid>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第三届 董事会 提名委 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曹亚（主任 委员）、赵 立见、杜兰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审议《关于提名公司高级</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管理人员的议案》；</w:t>
            </w:r>
            <w:r>
              <w:rPr>
                <w:rFonts w:ascii="Times New Roman" w:eastAsia="Times New Roman" w:hAnsi="Times New Roman" w:cs="Times New Roman"/>
                <w:color w:val="000000"/>
                <w:spacing w:val="0"/>
                <w:w w:val="100"/>
                <w:position w:val="0"/>
              </w:rPr>
              <w:t>2.</w:t>
            </w:r>
            <w:r>
              <w:rPr>
                <w:color w:val="000000"/>
                <w:spacing w:val="0"/>
                <w:w w:val="100"/>
                <w:position w:val="0"/>
              </w:rPr>
              <w:t>审议</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《关于提名公司证券事务代 表的议案》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同意所有议案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对相关候选人的 任职条件、提名 程序进行充分核 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第二届 董事会 薪酬与 考核委 员会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徐爱民（主</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任委员）、</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尹烨、吴育</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审议《关于调整独立董事 津贴的议案》；</w:t>
            </w:r>
            <w:r>
              <w:rPr>
                <w:rFonts w:ascii="Times New Roman" w:eastAsia="Times New Roman" w:hAnsi="Times New Roman" w:cs="Times New Roman"/>
                <w:color w:val="000000"/>
                <w:spacing w:val="0"/>
                <w:w w:val="100"/>
                <w:position w:val="0"/>
              </w:rPr>
              <w:t>2.</w:t>
            </w:r>
            <w:r>
              <w:rPr>
                <w:color w:val="000000"/>
                <w:spacing w:val="0"/>
                <w:w w:val="100"/>
                <w:position w:val="0"/>
              </w:rPr>
              <w:t xml:space="preserve">审议《关于 </w:t>
            </w:r>
            <w:r>
              <w:rPr>
                <w:rFonts w:ascii="Times New Roman" w:eastAsia="Times New Roman" w:hAnsi="Times New Roman" w:cs="Times New Roman"/>
                <w:color w:val="000000"/>
                <w:spacing w:val="0"/>
                <w:w w:val="100"/>
                <w:position w:val="0"/>
              </w:rPr>
              <w:t>2021</w:t>
            </w:r>
            <w:r>
              <w:rPr>
                <w:color w:val="000000"/>
                <w:spacing w:val="0"/>
                <w:w w:val="100"/>
                <w:position w:val="0"/>
              </w:rPr>
              <w:t>年度公司高级管理人员 薪酬方案的议案》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建议公司独立董事津贴 水平结合行业、地区的薪 酬水平以及本地区其他上 市公司独立董事的津贴水 平来考虑；</w:t>
            </w:r>
            <w:r>
              <w:rPr>
                <w:rFonts w:ascii="Times New Roman" w:eastAsia="Times New Roman" w:hAnsi="Times New Roman" w:cs="Times New Roman"/>
                <w:color w:val="000000"/>
                <w:spacing w:val="0"/>
                <w:w w:val="100"/>
                <w:position w:val="0"/>
              </w:rPr>
              <w:t>2.</w:t>
            </w:r>
            <w:r>
              <w:rPr>
                <w:color w:val="000000"/>
                <w:spacing w:val="0"/>
                <w:w w:val="100"/>
                <w:position w:val="0"/>
              </w:rPr>
              <w:t>公司高级管 理人员薪酬参考公司所处 行业高级管理人员整体薪 酬水平、结合实际经营情 况、高级管理人员履行职 责和绩效考核情况综合确 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研究和审查公司 独立董事津贴调 整审议程序是否 合法合规；审查 公司高级管理人 员薪酬方案、审 议程序是否合法 合规、是否损害 股东利益，对披 露的薪酬内容与 实际执行情况是 否一致进行充分 核查。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第三届 董事会 薪酬与 考核委 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杜兰（主任 委员）、尹 哗、吴育辉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审议《关于新任高级管理人 员薪酬方案的议案》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建议新任高级管理人员薪</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酬方案符合公司薪酬政</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策、履行相应审议程序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公司因换届聘</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任，对新任高级 管理人员薪酬方 案履行审议程序 进行了充分核查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24"/>
        <w:keepNext/>
        <w:keepLines/>
        <w:widowControl w:val="0"/>
        <w:shd w:val="clear" w:color="auto" w:fill="auto"/>
        <w:bidi w:val="0"/>
        <w:spacing w:before="0" w:after="240" w:line="240" w:lineRule="auto"/>
        <w:ind w:left="0" w:right="0" w:firstLine="0"/>
        <w:jc w:val="left"/>
      </w:pPr>
      <w:bookmarkStart w:id="413" w:name="bookmark413"/>
      <w:bookmarkStart w:id="414" w:name="bookmark414"/>
      <w:bookmarkStart w:id="415" w:name="bookmark415"/>
      <w:r>
        <w:rPr>
          <w:color w:val="000000"/>
          <w:spacing w:val="0"/>
          <w:w w:val="100"/>
          <w:position w:val="0"/>
          <w:sz w:val="24"/>
          <w:szCs w:val="24"/>
        </w:rPr>
        <w:t>十、监事会工作情况</w:t>
      </w:r>
      <w:bookmarkEnd w:id="413"/>
      <w:bookmarkEnd w:id="414"/>
      <w:bookmarkEnd w:id="415"/>
    </w:p>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360" w:line="341" w:lineRule="exact"/>
        <w:ind w:left="0" w:right="0" w:firstLine="360"/>
        <w:jc w:val="left"/>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6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十^一、公司员工情况</w:t>
      </w:r>
      <w:bookmarkEnd w:id="416"/>
      <w:bookmarkEnd w:id="417"/>
      <w:bookmarkEnd w:id="418"/>
    </w:p>
    <w:p>
      <w:pPr>
        <w:pStyle w:val="Style30"/>
        <w:keepNext/>
        <w:keepLines/>
        <w:widowControl w:val="0"/>
        <w:shd w:val="clear" w:color="auto" w:fill="auto"/>
        <w:bidi w:val="0"/>
        <w:spacing w:before="0" w:after="30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、员工数量、专业构成及教育程度</w:t>
      </w:r>
      <w:bookmarkEnd w:id="419"/>
      <w:bookmarkEnd w:id="420"/>
      <w:bookmarkEnd w:id="42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3,733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1,488</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1,028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135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453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4,333</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1,172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2,242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781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4,333</w:t>
            </w:r>
          </w:p>
        </w:tc>
      </w:tr>
    </w:tbl>
    <w:p>
      <w:pPr>
        <w:widowControl w:val="0"/>
        <w:spacing w:after="319" w:line="1" w:lineRule="exact"/>
      </w:pPr>
    </w:p>
    <w:p>
      <w:pPr>
        <w:pStyle w:val="Style30"/>
        <w:keepNext/>
        <w:keepLines/>
        <w:widowControl w:val="0"/>
        <w:shd w:val="clear" w:color="auto" w:fill="auto"/>
        <w:tabs>
          <w:tab w:pos="319" w:val="left"/>
        </w:tabs>
        <w:bidi w:val="0"/>
        <w:spacing w:before="0" w:after="26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薪酬政策</w:t>
      </w:r>
      <w:bookmarkEnd w:id="423"/>
      <w:bookmarkEnd w:id="424"/>
      <w:bookmarkEnd w:id="426"/>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为适应公司经营发展需要，更好地吸引、激励、开发和保留公司员工，公司建立并持续完善薪酬管理体系。根据公司 经营业绩情况，结合市场与行业薪酬水平，以及员工绩效考核结果来进行薪酬管理，确保公司薪酬与员工实现的价值相挂 钩，以提升员工的工作积极性与创造性，提高工作效率，达成公司业绩目标。为保证公司整体业绩目标的推进落实，公司 制定了相应的绩效管理体系。结合公司整体大目标，采用部门绩效考核与员工绩效考核结合的方式，实行定期考核，有序 推进公司经营目标的达成。通过不断完善薪酬与绩效管理体系，以实现责任风险与收益对等的正向激励机制，促进企业与 员工的共同发展。</w:t>
      </w:r>
    </w:p>
    <w:p>
      <w:pPr>
        <w:pStyle w:val="Style30"/>
        <w:keepNext/>
        <w:keepLines/>
        <w:widowControl w:val="0"/>
        <w:shd w:val="clear" w:color="auto" w:fill="auto"/>
        <w:tabs>
          <w:tab w:pos="319" w:val="left"/>
        </w:tabs>
        <w:bidi w:val="0"/>
        <w:spacing w:before="0" w:after="2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培训计划</w:t>
      </w:r>
      <w:bookmarkEnd w:id="427"/>
      <w:bookmarkEnd w:id="428"/>
      <w:bookmarkEnd w:id="430"/>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公司一直高度重视员工的学习与发展，持续倡导</w:t>
      </w:r>
      <w:r>
        <w:rPr>
          <w:rFonts w:ascii="Times New Roman" w:eastAsia="Times New Roman" w:hAnsi="Times New Roman" w:cs="Times New Roman"/>
          <w:color w:val="000000"/>
          <w:spacing w:val="0"/>
          <w:w w:val="100"/>
          <w:position w:val="0"/>
        </w:rPr>
        <w:t>“</w:t>
      </w:r>
      <w:r>
        <w:rPr>
          <w:color w:val="000000"/>
          <w:spacing w:val="0"/>
          <w:w w:val="100"/>
          <w:position w:val="0"/>
        </w:rPr>
        <w:t>身体好、学习好、工作好</w:t>
      </w:r>
      <w:r>
        <w:rPr>
          <w:rFonts w:ascii="Times New Roman" w:eastAsia="Times New Roman" w:hAnsi="Times New Roman" w:cs="Times New Roman"/>
          <w:color w:val="000000"/>
          <w:spacing w:val="0"/>
          <w:w w:val="100"/>
          <w:position w:val="0"/>
        </w:rPr>
        <w:t>”</w:t>
      </w:r>
      <w:r>
        <w:rPr>
          <w:color w:val="000000"/>
          <w:spacing w:val="0"/>
          <w:w w:val="100"/>
          <w:position w:val="0"/>
        </w:rPr>
        <w:t>的理念，不断完善人才培养机制及优化培训 学习资源，为公司打造高素质高战斗力的人才队伍。</w:t>
      </w:r>
    </w:p>
    <w:p>
      <w:pPr>
        <w:pStyle w:val="Style1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年公司根据不同的业务需求和岗位安排开展了分层次、多角度、针对性强的各类培训，包括公司战略传递学习、公 司人才梯队盘点赋能、</w:t>
      </w:r>
      <w:r>
        <w:rPr>
          <w:rFonts w:ascii="Times New Roman" w:eastAsia="Times New Roman" w:hAnsi="Times New Roman" w:cs="Times New Roman"/>
          <w:color w:val="000000"/>
          <w:spacing w:val="0"/>
          <w:w w:val="100"/>
          <w:position w:val="0"/>
        </w:rPr>
        <w:t>“</w:t>
      </w:r>
      <w:r>
        <w:rPr>
          <w:color w:val="000000"/>
          <w:spacing w:val="0"/>
          <w:w w:val="100"/>
          <w:position w:val="0"/>
        </w:rPr>
        <w:t>短期激励设计</w:t>
      </w:r>
      <w:r>
        <w:rPr>
          <w:rFonts w:ascii="Times New Roman" w:eastAsia="Times New Roman" w:hAnsi="Times New Roman" w:cs="Times New Roman"/>
          <w:color w:val="000000"/>
          <w:spacing w:val="0"/>
          <w:w w:val="100"/>
          <w:position w:val="0"/>
        </w:rPr>
        <w:t>”</w:t>
      </w:r>
      <w:r>
        <w:rPr>
          <w:color w:val="000000"/>
          <w:spacing w:val="0"/>
          <w:w w:val="100"/>
          <w:position w:val="0"/>
        </w:rPr>
        <w:t>培训、</w:t>
      </w:r>
      <w:r>
        <w:rPr>
          <w:rFonts w:ascii="Times New Roman" w:eastAsia="Times New Roman" w:hAnsi="Times New Roman" w:cs="Times New Roman"/>
          <w:color w:val="000000"/>
          <w:spacing w:val="0"/>
          <w:w w:val="100"/>
          <w:position w:val="0"/>
        </w:rPr>
        <w:t>“</w:t>
      </w:r>
      <w:r>
        <w:rPr>
          <w:color w:val="000000"/>
          <w:spacing w:val="0"/>
          <w:w w:val="100"/>
          <w:position w:val="0"/>
        </w:rPr>
        <w:t>超级干细胞</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飞鹰</w:t>
      </w:r>
      <w:r>
        <w:rPr>
          <w:rFonts w:ascii="Times New Roman" w:eastAsia="Times New Roman" w:hAnsi="Times New Roman" w:cs="Times New Roman"/>
          <w:color w:val="000000"/>
          <w:spacing w:val="0"/>
          <w:w w:val="100"/>
          <w:position w:val="0"/>
        </w:rPr>
        <w:t>”</w:t>
      </w:r>
      <w:r>
        <w:rPr>
          <w:color w:val="000000"/>
          <w:spacing w:val="0"/>
          <w:w w:val="100"/>
          <w:position w:val="0"/>
        </w:rPr>
        <w:t>高潜项目、领行计划（中基层管理者培训）、火眼项目 新人上岗赋能、业务基础知识学习等培训项目，培训方式包括线上直播、面授分享、视频学习、以考促学、岗位实践等多种 形式，通过完善的培训体系进一步提高了员工专业素养和综合能力，满足了公司业务开展和战略发展方面的需求。</w:t>
      </w:r>
    </w:p>
    <w:p>
      <w:pPr>
        <w:pStyle w:val="Style17"/>
        <w:keepNext w:val="0"/>
        <w:keepLines w:val="0"/>
        <w:widowControl w:val="0"/>
        <w:shd w:val="clear" w:color="auto" w:fill="auto"/>
        <w:bidi w:val="0"/>
        <w:spacing w:before="0" w:after="260" w:line="313" w:lineRule="exact"/>
        <w:ind w:left="0" w:right="0"/>
        <w:jc w:val="both"/>
      </w:pPr>
      <w:r>
        <w:rPr>
          <w:color w:val="000000"/>
          <w:spacing w:val="0"/>
          <w:w w:val="100"/>
          <w:position w:val="0"/>
        </w:rPr>
        <w:t>在公司战略传递方面，有效利用线上学习平台，组织全员学习公司战略及业务；在战略人才深度挖掘方面，盘点各事业 部核心人才及后备梯队，并根据组织现状及未来三年业务规划开展定制化培训；在高管人员能力培养方面，开展主题为</w:t>
      </w:r>
      <w:r>
        <w:rPr>
          <w:rFonts w:ascii="Times New Roman" w:eastAsia="Times New Roman" w:hAnsi="Times New Roman" w:cs="Times New Roman"/>
          <w:color w:val="000000"/>
          <w:spacing w:val="0"/>
          <w:w w:val="100"/>
          <w:position w:val="0"/>
        </w:rPr>
        <w:t>“</w:t>
      </w:r>
      <w:r>
        <w:rPr>
          <w:color w:val="000000"/>
          <w:spacing w:val="0"/>
          <w:w w:val="100"/>
          <w:position w:val="0"/>
        </w:rPr>
        <w:t>短 期激励设计</w:t>
      </w:r>
      <w:r>
        <w:rPr>
          <w:rFonts w:ascii="Times New Roman" w:eastAsia="Times New Roman" w:hAnsi="Times New Roman" w:cs="Times New Roman"/>
          <w:color w:val="000000"/>
          <w:spacing w:val="0"/>
          <w:w w:val="100"/>
          <w:position w:val="0"/>
        </w:rPr>
        <w:t>”</w:t>
      </w:r>
      <w:r>
        <w:rPr>
          <w:color w:val="000000"/>
          <w:spacing w:val="0"/>
          <w:w w:val="100"/>
          <w:position w:val="0"/>
        </w:rPr>
        <w:t>的培训，在公司战略研讨中为高管更好地解读及传达公司战略打下基础；在高潜人才培养方面，组织</w:t>
      </w:r>
      <w:r>
        <w:rPr>
          <w:rFonts w:ascii="Times New Roman" w:eastAsia="Times New Roman" w:hAnsi="Times New Roman" w:cs="Times New Roman"/>
          <w:color w:val="000000"/>
          <w:spacing w:val="0"/>
          <w:w w:val="100"/>
          <w:position w:val="0"/>
        </w:rPr>
        <w:t>“</w:t>
      </w:r>
      <w:r>
        <w:rPr>
          <w:color w:val="000000"/>
          <w:spacing w:val="0"/>
          <w:w w:val="100"/>
          <w:position w:val="0"/>
        </w:rPr>
        <w:t>训战结合</w:t>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超级干细胞</w:t>
      </w:r>
      <w:r>
        <w:rPr>
          <w:rFonts w:ascii="Times New Roman" w:eastAsia="Times New Roman" w:hAnsi="Times New Roman" w:cs="Times New Roman"/>
          <w:color w:val="000000"/>
          <w:spacing w:val="0"/>
          <w:w w:val="100"/>
          <w:position w:val="0"/>
        </w:rPr>
        <w:t>”</w:t>
      </w:r>
      <w:r>
        <w:rPr>
          <w:color w:val="000000"/>
          <w:spacing w:val="0"/>
          <w:w w:val="100"/>
          <w:position w:val="0"/>
        </w:rPr>
        <w:t>高潜挖掘培养项目，给年轻人创造脱颖而出的平台；开展</w:t>
      </w:r>
      <w:r>
        <w:rPr>
          <w:rFonts w:ascii="Times New Roman" w:eastAsia="Times New Roman" w:hAnsi="Times New Roman" w:cs="Times New Roman"/>
          <w:color w:val="000000"/>
          <w:spacing w:val="0"/>
          <w:w w:val="100"/>
          <w:position w:val="0"/>
        </w:rPr>
        <w:t>“</w:t>
      </w:r>
      <w:r>
        <w:rPr>
          <w:color w:val="000000"/>
          <w:spacing w:val="0"/>
          <w:w w:val="100"/>
          <w:position w:val="0"/>
        </w:rPr>
        <w:t>跨体系融合</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飞鹰</w:t>
      </w:r>
      <w:r>
        <w:rPr>
          <w:rFonts w:ascii="Times New Roman" w:eastAsia="Times New Roman" w:hAnsi="Times New Roman" w:cs="Times New Roman"/>
          <w:color w:val="000000"/>
          <w:spacing w:val="0"/>
          <w:w w:val="100"/>
          <w:position w:val="0"/>
        </w:rPr>
        <w:t>”</w:t>
      </w:r>
      <w:r>
        <w:rPr>
          <w:color w:val="000000"/>
          <w:spacing w:val="0"/>
          <w:w w:val="100"/>
          <w:position w:val="0"/>
        </w:rPr>
        <w:t>高潜能力提升项目，培养 高潜质的中层管理者与高层后备人才梯队，增强公司发展的人才后劲；在中基层管理者培训方面，对新任管理者进行管理技 巧方面的培训，旨在提升其管理技巧及领导力；在业务培训方面，为新入职的火眼项目人员进行及时赋能培训；在新入职员 工培训方面，建立了全面成熟的培训体系，培训内容覆盖公司文化战略、核心业务介绍、公司规章制度与流程等多个维度， 并为校招生组织有针对性的展翼培训项目。此外，公司在内部培养兼职内训讲师，组织培训课程开发与授课技巧培训，提升 内训师综合培训技能。</w:t>
      </w:r>
    </w:p>
    <w:p>
      <w:pPr>
        <w:pStyle w:val="Style17"/>
        <w:keepNext w:val="0"/>
        <w:keepLines w:val="0"/>
        <w:widowControl w:val="0"/>
        <w:shd w:val="clear" w:color="auto" w:fill="auto"/>
        <w:bidi w:val="0"/>
        <w:spacing w:before="0" w:after="400" w:line="312" w:lineRule="exact"/>
        <w:ind w:left="0" w:right="0"/>
        <w:jc w:val="both"/>
      </w:pPr>
      <w:r>
        <w:rPr>
          <w:color w:val="000000"/>
          <w:spacing w:val="0"/>
          <w:w w:val="100"/>
          <w:position w:val="0"/>
        </w:rPr>
        <w:t>通过持续打造学习型组织，公司内部营造积极的学习氛围，有效提升各梯度人才的业务技能和专业素养，促进企业和员 工共同成长，助力公司战略目标的达成。</w:t>
      </w:r>
    </w:p>
    <w:p>
      <w:pPr>
        <w:pStyle w:val="Style30"/>
        <w:keepNext/>
        <w:keepLines/>
        <w:widowControl w:val="0"/>
        <w:shd w:val="clear" w:color="auto" w:fill="auto"/>
        <w:bidi w:val="0"/>
        <w:spacing w:before="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4</w:t>
      </w:r>
      <w:bookmarkEnd w:id="433"/>
      <w:r>
        <w:rPr>
          <w:color w:val="000000"/>
          <w:spacing w:val="0"/>
          <w:w w:val="100"/>
          <w:position w:val="0"/>
        </w:rPr>
        <w:t>、劳务外包情况</w:t>
      </w:r>
      <w:bookmarkEnd w:id="431"/>
      <w:bookmarkEnd w:id="432"/>
      <w:bookmarkEnd w:id="43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2,389,230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225,689,685.00</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both"/>
      </w:pPr>
      <w:bookmarkStart w:id="435" w:name="bookmark435"/>
      <w:bookmarkStart w:id="436" w:name="bookmark436"/>
      <w:bookmarkStart w:id="437" w:name="bookmark437"/>
      <w:r>
        <w:rPr>
          <w:color w:val="000000"/>
          <w:spacing w:val="0"/>
          <w:w w:val="100"/>
          <w:position w:val="0"/>
          <w:sz w:val="24"/>
          <w:szCs w:val="24"/>
        </w:rPr>
        <w:t>十二、公司利润分配及资本公积金转增股本情况</w:t>
      </w:r>
      <w:bookmarkEnd w:id="435"/>
      <w:bookmarkEnd w:id="436"/>
      <w:bookmarkEnd w:id="437"/>
    </w:p>
    <w:p>
      <w:pPr>
        <w:pStyle w:val="Style1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20" w:line="317" w:lineRule="exact"/>
        <w:ind w:left="0" w:right="0"/>
        <w:jc w:val="both"/>
      </w:pPr>
      <w:r>
        <w:rPr>
          <w:color w:val="000000"/>
          <w:spacing w:val="0"/>
          <w:w w:val="100"/>
          <w:position w:val="0"/>
        </w:rPr>
        <w:t>根据《上市公司监管指引第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号——上市公司现金分红》等相关规定，公司已通过《公司章程》《未来三年股东分红回 报规划</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w:t>
      </w:r>
      <w:r>
        <w:rPr>
          <w:color w:val="000000"/>
          <w:spacing w:val="0"/>
          <w:w w:val="100"/>
          <w:position w:val="0"/>
        </w:rPr>
        <w:t>》的制定，确定了公司利润分配政策及决策程序，明确了公司利润分配的原则和形式、现金分配的条 件、利润分配的时间间隔和比例、利润分配方案的决策程序和机制、利润分配政策的调整变更机制等。公司对利润分配政策 的制订由董事会、监事会审议通过后提交股东大会进行表决审议，独立董事尽职履责对公司利润分配事项发表独立意见。</w:t>
      </w:r>
    </w:p>
    <w:p>
      <w:pPr>
        <w:pStyle w:val="Style17"/>
        <w:keepNext w:val="0"/>
        <w:keepLines w:val="0"/>
        <w:widowControl w:val="0"/>
        <w:shd w:val="clear" w:color="auto" w:fill="auto"/>
        <w:bidi w:val="0"/>
        <w:spacing w:before="0" w:after="120" w:line="313" w:lineRule="exact"/>
        <w:ind w:left="0" w:right="0"/>
        <w:jc w:val="both"/>
      </w:pPr>
      <w:r>
        <w:rPr>
          <w:color w:val="000000"/>
          <w:spacing w:val="0"/>
          <w:w w:val="100"/>
          <w:position w:val="0"/>
        </w:rPr>
        <w:t>报告期内，公司利润分配政策未发生变化。公司积极实施持续、稳定的利润分配政策，重视对投资者的合理回报，并兼 顾公司的可持续发展。公司着眼于建立持续、稳定、科学的回报机制，严格按照《公司章程》的规定执行利润分配政策，在 累计可分配利润范围内制定当年的利润分配方案。公司利润分配方案中的现金分红标准和分红比例明确清晰，相关的决策程 序和机制完备。公司利润分配方案经由董事会、监事会审议通过，独立董事发表明确同意的独立意见后提交公司股东大会审 议，利润分配方案审议通过后在规定的时间内实施完成，切实保护了全体股东的利益。</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根据上述利润分配政策，公司于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日召开第二届董事会第三十次会议，于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年度利润分配预案的议案》，公司以总股本</w:t>
      </w:r>
      <w:r>
        <w:rPr>
          <w:rFonts w:ascii="Times New Roman" w:eastAsia="Times New Roman" w:hAnsi="Times New Roman" w:cs="Times New Roman"/>
          <w:color w:val="000000"/>
          <w:spacing w:val="0"/>
          <w:w w:val="100"/>
          <w:position w:val="0"/>
        </w:rPr>
        <w:t>413,914,325</w:t>
      </w:r>
      <w:r>
        <w:rPr>
          <w:color w:val="000000"/>
          <w:spacing w:val="0"/>
          <w:w w:val="100"/>
          <w:position w:val="0"/>
        </w:rPr>
        <w:t>股扣除公司回购专用证券账户上的股份</w:t>
      </w:r>
      <w:r>
        <w:rPr>
          <w:rFonts w:ascii="Times New Roman" w:eastAsia="Times New Roman" w:hAnsi="Times New Roman" w:cs="Times New Roman"/>
          <w:color w:val="000000"/>
          <w:spacing w:val="0"/>
          <w:w w:val="100"/>
          <w:position w:val="0"/>
        </w:rPr>
        <w:t xml:space="preserve">42 </w:t>
      </w:r>
      <w:r>
        <w:rPr>
          <w:color w:val="000000"/>
          <w:spacing w:val="0"/>
          <w:w w:val="100"/>
          <w:position w:val="0"/>
        </w:rPr>
        <w:t>股后的股本</w:t>
      </w:r>
      <w:r>
        <w:rPr>
          <w:rFonts w:ascii="Times New Roman" w:eastAsia="Times New Roman" w:hAnsi="Times New Roman" w:cs="Times New Roman"/>
          <w:color w:val="000000"/>
          <w:spacing w:val="0"/>
          <w:w w:val="100"/>
          <w:position w:val="0"/>
        </w:rPr>
        <w:t>413,914,283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3.5</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144,869,999.05</w:t>
      </w:r>
      <w:r>
        <w:rPr>
          <w:color w:val="000000"/>
          <w:spacing w:val="0"/>
          <w:w w:val="100"/>
          <w:position w:val="0"/>
        </w:rPr>
        <w:t>元（含税）， 剩余未分配利润结转以后年度。</w:t>
      </w:r>
      <w:r>
        <w:rPr>
          <w:rFonts w:ascii="Times New Roman" w:eastAsia="Times New Roman" w:hAnsi="Times New Roman" w:cs="Times New Roman"/>
          <w:color w:val="000000"/>
          <w:spacing w:val="0"/>
          <w:w w:val="100"/>
          <w:position w:val="0"/>
        </w:rPr>
        <w:t>2020</w:t>
      </w:r>
      <w:r>
        <w:rPr>
          <w:color w:val="000000"/>
          <w:spacing w:val="0"/>
          <w:w w:val="100"/>
          <w:position w:val="0"/>
        </w:rPr>
        <w:t>年度公司不实施以资本公积转增股本，不送红股。公司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年年度权益分派方案已于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月实施完毕。</w:t>
      </w:r>
    </w:p>
    <w:p>
      <w:pPr>
        <w:pStyle w:val="Style17"/>
        <w:keepNext w:val="0"/>
        <w:keepLines w:val="0"/>
        <w:widowControl w:val="0"/>
        <w:shd w:val="clear" w:color="auto" w:fill="auto"/>
        <w:bidi w:val="0"/>
        <w:spacing w:before="0" w:after="480" w:line="311" w:lineRule="exact"/>
        <w:ind w:left="0" w:right="0"/>
        <w:jc w:val="both"/>
      </w:pPr>
      <w:r>
        <w:rPr>
          <w:color w:val="000000"/>
          <w:spacing w:val="0"/>
          <w:w w:val="100"/>
          <w:position w:val="0"/>
        </w:rPr>
        <w:t>根据深圳证券交易所发布的上市公司回购股份的相关规定，上市公司以现金为对价，采用要约方式、集中竞价方式回购 股份的，当年已实施的回购股份金额视同现金分红金额，纳入该年度现金分红的相关比例计算。公司</w:t>
      </w:r>
      <w:r>
        <w:rPr>
          <w:rFonts w:ascii="Times New Roman" w:eastAsia="Times New Roman" w:hAnsi="Times New Roman" w:cs="Times New Roman"/>
          <w:color w:val="000000"/>
          <w:spacing w:val="0"/>
          <w:w w:val="100"/>
          <w:position w:val="0"/>
        </w:rPr>
        <w:t>2020</w:t>
      </w:r>
      <w:r>
        <w:rPr>
          <w:color w:val="000000"/>
          <w:spacing w:val="0"/>
          <w:w w:val="100"/>
          <w:position w:val="0"/>
        </w:rPr>
        <w:t>年通过集中竞价交 易方式已实施的回购股份所支付的现金金额</w:t>
      </w:r>
      <w:r>
        <w:rPr>
          <w:rFonts w:ascii="Times New Roman" w:eastAsia="Times New Roman" w:hAnsi="Times New Roman" w:cs="Times New Roman"/>
          <w:color w:val="000000"/>
          <w:spacing w:val="0"/>
          <w:w w:val="100"/>
          <w:position w:val="0"/>
        </w:rPr>
        <w:t>481,774,610.08</w:t>
      </w:r>
      <w:r>
        <w:rPr>
          <w:color w:val="000000"/>
          <w:spacing w:val="0"/>
          <w:w w:val="100"/>
          <w:position w:val="0"/>
        </w:rPr>
        <w:t xml:space="preserve">元（不含交易费用）视同现金分红金额。通过上述两种方式，公司 </w:t>
      </w:r>
      <w:r>
        <w:rPr>
          <w:rFonts w:ascii="Times New Roman" w:eastAsia="Times New Roman" w:hAnsi="Times New Roman" w:cs="Times New Roman"/>
          <w:color w:val="000000"/>
          <w:spacing w:val="0"/>
          <w:w w:val="100"/>
          <w:position w:val="0"/>
        </w:rPr>
        <w:t>2020</w:t>
      </w:r>
      <w:r>
        <w:rPr>
          <w:color w:val="000000"/>
          <w:spacing w:val="0"/>
          <w:w w:val="100"/>
          <w:position w:val="0"/>
        </w:rPr>
        <w:t>年度现金分红总额合计为</w:t>
      </w:r>
      <w:r>
        <w:rPr>
          <w:rFonts w:ascii="Times New Roman" w:eastAsia="Times New Roman" w:hAnsi="Times New Roman" w:cs="Times New Roman"/>
          <w:color w:val="000000"/>
          <w:spacing w:val="0"/>
          <w:w w:val="100"/>
          <w:position w:val="0"/>
        </w:rPr>
        <w:t>626,644,609.13</w:t>
      </w:r>
      <w:r>
        <w:rPr>
          <w:color w:val="000000"/>
          <w:spacing w:val="0"/>
          <w:w w:val="100"/>
          <w:position w:val="0"/>
        </w:rPr>
        <w:t>元（含</w:t>
      </w:r>
      <w:r>
        <w:rPr>
          <w:rFonts w:ascii="Times New Roman" w:eastAsia="Times New Roman" w:hAnsi="Times New Roman" w:cs="Times New Roman"/>
          <w:color w:val="000000"/>
          <w:spacing w:val="0"/>
          <w:w w:val="100"/>
          <w:position w:val="0"/>
        </w:rPr>
        <w:t>2020</w:t>
      </w:r>
      <w:r>
        <w:rPr>
          <w:color w:val="000000"/>
          <w:spacing w:val="0"/>
          <w:w w:val="100"/>
          <w:position w:val="0"/>
        </w:rPr>
        <w:t>年度实施的股份回购金额），占公司</w:t>
      </w:r>
      <w:r>
        <w:rPr>
          <w:rFonts w:ascii="Times New Roman" w:eastAsia="Times New Roman" w:hAnsi="Times New Roman" w:cs="Times New Roman"/>
          <w:color w:val="000000"/>
          <w:spacing w:val="0"/>
          <w:w w:val="100"/>
          <w:position w:val="0"/>
        </w:rPr>
        <w:t>2020</w:t>
      </w:r>
      <w:r>
        <w:rPr>
          <w:color w:val="000000"/>
          <w:spacing w:val="0"/>
          <w:w w:val="100"/>
          <w:position w:val="0"/>
        </w:rPr>
        <w:t>年合并报表归属于上市公 司股东净利润的比例为</w:t>
      </w:r>
      <w:r>
        <w:rPr>
          <w:rFonts w:ascii="Times New Roman" w:eastAsia="Times New Roman" w:hAnsi="Times New Roman" w:cs="Times New Roman"/>
          <w:color w:val="000000"/>
          <w:spacing w:val="0"/>
          <w:w w:val="100"/>
          <w:position w:val="0"/>
        </w:rPr>
        <w:t>29.98%</w:t>
      </w:r>
      <w:r>
        <w:rPr>
          <w:color w:val="000000"/>
          <w:spacing w:val="0"/>
          <w:w w:val="100"/>
          <w:position w:val="0"/>
        </w:rPr>
        <w:t>。</w:t>
      </w:r>
    </w:p>
    <w:tbl>
      <w:tblPr>
        <w:tblOverlap w:val="never"/>
        <w:jc w:val="center"/>
        <w:tblLayout w:type="fixed"/>
      </w:tblPr>
      <w:tblGrid>
        <w:gridCol w:w="5112"/>
        <w:gridCol w:w="4474"/>
      </w:tblGrid>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5112"/>
        <w:gridCol w:w="447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409,914,184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700" w:right="0" w:firstLine="0"/>
              <w:jc w:val="left"/>
            </w:pPr>
            <w:r>
              <w:rPr>
                <w:rFonts w:ascii="Times New Roman" w:eastAsia="Times New Roman" w:hAnsi="Times New Roman" w:cs="Times New Roman"/>
                <w:color w:val="000000"/>
                <w:spacing w:val="0"/>
                <w:w w:val="100"/>
                <w:position w:val="0"/>
              </w:rPr>
              <w:t>143,469,964.40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以其他方式（如回购股份）现金分红金额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700" w:right="0" w:firstLine="0"/>
              <w:jc w:val="left"/>
            </w:pPr>
            <w:r>
              <w:rPr>
                <w:rFonts w:ascii="Times New Roman" w:eastAsia="Times New Roman" w:hAnsi="Times New Roman" w:cs="Times New Roman"/>
                <w:color w:val="000000"/>
                <w:spacing w:val="0"/>
                <w:w w:val="100"/>
                <w:position w:val="0"/>
              </w:rPr>
              <w:t>143,469,964.40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700" w:right="0" w:firstLine="0"/>
              <w:jc w:val="left"/>
            </w:pPr>
            <w:r>
              <w:rPr>
                <w:rFonts w:ascii="Times New Roman" w:eastAsia="Times New Roman" w:hAnsi="Times New Roman" w:cs="Times New Roman"/>
                <w:color w:val="000000"/>
                <w:spacing w:val="0"/>
                <w:w w:val="100"/>
                <w:position w:val="0"/>
              </w:rPr>
              <w:t>781,923,884.66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公司发展阶段属成长期且有重大资金支出安排的，进行利润分配时，现金分红在本次利润分配中所占比例最低应达到 </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238"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根据安永华明会计师事务所（特殊普通合伙）出具的标准无保留审计报告，深圳华大基因股份有限公司（以下简 称公司）母公司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rPr>
              <w:t>290,406,701.77</w:t>
            </w:r>
            <w:r>
              <w:rPr>
                <w:color w:val="000000"/>
                <w:spacing w:val="0"/>
                <w:w w:val="100"/>
                <w:position w:val="0"/>
              </w:rPr>
              <w:t>元.根据《公司法》和《公司章程》的有关规定，以母公司净利润 数</w:t>
            </w:r>
            <w:r>
              <w:rPr>
                <w:rFonts w:ascii="Times New Roman" w:eastAsia="Times New Roman" w:hAnsi="Times New Roman" w:cs="Times New Roman"/>
                <w:color w:val="000000"/>
                <w:spacing w:val="0"/>
                <w:w w:val="100"/>
                <w:position w:val="0"/>
              </w:rPr>
              <w:t>290,406,701.77</w:t>
            </w:r>
            <w:r>
              <w:rPr>
                <w:color w:val="000000"/>
                <w:spacing w:val="0"/>
                <w:w w:val="100"/>
                <w:position w:val="0"/>
              </w:rPr>
              <w:t>元为基数，按</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29,040,670.18</w:t>
            </w:r>
            <w:r>
              <w:rPr>
                <w:color w:val="000000"/>
                <w:spacing w:val="0"/>
                <w:w w:val="100"/>
                <w:position w:val="0"/>
              </w:rPr>
              <w:t>元后，加上母公司年初未分配利润</w:t>
            </w:r>
            <w:r>
              <w:rPr>
                <w:rFonts w:ascii="Times New Roman" w:eastAsia="Times New Roman" w:hAnsi="Times New Roman" w:cs="Times New Roman"/>
                <w:color w:val="000000"/>
                <w:spacing w:val="0"/>
                <w:w w:val="100"/>
                <w:position w:val="0"/>
              </w:rPr>
              <w:t xml:space="preserve">656,302,489.05 </w:t>
            </w:r>
            <w:r>
              <w:rPr>
                <w:color w:val="000000"/>
                <w:spacing w:val="0"/>
                <w:w w:val="100"/>
                <w:position w:val="0"/>
              </w:rPr>
              <w:t>元，处置其他权益工具投资增加未分配利润</w:t>
            </w:r>
            <w:r>
              <w:rPr>
                <w:rFonts w:ascii="Times New Roman" w:eastAsia="Times New Roman" w:hAnsi="Times New Roman" w:cs="Times New Roman"/>
                <w:color w:val="000000"/>
                <w:spacing w:val="0"/>
                <w:w w:val="100"/>
                <w:position w:val="0"/>
              </w:rPr>
              <w:t>9,125,363.07</w:t>
            </w:r>
            <w:r>
              <w:rPr>
                <w:color w:val="000000"/>
                <w:spacing w:val="0"/>
                <w:w w:val="100"/>
                <w:position w:val="0"/>
              </w:rPr>
              <w:t>元，减去</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年度利润分配现金股利</w:t>
            </w:r>
            <w:r>
              <w:rPr>
                <w:rFonts w:ascii="Times New Roman" w:eastAsia="Times New Roman" w:hAnsi="Times New Roman" w:cs="Times New Roman"/>
                <w:color w:val="000000"/>
                <w:spacing w:val="0"/>
                <w:w w:val="100"/>
                <w:position w:val="0"/>
              </w:rPr>
              <w:t>144,869,999.05</w:t>
            </w:r>
            <w:r>
              <w:rPr>
                <w:color w:val="000000"/>
                <w:spacing w:val="0"/>
                <w:w w:val="100"/>
                <w:position w:val="0"/>
              </w:rPr>
              <w:t xml:space="preserve">元，截至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日，母公司实际可供股东分配的利润为</w:t>
            </w:r>
            <w:r>
              <w:rPr>
                <w:rFonts w:ascii="Times New Roman" w:eastAsia="Times New Roman" w:hAnsi="Times New Roman" w:cs="Times New Roman"/>
                <w:color w:val="000000"/>
                <w:spacing w:val="0"/>
                <w:w w:val="100"/>
                <w:position w:val="0"/>
              </w:rPr>
              <w:t>781,923,884.66</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日，合并报表可供分配 的利润为</w:t>
            </w:r>
            <w:r>
              <w:rPr>
                <w:rFonts w:ascii="Times New Roman" w:eastAsia="Times New Roman" w:hAnsi="Times New Roman" w:cs="Times New Roman"/>
                <w:color w:val="000000"/>
                <w:spacing w:val="0"/>
                <w:w w:val="100"/>
                <w:position w:val="0"/>
              </w:rPr>
              <w:t>4,318,697,766.05</w:t>
            </w:r>
            <w:r>
              <w:rPr>
                <w:color w:val="000000"/>
                <w:spacing w:val="0"/>
                <w:w w:val="100"/>
                <w:position w:val="0"/>
              </w:rPr>
              <w:t>元。根据公司应当以合并报表、母公司报表中可供分配利润孰低的原则来确定具体的利润分配 比例，截至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日，公司可供分配利润为</w:t>
            </w:r>
            <w:r>
              <w:rPr>
                <w:rFonts w:ascii="Times New Roman" w:eastAsia="Times New Roman" w:hAnsi="Times New Roman" w:cs="Times New Roman"/>
                <w:color w:val="000000"/>
                <w:spacing w:val="0"/>
                <w:w w:val="100"/>
                <w:position w:val="0"/>
              </w:rPr>
              <w:t>781,923,884.66</w:t>
            </w:r>
            <w:r>
              <w:rPr>
                <w:color w:val="000000"/>
                <w:spacing w:val="0"/>
                <w:w w:val="100"/>
                <w:position w:val="0"/>
              </w:rPr>
              <w:t>元。</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年度拟实施如下利润分配预案：以现有总股本</w:t>
            </w:r>
            <w:r>
              <w:rPr>
                <w:rFonts w:ascii="Times New Roman" w:eastAsia="Times New Roman" w:hAnsi="Times New Roman" w:cs="Times New Roman"/>
                <w:color w:val="000000"/>
                <w:spacing w:val="0"/>
                <w:w w:val="100"/>
                <w:position w:val="0"/>
              </w:rPr>
              <w:t>413,914,325</w:t>
            </w:r>
            <w:r>
              <w:rPr>
                <w:color w:val="000000"/>
                <w:spacing w:val="0"/>
                <w:w w:val="100"/>
                <w:position w:val="0"/>
              </w:rPr>
              <w:t xml:space="preserve">股扣除公司回购专用证券账户上的股份 </w:t>
            </w:r>
            <w:r>
              <w:rPr>
                <w:rFonts w:ascii="Times New Roman" w:eastAsia="Times New Roman" w:hAnsi="Times New Roman" w:cs="Times New Roman"/>
                <w:color w:val="000000"/>
                <w:spacing w:val="0"/>
                <w:w w:val="100"/>
                <w:position w:val="0"/>
              </w:rPr>
              <w:t>4,000,141</w:t>
            </w:r>
            <w:r>
              <w:rPr>
                <w:color w:val="000000"/>
                <w:spacing w:val="0"/>
                <w:w w:val="100"/>
                <w:position w:val="0"/>
              </w:rPr>
              <w:t>股后的股本</w:t>
            </w:r>
            <w:r>
              <w:rPr>
                <w:rFonts w:ascii="Times New Roman" w:eastAsia="Times New Roman" w:hAnsi="Times New Roman" w:cs="Times New Roman"/>
                <w:color w:val="000000"/>
                <w:spacing w:val="0"/>
                <w:w w:val="100"/>
                <w:position w:val="0"/>
              </w:rPr>
              <w:t>409,914,184</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3.50</w:t>
            </w:r>
            <w:r>
              <w:rPr>
                <w:color w:val="000000"/>
                <w:spacing w:val="0"/>
                <w:w w:val="100"/>
                <w:position w:val="0"/>
              </w:rPr>
              <w:t>元（含税），共分配现金股利</w:t>
            </w:r>
            <w:r>
              <w:rPr>
                <w:rFonts w:ascii="Times New Roman" w:eastAsia="Times New Roman" w:hAnsi="Times New Roman" w:cs="Times New Roman"/>
                <w:color w:val="000000"/>
                <w:spacing w:val="0"/>
                <w:w w:val="100"/>
                <w:position w:val="0"/>
              </w:rPr>
              <w:t>143,469,964.40</w:t>
            </w:r>
            <w:r>
              <w:rPr>
                <w:color w:val="000000"/>
                <w:spacing w:val="0"/>
                <w:w w:val="100"/>
                <w:position w:val="0"/>
              </w:rPr>
              <w:t>元 （含税），剩余未分配利润</w:t>
            </w:r>
            <w:r>
              <w:rPr>
                <w:rFonts w:ascii="Times New Roman" w:eastAsia="Times New Roman" w:hAnsi="Times New Roman" w:cs="Times New Roman"/>
                <w:color w:val="000000"/>
                <w:spacing w:val="0"/>
                <w:w w:val="100"/>
                <w:position w:val="0"/>
              </w:rPr>
              <w:t>638,453,920.26</w:t>
            </w:r>
            <w:r>
              <w:rPr>
                <w:color w:val="000000"/>
                <w:spacing w:val="0"/>
                <w:w w:val="100"/>
                <w:position w:val="0"/>
              </w:rPr>
              <w:t>元结转以后年度分配。</w:t>
            </w:r>
            <w:r>
              <w:rPr>
                <w:rFonts w:ascii="Times New Roman" w:eastAsia="Times New Roman" w:hAnsi="Times New Roman" w:cs="Times New Roman"/>
                <w:color w:val="000000"/>
                <w:spacing w:val="0"/>
                <w:w w:val="100"/>
                <w:position w:val="0"/>
              </w:rPr>
              <w:t>2021</w:t>
            </w:r>
            <w:r>
              <w:rPr>
                <w:color w:val="000000"/>
                <w:spacing w:val="0"/>
                <w:w w:val="100"/>
                <w:position w:val="0"/>
              </w:rPr>
              <w:t>年度公司不实施以资本公积金转增股本，不送红 股。</w:t>
            </w:r>
          </w:p>
          <w:p>
            <w:pPr>
              <w:pStyle w:val="Style20"/>
              <w:keepNext w:val="0"/>
              <w:keepLines w:val="0"/>
              <w:widowControl w:val="0"/>
              <w:shd w:val="clear" w:color="auto" w:fill="auto"/>
              <w:bidi w:val="0"/>
              <w:spacing w:before="0" w:after="0" w:line="307" w:lineRule="exact"/>
              <w:ind w:left="0" w:right="0"/>
              <w:jc w:val="left"/>
            </w:pPr>
            <w:r>
              <w:rPr>
                <w:color w:val="000000"/>
                <w:spacing w:val="0"/>
                <w:w w:val="100"/>
                <w:position w:val="0"/>
              </w:rPr>
              <w:t>在分配方案披露至实施期间，公司股本总额若因新增股份上市、股权激励授予行权、可转债转股、股份回购等事项 发生变化，公司将按照每股分配比例不变的原则，相应调整分配总额。</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十三、公司股权激励计划、员工持股计划或其他员工激励措施的实施情况</w:t>
      </w:r>
      <w:bookmarkEnd w:id="438"/>
      <w:bookmarkEnd w:id="439"/>
      <w:bookmarkEnd w:id="440"/>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0"/>
        <w:keepNext/>
        <w:keepLines/>
        <w:widowControl w:val="0"/>
        <w:shd w:val="clear" w:color="auto" w:fill="auto"/>
        <w:tabs>
          <w:tab w:pos="368" w:val="left"/>
        </w:tabs>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w:t>
        <w:tab/>
        <w:t>股权激励</w:t>
      </w:r>
      <w:bookmarkEnd w:id="441"/>
      <w:bookmarkEnd w:id="442"/>
      <w:bookmarkEnd w:id="44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董事、高级管理人员获得的股权激励情况</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高级管理人员的考评机制及激励情况</w:t>
      </w:r>
    </w:p>
    <w:p>
      <w:pPr>
        <w:pStyle w:val="Style1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w:t>
        <w:tab/>
        <w:t>员工持股计划的实施情况</w:t>
      </w:r>
      <w:bookmarkEnd w:id="445"/>
      <w:bookmarkEnd w:id="446"/>
      <w:bookmarkEnd w:id="448"/>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报告期内全部有效的员工持股计划情况</w:t>
      </w:r>
    </w:p>
    <w:tbl>
      <w:tblPr>
        <w:tblOverlap w:val="never"/>
        <w:jc w:val="center"/>
        <w:tblLayout w:type="fixed"/>
      </w:tblPr>
      <w:tblGrid>
        <w:gridCol w:w="1603"/>
        <w:gridCol w:w="955"/>
        <w:gridCol w:w="1421"/>
        <w:gridCol w:w="2693"/>
        <w:gridCol w:w="1306"/>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员工人数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持有的股票总额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占上市公司股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本总额的比例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实施计划的资金来 源</w:t>
            </w:r>
          </w:p>
        </w:tc>
      </w:tr>
      <w:tr>
        <w:trPr>
          <w:trHeight w:val="446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第一期员工持股计 划：公司或公司子 公司的董事（不含 独立董事）、监事、 高级管理人员、核 心业务人员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、员工人数变更：公司第一期员 工持股计划初始设立时持有人总 人数为</w:t>
            </w:r>
            <w:r>
              <w:rPr>
                <w:rFonts w:ascii="Times New Roman" w:eastAsia="Times New Roman" w:hAnsi="Times New Roman" w:cs="Times New Roman"/>
                <w:color w:val="000000"/>
                <w:spacing w:val="0"/>
                <w:w w:val="100"/>
                <w:position w:val="0"/>
              </w:rPr>
              <w:t>68</w:t>
            </w:r>
            <w:r>
              <w:rPr>
                <w:color w:val="000000"/>
                <w:spacing w:val="0"/>
                <w:w w:val="100"/>
                <w:position w:val="0"/>
              </w:rPr>
              <w:t>人（不含预留份额）， 因预留份额分配新增认购对象</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名，员工持股计划</w:t>
            </w:r>
            <w:r>
              <w:rPr>
                <w:rFonts w:ascii="Times New Roman" w:eastAsia="Times New Roman" w:hAnsi="Times New Roman" w:cs="Times New Roman"/>
                <w:color w:val="000000"/>
                <w:spacing w:val="0"/>
                <w:w w:val="100"/>
                <w:position w:val="0"/>
              </w:rPr>
              <w:t>2</w:t>
            </w:r>
            <w:r>
              <w:rPr>
                <w:color w:val="000000"/>
                <w:spacing w:val="0"/>
                <w:w w:val="100"/>
                <w:position w:val="0"/>
              </w:rPr>
              <w:t>名持有人离 职，本期员工持股计划持有人数 量由</w:t>
            </w:r>
            <w:r>
              <w:rPr>
                <w:rFonts w:ascii="Times New Roman" w:eastAsia="Times New Roman" w:hAnsi="Times New Roman" w:cs="Times New Roman"/>
                <w:color w:val="000000"/>
                <w:spacing w:val="0"/>
                <w:w w:val="100"/>
                <w:position w:val="0"/>
              </w:rPr>
              <w:t>68</w:t>
            </w:r>
            <w:r>
              <w:rPr>
                <w:color w:val="000000"/>
                <w:spacing w:val="0"/>
                <w:w w:val="100"/>
                <w:position w:val="0"/>
              </w:rPr>
              <w:t>名变更为</w:t>
            </w:r>
            <w:r>
              <w:rPr>
                <w:rFonts w:ascii="Times New Roman" w:eastAsia="Times New Roman" w:hAnsi="Times New Roman" w:cs="Times New Roman"/>
                <w:color w:val="000000"/>
                <w:spacing w:val="0"/>
                <w:w w:val="100"/>
                <w:position w:val="0"/>
              </w:rPr>
              <w:t>86</w:t>
            </w:r>
            <w:r>
              <w:rPr>
                <w:color w:val="000000"/>
                <w:spacing w:val="0"/>
                <w:w w:val="100"/>
                <w:position w:val="0"/>
              </w:rPr>
              <w:t>名。</w:t>
            </w:r>
            <w:r>
              <w:rPr>
                <w:rFonts w:ascii="Times New Roman" w:eastAsia="Times New Roman" w:hAnsi="Times New Roman" w:cs="Times New Roman"/>
                <w:color w:val="000000"/>
                <w:spacing w:val="0"/>
                <w:w w:val="100"/>
                <w:position w:val="0"/>
              </w:rPr>
              <w:t>2</w:t>
            </w:r>
            <w:r>
              <w:rPr>
                <w:color w:val="000000"/>
                <w:spacing w:val="0"/>
                <w:w w:val="100"/>
                <w:position w:val="0"/>
              </w:rPr>
              <w:t xml:space="preserve">、持有 的股票数量总额变更：公司第一 期员工持股计划第一个锁定期于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日届满，报告期 内公司第一期员工持股计划已出 售</w:t>
            </w:r>
            <w:r>
              <w:rPr>
                <w:rFonts w:ascii="Times New Roman" w:eastAsia="Times New Roman" w:hAnsi="Times New Roman" w:cs="Times New Roman"/>
                <w:color w:val="000000"/>
                <w:spacing w:val="0"/>
                <w:w w:val="100"/>
                <w:position w:val="0"/>
              </w:rPr>
              <w:t>200</w:t>
            </w:r>
            <w:r>
              <w:rPr>
                <w:color w:val="000000"/>
                <w:spacing w:val="0"/>
                <w:w w:val="100"/>
                <w:position w:val="0"/>
              </w:rPr>
              <w:t>万股公司股票，其持有的 公司股票数量由</w:t>
            </w:r>
            <w:r>
              <w:rPr>
                <w:rFonts w:ascii="Times New Roman" w:eastAsia="Times New Roman" w:hAnsi="Times New Roman" w:cs="Times New Roman"/>
                <w:color w:val="000000"/>
                <w:spacing w:val="0"/>
                <w:w w:val="100"/>
                <w:position w:val="0"/>
              </w:rPr>
              <w:t>400</w:t>
            </w:r>
            <w:r>
              <w:rPr>
                <w:color w:val="000000"/>
                <w:spacing w:val="0"/>
                <w:w w:val="100"/>
                <w:position w:val="0"/>
              </w:rPr>
              <w:t xml:space="preserve">万股变更为 </w:t>
            </w:r>
            <w:r>
              <w:rPr>
                <w:rFonts w:ascii="Times New Roman" w:eastAsia="Times New Roman" w:hAnsi="Times New Roman" w:cs="Times New Roman"/>
                <w:color w:val="000000"/>
                <w:spacing w:val="0"/>
                <w:w w:val="100"/>
                <w:position w:val="0"/>
              </w:rPr>
              <w:t>200</w:t>
            </w:r>
            <w:r>
              <w:rPr>
                <w:color w:val="000000"/>
                <w:spacing w:val="0"/>
                <w:w w:val="100"/>
                <w:position w:val="0"/>
              </w:rPr>
              <w:t>万股。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员工合法薪酬、自 筹资金以及法律法 规允许的其他方 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59" w:line="1" w:lineRule="exact"/>
      </w:pPr>
    </w:p>
    <w:tbl>
      <w:tblPr>
        <w:tblOverlap w:val="never"/>
        <w:jc w:val="center"/>
        <w:tblLayout w:type="fixed"/>
      </w:tblPr>
      <w:tblGrid>
        <w:gridCol w:w="1142"/>
        <w:gridCol w:w="2837"/>
        <w:gridCol w:w="1838"/>
        <w:gridCol w:w="1843"/>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报告期初持股数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占上市公司股本总额的 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李雯琪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胡宇洁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陈唯军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朱师达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副总经理、董事会秘书、法务总监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bl>
    <w:tbl>
      <w:tblPr>
        <w:tblOverlap w:val="never"/>
        <w:jc w:val="center"/>
        <w:tblLayout w:type="fixed"/>
      </w:tblPr>
      <w:tblGrid>
        <w:gridCol w:w="1142"/>
        <w:gridCol w:w="2837"/>
        <w:gridCol w:w="1838"/>
        <w:gridCol w:w="1843"/>
        <w:gridCol w:w="192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霍守江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人力资源总监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bl>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报告期内资产管理机构的变更情况</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报告期内因持有人处置份额等引起的权益变动情况</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日在巨潮资讯网披露《关于第一期员工持股计划第一个锁定期届满的提示性公告》（公告编号： </w:t>
      </w:r>
      <w:r>
        <w:rPr>
          <w:rFonts w:ascii="Times New Roman" w:eastAsia="Times New Roman" w:hAnsi="Times New Roman" w:cs="Times New Roman"/>
          <w:color w:val="000000"/>
          <w:spacing w:val="0"/>
          <w:w w:val="100"/>
          <w:position w:val="0"/>
        </w:rPr>
        <w:t>2021-097</w:t>
      </w:r>
      <w:r>
        <w:rPr>
          <w:color w:val="000000"/>
          <w:spacing w:val="0"/>
          <w:w w:val="100"/>
          <w:position w:val="0"/>
        </w:rPr>
        <w:t>）</w:t>
      </w:r>
      <w:r>
        <w:rPr>
          <w:color w:val="000000"/>
          <w:spacing w:val="0"/>
          <w:w w:val="100"/>
          <w:position w:val="0"/>
        </w:rPr>
        <w:t>，公司第一期员工持股计划第一个锁定期于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日届满，该批股票解锁日期为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日，可解锁 分配的权益份额占本员工持股计划持有权益总额的</w:t>
      </w:r>
      <w:r>
        <w:rPr>
          <w:rFonts w:ascii="Times New Roman" w:eastAsia="Times New Roman" w:hAnsi="Times New Roman" w:cs="Times New Roman"/>
          <w:color w:val="000000"/>
          <w:spacing w:val="0"/>
          <w:w w:val="100"/>
          <w:position w:val="0"/>
        </w:rPr>
        <w:t>50%</w:t>
      </w:r>
      <w:r>
        <w:rPr>
          <w:color w:val="000000"/>
          <w:spacing w:val="0"/>
          <w:w w:val="100"/>
          <w:position w:val="0"/>
        </w:rPr>
        <w:t>，对应的标的股票数量为</w:t>
      </w:r>
      <w:r>
        <w:rPr>
          <w:rFonts w:ascii="Times New Roman" w:eastAsia="Times New Roman" w:hAnsi="Times New Roman" w:cs="Times New Roman"/>
          <w:color w:val="000000"/>
          <w:spacing w:val="0"/>
          <w:w w:val="100"/>
          <w:position w:val="0"/>
        </w:rPr>
        <w:t>2,000,000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0.4832%</w:t>
      </w:r>
      <w:r>
        <w:rPr>
          <w:color w:val="000000"/>
          <w:spacing w:val="0"/>
          <w:w w:val="100"/>
          <w:position w:val="0"/>
        </w:rPr>
        <w:t>。报 告期内，公司第一期员工持股计划出售</w:t>
      </w:r>
      <w:r>
        <w:rPr>
          <w:rFonts w:ascii="Times New Roman" w:eastAsia="Times New Roman" w:hAnsi="Times New Roman" w:cs="Times New Roman"/>
          <w:color w:val="000000"/>
          <w:spacing w:val="0"/>
          <w:w w:val="100"/>
          <w:position w:val="0"/>
        </w:rPr>
        <w:t>2,000,000</w:t>
      </w:r>
      <w:r>
        <w:rPr>
          <w:color w:val="000000"/>
          <w:spacing w:val="0"/>
          <w:w w:val="100"/>
          <w:position w:val="0"/>
        </w:rPr>
        <w:t>股。</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日，公司第一期员工持股计划持股数量为</w:t>
      </w:r>
      <w:r>
        <w:rPr>
          <w:rFonts w:ascii="Times New Roman" w:eastAsia="Times New Roman" w:hAnsi="Times New Roman" w:cs="Times New Roman"/>
          <w:color w:val="000000"/>
          <w:spacing w:val="0"/>
          <w:w w:val="100"/>
          <w:position w:val="0"/>
        </w:rPr>
        <w:t>2,000,000</w:t>
      </w:r>
      <w:r>
        <w:rPr>
          <w:color w:val="000000"/>
          <w:spacing w:val="0"/>
          <w:w w:val="100"/>
          <w:position w:val="0"/>
        </w:rPr>
        <w:t>股，占公司总股本</w:t>
      </w:r>
      <w:r>
        <w:rPr>
          <w:rFonts w:ascii="Times New Roman" w:eastAsia="Times New Roman" w:hAnsi="Times New Roman" w:cs="Times New Roman"/>
          <w:color w:val="000000"/>
          <w:spacing w:val="0"/>
          <w:w w:val="100"/>
          <w:position w:val="0"/>
        </w:rPr>
        <w:t>413,914,325</w:t>
      </w:r>
      <w:r>
        <w:rPr>
          <w:color w:val="000000"/>
          <w:spacing w:val="0"/>
          <w:w w:val="100"/>
          <w:position w:val="0"/>
        </w:rPr>
        <w:t xml:space="preserve">股的比例为 </w:t>
      </w:r>
      <w:r>
        <w:rPr>
          <w:rFonts w:ascii="Times New Roman" w:eastAsia="Times New Roman" w:hAnsi="Times New Roman" w:cs="Times New Roman"/>
          <w:color w:val="000000"/>
          <w:spacing w:val="0"/>
          <w:w w:val="100"/>
          <w:position w:val="0"/>
        </w:rPr>
        <w:t>0.4832%</w:t>
      </w:r>
      <w:r>
        <w:rPr>
          <w:color w:val="000000"/>
          <w:spacing w:val="0"/>
          <w:w w:val="100"/>
          <w:position w:val="0"/>
        </w:rPr>
        <w:t>。</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报告期内股东权利行使的情况</w:t>
      </w:r>
    </w:p>
    <w:p>
      <w:pPr>
        <w:pStyle w:val="Style17"/>
        <w:keepNext w:val="0"/>
        <w:keepLines w:val="0"/>
        <w:widowControl w:val="0"/>
        <w:shd w:val="clear" w:color="auto" w:fill="auto"/>
        <w:bidi w:val="0"/>
        <w:spacing w:before="0" w:after="340" w:line="316"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年年度股东大会审议通过《关于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年度利润分配预案的议案》，以现有总股本 </w:t>
      </w:r>
      <w:r>
        <w:rPr>
          <w:rFonts w:ascii="Times New Roman" w:eastAsia="Times New Roman" w:hAnsi="Times New Roman" w:cs="Times New Roman"/>
          <w:color w:val="000000"/>
          <w:spacing w:val="0"/>
          <w:w w:val="100"/>
          <w:position w:val="0"/>
        </w:rPr>
        <w:t>413,914,325</w:t>
      </w:r>
      <w:r>
        <w:rPr>
          <w:color w:val="000000"/>
          <w:spacing w:val="0"/>
          <w:w w:val="100"/>
          <w:position w:val="0"/>
        </w:rPr>
        <w:t>股扣除公司当时回购专用证券账户上的股份</w:t>
      </w:r>
      <w:r>
        <w:rPr>
          <w:rFonts w:ascii="Times New Roman" w:eastAsia="Times New Roman" w:hAnsi="Times New Roman" w:cs="Times New Roman"/>
          <w:color w:val="000000"/>
          <w:spacing w:val="0"/>
          <w:w w:val="100"/>
          <w:position w:val="0"/>
        </w:rPr>
        <w:t>42</w:t>
      </w:r>
      <w:r>
        <w:rPr>
          <w:color w:val="000000"/>
          <w:spacing w:val="0"/>
          <w:w w:val="100"/>
          <w:position w:val="0"/>
        </w:rPr>
        <w:t>股后的股本</w:t>
      </w:r>
      <w:r>
        <w:rPr>
          <w:rFonts w:ascii="Times New Roman" w:eastAsia="Times New Roman" w:hAnsi="Times New Roman" w:cs="Times New Roman"/>
          <w:color w:val="000000"/>
          <w:spacing w:val="0"/>
          <w:w w:val="100"/>
          <w:position w:val="0"/>
        </w:rPr>
        <w:t>413,914,283</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 xml:space="preserve">3.5 </w:t>
      </w:r>
      <w:r>
        <w:rPr>
          <w:rFonts w:ascii="Times New Roman" w:eastAsia="Times New Roman" w:hAnsi="Times New Roman" w:cs="Times New Roman"/>
          <w:color w:val="000000"/>
          <w:spacing w:val="0"/>
          <w:w w:val="100"/>
          <w:position w:val="0"/>
        </w:rPr>
        <w:t>0</w:t>
      </w:r>
      <w:r>
        <w:rPr>
          <w:color w:val="000000"/>
          <w:spacing w:val="0"/>
          <w:w w:val="100"/>
          <w:position w:val="0"/>
        </w:rPr>
        <w:t>元 （含税）。具体内容详见公司于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日在巨潮资讯网披露的《关于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年度利润分配预案的公告》（公告编号： </w:t>
      </w:r>
      <w:r>
        <w:rPr>
          <w:rFonts w:ascii="Times New Roman" w:eastAsia="Times New Roman" w:hAnsi="Times New Roman" w:cs="Times New Roman"/>
          <w:color w:val="000000"/>
          <w:spacing w:val="0"/>
          <w:w w:val="100"/>
          <w:position w:val="0"/>
        </w:rPr>
        <w:t>2021-046</w:t>
      </w:r>
      <w:r>
        <w:rPr>
          <w:color w:val="000000"/>
          <w:spacing w:val="0"/>
          <w:w w:val="100"/>
          <w:position w:val="0"/>
        </w:rPr>
        <w:t>）</w:t>
      </w:r>
      <w:r>
        <w:rPr>
          <w:color w:val="000000"/>
          <w:spacing w:val="0"/>
          <w:w w:val="100"/>
          <w:position w:val="0"/>
        </w:rPr>
        <w:t>。公司第一期员工持股计划于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月收到公司现金分红款</w:t>
      </w:r>
      <w:r>
        <w:rPr>
          <w:rFonts w:ascii="Times New Roman" w:eastAsia="Times New Roman" w:hAnsi="Times New Roman" w:cs="Times New Roman"/>
          <w:color w:val="000000"/>
          <w:spacing w:val="0"/>
          <w:w w:val="100"/>
          <w:position w:val="0"/>
        </w:rPr>
        <w:t>1,400,000</w:t>
      </w:r>
      <w:r>
        <w:rPr>
          <w:color w:val="000000"/>
          <w:spacing w:val="0"/>
          <w:w w:val="100"/>
          <w:position w:val="0"/>
        </w:rPr>
        <w:t>元（含税）。报告期内，公司员工持股计 划未参与公司股东大会的表决及行使其他股东权利。</w:t>
      </w:r>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报告期内员工持股计划的其他相关情形及说明</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4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日分别召开第二届董事会第三十一次会议和第二届监事会第二十九次会议，审议通过了《关于第一 期员工持股计划预留份额分配的议案》，按照公司第一期员工持股计划规定的认购对象要求，本期员工持股计划管理委员 会确定了</w:t>
      </w:r>
      <w:r>
        <w:rPr>
          <w:rFonts w:ascii="Times New Roman" w:eastAsia="Times New Roman" w:hAnsi="Times New Roman" w:cs="Times New Roman"/>
          <w:color w:val="000000"/>
          <w:spacing w:val="0"/>
          <w:w w:val="100"/>
          <w:position w:val="0"/>
        </w:rPr>
        <w:t>30</w:t>
      </w:r>
      <w:r>
        <w:rPr>
          <w:color w:val="000000"/>
          <w:spacing w:val="0"/>
          <w:w w:val="100"/>
          <w:position w:val="0"/>
        </w:rPr>
        <w:t>名认购对象认购全部的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,648.8750</w:t>
      </w:r>
      <w:r>
        <w:rPr>
          <w:color w:val="000000"/>
          <w:spacing w:val="0"/>
          <w:w w:val="100"/>
          <w:position w:val="0"/>
        </w:rPr>
        <w:t>万份预留份额，其中包括新增认购对象</w:t>
      </w:r>
      <w:r>
        <w:rPr>
          <w:rFonts w:ascii="Times New Roman" w:eastAsia="Times New Roman" w:hAnsi="Times New Roman" w:cs="Times New Roman"/>
          <w:color w:val="000000"/>
          <w:spacing w:val="0"/>
          <w:w w:val="100"/>
          <w:position w:val="0"/>
        </w:rPr>
        <w:t>20</w:t>
      </w:r>
      <w:r>
        <w:rPr>
          <w:color w:val="000000"/>
          <w:spacing w:val="0"/>
          <w:w w:val="100"/>
          <w:position w:val="0"/>
        </w:rPr>
        <w:t>名，此前已参与员工持股计划份额认 购的认购对象</w:t>
      </w:r>
      <w:r>
        <w:rPr>
          <w:rFonts w:ascii="Times New Roman" w:eastAsia="Times New Roman" w:hAnsi="Times New Roman" w:cs="Times New Roman"/>
          <w:color w:val="000000"/>
          <w:spacing w:val="0"/>
          <w:w w:val="100"/>
          <w:position w:val="0"/>
        </w:rPr>
        <w:t>10</w:t>
      </w:r>
      <w:r>
        <w:rPr>
          <w:color w:val="000000"/>
          <w:spacing w:val="0"/>
          <w:w w:val="100"/>
          <w:position w:val="0"/>
        </w:rPr>
        <w:t>名。具体内容详见公司于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日在巨潮资讯网披露的《关于第一期员工持股计划预留份额分配的公 告》（公告编号：</w:t>
      </w:r>
      <w:r>
        <w:rPr>
          <w:rFonts w:ascii="Times New Roman" w:eastAsia="Times New Roman" w:hAnsi="Times New Roman" w:cs="Times New Roman"/>
          <w:color w:val="000000"/>
          <w:spacing w:val="0"/>
          <w:w w:val="100"/>
          <w:position w:val="0"/>
        </w:rPr>
        <w:t>2021-067</w:t>
      </w:r>
      <w:r>
        <w:rPr>
          <w:color w:val="000000"/>
          <w:spacing w:val="0"/>
          <w:w w:val="100"/>
          <w:position w:val="0"/>
        </w:rPr>
        <w:t>）</w:t>
      </w:r>
      <w:r>
        <w:rPr>
          <w:color w:val="000000"/>
          <w:spacing w:val="0"/>
          <w:w w:val="100"/>
          <w:position w:val="0"/>
        </w:rPr>
        <w:t>。报告期内，本期员工持股计划有</w:t>
      </w:r>
      <w:r>
        <w:rPr>
          <w:rFonts w:ascii="Times New Roman" w:eastAsia="Times New Roman" w:hAnsi="Times New Roman" w:cs="Times New Roman"/>
          <w:color w:val="000000"/>
          <w:spacing w:val="0"/>
          <w:w w:val="100"/>
          <w:position w:val="0"/>
        </w:rPr>
        <w:t>2</w:t>
      </w:r>
      <w:r>
        <w:rPr>
          <w:color w:val="000000"/>
          <w:spacing w:val="0"/>
          <w:w w:val="100"/>
          <w:position w:val="0"/>
        </w:rPr>
        <w:t>名持有人离职，员工持股计划管理委员会根据公司《第一 期员工持股计划管理办法》的规定，指定了具备参与本员工持股计划资格的受让人受让了离职持有人的相关份额及权益。 受让方与公司</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以上股东、实际控制人不存在关联关系或者一致行动关系，相关处置符合员工持股计划的约定。综上，截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日，公司持股计划的总人数</w:t>
      </w:r>
      <w:r>
        <w:rPr>
          <w:rFonts w:ascii="Times New Roman" w:eastAsia="Times New Roman" w:hAnsi="Times New Roman" w:cs="Times New Roman"/>
          <w:color w:val="000000"/>
          <w:spacing w:val="0"/>
          <w:w w:val="100"/>
          <w:position w:val="0"/>
        </w:rPr>
        <w:t>86</w:t>
      </w:r>
      <w:r>
        <w:rPr>
          <w:color w:val="000000"/>
          <w:spacing w:val="0"/>
          <w:w w:val="100"/>
          <w:position w:val="0"/>
        </w:rPr>
        <w:t>人，较期初增加</w:t>
      </w:r>
      <w:r>
        <w:rPr>
          <w:rFonts w:ascii="Times New Roman" w:eastAsia="Times New Roman" w:hAnsi="Times New Roman" w:cs="Times New Roman"/>
          <w:color w:val="000000"/>
          <w:spacing w:val="0"/>
          <w:w w:val="100"/>
          <w:position w:val="0"/>
        </w:rPr>
        <w:t>18</w:t>
      </w:r>
      <w:r>
        <w:rPr>
          <w:color w:val="000000"/>
          <w:spacing w:val="0"/>
          <w:w w:val="100"/>
          <w:position w:val="0"/>
        </w:rPr>
        <w:t>人。</w:t>
      </w:r>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员工持股计划管理委员会成员发生变化</w:t>
      </w:r>
    </w:p>
    <w:p>
      <w:pPr>
        <w:pStyle w:val="Style17"/>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员工持股计划对报告期上市公司的财务影响及相关会计处理</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、员工持股计划股票来源于公司回购股票的会计处理</w:t>
      </w:r>
    </w:p>
    <w:p>
      <w:pPr>
        <w:pStyle w:val="Style17"/>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color w:val="000000"/>
          <w:spacing w:val="0"/>
          <w:w w:val="100"/>
          <w:position w:val="0"/>
        </w:rPr>
        <w:t>一</w:t>
      </w:r>
      <w:r>
        <w:rPr>
          <w:color w:val="000000"/>
          <w:spacing w:val="0"/>
          <w:w w:val="100"/>
          <w:position w:val="0"/>
        </w:rPr>
        <w:t>股份支付》应用指南的规定：企业以回购股份形式奖励本企业职工的，属于权益结算的 股份支付，公司进行以下会计处理：</w:t>
      </w:r>
    </w:p>
    <w:p>
      <w:pPr>
        <w:pStyle w:val="Style17"/>
        <w:keepNext w:val="0"/>
        <w:keepLines w:val="0"/>
        <w:widowControl w:val="0"/>
        <w:shd w:val="clear" w:color="auto" w:fill="auto"/>
        <w:tabs>
          <w:tab w:pos="809" w:val="left"/>
        </w:tabs>
        <w:bidi w:val="0"/>
        <w:spacing w:before="0" w:after="0" w:line="322" w:lineRule="exact"/>
        <w:ind w:left="0" w:right="0"/>
        <w:jc w:val="both"/>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rPr>
        <w:t>1</w:t>
      </w:r>
      <w:r>
        <w:rPr>
          <w:color w:val="000000"/>
          <w:spacing w:val="0"/>
          <w:w w:val="100"/>
          <w:position w:val="0"/>
        </w:rPr>
        <w:t>）</w:t>
        <w:tab/>
        <w:t>回购股份</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公司回购股份时，应当按照回购股份的全部支出作为库存股处理，同时进行备查登记。</w:t>
      </w:r>
    </w:p>
    <w:p>
      <w:pPr>
        <w:pStyle w:val="Style17"/>
        <w:keepNext w:val="0"/>
        <w:keepLines w:val="0"/>
        <w:widowControl w:val="0"/>
        <w:shd w:val="clear" w:color="auto" w:fill="auto"/>
        <w:tabs>
          <w:tab w:pos="809" w:val="left"/>
        </w:tabs>
        <w:bidi w:val="0"/>
        <w:spacing w:before="0" w:after="0" w:line="312" w:lineRule="exact"/>
        <w:ind w:left="0" w:right="0"/>
        <w:jc w:val="both"/>
      </w:pPr>
      <w:bookmarkStart w:id="450" w:name="bookmark450"/>
      <w:r>
        <w:rPr>
          <w:color w:val="000000"/>
          <w:spacing w:val="0"/>
          <w:w w:val="100"/>
          <w:position w:val="0"/>
        </w:rPr>
        <w:t>（</w:t>
      </w:r>
      <w:bookmarkEnd w:id="450"/>
      <w:r>
        <w:rPr>
          <w:rFonts w:ascii="Times New Roman" w:eastAsia="Times New Roman" w:hAnsi="Times New Roman" w:cs="Times New Roman"/>
          <w:color w:val="000000"/>
          <w:spacing w:val="0"/>
          <w:w w:val="100"/>
          <w:position w:val="0"/>
        </w:rPr>
        <w:t>2</w:t>
      </w:r>
      <w:r>
        <w:rPr>
          <w:color w:val="000000"/>
          <w:spacing w:val="0"/>
          <w:w w:val="100"/>
          <w:position w:val="0"/>
        </w:rPr>
        <w:t>）</w:t>
        <w:tab/>
        <w:t>员工持股计划受让公司回购股份</w:t>
      </w:r>
    </w:p>
    <w:p>
      <w:pPr>
        <w:pStyle w:val="Style1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公司收到员工持股计划受让公司回购股份的价款时，转销库存股成本，同时，按照两者差额调整资本公积（股本溢价）。</w:t>
      </w:r>
    </w:p>
    <w:p>
      <w:pPr>
        <w:pStyle w:val="Style17"/>
        <w:keepNext w:val="0"/>
        <w:keepLines w:val="0"/>
        <w:widowControl w:val="0"/>
        <w:shd w:val="clear" w:color="auto" w:fill="auto"/>
        <w:tabs>
          <w:tab w:pos="786" w:val="left"/>
        </w:tabs>
        <w:bidi w:val="0"/>
        <w:spacing w:before="0" w:after="0" w:line="313" w:lineRule="exact"/>
        <w:ind w:left="0" w:right="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rPr>
        <w:t>3</w:t>
      </w:r>
      <w:r>
        <w:rPr>
          <w:color w:val="000000"/>
          <w:spacing w:val="0"/>
          <w:w w:val="100"/>
          <w:position w:val="0"/>
        </w:rPr>
        <w:t>）</w:t>
        <w:tab/>
        <w:t>确认成本费用</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公司将员工持股计划受让公司回购的股票的价格低于授予日公允价值部分，作为股份支付费用，在等待期内分摊计入成本 费用，同时确认资本公积（其他资本公积）。</w:t>
      </w:r>
    </w:p>
    <w:p>
      <w:pPr>
        <w:pStyle w:val="Style17"/>
        <w:keepNext w:val="0"/>
        <w:keepLines w:val="0"/>
        <w:widowControl w:val="0"/>
        <w:shd w:val="clear" w:color="auto" w:fill="auto"/>
        <w:tabs>
          <w:tab w:pos="786" w:val="left"/>
        </w:tabs>
        <w:bidi w:val="0"/>
        <w:spacing w:before="0" w:after="0" w:line="313" w:lineRule="exact"/>
        <w:ind w:left="0" w:right="0"/>
        <w:jc w:val="both"/>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rPr>
        <w:t>4</w:t>
      </w:r>
      <w:r>
        <w:rPr>
          <w:color w:val="000000"/>
          <w:spacing w:val="0"/>
          <w:w w:val="100"/>
          <w:position w:val="0"/>
        </w:rPr>
        <w:t>）</w:t>
        <w:tab/>
        <w:t>员工持股计划行权</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公司于员工持股计划锁定期满行权时，转销等待期内资本公积（其他资本公积）累计金额，同时调整资本公积（股本 溢价）。</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、对报告期上市公司的财务影响</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员工持股计划按照公司股东大会批准的定价规则确定的价格受让公司回购的股票，对于转让价格低于授予日公允价值 部分，符合《企业会计准则第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号一股份支付》中关于股份支付的规定，作为股份支付费用，在员工持股计划所获标的 股票锁定期进行摊销，对摊销期年度的净利润有所影响。</w:t>
      </w:r>
    </w:p>
    <w:p>
      <w:pPr>
        <w:pStyle w:val="Style17"/>
        <w:keepNext w:val="0"/>
        <w:keepLines w:val="0"/>
        <w:widowControl w:val="0"/>
        <w:shd w:val="clear" w:color="auto" w:fill="auto"/>
        <w:bidi w:val="0"/>
        <w:spacing w:before="0" w:after="360" w:line="313" w:lineRule="exact"/>
        <w:ind w:left="0" w:right="0"/>
        <w:jc w:val="both"/>
      </w:pPr>
      <w:r>
        <w:rPr>
          <w:color w:val="000000"/>
          <w:spacing w:val="0"/>
          <w:w w:val="100"/>
          <w:position w:val="0"/>
        </w:rPr>
        <w:t>根据安永华明会计师事务所（特殊普通合伙）出具的</w:t>
      </w:r>
      <w:r>
        <w:rPr>
          <w:rFonts w:ascii="Times New Roman" w:eastAsia="Times New Roman" w:hAnsi="Times New Roman" w:cs="Times New Roman"/>
          <w:color w:val="000000"/>
          <w:spacing w:val="0"/>
          <w:w w:val="100"/>
          <w:position w:val="0"/>
        </w:rPr>
        <w:t>2021</w:t>
      </w:r>
      <w:r>
        <w:rPr>
          <w:color w:val="000000"/>
          <w:spacing w:val="0"/>
          <w:w w:val="100"/>
          <w:position w:val="0"/>
        </w:rPr>
        <w:t>年度审计报告，</w:t>
      </w:r>
      <w:r>
        <w:rPr>
          <w:rFonts w:ascii="Times New Roman" w:eastAsia="Times New Roman" w:hAnsi="Times New Roman" w:cs="Times New Roman"/>
          <w:color w:val="000000"/>
          <w:spacing w:val="0"/>
          <w:w w:val="100"/>
          <w:position w:val="0"/>
        </w:rPr>
        <w:t>2021</w:t>
      </w:r>
      <w:r>
        <w:rPr>
          <w:color w:val="000000"/>
          <w:spacing w:val="0"/>
          <w:w w:val="100"/>
          <w:position w:val="0"/>
        </w:rPr>
        <w:t>年摊销员工持股计划费用</w:t>
      </w:r>
      <w:r>
        <w:rPr>
          <w:rFonts w:ascii="Times New Roman" w:eastAsia="Times New Roman" w:hAnsi="Times New Roman" w:cs="Times New Roman"/>
          <w:color w:val="000000"/>
          <w:spacing w:val="0"/>
          <w:w w:val="100"/>
          <w:position w:val="0"/>
        </w:rPr>
        <w:t xml:space="preserve">100,529,688.15 </w:t>
      </w:r>
      <w:r>
        <w:rPr>
          <w:color w:val="000000"/>
          <w:spacing w:val="0"/>
          <w:w w:val="100"/>
          <w:position w:val="0"/>
        </w:rPr>
        <w:t>元，对公司</w:t>
      </w:r>
      <w:r>
        <w:rPr>
          <w:rFonts w:ascii="Times New Roman" w:eastAsia="Times New Roman" w:hAnsi="Times New Roman" w:cs="Times New Roman"/>
          <w:color w:val="000000"/>
          <w:spacing w:val="0"/>
          <w:w w:val="100"/>
          <w:position w:val="0"/>
        </w:rPr>
        <w:t>2021</w:t>
      </w:r>
      <w:r>
        <w:rPr>
          <w:color w:val="000000"/>
          <w:spacing w:val="0"/>
          <w:w w:val="100"/>
          <w:position w:val="0"/>
        </w:rPr>
        <w:t>年净利润的影响比例为</w:t>
      </w:r>
      <w:r>
        <w:rPr>
          <w:rFonts w:ascii="Times New Roman" w:eastAsia="Times New Roman" w:hAnsi="Times New Roman" w:cs="Times New Roman"/>
          <w:color w:val="000000"/>
          <w:spacing w:val="0"/>
          <w:w w:val="100"/>
          <w:position w:val="0"/>
        </w:rPr>
        <w:t>6.80%</w:t>
      </w:r>
      <w:r>
        <w:rPr>
          <w:color w:val="000000"/>
          <w:spacing w:val="0"/>
          <w:w w:val="100"/>
          <w:position w:val="0"/>
        </w:rPr>
        <w:t>，但本次员工持股计划将有效激发员工的积极性，提高经营效率，对公司的 发展产生正向作用。</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报告期内员工持股计划终止的情况</w:t>
      </w:r>
    </w:p>
    <w:p>
      <w:pPr>
        <w:pStyle w:val="Style17"/>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、其他员工激励措施</w:t>
      </w:r>
      <w:bookmarkEnd w:id="453"/>
      <w:bookmarkEnd w:id="454"/>
      <w:bookmarkEnd w:id="456"/>
    </w:p>
    <w:p>
      <w:pPr>
        <w:pStyle w:val="Style17"/>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r>
        <w:rPr>
          <w:color w:val="000000"/>
          <w:spacing w:val="0"/>
          <w:w w:val="100"/>
          <w:position w:val="0"/>
          <w:sz w:val="24"/>
          <w:szCs w:val="24"/>
        </w:rPr>
        <w:t>十四、报告期内的内部控制制度建设及实施情况</w:t>
      </w:r>
      <w:bookmarkEnd w:id="457"/>
      <w:bookmarkEnd w:id="458"/>
      <w:bookmarkEnd w:id="459"/>
    </w:p>
    <w:p>
      <w:pPr>
        <w:pStyle w:val="Style30"/>
        <w:keepNext/>
        <w:keepLines/>
        <w:widowControl w:val="0"/>
        <w:shd w:val="clear" w:color="auto" w:fill="auto"/>
        <w:bidi w:val="0"/>
        <w:spacing w:before="0" w:after="2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、内部控制建设及实施情况</w:t>
      </w:r>
      <w:bookmarkEnd w:id="460"/>
      <w:bookmarkEnd w:id="461"/>
      <w:bookmarkEnd w:id="463"/>
    </w:p>
    <w:p>
      <w:pPr>
        <w:pStyle w:val="Style17"/>
        <w:keepNext w:val="0"/>
        <w:keepLines w:val="0"/>
        <w:widowControl w:val="0"/>
        <w:shd w:val="clear" w:color="auto" w:fill="auto"/>
        <w:bidi w:val="0"/>
        <w:spacing w:before="0" w:after="120" w:line="312" w:lineRule="exact"/>
        <w:ind w:left="0" w:right="0" w:firstLine="320"/>
        <w:jc w:val="left"/>
      </w:pPr>
      <w:r>
        <w:rPr>
          <w:color w:val="000000"/>
          <w:spacing w:val="0"/>
          <w:w w:val="100"/>
          <w:position w:val="0"/>
        </w:rPr>
        <w:t>公司严格按照《公司法》《上市公司治理准则》等法律法规和监管机构颁布的其他有关上市公司治理的规范性文件的 要求，不断完善公司法人治理结构、建立健全公司内部控制制度建设，紧抓内部控制制度的贯彻执行，不断提升公司规范 治理水平，确保公司决策、执行、监督等各方面规范有效运作。</w:t>
      </w:r>
    </w:p>
    <w:p>
      <w:pPr>
        <w:pStyle w:val="Style17"/>
        <w:keepNext w:val="0"/>
        <w:keepLines w:val="0"/>
        <w:widowControl w:val="0"/>
        <w:shd w:val="clear" w:color="auto" w:fill="auto"/>
        <w:bidi w:val="0"/>
        <w:spacing w:before="0" w:after="120" w:line="312" w:lineRule="exact"/>
        <w:ind w:left="0" w:right="0" w:firstLine="320"/>
        <w:jc w:val="left"/>
      </w:pPr>
      <w:r>
        <w:rPr>
          <w:color w:val="000000"/>
          <w:spacing w:val="0"/>
          <w:w w:val="100"/>
          <w:position w:val="0"/>
        </w:rPr>
        <w:t>公司不断完善以股东大会、董事会、监事会、管理层为主的公司治理结构，同时根据《公司法》《证券法》《深圳证 券交易所创业板股票上市规则》等相关法律法规，制定了涵盖公司治理、生产经营、财务管理、募集资金、信息披露等方 面的内部控制管理制度，具体包括《公司章程》《董事会议事规则》《监事会议事规则》《股东大会议事规则》《独立董 事制度》《董事会审计委员会实施细则》《总经理工作细则》《关联交易管理制度》《募集资金管理办法》《对外投资管 理制度》《对外担保管理制度》等，并根据监管规则变化和公司发展的实际需要及时对相关制度进行修订。健全的内部管 理制度在公司经营管理中得到有效地贯彻执行，起到了良好的监督、控制和指导作用。</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公司严格遵守各项法律法规以及公司内部控制制度的规定，优化各控制环节及各部门职能。各业务部门和子公司在执 行《企业内部控制基本规范》和内部管理制度的基础上，结合自身的业务特点和职能，切实将内部控制实施细则落到实 处。</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公司切实强化内部监督职能。公司董事会审计委员会下设内审内控部，内审内控部在审计委员会指导下，对内部控制 制度的完整性、合理性及其实施的有效性进行检查和评估，对公司财务信息及经营有关的经济活动的合法性、合规性、真 实性和完整性进行检查、审计和监督，尤其是针对内控的重点或高风险领域进行年度或专项审计。对审查过程中发现的问 题，督促相关责任部门制定整改措施和整改时间，监督整改措施的落实情况。</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公司持续加强内部控制培训和学习。公司及时组织董事、监事及高级管理人员参加监管合规培训，提高规范治理意识 和履职能力；并有针对性地开展面向中层管理人员、普通员工的合规培训，以提高风险防范意识，强化合规经营意识，确</w:t>
        <w:br w:type="page"/>
      </w:r>
      <w:r>
        <w:rPr>
          <w:color w:val="000000"/>
          <w:spacing w:val="0"/>
          <w:w w:val="100"/>
          <w:position w:val="0"/>
        </w:rPr>
        <w:t>保内部控制制度得到有效执行，切实提升公司规范运作水平，促进公司持续、稳定、健康发展。</w:t>
      </w:r>
    </w:p>
    <w:p>
      <w:pPr>
        <w:pStyle w:val="Style30"/>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、报告期内发现的内部控制重大缺陷的具体情况</w:t>
      </w:r>
      <w:bookmarkEnd w:id="464"/>
      <w:bookmarkEnd w:id="465"/>
      <w:bookmarkEnd w:id="467"/>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十五、公司报告期内对子公司的管理控制情况</w:t>
      </w:r>
      <w:bookmarkEnd w:id="468"/>
      <w:bookmarkEnd w:id="469"/>
      <w:bookmarkEnd w:id="470"/>
    </w:p>
    <w:tbl>
      <w:tblPr>
        <w:tblOverlap w:val="never"/>
        <w:jc w:val="center"/>
        <w:tblLayout w:type="fixed"/>
      </w:tblPr>
      <w:tblGrid>
        <w:gridCol w:w="1378"/>
        <w:gridCol w:w="1363"/>
        <w:gridCol w:w="1238"/>
        <w:gridCol w:w="1498"/>
        <w:gridCol w:w="1618"/>
        <w:gridCol w:w="1118"/>
        <w:gridCol w:w="13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r>
        <w:rPr>
          <w:color w:val="000000"/>
          <w:spacing w:val="0"/>
          <w:w w:val="100"/>
          <w:position w:val="0"/>
          <w:sz w:val="24"/>
          <w:szCs w:val="24"/>
        </w:rPr>
        <w:t>十六、内部控制自我评价报告或内部控制审计报告</w:t>
      </w:r>
      <w:bookmarkEnd w:id="471"/>
      <w:bookmarkEnd w:id="472"/>
      <w:bookmarkEnd w:id="473"/>
    </w:p>
    <w:p>
      <w:pPr>
        <w:pStyle w:val="Style30"/>
        <w:keepNext/>
        <w:keepLines/>
        <w:widowControl w:val="0"/>
        <w:shd w:val="clear" w:color="auto" w:fill="auto"/>
        <w:bidi w:val="0"/>
        <w:spacing w:before="0" w:after="32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、内控自我评价报告</w:t>
      </w:r>
      <w:bookmarkEnd w:id="474"/>
      <w:bookmarkEnd w:id="475"/>
      <w:bookmarkEnd w:id="477"/>
    </w:p>
    <w:tbl>
      <w:tblPr>
        <w:tblOverlap w:val="never"/>
        <w:jc w:val="center"/>
        <w:tblLayout w:type="fixed"/>
      </w:tblPr>
      <w:tblGrid>
        <w:gridCol w:w="2808"/>
        <w:gridCol w:w="3715"/>
        <w:gridCol w:w="310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85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重大缺陷：（</w:t>
            </w:r>
            <w:r>
              <w:rPr>
                <w:rFonts w:ascii="Times New Roman" w:eastAsia="Times New Roman" w:hAnsi="Times New Roman" w:cs="Times New Roman"/>
                <w:color w:val="000000"/>
                <w:spacing w:val="0"/>
                <w:w w:val="100"/>
                <w:position w:val="0"/>
              </w:rPr>
              <w:t>1</w:t>
            </w:r>
            <w:r>
              <w:rPr>
                <w:color w:val="000000"/>
                <w:spacing w:val="0"/>
                <w:w w:val="100"/>
                <w:position w:val="0"/>
              </w:rPr>
              <w:t>）公司董事、监事和高级管 理人员滥用职权</w:t>
            </w:r>
            <w:r>
              <w:rPr>
                <w:color w:val="000000"/>
                <w:spacing w:val="0"/>
                <w:w w:val="100"/>
                <w:position w:val="0"/>
              </w:rPr>
              <w:t>，</w:t>
            </w:r>
            <w:r>
              <w:rPr>
                <w:color w:val="000000"/>
                <w:spacing w:val="0"/>
                <w:w w:val="100"/>
                <w:position w:val="0"/>
              </w:rPr>
              <w:t>发生贪污、受贿、挪用公款等 舞弊行为，给公司造成重大损失；（</w:t>
            </w:r>
            <w:r>
              <w:rPr>
                <w:rFonts w:ascii="Times New Roman" w:eastAsia="Times New Roman" w:hAnsi="Times New Roman" w:cs="Times New Roman"/>
                <w:color w:val="000000"/>
                <w:spacing w:val="0"/>
                <w:w w:val="100"/>
                <w:position w:val="0"/>
              </w:rPr>
              <w:t>2</w:t>
            </w:r>
            <w:r>
              <w:rPr>
                <w:color w:val="000000"/>
                <w:spacing w:val="0"/>
                <w:w w:val="100"/>
                <w:position w:val="0"/>
              </w:rPr>
              <w:t>）外部审 计发现当期财务报告存在重大错报，公司在运 行过程中未能发现该错报；（</w:t>
            </w:r>
            <w:r>
              <w:rPr>
                <w:rFonts w:ascii="Times New Roman" w:eastAsia="Times New Roman" w:hAnsi="Times New Roman" w:cs="Times New Roman"/>
                <w:color w:val="000000"/>
                <w:spacing w:val="0"/>
                <w:w w:val="100"/>
                <w:position w:val="0"/>
              </w:rPr>
              <w:t>3</w:t>
            </w:r>
            <w:r>
              <w:rPr>
                <w:color w:val="000000"/>
                <w:spacing w:val="0"/>
                <w:w w:val="100"/>
                <w:position w:val="0"/>
              </w:rPr>
              <w:t>）已经发现并报 告给管理层的重大缺陷在合理的时间内未加以 改正；（</w:t>
            </w:r>
            <w:r>
              <w:rPr>
                <w:rFonts w:ascii="Times New Roman" w:eastAsia="Times New Roman" w:hAnsi="Times New Roman" w:cs="Times New Roman"/>
                <w:color w:val="000000"/>
                <w:spacing w:val="0"/>
                <w:w w:val="100"/>
                <w:position w:val="0"/>
              </w:rPr>
              <w:t>4</w:t>
            </w:r>
            <w:r>
              <w:rPr>
                <w:color w:val="000000"/>
                <w:spacing w:val="0"/>
                <w:w w:val="100"/>
                <w:position w:val="0"/>
              </w:rPr>
              <w:t>）公司审计委员会和公司内审内控部 对内部控制的监督无效。</w:t>
            </w:r>
          </w:p>
          <w:p>
            <w:pPr>
              <w:pStyle w:val="Style20"/>
              <w:keepNext w:val="0"/>
              <w:keepLines w:val="0"/>
              <w:widowControl w:val="0"/>
              <w:shd w:val="clear" w:color="auto" w:fill="auto"/>
              <w:tabs>
                <w:tab w:pos="278"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）未依照公认的会计准则和 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）未建立反舞弊程序和控制措 施；（</w:t>
            </w:r>
            <w:r>
              <w:rPr>
                <w:rFonts w:ascii="Times New Roman" w:eastAsia="Times New Roman" w:hAnsi="Times New Roman" w:cs="Times New Roman"/>
                <w:color w:val="000000"/>
                <w:spacing w:val="0"/>
                <w:w w:val="100"/>
                <w:position w:val="0"/>
              </w:rPr>
              <w:t>3</w:t>
            </w:r>
            <w:r>
              <w:rPr>
                <w:color w:val="000000"/>
                <w:spacing w:val="0"/>
                <w:w w:val="100"/>
                <w:position w:val="0"/>
              </w:rPr>
              <w:t>）对于期末财务报告过程的控制存在一 项或多项内部控制缺陷且不能合理保证编制的 财务报表达到真实、准确的目标。</w:t>
            </w:r>
          </w:p>
          <w:p>
            <w:pPr>
              <w:pStyle w:val="Style20"/>
              <w:keepNext w:val="0"/>
              <w:keepLines w:val="0"/>
              <w:widowControl w:val="0"/>
              <w:shd w:val="clear" w:color="auto" w:fill="auto"/>
              <w:tabs>
                <w:tab w:pos="269"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一般缺陷：未构成重大缺陷、重要缺陷标 准的其他内部控制缺陷。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9"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重大缺陷：决策程序导致重大失 误，重要业务缺乏制度控制或系统性 失效，且缺乏有效的补偿性控制、内 部控制评价的结果特别是重大缺陷未 得到整改等可能造成直接或潜在的重 大赔偿、罚款或投资风险等损失。</w:t>
            </w:r>
          </w:p>
          <w:p>
            <w:pPr>
              <w:pStyle w:val="Style20"/>
              <w:keepNext w:val="0"/>
              <w:keepLines w:val="0"/>
              <w:widowControl w:val="0"/>
              <w:shd w:val="clear" w:color="auto" w:fill="auto"/>
              <w:tabs>
                <w:tab w:pos="278"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重要缺陷：决策程序导致出现一般 性失误、重要业务制度或系统存在缺 陷、内部控制评价的结果特别是重要 缺陷未得到整改等可能造成的直接或 潜在的负面影响严重程度低于重大缺 陷，但仍有可能导致公司偏离控制目 标的内部控制缺陷。</w:t>
            </w:r>
          </w:p>
          <w:p>
            <w:pPr>
              <w:pStyle w:val="Style20"/>
              <w:keepNext w:val="0"/>
              <w:keepLines w:val="0"/>
              <w:widowControl w:val="0"/>
              <w:shd w:val="clear" w:color="auto" w:fill="auto"/>
              <w:tabs>
                <w:tab w:pos="269" w:val="left"/>
              </w:tabs>
              <w:bidi w:val="0"/>
              <w:spacing w:before="0" w:after="4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一般缺陷：未构成重大缺陷、重要 缺陷标准的其他内部控制缺陷。</w:t>
            </w:r>
          </w:p>
        </w:tc>
      </w:tr>
      <w:tr>
        <w:trPr>
          <w:trHeight w:val="107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、重大缺陷：错报</w:t>
            </w:r>
            <w:r>
              <w:rPr>
                <w:rFonts w:ascii="Times New Roman" w:eastAsia="Times New Roman" w:hAnsi="Times New Roman" w:cs="Times New Roman"/>
                <w:color w:val="000000"/>
                <w:spacing w:val="0"/>
                <w:w w:val="100"/>
                <w:position w:val="0"/>
              </w:rPr>
              <w:t>Z</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，错报</w:t>
            </w:r>
            <w:r>
              <w:rPr>
                <w:rFonts w:ascii="Times New Roman" w:eastAsia="Times New Roman" w:hAnsi="Times New Roman" w:cs="Times New Roman"/>
                <w:color w:val="000000"/>
                <w:spacing w:val="0"/>
                <w:w w:val="100"/>
                <w:position w:val="0"/>
              </w:rPr>
              <w:t>Z</w:t>
            </w:r>
            <w:r>
              <w:rPr>
                <w:color w:val="000000"/>
                <w:spacing w:val="0"/>
                <w:w w:val="100"/>
                <w:position w:val="0"/>
              </w:rPr>
              <w:t>资 产总额的</w:t>
            </w:r>
            <w:r>
              <w:rPr>
                <w:rFonts w:ascii="Times New Roman" w:eastAsia="Times New Roman" w:hAnsi="Times New Roman" w:cs="Times New Roman"/>
                <w:color w:val="000000"/>
                <w:spacing w:val="0"/>
                <w:w w:val="100"/>
                <w:position w:val="0"/>
              </w:rPr>
              <w:t>1%</w:t>
            </w:r>
            <w:r>
              <w:rPr>
                <w:color w:val="000000"/>
                <w:spacing w:val="0"/>
                <w:w w:val="100"/>
                <w:position w:val="0"/>
              </w:rPr>
              <w:t>，错报</w:t>
            </w:r>
            <w:r>
              <w:rPr>
                <w:rFonts w:ascii="Times New Roman" w:eastAsia="Times New Roman" w:hAnsi="Times New Roman" w:cs="Times New Roman"/>
                <w:color w:val="000000"/>
                <w:spacing w:val="0"/>
                <w:w w:val="100"/>
                <w:position w:val="0"/>
              </w:rPr>
              <w:t>Z</w:t>
            </w:r>
            <w:r>
              <w:rPr>
                <w:color w:val="000000"/>
                <w:spacing w:val="0"/>
                <w:w w:val="100"/>
                <w:position w:val="0"/>
              </w:rPr>
              <w:t>营业收入总额的</w:t>
            </w:r>
            <w:r>
              <w:rPr>
                <w:rFonts w:ascii="Times New Roman" w:eastAsia="Times New Roman" w:hAnsi="Times New Roman" w:cs="Times New Roman"/>
                <w:color w:val="000000"/>
                <w:spacing w:val="0"/>
                <w:w w:val="100"/>
                <w:position w:val="0"/>
              </w:rPr>
              <w:t>1%</w:t>
            </w:r>
            <w:r>
              <w:rPr>
                <w:color w:val="000000"/>
                <w:spacing w:val="0"/>
                <w:w w:val="100"/>
                <w:position w:val="0"/>
              </w:rPr>
              <w:t>，错 报</w:t>
            </w:r>
            <w:r>
              <w:rPr>
                <w:rFonts w:ascii="Times New Roman" w:eastAsia="Times New Roman" w:hAnsi="Times New Roman" w:cs="Times New Roman"/>
                <w:color w:val="000000"/>
                <w:spacing w:val="0"/>
                <w:w w:val="100"/>
                <w:position w:val="0"/>
              </w:rPr>
              <w:t>Z</w:t>
            </w:r>
            <w:r>
              <w:rPr>
                <w:color w:val="000000"/>
                <w:spacing w:val="0"/>
                <w:w w:val="100"/>
                <w:position w:val="0"/>
              </w:rPr>
              <w:t>所有者权益总额的</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5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重大缺陷：</w:t>
            </w:r>
            <w:r>
              <w:rPr>
                <w:rFonts w:ascii="Times New Roman" w:eastAsia="Times New Roman" w:hAnsi="Times New Roman" w:cs="Times New Roman"/>
                <w:color w:val="000000"/>
                <w:spacing w:val="0"/>
                <w:w w:val="100"/>
                <w:position w:val="0"/>
              </w:rPr>
              <w:t>3,000</w:t>
            </w:r>
            <w:r>
              <w:rPr>
                <w:color w:val="000000"/>
                <w:spacing w:val="0"/>
                <w:w w:val="100"/>
                <w:position w:val="0"/>
              </w:rPr>
              <w:t>万元及以上；</w:t>
            </w:r>
          </w:p>
          <w:p>
            <w:pPr>
              <w:pStyle w:val="Style20"/>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rPr>
              <w:t>1,500</w:t>
            </w:r>
            <w:r>
              <w:rPr>
                <w:color w:val="000000"/>
                <w:spacing w:val="0"/>
                <w:w w:val="100"/>
                <w:position w:val="0"/>
              </w:rPr>
              <w:t xml:space="preserve">万元（含）〜 </w:t>
            </w:r>
            <w:r>
              <w:rPr>
                <w:rFonts w:ascii="Times New Roman" w:eastAsia="Times New Roman" w:hAnsi="Times New Roman" w:cs="Times New Roman"/>
                <w:color w:val="000000"/>
                <w:spacing w:val="0"/>
                <w:w w:val="100"/>
                <w:position w:val="0"/>
              </w:rPr>
              <w:t>3,000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2808"/>
        <w:gridCol w:w="3715"/>
        <w:gridCol w:w="3101"/>
      </w:tblGrid>
      <w:tr>
        <w:trPr>
          <w:trHeight w:val="258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78"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重要缺陷：利润总额的</w:t>
            </w:r>
            <w:r>
              <w:rPr>
                <w:rFonts w:ascii="Times New Roman" w:eastAsia="Times New Roman" w:hAnsi="Times New Roman" w:cs="Times New Roman"/>
                <w:color w:val="000000"/>
                <w:spacing w:val="0"/>
                <w:w w:val="100"/>
                <w:position w:val="0"/>
              </w:rPr>
              <w:t>2%^</w:t>
            </w:r>
            <w:r>
              <w:rPr>
                <w:color w:val="000000"/>
                <w:spacing w:val="0"/>
                <w:w w:val="100"/>
                <w:position w:val="0"/>
              </w:rPr>
              <w:t>错报〈利润总 额的</w:t>
            </w:r>
            <w:r>
              <w:rPr>
                <w:rFonts w:ascii="Times New Roman" w:eastAsia="Times New Roman" w:hAnsi="Times New Roman" w:cs="Times New Roman"/>
                <w:color w:val="000000"/>
                <w:spacing w:val="0"/>
                <w:w w:val="100"/>
                <w:position w:val="0"/>
              </w:rPr>
              <w:t>5%</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错报〈资产总额 的</w:t>
            </w:r>
            <w:r>
              <w:rPr>
                <w:rFonts w:ascii="Times New Roman" w:eastAsia="Times New Roman" w:hAnsi="Times New Roman" w:cs="Times New Roman"/>
                <w:color w:val="000000"/>
                <w:spacing w:val="0"/>
                <w:w w:val="100"/>
                <w:position w:val="0"/>
              </w:rPr>
              <w:t>1%</w:t>
            </w:r>
            <w:r>
              <w:rPr>
                <w:color w:val="000000"/>
                <w:spacing w:val="0"/>
                <w:w w:val="100"/>
                <w:position w:val="0"/>
              </w:rPr>
              <w:t>，营业收入总额的</w:t>
            </w:r>
            <w:r>
              <w:rPr>
                <w:rFonts w:ascii="Times New Roman" w:eastAsia="Times New Roman" w:hAnsi="Times New Roman" w:cs="Times New Roman"/>
                <w:color w:val="000000"/>
                <w:spacing w:val="0"/>
                <w:w w:val="100"/>
                <w:position w:val="0"/>
              </w:rPr>
              <w:t>0.5%＜</w:t>
            </w:r>
            <w:r>
              <w:rPr>
                <w:color w:val="000000"/>
                <w:spacing w:val="0"/>
                <w:w w:val="100"/>
                <w:position w:val="0"/>
              </w:rPr>
              <w:t>错报〈营业收 入总额的</w:t>
            </w:r>
            <w:r>
              <w:rPr>
                <w:rFonts w:ascii="Times New Roman" w:eastAsia="Times New Roman" w:hAnsi="Times New Roman" w:cs="Times New Roman"/>
                <w:color w:val="000000"/>
                <w:spacing w:val="0"/>
                <w:w w:val="100"/>
                <w:position w:val="0"/>
              </w:rPr>
              <w:t>1%</w:t>
            </w:r>
            <w:r>
              <w:rPr>
                <w:color w:val="000000"/>
                <w:spacing w:val="0"/>
                <w:w w:val="100"/>
                <w:position w:val="0"/>
              </w:rPr>
              <w:t>，所有者权益总额的</w:t>
            </w:r>
            <w:r>
              <w:rPr>
                <w:rFonts w:ascii="Times New Roman" w:eastAsia="Times New Roman" w:hAnsi="Times New Roman" w:cs="Times New Roman"/>
                <w:color w:val="000000"/>
                <w:spacing w:val="0"/>
                <w:w w:val="100"/>
                <w:position w:val="0"/>
              </w:rPr>
              <w:t>0.5%＜</w:t>
            </w:r>
            <w:r>
              <w:rPr>
                <w:color w:val="000000"/>
                <w:spacing w:val="0"/>
                <w:w w:val="100"/>
                <w:position w:val="0"/>
              </w:rPr>
              <w:t>错报 〈所有者权益总额的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0"/>
              <w:keepNext w:val="0"/>
              <w:keepLines w:val="0"/>
              <w:widowControl w:val="0"/>
              <w:shd w:val="clear" w:color="auto" w:fill="auto"/>
              <w:tabs>
                <w:tab w:pos="27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一般缺陷：错报〈利润总额的</w:t>
            </w:r>
            <w:r>
              <w:rPr>
                <w:rFonts w:ascii="Times New Roman" w:eastAsia="Times New Roman" w:hAnsi="Times New Roman" w:cs="Times New Roman"/>
                <w:color w:val="000000"/>
                <w:spacing w:val="0"/>
                <w:w w:val="100"/>
                <w:position w:val="0"/>
              </w:rPr>
              <w:t>2%</w:t>
            </w:r>
            <w:r>
              <w:rPr>
                <w:color w:val="000000"/>
                <w:spacing w:val="0"/>
                <w:w w:val="100"/>
                <w:position w:val="0"/>
              </w:rPr>
              <w:t>，错报＜ 资产总额的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，错报〈营业收入总额的 </w:t>
            </w:r>
            <w:r>
              <w:rPr>
                <w:rFonts w:ascii="Times New Roman" w:eastAsia="Times New Roman" w:hAnsi="Times New Roman" w:cs="Times New Roman"/>
                <w:color w:val="000000"/>
                <w:spacing w:val="0"/>
                <w:w w:val="100"/>
                <w:position w:val="0"/>
              </w:rPr>
              <w:t>0.5%</w:t>
            </w:r>
            <w:r>
              <w:rPr>
                <w:color w:val="000000"/>
                <w:spacing w:val="0"/>
                <w:w w:val="100"/>
                <w:position w:val="0"/>
              </w:rPr>
              <w:t>，错报〈所有者权益总额的</w:t>
            </w: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、一般缺陷：</w:t>
            </w:r>
            <w:r>
              <w:rPr>
                <w:rFonts w:ascii="Times New Roman" w:eastAsia="Times New Roman" w:hAnsi="Times New Roman" w:cs="Times New Roman"/>
                <w:color w:val="000000"/>
                <w:spacing w:val="0"/>
                <w:w w:val="100"/>
                <w:position w:val="0"/>
              </w:rPr>
              <w:t>100</w:t>
            </w:r>
            <w:r>
              <w:rPr>
                <w:color w:val="000000"/>
                <w:spacing w:val="0"/>
                <w:w w:val="100"/>
                <w:position w:val="0"/>
              </w:rPr>
              <w:t>万元（含）〜</w:t>
            </w:r>
            <w:r>
              <w:rPr>
                <w:rFonts w:ascii="Times New Roman" w:eastAsia="Times New Roman" w:hAnsi="Times New Roman" w:cs="Times New Roman"/>
                <w:color w:val="000000"/>
                <w:spacing w:val="0"/>
                <w:w w:val="100"/>
                <w:position w:val="0"/>
              </w:rPr>
              <w:t xml:space="preserve">1,500 </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、内部控制审计报告或鉴证报告</w:t>
      </w:r>
      <w:bookmarkEnd w:id="478"/>
      <w:bookmarkEnd w:id="479"/>
      <w:bookmarkEnd w:id="481"/>
    </w:p>
    <w:p>
      <w:pPr>
        <w:pStyle w:val="Style1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482" w:name="bookmark482"/>
      <w:bookmarkStart w:id="483" w:name="bookmark483"/>
      <w:bookmarkStart w:id="484" w:name="bookmark484"/>
      <w:r>
        <w:rPr>
          <w:color w:val="000000"/>
          <w:spacing w:val="0"/>
          <w:w w:val="100"/>
          <w:position w:val="0"/>
          <w:sz w:val="24"/>
          <w:szCs w:val="24"/>
        </w:rPr>
        <w:t>十七、上市公司治理专项行动自查问题整改情况</w:t>
      </w:r>
      <w:bookmarkEnd w:id="482"/>
      <w:bookmarkEnd w:id="483"/>
      <w:bookmarkEnd w:id="484"/>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报告期内，为贯彻落实《国务院关于进一步提高上市公司质量的意见》（国发〔</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14</w:t>
      </w:r>
      <w:r>
        <w:rPr>
          <w:color w:val="000000"/>
          <w:spacing w:val="0"/>
          <w:w w:val="100"/>
          <w:position w:val="0"/>
        </w:rPr>
        <w:t>号）文件精神，证监会发布了 《关于开展上市公司治理专项行动的公告》（证监会公告〔</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69</w:t>
      </w:r>
      <w:r>
        <w:rPr>
          <w:color w:val="000000"/>
          <w:spacing w:val="0"/>
          <w:w w:val="100"/>
          <w:position w:val="0"/>
        </w:rPr>
        <w:t>号）。公司本着实事求是的原则，严格对照证监会下 发的《上市公司治理专项自查清单》，对公司</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和</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年度三个年度的公司治理相关情况开展了专项自查，围绕公 司基本情况、组织机构的运行和决策，控股股东、实际控制人及关联方，内部控股规范体系建设、信息披露与透明度、机构 </w:t>
      </w:r>
      <w:r>
        <w:rPr>
          <w:rFonts w:ascii="Times New Roman" w:eastAsia="Times New Roman" w:hAnsi="Times New Roman" w:cs="Times New Roman"/>
          <w:color w:val="000000"/>
          <w:spacing w:val="0"/>
          <w:w w:val="100"/>
          <w:position w:val="0"/>
        </w:rPr>
        <w:t>/</w:t>
      </w:r>
      <w:r>
        <w:rPr>
          <w:color w:val="000000"/>
          <w:spacing w:val="0"/>
          <w:w w:val="100"/>
          <w:position w:val="0"/>
        </w:rPr>
        <w:t>境外投资者等方面进展了全面认真梳理，真实、准确、完整地上报了公司实际情况。</w:t>
      </w:r>
    </w:p>
    <w:p>
      <w:pPr>
        <w:pStyle w:val="Style17"/>
        <w:keepNext w:val="0"/>
        <w:keepLines w:val="0"/>
        <w:widowControl w:val="0"/>
        <w:shd w:val="clear" w:color="auto" w:fill="auto"/>
        <w:bidi w:val="0"/>
        <w:spacing w:before="0" w:after="300" w:line="315" w:lineRule="exact"/>
        <w:ind w:left="0" w:right="0"/>
        <w:jc w:val="both"/>
        <w:sectPr>
          <w:footnotePr>
            <w:pos w:val="pageBottom"/>
            <w:numFmt w:val="decimal"/>
            <w:numRestart w:val="continuous"/>
          </w:footnotePr>
          <w:pgSz w:w="11900" w:h="16840"/>
          <w:pgMar w:top="1383" w:right="1066" w:bottom="1450" w:left="1061" w:header="0" w:footer="3" w:gutter="0"/>
          <w:cols w:space="720"/>
          <w:noEndnote/>
          <w:rtlGutter w:val="0"/>
          <w:docGrid w:linePitch="360"/>
        </w:sectPr>
      </w:pPr>
      <w:r>
        <w:rPr>
          <w:color w:val="000000"/>
          <w:spacing w:val="0"/>
          <w:w w:val="100"/>
          <w:position w:val="0"/>
        </w:rPr>
        <w:t>自查结果显示公司总体治理和运作基本符合《公司法》《证券法》《上市公司治理准则》等法律法规的要求，在实际运 作中未发生违反相关规定和侵害上市公司利益事项的情形。今后，公司将继续规范公司治理，强化内部控制有效实施，不断 提高公司治理水平，切实推动公司实现高质量发展。</w:t>
      </w:r>
    </w:p>
    <w:p>
      <w:pPr>
        <w:pStyle w:val="Style10"/>
        <w:keepNext/>
        <w:keepLines/>
        <w:widowControl w:val="0"/>
        <w:shd w:val="clear" w:color="auto" w:fill="auto"/>
        <w:bidi w:val="0"/>
        <w:spacing w:before="600" w:after="520" w:line="240" w:lineRule="auto"/>
        <w:ind w:left="0" w:right="0" w:firstLine="0"/>
        <w:jc w:val="center"/>
      </w:pPr>
      <w:bookmarkStart w:id="485" w:name="bookmark485"/>
      <w:bookmarkStart w:id="486" w:name="bookmark486"/>
      <w:bookmarkStart w:id="487" w:name="bookmark487"/>
      <w:r>
        <w:rPr>
          <w:color w:val="000000"/>
          <w:spacing w:val="0"/>
          <w:w w:val="100"/>
          <w:position w:val="0"/>
        </w:rPr>
        <w:t>第五节环境和社会责任</w:t>
      </w:r>
      <w:bookmarkEnd w:id="485"/>
      <w:bookmarkEnd w:id="486"/>
      <w:bookmarkEnd w:id="487"/>
    </w:p>
    <w:p>
      <w:pPr>
        <w:pStyle w:val="Style24"/>
        <w:keepNext/>
        <w:keepLines/>
        <w:widowControl w:val="0"/>
        <w:shd w:val="clear" w:color="auto" w:fill="auto"/>
        <w:bidi w:val="0"/>
        <w:spacing w:before="0" w:after="360" w:line="240" w:lineRule="auto"/>
        <w:ind w:left="0" w:right="0" w:firstLine="0"/>
        <w:jc w:val="left"/>
      </w:pPr>
      <w:bookmarkStart w:id="488" w:name="bookmark488"/>
      <w:bookmarkStart w:id="489" w:name="bookmark489"/>
      <w:bookmarkStart w:id="490" w:name="bookmark490"/>
      <w:bookmarkStart w:id="491" w:name="bookmark491"/>
      <w:bookmarkStart w:id="492" w:name="bookmark492"/>
      <w:r>
        <w:rPr>
          <w:color w:val="000000"/>
          <w:spacing w:val="0"/>
          <w:w w:val="100"/>
          <w:position w:val="0"/>
          <w:sz w:val="24"/>
          <w:szCs w:val="24"/>
        </w:rPr>
        <w:t>一</w:t>
      </w:r>
      <w:bookmarkEnd w:id="491"/>
      <w:r>
        <w:rPr>
          <w:color w:val="000000"/>
          <w:spacing w:val="0"/>
          <w:w w:val="100"/>
          <w:position w:val="0"/>
          <w:sz w:val="24"/>
          <w:szCs w:val="24"/>
        </w:rPr>
        <w:t>、重大环保问题</w:t>
      </w:r>
      <w:bookmarkEnd w:id="489"/>
      <w:bookmarkEnd w:id="490"/>
      <w:bookmarkEnd w:id="492"/>
      <w:bookmarkEnd w:id="488"/>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89"/>
        <w:gridCol w:w="1594"/>
        <w:gridCol w:w="160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上市公司及其子公司主营业务为通过基因检测、质谱检测、生物信息分析等多组学大数据技术手段，为科研机构、企事 业单位、医疗机构、社会卫生组织等提供研究服务和精准医学检测综合解决方案，不属于环境保护部门公布的重点排污单位。 报告期内，公司积极响应国家环保政策，严格遵守国家颁布的法律、法规及相关行业规范。公司始终遵循绿色发展理念，认 真落实各项环保管理制度，不断推进节能减排与环境保护工作。</w:t>
      </w:r>
    </w:p>
    <w:p>
      <w:pPr>
        <w:pStyle w:val="Style17"/>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月，中共中央、国务院印发的《关于完整准确全面贯彻新发展理念做好碳达峰碳中和工作的意见》提出，''把 节约能源资源放在首位，实行全面节约战略，持续降低单位产出能源资源消耗和碳排放，提高投入产出效率，倡导简约适度、 绿色低碳生活方式，从源头和入口形成有效的碳排放控制阀门”。</w:t>
      </w:r>
    </w:p>
    <w:p>
      <w:pPr>
        <w:pStyle w:val="Style17"/>
        <w:keepNext w:val="0"/>
        <w:keepLines w:val="0"/>
        <w:widowControl w:val="0"/>
        <w:shd w:val="clear" w:color="auto" w:fill="auto"/>
        <w:bidi w:val="0"/>
        <w:spacing w:before="0" w:after="360" w:line="313" w:lineRule="exact"/>
        <w:ind w:left="0" w:right="0"/>
        <w:jc w:val="both"/>
      </w:pPr>
      <w:r>
        <w:rPr>
          <w:color w:val="000000"/>
          <w:spacing w:val="0"/>
          <w:w w:val="100"/>
          <w:position w:val="0"/>
        </w:rPr>
        <w:t>为践行绿色经营理念，公司在报告期内启动了</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14067</w:t>
      </w:r>
      <w:r>
        <w:rPr>
          <w:color w:val="000000"/>
          <w:spacing w:val="0"/>
          <w:w w:val="100"/>
          <w:position w:val="0"/>
        </w:rPr>
        <w:t>产品碳足迹核算工作，为公司减碳目标及举措的制定提供量化 基准，为国家“双碳”战略目标贡献企业应有之力。目前，</w:t>
      </w:r>
      <w:r>
        <w:rPr>
          <w:rFonts w:ascii="Times New Roman" w:eastAsia="Times New Roman" w:hAnsi="Times New Roman" w:cs="Times New Roman"/>
          <w:color w:val="000000"/>
          <w:spacing w:val="0"/>
          <w:w w:val="100"/>
          <w:position w:val="0"/>
        </w:rPr>
        <w:t>NIFTY</w:t>
      </w:r>
      <w:r>
        <w:rPr>
          <w:color w:val="000000"/>
          <w:spacing w:val="0"/>
          <w:w w:val="100"/>
          <w:position w:val="0"/>
        </w:rPr>
        <w:t>无创产前基因检测服务获得了由</w:t>
      </w:r>
      <w:r>
        <w:rPr>
          <w:rFonts w:ascii="Times New Roman" w:eastAsia="Times New Roman" w:hAnsi="Times New Roman" w:cs="Times New Roman"/>
          <w:color w:val="000000"/>
          <w:spacing w:val="0"/>
          <w:w w:val="100"/>
          <w:position w:val="0"/>
        </w:rPr>
        <w:t>SGS</w:t>
      </w:r>
      <w:r>
        <w:rPr>
          <w:color w:val="000000"/>
          <w:spacing w:val="0"/>
          <w:w w:val="100"/>
          <w:position w:val="0"/>
        </w:rPr>
        <w:t>颁发的</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14067</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产品碳足迹(</w:t>
      </w:r>
      <w:r>
        <w:rPr>
          <w:rFonts w:ascii="Times New Roman" w:eastAsia="Times New Roman" w:hAnsi="Times New Roman" w:cs="Times New Roman"/>
          <w:color w:val="000000"/>
          <w:spacing w:val="0"/>
          <w:w w:val="100"/>
          <w:position w:val="0"/>
        </w:rPr>
        <w:t>Product Carbon Footprint</w:t>
      </w:r>
      <w:r>
        <w:rPr>
          <w:color w:val="000000"/>
          <w:spacing w:val="0"/>
          <w:w w:val="100"/>
          <w:position w:val="0"/>
        </w:rPr>
        <w:t>)核查声明证书，赋能企业实现绿色可持续发展。</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sz w:val="24"/>
          <w:szCs w:val="24"/>
        </w:rPr>
        <w:t>二</w:t>
      </w:r>
      <w:bookmarkEnd w:id="495"/>
      <w:r>
        <w:rPr>
          <w:color w:val="000000"/>
          <w:spacing w:val="0"/>
          <w:w w:val="100"/>
          <w:position w:val="0"/>
          <w:sz w:val="24"/>
          <w:szCs w:val="24"/>
        </w:rPr>
        <w:t>、社会责任情况</w:t>
      </w:r>
      <w:bookmarkEnd w:id="493"/>
      <w:bookmarkEnd w:id="494"/>
      <w:bookmarkEnd w:id="496"/>
    </w:p>
    <w:p>
      <w:pPr>
        <w:pStyle w:val="Style17"/>
        <w:keepNext w:val="0"/>
        <w:keepLines w:val="0"/>
        <w:widowControl w:val="0"/>
        <w:shd w:val="clear" w:color="auto" w:fill="auto"/>
        <w:bidi w:val="0"/>
        <w:spacing w:before="0" w:after="660" w:line="322" w:lineRule="exact"/>
        <w:ind w:left="0" w:right="0" w:firstLine="300"/>
        <w:jc w:val="both"/>
      </w:pPr>
      <w:r>
        <w:rPr>
          <w:color w:val="000000"/>
          <w:spacing w:val="0"/>
          <w:w w:val="100"/>
          <w:position w:val="0"/>
        </w:rPr>
        <w:t>公司履行社会责任情况详见披露于巨潮资讯网(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)的《深圳华大基因股份有限公司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年度社 会责任报告》。</w:t>
      </w:r>
    </w:p>
    <w:p>
      <w:pPr>
        <w:pStyle w:val="Style24"/>
        <w:keepNext/>
        <w:keepLines/>
        <w:widowControl w:val="0"/>
        <w:shd w:val="clear" w:color="auto" w:fill="auto"/>
        <w:bidi w:val="0"/>
        <w:spacing w:before="0" w:after="24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三</w:t>
      </w:r>
      <w:bookmarkEnd w:id="499"/>
      <w:r>
        <w:rPr>
          <w:color w:val="000000"/>
          <w:spacing w:val="0"/>
          <w:w w:val="100"/>
          <w:position w:val="0"/>
          <w:sz w:val="24"/>
          <w:szCs w:val="24"/>
        </w:rPr>
        <w:t>、巩固拓展脱贫攻坚成果、乡村振兴的情况</w:t>
      </w:r>
      <w:bookmarkEnd w:id="497"/>
      <w:bookmarkEnd w:id="498"/>
      <w:bookmarkEnd w:id="500"/>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公司始终秉承</w:t>
      </w:r>
      <w:r>
        <w:rPr>
          <w:rFonts w:ascii="Times New Roman" w:eastAsia="Times New Roman" w:hAnsi="Times New Roman" w:cs="Times New Roman"/>
          <w:color w:val="000000"/>
          <w:spacing w:val="0"/>
          <w:w w:val="100"/>
          <w:position w:val="0"/>
        </w:rPr>
        <w:t>“</w:t>
      </w:r>
      <w:r>
        <w:rPr>
          <w:color w:val="000000"/>
          <w:spacing w:val="0"/>
          <w:w w:val="100"/>
          <w:position w:val="0"/>
        </w:rPr>
        <w:t>基因科技造福人类</w:t>
      </w:r>
      <w:r>
        <w:rPr>
          <w:rFonts w:ascii="Times New Roman" w:eastAsia="Times New Roman" w:hAnsi="Times New Roman" w:cs="Times New Roman"/>
          <w:color w:val="000000"/>
          <w:spacing w:val="0"/>
          <w:w w:val="100"/>
          <w:position w:val="0"/>
        </w:rPr>
        <w:t>”</w:t>
      </w:r>
      <w:r>
        <w:rPr>
          <w:color w:val="000000"/>
          <w:spacing w:val="0"/>
          <w:w w:val="100"/>
          <w:position w:val="0"/>
        </w:rPr>
        <w:t>的愿景与使命，努力为社会进步添动力。报告期内，公司积极组织开展公益活动，在 助力乡村振兴方面持续贡献积极力量。公共卫生健康工作是乡村振兴的重要内容，公司通过先进的基因检测技术和公益项目 持续为农村及贫困地区的人民提供健康筛查服务，帮助提升当地人民健康水平，防止因病致贫和因病返贫，助力乡村振兴。</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公司依托国产自主可控的核心工具与技术，使基因科技变得低价惠民，并通过大范围的民生项目保证技术的可及性和普 </w:t>
      </w:r>
      <w:r>
        <w:rPr>
          <w:color w:val="000000"/>
          <w:spacing w:val="0"/>
          <w:w w:val="100"/>
          <w:position w:val="0"/>
        </w:rPr>
        <w:t>及性，让普通农村人口也能从中受益。近年来，公司坚持</w:t>
      </w:r>
      <w:r>
        <w:rPr>
          <w:rFonts w:ascii="Times New Roman" w:eastAsia="Times New Roman" w:hAnsi="Times New Roman" w:cs="Times New Roman"/>
          <w:color w:val="000000"/>
          <w:spacing w:val="0"/>
          <w:w w:val="100"/>
          <w:position w:val="0"/>
        </w:rPr>
        <w:t>“</w:t>
      </w:r>
      <w:r>
        <w:rPr>
          <w:color w:val="000000"/>
          <w:spacing w:val="0"/>
          <w:w w:val="100"/>
          <w:position w:val="0"/>
        </w:rPr>
        <w:t>持续低价普惠</w:t>
      </w:r>
      <w:r>
        <w:rPr>
          <w:rFonts w:ascii="Times New Roman" w:eastAsia="Times New Roman" w:hAnsi="Times New Roman" w:cs="Times New Roman"/>
          <w:color w:val="000000"/>
          <w:spacing w:val="0"/>
          <w:w w:val="100"/>
          <w:position w:val="0"/>
        </w:rPr>
        <w:t>”</w:t>
      </w:r>
      <w:r>
        <w:rPr>
          <w:color w:val="000000"/>
          <w:spacing w:val="0"/>
          <w:w w:val="100"/>
          <w:position w:val="0"/>
        </w:rPr>
        <w:t>原则，拓展基因健康筛查应用于大样本量的民生项 目，内容包括妇幼健康、肿瘤早筛、传染病精准防控等。未来，公司将在健康中国战略的指导下，持续聚焦科研突破，让更 先进的技术、优质的产品与惠民的价格实现多地全覆盖、城乡一体、普惠共享。</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截至报告期末，公司已开展的民生项目覆盖全国</w:t>
      </w:r>
      <w:r>
        <w:rPr>
          <w:rFonts w:ascii="Times New Roman" w:eastAsia="Times New Roman" w:hAnsi="Times New Roman" w:cs="Times New Roman"/>
          <w:color w:val="000000"/>
          <w:spacing w:val="0"/>
          <w:w w:val="100"/>
          <w:position w:val="0"/>
        </w:rPr>
        <w:t>20</w:t>
      </w:r>
      <w:r>
        <w:rPr>
          <w:color w:val="000000"/>
          <w:spacing w:val="0"/>
          <w:w w:val="100"/>
          <w:position w:val="0"/>
        </w:rPr>
        <w:t>余个省、自治区和直辖市，累计进行健康筛查</w:t>
      </w:r>
      <w:r>
        <w:rPr>
          <w:rFonts w:ascii="Times New Roman" w:eastAsia="Times New Roman" w:hAnsi="Times New Roman" w:cs="Times New Roman"/>
          <w:color w:val="000000"/>
          <w:spacing w:val="0"/>
          <w:w w:val="100"/>
          <w:position w:val="0"/>
        </w:rPr>
        <w:t>1,300</w:t>
      </w:r>
      <w:r>
        <w:rPr>
          <w:color w:val="000000"/>
          <w:spacing w:val="0"/>
          <w:w w:val="100"/>
          <w:position w:val="0"/>
        </w:rPr>
        <w:t>余万人次。</w:t>
      </w:r>
      <w:r>
        <w:br w:type="page"/>
      </w:r>
    </w:p>
    <w:p>
      <w:pPr>
        <w:pStyle w:val="Style10"/>
        <w:keepNext/>
        <w:keepLines/>
        <w:widowControl w:val="0"/>
        <w:shd w:val="clear" w:color="auto" w:fill="auto"/>
        <w:bidi w:val="0"/>
        <w:spacing w:before="0" w:after="520" w:line="240" w:lineRule="auto"/>
        <w:ind w:left="0" w:right="0" w:firstLine="0"/>
        <w:jc w:val="center"/>
      </w:pPr>
      <w:bookmarkStart w:id="501" w:name="bookmark501"/>
      <w:bookmarkStart w:id="502" w:name="bookmark502"/>
      <w:bookmarkStart w:id="503" w:name="bookmark503"/>
      <w:r>
        <w:rPr>
          <w:color w:val="000000"/>
          <w:spacing w:val="0"/>
          <w:w w:val="100"/>
          <w:position w:val="0"/>
        </w:rPr>
        <w:t>第六节重要事项</w:t>
      </w:r>
      <w:bookmarkEnd w:id="501"/>
      <w:bookmarkEnd w:id="502"/>
      <w:bookmarkEnd w:id="503"/>
    </w:p>
    <w:p>
      <w:pPr>
        <w:pStyle w:val="Style24"/>
        <w:keepNext/>
        <w:keepLines/>
        <w:widowControl w:val="0"/>
        <w:shd w:val="clear" w:color="auto" w:fill="auto"/>
        <w:bidi w:val="0"/>
        <w:spacing w:before="0" w:after="280" w:line="240" w:lineRule="auto"/>
        <w:ind w:left="240" w:right="0" w:firstLine="0"/>
        <w:jc w:val="left"/>
      </w:pPr>
      <w:bookmarkStart w:id="504" w:name="bookmark504"/>
      <w:bookmarkStart w:id="505" w:name="bookmark505"/>
      <w:bookmarkStart w:id="506" w:name="bookmark506"/>
      <w:bookmarkStart w:id="507" w:name="bookmark507"/>
      <w:bookmarkStart w:id="508" w:name="bookmark508"/>
      <w:r>
        <w:rPr>
          <w:color w:val="000000"/>
          <w:spacing w:val="0"/>
          <w:w w:val="100"/>
          <w:position w:val="0"/>
          <w:sz w:val="24"/>
          <w:szCs w:val="24"/>
        </w:rPr>
        <w:t>一</w:t>
      </w:r>
      <w:bookmarkEnd w:id="507"/>
      <w:r>
        <w:rPr>
          <w:color w:val="000000"/>
          <w:spacing w:val="0"/>
          <w:w w:val="100"/>
          <w:position w:val="0"/>
          <w:sz w:val="24"/>
          <w:szCs w:val="24"/>
        </w:rPr>
        <w:t>、承诺事项履行情况</w:t>
      </w:r>
      <w:bookmarkEnd w:id="505"/>
      <w:bookmarkEnd w:id="506"/>
      <w:bookmarkEnd w:id="508"/>
      <w:bookmarkEnd w:id="504"/>
    </w:p>
    <w:p>
      <w:pPr>
        <w:pStyle w:val="Style30"/>
        <w:keepNext/>
        <w:keepLines/>
        <w:widowControl w:val="0"/>
        <w:shd w:val="clear" w:color="auto" w:fill="auto"/>
        <w:bidi w:val="0"/>
        <w:spacing w:before="0" w:line="317" w:lineRule="exact"/>
        <w:ind w:left="24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、公司实际控制人、股东、关联方、收购人以及公司等承诺相关方在报告期内履行完毕及截至报告期末 尚未履行完毕的承诺事项</w:t>
      </w:r>
      <w:bookmarkEnd w:id="509"/>
      <w:bookmarkEnd w:id="510"/>
      <w:bookmarkEnd w:id="512"/>
    </w:p>
    <w:p>
      <w:pPr>
        <w:pStyle w:val="Style26"/>
        <w:keepNext w:val="0"/>
        <w:keepLines w:val="0"/>
        <w:widowControl w:val="0"/>
        <w:shd w:val="clear" w:color="auto" w:fill="auto"/>
        <w:bidi w:val="0"/>
        <w:spacing w:before="0" w:after="0" w:line="240" w:lineRule="auto"/>
        <w:ind w:left="24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994"/>
        <w:gridCol w:w="850"/>
        <w:gridCol w:w="4536"/>
        <w:gridCol w:w="850"/>
        <w:gridCol w:w="854"/>
        <w:gridCol w:w="78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资产重组时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首次公开发</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行或再融资</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 因科技有限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、自华大基因股票在深圳证券交易所上市之日起</w:t>
            </w:r>
            <w:r>
              <w:rPr>
                <w:rFonts w:ascii="Times New Roman" w:eastAsia="Times New Roman" w:hAnsi="Times New Roman" w:cs="Times New Roman"/>
                <w:color w:val="000000"/>
                <w:spacing w:val="0"/>
                <w:w w:val="100"/>
                <w:position w:val="0"/>
              </w:rPr>
              <w:t>60</w:t>
            </w:r>
            <w:r>
              <w:rPr>
                <w:color w:val="000000"/>
                <w:spacing w:val="0"/>
                <w:w w:val="100"/>
                <w:position w:val="0"/>
              </w:rPr>
              <w:t>个 月内，不转让或者委托他人管理在上市之前持有的华大 基因的股份，也不由华大基因回购该部分股份。若因公 司进行权益分派等导致其持有的公司股份发生变化的， 其仍将遵守上述承诺。</w:t>
            </w:r>
            <w:r>
              <w:rPr>
                <w:rFonts w:ascii="Times New Roman" w:eastAsia="Times New Roman" w:hAnsi="Times New Roman" w:cs="Times New Roman"/>
                <w:color w:val="000000"/>
                <w:spacing w:val="0"/>
                <w:w w:val="100"/>
                <w:position w:val="0"/>
              </w:rPr>
              <w:t>2</w:t>
            </w:r>
            <w:r>
              <w:rPr>
                <w:color w:val="000000"/>
                <w:spacing w:val="0"/>
                <w:w w:val="100"/>
                <w:position w:val="0"/>
              </w:rPr>
              <w:t>、若本公司所持华大基因股票在 锁定期满后两年内减持的，该等股票的减持价格将不低 于发行价；华大基因上市后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个月内如华大基因股票连 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月期末收盘价低于发行价的，其直接或间接持有华大基 因股票的锁定期限自动延长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个月。期间华大基因如有 派发股利、送股、转增股本等除权除息事项，上述价格 相应调整。</w:t>
            </w:r>
            <w:r>
              <w:rPr>
                <w:rFonts w:ascii="Times New Roman" w:eastAsia="Times New Roman" w:hAnsi="Times New Roman" w:cs="Times New Roman"/>
                <w:color w:val="000000"/>
                <w:spacing w:val="0"/>
                <w:w w:val="100"/>
                <w:position w:val="0"/>
              </w:rPr>
              <w:t>3</w:t>
            </w:r>
            <w:r>
              <w:rPr>
                <w:color w:val="000000"/>
                <w:spacing w:val="0"/>
                <w:w w:val="100"/>
                <w:position w:val="0"/>
              </w:rPr>
              <w:t>、若不履行本承诺所约定的义务和责任，本 公司将承担华大基因、华大基因其他股东或利益相关方 因此所受到的任何损失，违规减持华大基因股票的收益 将归华大基因所有。</w:t>
            </w:r>
            <w:r>
              <w:rPr>
                <w:rFonts w:ascii="Times New Roman" w:eastAsia="Times New Roman" w:hAnsi="Times New Roman" w:cs="Times New Roman"/>
                <w:color w:val="000000"/>
                <w:spacing w:val="0"/>
                <w:w w:val="100"/>
                <w:position w:val="0"/>
              </w:rPr>
              <w:t>4</w:t>
            </w:r>
            <w:r>
              <w:rPr>
                <w:color w:val="000000"/>
                <w:spacing w:val="0"/>
                <w:w w:val="100"/>
                <w:position w:val="0"/>
              </w:rPr>
              <w:t>、本公司将遵守中国证监会《上市 公司股东、董监高减持股份的若干规定》，深圳证券交易 所《股票上市规则》《深圳证券交易所上市公司股东及董 事、监事、高级管理人员减持股份实施细则》的相关规 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2022</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、自公司股票在深圳证券交易所上市之日起</w:t>
            </w:r>
            <w:r>
              <w:rPr>
                <w:rFonts w:ascii="Times New Roman" w:eastAsia="Times New Roman" w:hAnsi="Times New Roman" w:cs="Times New Roman"/>
                <w:color w:val="000000"/>
                <w:spacing w:val="0"/>
                <w:w w:val="100"/>
                <w:position w:val="0"/>
              </w:rPr>
              <w:t>60</w:t>
            </w:r>
            <w:r>
              <w:rPr>
                <w:color w:val="000000"/>
                <w:spacing w:val="0"/>
                <w:w w:val="100"/>
                <w:position w:val="0"/>
              </w:rPr>
              <w:t>个月 内，本人不转让或者委托他人管理在上市之前直接或间 接持有的公司股份，也不由公司回购该部分股份。若因 公司进行权益分派等导致本人直接或间接持有的公司股 份发生变化的，本人仍将遵守上述承诺。</w:t>
            </w:r>
            <w:r>
              <w:rPr>
                <w:rFonts w:ascii="Times New Roman" w:eastAsia="Times New Roman" w:hAnsi="Times New Roman" w:cs="Times New Roman"/>
                <w:color w:val="000000"/>
                <w:spacing w:val="0"/>
                <w:w w:val="100"/>
                <w:position w:val="0"/>
              </w:rPr>
              <w:t>2</w:t>
            </w:r>
            <w:r>
              <w:rPr>
                <w:color w:val="000000"/>
                <w:spacing w:val="0"/>
                <w:w w:val="100"/>
                <w:position w:val="0"/>
              </w:rPr>
              <w:t>、本人在公司 担任董事期间，每年转让的公司的股份不超过本人直接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2022</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94"/>
        <w:gridCol w:w="850"/>
        <w:gridCol w:w="4536"/>
        <w:gridCol w:w="850"/>
        <w:gridCol w:w="854"/>
        <w:gridCol w:w="787"/>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或间接持有的公司股份总数的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；在卖出后六个月再 行买入公司股份，或买入后六个月内再行卖出公司股份 的，则所得收益归公司所有。</w:t>
            </w:r>
            <w:r>
              <w:rPr>
                <w:rFonts w:ascii="Times New Roman" w:eastAsia="Times New Roman" w:hAnsi="Times New Roman" w:cs="Times New Roman"/>
                <w:color w:val="000000"/>
                <w:spacing w:val="0"/>
                <w:w w:val="100"/>
                <w:position w:val="0"/>
              </w:rPr>
              <w:t>3</w:t>
            </w:r>
            <w:r>
              <w:rPr>
                <w:color w:val="000000"/>
                <w:spacing w:val="0"/>
                <w:w w:val="100"/>
                <w:position w:val="0"/>
              </w:rPr>
              <w:t>、若本人直接或间接所持 公司股票在锁定期满后两年内减持的，该等股票的减持 价格将不低于发行价；公司上市后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 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个月期末收盘价低于发行价的，本人直接或间接持有公 司股票的锁定期限自动延长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个月。期间公司如有派发 股利、送股、转增股本等除权除息事项，上述价格相应 调整。</w:t>
            </w:r>
            <w:r>
              <w:rPr>
                <w:rFonts w:ascii="Times New Roman" w:eastAsia="Times New Roman" w:hAnsi="Times New Roman" w:cs="Times New Roman"/>
                <w:color w:val="000000"/>
                <w:spacing w:val="0"/>
                <w:w w:val="100"/>
                <w:position w:val="0"/>
              </w:rPr>
              <w:t>4</w:t>
            </w:r>
            <w:r>
              <w:rPr>
                <w:color w:val="000000"/>
                <w:spacing w:val="0"/>
                <w:w w:val="100"/>
                <w:position w:val="0"/>
              </w:rPr>
              <w:t>、若不履行本承诺所约定的义务和责任，本人将 承担公司、公司其他股东或利益相关方因此所受到的任 何损失，违规减持公司股票的收益将归公司所有。如本 人未上缴上述出售股票所获收益，公司可扣减本人以后 年度现金分红或扣减发放的薪酬</w:t>
            </w:r>
            <w:r>
              <w:rPr>
                <w:rFonts w:ascii="Times New Roman" w:eastAsia="Times New Roman" w:hAnsi="Times New Roman" w:cs="Times New Roman"/>
                <w:color w:val="000000"/>
                <w:spacing w:val="0"/>
                <w:w w:val="100"/>
                <w:position w:val="0"/>
              </w:rPr>
              <w:t>/</w:t>
            </w:r>
            <w:r>
              <w:rPr>
                <w:color w:val="000000"/>
                <w:spacing w:val="0"/>
                <w:w w:val="100"/>
                <w:position w:val="0"/>
              </w:rPr>
              <w:t>津贴直至履行上缴上述 收益的承诺。</w:t>
            </w:r>
            <w:r>
              <w:rPr>
                <w:rFonts w:ascii="Times New Roman" w:eastAsia="Times New Roman" w:hAnsi="Times New Roman" w:cs="Times New Roman"/>
                <w:color w:val="000000"/>
                <w:spacing w:val="0"/>
                <w:w w:val="100"/>
                <w:position w:val="0"/>
              </w:rPr>
              <w:t>5</w:t>
            </w:r>
            <w:r>
              <w:rPr>
                <w:color w:val="000000"/>
                <w:spacing w:val="0"/>
                <w:w w:val="100"/>
                <w:position w:val="0"/>
              </w:rPr>
              <w:t>、本人将遵守中国证监会《上市公司股 东、董监高减持股份的若干规定》，深圳证券交易所《股 票上市规则》、《深圳证券交易所上市公司股东及董事、 监事、高级管理人员减持股份实施细则》的相关规定。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 因股份有限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填补被摊</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薄即期回</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报的承诺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公司将履行填补被摊薄即期回报措施，若未履行填补被 摊薄即期回报措施，将在公司股东大会上公开说明未履 行填补被摊薄即期回报措施的具体原因并向公司股东和 社会公众投资者道歉；如果未履行相关承诺事项，致使 投资者在证券交易中遭受损失的，公司将依法赔偿。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 因科技有限 公司、汪建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填补被摊</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薄即期回</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报的承诺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保证不越权干预公司经营管理活动，不侵占公司利益， 切实履行对公司填补回报的相关措施。若违反上述承诺 并给公司或者投资者造成损失的，其愿意依法承担对公 司或者投资者的补偿责任及监管机构的相应处罚。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 高级管理人 员：汪建、 尹烨、孙英 俊、王俊、 吴淳、李英 睿、赵谦、 王洪涛、金 春保、陈鹏 辉、王石、 徐爱民、蒋 昌建、谢 宏、吴育 辉、张凌、 刘娜、陈轶 青、李治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填补被摊</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薄即期回</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报的承诺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、承诺不无偿或以不公平条件向其他单位或者个人输送 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、接受对自身 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、承诺不动用公司资产从事 与本人履行职责无关的投资、消费活动；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、承诺由董事 会或提名与薪酬考核委员会制定的薪酬制度与公司填补 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、承诺如公司未来实施股 权激励，则股权激励的行权条件与公司填补回报措施的 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、若违反上述承诺并给公司或者投资 者造成损失的，其愿意依法承担对公司或者投资者的补 偿责任及监管机构的相应处罚。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94"/>
        <w:gridCol w:w="850"/>
        <w:gridCol w:w="4536"/>
        <w:gridCol w:w="850"/>
        <w:gridCol w:w="854"/>
        <w:gridCol w:w="787"/>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平、王威、 徐茜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 因科技有限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股份减持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、若其所持华大基因股票在锁定期满后两年内减持的， 其每年减持股票数量不超过华大基因首次公开发行股票 前其持有华大基因股份的</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、减持价格：该等股票 的最低减持价格为首次公开发行股票的发行价，期间公 司如有派发股利、送股、转增股本等除权除息事项，上 述价格相应调整。减持方式：包括证券交易所集中竞价 交易系统或大宗交易系统等方式。信息披露：及时、充 分履行股份减持的信息披露义务，在持有股份超过</w:t>
            </w:r>
            <w:r>
              <w:rPr>
                <w:rFonts w:ascii="Times New Roman" w:eastAsia="Times New Roman" w:hAnsi="Times New Roman" w:cs="Times New Roman"/>
                <w:color w:val="000000"/>
                <w:spacing w:val="0"/>
                <w:w w:val="100"/>
                <w:position w:val="0"/>
              </w:rPr>
              <w:t>5%</w:t>
            </w:r>
            <w:r>
              <w:rPr>
                <w:color w:val="000000"/>
                <w:spacing w:val="0"/>
                <w:w w:val="100"/>
                <w:position w:val="0"/>
              </w:rPr>
              <w:t>以 上期间，减持前</w:t>
            </w:r>
            <w:r>
              <w:rPr>
                <w:rFonts w:ascii="Times New Roman" w:eastAsia="Times New Roman" w:hAnsi="Times New Roman" w:cs="Times New Roman"/>
                <w:color w:val="000000"/>
                <w:spacing w:val="0"/>
                <w:w w:val="100"/>
                <w:position w:val="0"/>
              </w:rPr>
              <w:t>3</w:t>
            </w:r>
            <w:r>
              <w:rPr>
                <w:color w:val="000000"/>
                <w:spacing w:val="0"/>
                <w:w w:val="100"/>
                <w:position w:val="0"/>
              </w:rPr>
              <w:t>个交易日将发布减持提示性公告。在 减持股份期间，其将严格遵守有关法律法规及华大基因 规章制度。</w:t>
            </w:r>
            <w:r>
              <w:rPr>
                <w:rFonts w:ascii="Times New Roman" w:eastAsia="Times New Roman" w:hAnsi="Times New Roman" w:cs="Times New Roman"/>
                <w:color w:val="000000"/>
                <w:spacing w:val="0"/>
                <w:w w:val="100"/>
                <w:position w:val="0"/>
              </w:rPr>
              <w:t>3</w:t>
            </w:r>
            <w:r>
              <w:rPr>
                <w:color w:val="000000"/>
                <w:spacing w:val="0"/>
                <w:w w:val="100"/>
                <w:position w:val="0"/>
              </w:rPr>
              <w:t>、本公司将遵守中国证监会《上市公司股 东、董监高减持股份的若干规定》，深圳证券交易所《股 票上市规则》、《深圳证券交易所上市公司股东及董事、 监事、高级管理人员减持股份实施细则》的相关规定。</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、如果其未履行上述承诺减持华大基因股票，将把该部 分出售股票所取得的收益（如有）上缴华大基因所有， 并承担相应法律后果，赔偿因未履行承诺而给华大基因 或投资者带来的损失。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至 </w:t>
            </w:r>
            <w:r>
              <w:rPr>
                <w:rFonts w:ascii="Times New Roman" w:eastAsia="Times New Roman" w:hAnsi="Times New Roman" w:cs="Times New Roman"/>
                <w:color w:val="000000"/>
                <w:spacing w:val="0"/>
                <w:w w:val="100"/>
                <w:position w:val="0"/>
              </w:rPr>
              <w:t>2024</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深圳前海华</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大基因投资</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企业（有限</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股份减持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、其可在所持华大基因股票的锁定期满后</w:t>
            </w:r>
            <w:r>
              <w:rPr>
                <w:rFonts w:ascii="Times New Roman" w:eastAsia="Times New Roman" w:hAnsi="Times New Roman" w:cs="Times New Roman"/>
                <w:color w:val="000000"/>
                <w:spacing w:val="0"/>
                <w:w w:val="100"/>
                <w:position w:val="0"/>
              </w:rPr>
              <w:t>1</w:t>
            </w:r>
            <w:r>
              <w:rPr>
                <w:color w:val="000000"/>
                <w:spacing w:val="0"/>
                <w:w w:val="100"/>
                <w:position w:val="0"/>
              </w:rPr>
              <w:t>年内，减持 所持华大基因的股票，最高可减持所持的全部股份。</w:t>
            </w:r>
            <w:r>
              <w:rPr>
                <w:rFonts w:ascii="Times New Roman" w:eastAsia="Times New Roman" w:hAnsi="Times New Roman" w:cs="Times New Roman"/>
                <w:color w:val="000000"/>
                <w:spacing w:val="0"/>
                <w:w w:val="100"/>
                <w:position w:val="0"/>
              </w:rPr>
              <w:t>2</w:t>
            </w:r>
            <w:r>
              <w:rPr>
                <w:color w:val="000000"/>
                <w:spacing w:val="0"/>
                <w:w w:val="100"/>
                <w:position w:val="0"/>
              </w:rPr>
              <w:t>、 减持价格：该等股票的减持价格不低于发行价格，期间 公司如有派发股利、送股、转增股本等除权除息事项， 上述价格相应调整。减持方式：包括证券交易所集中竞 价交易系统或大宗交易系统等方式。信息披露：及时、 充分履行股份减持的信息披露义务，在持有股份超过</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以上期间，减持前</w:t>
            </w:r>
            <w:r>
              <w:rPr>
                <w:rFonts w:ascii="Times New Roman" w:eastAsia="Times New Roman" w:hAnsi="Times New Roman" w:cs="Times New Roman"/>
                <w:color w:val="000000"/>
                <w:spacing w:val="0"/>
                <w:w w:val="100"/>
                <w:position w:val="0"/>
              </w:rPr>
              <w:t>3</w:t>
            </w:r>
            <w:r>
              <w:rPr>
                <w:color w:val="000000"/>
                <w:spacing w:val="0"/>
                <w:w w:val="100"/>
                <w:position w:val="0"/>
              </w:rPr>
              <w:t>个交易日将发布减持提示性公告。 在减持股份期间，其将严格遵守有关法律法规及公司规 章制度。</w:t>
            </w:r>
            <w:r>
              <w:rPr>
                <w:rFonts w:ascii="Times New Roman" w:eastAsia="Times New Roman" w:hAnsi="Times New Roman" w:cs="Times New Roman"/>
                <w:color w:val="000000"/>
                <w:spacing w:val="0"/>
                <w:w w:val="100"/>
                <w:position w:val="0"/>
              </w:rPr>
              <w:t>3</w:t>
            </w:r>
            <w:r>
              <w:rPr>
                <w:color w:val="000000"/>
                <w:spacing w:val="0"/>
                <w:w w:val="100"/>
                <w:position w:val="0"/>
              </w:rPr>
              <w:t>、本企业将遵守中国证监会《上市公司股东、 董监高减持股份的若干规定》，深圳证券交易所《股票上 市规则》、《深圳证券交易所上市公司股东及董事、监 事、高级管理人员减持股份实施细则》的相关规定。</w:t>
            </w:r>
            <w:r>
              <w:rPr>
                <w:rFonts w:ascii="Times New Roman" w:eastAsia="Times New Roman" w:hAnsi="Times New Roman" w:cs="Times New Roman"/>
                <w:color w:val="000000"/>
                <w:spacing w:val="0"/>
                <w:w w:val="100"/>
                <w:position w:val="0"/>
              </w:rPr>
              <w:t>4</w:t>
            </w:r>
            <w:r>
              <w:rPr>
                <w:color w:val="000000"/>
                <w:spacing w:val="0"/>
                <w:w w:val="100"/>
                <w:position w:val="0"/>
              </w:rPr>
              <w:t>、 如果其未履行上述承诺减持公司股票，将把该部分出售 股票所取得的收益（如有）上缴公司所有，并承担相应 法律后果，赔偿因未履行承诺而给公司或投资者带来的 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 xml:space="preserve">条： 承诺期限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止；第</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4</w:t>
            </w:r>
            <w:r>
              <w:rPr>
                <w:color w:val="000000"/>
                <w:spacing w:val="0"/>
                <w:w w:val="100"/>
                <w:position w:val="0"/>
              </w:rPr>
              <w:t>条：承 诺期限为 深圳前海 华大基因 投资企业</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伙）持有 公司股份 超过</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以上期 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 xml:space="preserve">条： 股份减持 承诺截至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 已履行完 毕，第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条： 正常履行 中，深圳 前海华大 基因投资 企业（有 限合伙） 在持有公 司股份超 过</w:t>
            </w:r>
            <w:r>
              <w:rPr>
                <w:rFonts w:ascii="Times New Roman" w:eastAsia="Times New Roman" w:hAnsi="Times New Roman" w:cs="Times New Roman"/>
                <w:color w:val="000000"/>
                <w:spacing w:val="0"/>
                <w:w w:val="100"/>
                <w:position w:val="0"/>
              </w:rPr>
              <w:t>5%</w:t>
            </w:r>
            <w:r>
              <w:rPr>
                <w:color w:val="000000"/>
                <w:spacing w:val="0"/>
                <w:w w:val="100"/>
                <w:position w:val="0"/>
              </w:rPr>
              <w:t>以 上期间减 持股份仍 需遵守相 关的法律 法规及公 司规章制</w:t>
            </w:r>
          </w:p>
        </w:tc>
      </w:tr>
    </w:tbl>
    <w:p>
      <w:pPr>
        <w:spacing w:lineRule="exact" w:line="1"/>
        <w:rPr>
          <w:sz w:val="2"/>
          <w:szCs w:val="2"/>
        </w:rPr>
      </w:pPr>
      <w:r>
        <w:br w:type="page"/>
      </w:r>
    </w:p>
    <w:tbl>
      <w:tblPr>
        <w:tblOverlap w:val="never"/>
        <w:jc w:val="center"/>
        <w:tblLayout w:type="fixed"/>
      </w:tblPr>
      <w:tblGrid>
        <w:gridCol w:w="998"/>
        <w:gridCol w:w="994"/>
        <w:gridCol w:w="850"/>
        <w:gridCol w:w="4536"/>
        <w:gridCol w:w="850"/>
        <w:gridCol w:w="854"/>
        <w:gridCol w:w="78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度。</w:t>
            </w: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深圳和玉高</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林股权投资</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合伙企业</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（有限合</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股份减持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、其将在所持华大基因股票的锁定期满后</w:t>
            </w:r>
            <w:r>
              <w:rPr>
                <w:rFonts w:ascii="Times New Roman" w:eastAsia="Times New Roman" w:hAnsi="Times New Roman" w:cs="Times New Roman"/>
                <w:color w:val="000000"/>
                <w:spacing w:val="0"/>
                <w:w w:val="100"/>
                <w:position w:val="0"/>
              </w:rPr>
              <w:t>1</w:t>
            </w:r>
            <w:r>
              <w:rPr>
                <w:color w:val="000000"/>
                <w:spacing w:val="0"/>
                <w:w w:val="100"/>
                <w:position w:val="0"/>
              </w:rPr>
              <w:t>年内，最高 减持完毕所持华大基因的全部股票。</w:t>
            </w:r>
            <w:r>
              <w:rPr>
                <w:rFonts w:ascii="Times New Roman" w:eastAsia="Times New Roman" w:hAnsi="Times New Roman" w:cs="Times New Roman"/>
                <w:color w:val="000000"/>
                <w:spacing w:val="0"/>
                <w:w w:val="100"/>
                <w:position w:val="0"/>
              </w:rPr>
              <w:t>2</w:t>
            </w:r>
            <w:r>
              <w:rPr>
                <w:color w:val="000000"/>
                <w:spacing w:val="0"/>
                <w:w w:val="100"/>
                <w:position w:val="0"/>
              </w:rPr>
              <w:t>、减持价格：该等 股票的减持价格不低于发行价格的</w:t>
            </w:r>
            <w:r>
              <w:rPr>
                <w:rFonts w:ascii="Times New Roman" w:eastAsia="Times New Roman" w:hAnsi="Times New Roman" w:cs="Times New Roman"/>
                <w:color w:val="000000"/>
                <w:spacing w:val="0"/>
                <w:w w:val="100"/>
                <w:position w:val="0"/>
              </w:rPr>
              <w:t>80%</w:t>
            </w:r>
            <w:r>
              <w:rPr>
                <w:color w:val="000000"/>
                <w:spacing w:val="0"/>
                <w:w w:val="100"/>
                <w:position w:val="0"/>
              </w:rPr>
              <w:t>，期间公司如有 派发股利、送股、转增股本等除权除息事项，上述价格 相应调整。减持方式：包括证券交易所集中竞价交易系 统或大宗交易系统等方式。信息披露：及时、充分履行 股份减持的信息披露义务，在持有股份超过</w:t>
            </w:r>
            <w:r>
              <w:rPr>
                <w:rFonts w:ascii="Times New Roman" w:eastAsia="Times New Roman" w:hAnsi="Times New Roman" w:cs="Times New Roman"/>
                <w:color w:val="000000"/>
                <w:spacing w:val="0"/>
                <w:w w:val="100"/>
                <w:position w:val="0"/>
              </w:rPr>
              <w:t>5%</w:t>
            </w:r>
            <w:r>
              <w:rPr>
                <w:color w:val="000000"/>
                <w:spacing w:val="0"/>
                <w:w w:val="100"/>
                <w:position w:val="0"/>
              </w:rPr>
              <w:t>以上期 间，减持前</w:t>
            </w:r>
            <w:r>
              <w:rPr>
                <w:rFonts w:ascii="Times New Roman" w:eastAsia="Times New Roman" w:hAnsi="Times New Roman" w:cs="Times New Roman"/>
                <w:color w:val="000000"/>
                <w:spacing w:val="0"/>
                <w:w w:val="100"/>
                <w:position w:val="0"/>
              </w:rPr>
              <w:t>3</w:t>
            </w:r>
            <w:r>
              <w:rPr>
                <w:color w:val="000000"/>
                <w:spacing w:val="0"/>
                <w:w w:val="100"/>
                <w:position w:val="0"/>
              </w:rPr>
              <w:t>个交易日将发布减持提示性公告。在减持 股份期间，其将严格遵守有关法律法规及公司规章制 度。</w:t>
            </w:r>
            <w:r>
              <w:rPr>
                <w:rFonts w:ascii="Times New Roman" w:eastAsia="Times New Roman" w:hAnsi="Times New Roman" w:cs="Times New Roman"/>
                <w:color w:val="000000"/>
                <w:spacing w:val="0"/>
                <w:w w:val="100"/>
                <w:position w:val="0"/>
              </w:rPr>
              <w:t>3</w:t>
            </w:r>
            <w:r>
              <w:rPr>
                <w:color w:val="000000"/>
                <w:spacing w:val="0"/>
                <w:w w:val="100"/>
                <w:position w:val="0"/>
              </w:rPr>
              <w:t>、本企业将遵守中国证监会《上市公司股东、董监 高减持股份的若干规定》，深圳证券交易所《股票上市规 则》、《深圳证券交易所上市公司股东及董事、监事、高 级管理人员减持股份实施细则》的相关规定。</w:t>
            </w:r>
            <w:r>
              <w:rPr>
                <w:rFonts w:ascii="Times New Roman" w:eastAsia="Times New Roman" w:hAnsi="Times New Roman" w:cs="Times New Roman"/>
                <w:color w:val="000000"/>
                <w:spacing w:val="0"/>
                <w:w w:val="100"/>
                <w:position w:val="0"/>
              </w:rPr>
              <w:t>4</w:t>
            </w:r>
            <w:r>
              <w:rPr>
                <w:color w:val="000000"/>
                <w:spacing w:val="0"/>
                <w:w w:val="100"/>
                <w:position w:val="0"/>
              </w:rPr>
              <w:t>、如果其 未履行上述承诺减持公司股票，将把该部分出售股票所 取得的收益（如有）上缴公司所有，并承担相应法律后 果，赔偿因未履行承诺而给公司或投资者带来的损失。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 xml:space="preserve">条： 承诺期限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止；第</w:t>
            </w:r>
            <w:r>
              <w:rPr>
                <w:rFonts w:ascii="Times New Roman" w:eastAsia="Times New Roman" w:hAnsi="Times New Roman" w:cs="Times New Roman"/>
                <w:color w:val="000000"/>
                <w:spacing w:val="0"/>
                <w:w w:val="100"/>
                <w:position w:val="0"/>
              </w:rPr>
              <w:t xml:space="preserve">2 </w:t>
            </w:r>
            <w:r>
              <w:rPr>
                <w:color w:val="000000"/>
                <w:spacing w:val="0"/>
                <w:w w:val="100"/>
                <w:position w:val="0"/>
              </w:rPr>
              <w:t>条、第</w:t>
            </w:r>
            <w:r>
              <w:rPr>
                <w:rFonts w:ascii="Times New Roman" w:eastAsia="Times New Roman" w:hAnsi="Times New Roman" w:cs="Times New Roman"/>
                <w:color w:val="000000"/>
                <w:spacing w:val="0"/>
                <w:w w:val="100"/>
                <w:position w:val="0"/>
              </w:rPr>
              <w:t xml:space="preserve">4 </w:t>
            </w:r>
            <w:r>
              <w:rPr>
                <w:color w:val="000000"/>
                <w:spacing w:val="0"/>
                <w:w w:val="100"/>
                <w:position w:val="0"/>
              </w:rPr>
              <w:t>条：承诺 期限</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 xml:space="preserve">日止；第 </w:t>
            </w:r>
            <w:r>
              <w:rPr>
                <w:rFonts w:ascii="Times New Roman" w:eastAsia="Times New Roman" w:hAnsi="Times New Roman" w:cs="Times New Roman"/>
                <w:color w:val="000000"/>
                <w:spacing w:val="0"/>
                <w:w w:val="100"/>
                <w:position w:val="0"/>
              </w:rPr>
              <w:t>3</w:t>
            </w:r>
            <w:r>
              <w:rPr>
                <w:color w:val="000000"/>
                <w:spacing w:val="0"/>
                <w:w w:val="100"/>
                <w:position w:val="0"/>
              </w:rPr>
              <w:t>条：承 诺期限至 其减持完 公司首次 公开发行 前持有的 股份。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 xml:space="preserve">条： 截至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已履行完 毕；第</w:t>
            </w:r>
            <w:r>
              <w:rPr>
                <w:rFonts w:ascii="Times New Roman" w:eastAsia="Times New Roman" w:hAnsi="Times New Roman" w:cs="Times New Roman"/>
                <w:color w:val="000000"/>
                <w:spacing w:val="0"/>
                <w:w w:val="100"/>
                <w:position w:val="0"/>
              </w:rPr>
              <w:t xml:space="preserve">2 </w:t>
            </w:r>
            <w:r>
              <w:rPr>
                <w:color w:val="000000"/>
                <w:spacing w:val="0"/>
                <w:w w:val="100"/>
                <w:position w:val="0"/>
              </w:rPr>
              <w:t>条、第</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条：截至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已履行完 毕；第</w:t>
            </w:r>
            <w:r>
              <w:rPr>
                <w:rFonts w:ascii="Times New Roman" w:eastAsia="Times New Roman" w:hAnsi="Times New Roman" w:cs="Times New Roman"/>
                <w:color w:val="000000"/>
                <w:spacing w:val="0"/>
                <w:w w:val="100"/>
                <w:position w:val="0"/>
              </w:rPr>
              <w:t xml:space="preserve">3 </w:t>
            </w:r>
            <w:r>
              <w:rPr>
                <w:color w:val="000000"/>
                <w:spacing w:val="0"/>
                <w:w w:val="100"/>
                <w:position w:val="0"/>
              </w:rPr>
              <w:t>条：正常 履行中， 直至减持 完其持有 的公司首 次公开发 行前仍需 遵守有关 特定股东 减持的相 关规定。</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 因股份有限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如果本次发行的招股意向书有虚假记载、误导性陈述 或者重大遗漏，对判断本公司是否符合法律规定的发行 条件构成重大、实质影响的，在中国证监会对本公司作 出行政处罚决定之日起</w:t>
            </w:r>
            <w:r>
              <w:rPr>
                <w:rFonts w:ascii="Times New Roman" w:eastAsia="Times New Roman" w:hAnsi="Times New Roman" w:cs="Times New Roman"/>
                <w:color w:val="000000"/>
                <w:spacing w:val="0"/>
                <w:w w:val="100"/>
                <w:position w:val="0"/>
              </w:rPr>
              <w:t>30</w:t>
            </w:r>
            <w:r>
              <w:rPr>
                <w:color w:val="000000"/>
                <w:spacing w:val="0"/>
                <w:w w:val="100"/>
                <w:position w:val="0"/>
              </w:rPr>
              <w:t>日内，本公司将依法启动回购 首次公开发行的全部新股的程序，本公司将通过深圳证 券交易所以发行价并加算银行同期存款利息回购首次公 开发行的全部新股。在此期间，本公司如发生除权除息 事项的，上述回购价格及回购股份数量相应进行调整。</w:t>
            </w:r>
          </w:p>
          <w:p>
            <w:pPr>
              <w:pStyle w:val="Style20"/>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如果本次发行的招股意向书有虚假记载、误导性陈述 或者重大遗漏，致使投资者在证券交易中遭受损失的， 本公司将依法赔偿投资者损失。</w:t>
            </w:r>
            <w:r>
              <w:rPr>
                <w:rFonts w:ascii="Times New Roman" w:eastAsia="Times New Roman" w:hAnsi="Times New Roman" w:cs="Times New Roman"/>
                <w:color w:val="000000"/>
                <w:spacing w:val="0"/>
                <w:w w:val="100"/>
                <w:position w:val="0"/>
              </w:rPr>
              <w:t>3</w:t>
            </w:r>
            <w:r>
              <w:rPr>
                <w:color w:val="000000"/>
                <w:spacing w:val="0"/>
                <w:w w:val="100"/>
                <w:position w:val="0"/>
              </w:rPr>
              <w:t>、如果本公司未能履行 上述承诺，将在公司股东大会及中国证监会指定报刊上 公开说明未履行的具体原因并向股东和社会公众投资者 道歉，并按证券监督管理部门及司法机关认定的实际损 失向投资者依法进行赔偿。若法律、法规、规范性文件 及中国证监会或深圳证券交易所对本公司因违反上述承 诺而应承担的相关责任及后果有不同规定，本公司自愿 无条件地遵从该等规定。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、如果本次发行招股意向书有虚假记载、误导性陈述或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998"/>
        <w:gridCol w:w="994"/>
        <w:gridCol w:w="850"/>
        <w:gridCol w:w="4536"/>
        <w:gridCol w:w="850"/>
        <w:gridCol w:w="854"/>
        <w:gridCol w:w="787"/>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者重大遗漏，对判断发行人是否符合法律规定的发行条 件构成重大、实质影响的，在中国证监会对发行人作出 行政处罚决定之日起</w:t>
            </w:r>
            <w:r>
              <w:rPr>
                <w:rFonts w:ascii="Times New Roman" w:eastAsia="Times New Roman" w:hAnsi="Times New Roman" w:cs="Times New Roman"/>
                <w:color w:val="000000"/>
                <w:spacing w:val="0"/>
                <w:w w:val="100"/>
                <w:position w:val="0"/>
              </w:rPr>
              <w:t>30</w:t>
            </w:r>
            <w:r>
              <w:rPr>
                <w:color w:val="000000"/>
                <w:spacing w:val="0"/>
                <w:w w:val="100"/>
                <w:position w:val="0"/>
              </w:rPr>
              <w:t>日内，其将以发行价并加算银行 同期存款利息依法购回锁定期结束后其在二级市场减持 的股份（不包括本次公开发行时其他股东公开发售部 分）。在此期间，发行人如发生除权除息事项的，上述回 购价格及回购股份数量相应进行调整。</w:t>
            </w:r>
            <w:r>
              <w:rPr>
                <w:rFonts w:ascii="Times New Roman" w:eastAsia="Times New Roman" w:hAnsi="Times New Roman" w:cs="Times New Roman"/>
                <w:color w:val="000000"/>
                <w:spacing w:val="0"/>
                <w:w w:val="100"/>
                <w:position w:val="0"/>
              </w:rPr>
              <w:t>2</w:t>
            </w:r>
            <w:r>
              <w:rPr>
                <w:color w:val="000000"/>
                <w:spacing w:val="0"/>
                <w:w w:val="100"/>
                <w:position w:val="0"/>
              </w:rPr>
              <w:t>、如果本次发行 的招股意向书有虚假记载、误导性陈述或者重大遗漏， 致使投资者在证券交易中遭受损失的，其将依法赔偿投 资者损失。</w:t>
            </w:r>
            <w:r>
              <w:rPr>
                <w:rFonts w:ascii="Times New Roman" w:eastAsia="Times New Roman" w:hAnsi="Times New Roman" w:cs="Times New Roman"/>
                <w:color w:val="000000"/>
                <w:spacing w:val="0"/>
                <w:w w:val="100"/>
                <w:position w:val="0"/>
              </w:rPr>
              <w:t>3</w:t>
            </w:r>
            <w:r>
              <w:rPr>
                <w:color w:val="000000"/>
                <w:spacing w:val="0"/>
                <w:w w:val="100"/>
                <w:position w:val="0"/>
              </w:rPr>
              <w:t>、如果其未能履行上述承诺，将在发行人股 东大会及中国证监会指定报刊上公开说明未履行的具体 原因并向股东和社会公众投资者道歉，并在违反上述承 诺发生之日起</w:t>
            </w:r>
            <w:r>
              <w:rPr>
                <w:rFonts w:ascii="Times New Roman" w:eastAsia="Times New Roman" w:hAnsi="Times New Roman" w:cs="Times New Roman"/>
                <w:color w:val="000000"/>
                <w:spacing w:val="0"/>
                <w:w w:val="100"/>
                <w:position w:val="0"/>
              </w:rPr>
              <w:t>5</w:t>
            </w:r>
            <w:r>
              <w:rPr>
                <w:color w:val="000000"/>
                <w:spacing w:val="0"/>
                <w:w w:val="100"/>
                <w:position w:val="0"/>
              </w:rPr>
              <w:t>个工作日内，停止在发行人处领取股东 分红，同时其直接或间接所持有的发行人股份将不得转 让，直至其按上述承诺采取相应的赔偿措施并实施完毕 时为止。若法律、法规、规范性文件及中国证监会或深 圳证券交易所对其因违反上述承诺而应承担的相关责任 及后果有不同规定，其自愿无条件地遵从该等规定。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、如果本次发行招股意向书有虚假记载、误导性陈述或 者重大遗漏，对判断发行人是否符合法律规定的发行条 件构成重大、实质影响的，在中国证监会对发行人作出 行政处罚决定之日起</w:t>
            </w:r>
            <w:r>
              <w:rPr>
                <w:rFonts w:ascii="Times New Roman" w:eastAsia="Times New Roman" w:hAnsi="Times New Roman" w:cs="Times New Roman"/>
                <w:color w:val="000000"/>
                <w:spacing w:val="0"/>
                <w:w w:val="100"/>
                <w:position w:val="0"/>
              </w:rPr>
              <w:t>30</w:t>
            </w:r>
            <w:r>
              <w:rPr>
                <w:color w:val="000000"/>
                <w:spacing w:val="0"/>
                <w:w w:val="100"/>
                <w:position w:val="0"/>
              </w:rPr>
              <w:t>日内，本人将以发行价并加算银 行同期存款利息依法购回锁定期结束后本人在二级市场 减持的股份（不包括本次公开发行时其他股东公开发售 部分）。在此期间，发行人如发生除权除息事项的，上述 回购价格及回购股份数量相应进行调整。</w:t>
            </w:r>
            <w:r>
              <w:rPr>
                <w:rFonts w:ascii="Times New Roman" w:eastAsia="Times New Roman" w:hAnsi="Times New Roman" w:cs="Times New Roman"/>
                <w:color w:val="000000"/>
                <w:spacing w:val="0"/>
                <w:w w:val="100"/>
                <w:position w:val="0"/>
              </w:rPr>
              <w:t>2</w:t>
            </w:r>
            <w:r>
              <w:rPr>
                <w:color w:val="000000"/>
                <w:spacing w:val="0"/>
                <w:w w:val="100"/>
                <w:position w:val="0"/>
              </w:rPr>
              <w:t>、如果本次发 行的招股意向书有虚假记载、误导性陈述或者重大遗 漏，致使投资者在证券交易中遭受损失的，本人将依法 赔偿投资者损失。</w:t>
            </w:r>
            <w:r>
              <w:rPr>
                <w:rFonts w:ascii="Times New Roman" w:eastAsia="Times New Roman" w:hAnsi="Times New Roman" w:cs="Times New Roman"/>
                <w:color w:val="000000"/>
                <w:spacing w:val="0"/>
                <w:w w:val="100"/>
                <w:position w:val="0"/>
              </w:rPr>
              <w:t>3</w:t>
            </w:r>
            <w:r>
              <w:rPr>
                <w:color w:val="000000"/>
                <w:spacing w:val="0"/>
                <w:w w:val="100"/>
                <w:position w:val="0"/>
              </w:rPr>
              <w:t>、如果本人未能履行上述承诺，将在 发行人股东大会及中国证监会指定报刊上公开说明未履 行的具体原因并向股东和社会公众投资者道歉，并在违 反上述承诺发生之日起</w:t>
            </w:r>
            <w:r>
              <w:rPr>
                <w:rFonts w:ascii="Times New Roman" w:eastAsia="Times New Roman" w:hAnsi="Times New Roman" w:cs="Times New Roman"/>
                <w:color w:val="000000"/>
                <w:spacing w:val="0"/>
                <w:w w:val="100"/>
                <w:position w:val="0"/>
              </w:rPr>
              <w:t>5</w:t>
            </w:r>
            <w:r>
              <w:rPr>
                <w:color w:val="000000"/>
                <w:spacing w:val="0"/>
                <w:w w:val="100"/>
                <w:position w:val="0"/>
              </w:rPr>
              <w:t>个工作日内，停止在发行人处 领取薪酬、津贴及股东分红，同时本人直接或间接所持 有的发行人股份将不得转让，直至本人按上述承诺采取 相应的赔偿措施并实施完毕时为止。若法律、法规、规 范性文件及中国证监会或深圳证券交易所对本人因违反 上述承诺而应承担的相关责任及后果有不同规定，本人 自愿无条件地遵从该等规定。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监事、高级</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管理人员：</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高级管理人</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员：汪建、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、公司全体董事、监事、高级管理人员承诺招股意向书 不存在虚假记载、误导性陈述或重大遗漏，并对其真实 性、准确性、完整性、及时性承担个别和连带的法律责 任。如果招股意向书有虚假记载、误导性陈述或者重大 遗漏，致使投资者遭受损失的，公司全体董事、监事、 高级管理人员将依法赔偿投资者损失，不因职务变更、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94"/>
        <w:gridCol w:w="850"/>
        <w:gridCol w:w="4536"/>
        <w:gridCol w:w="850"/>
        <w:gridCol w:w="854"/>
        <w:gridCol w:w="787"/>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尹烨、孙英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离职等原因而放弃履行已作出的承诺。</w:t>
            </w:r>
            <w:r>
              <w:rPr>
                <w:rFonts w:ascii="Times New Roman" w:eastAsia="Times New Roman" w:hAnsi="Times New Roman" w:cs="Times New Roman"/>
                <w:color w:val="000000"/>
                <w:spacing w:val="0"/>
                <w:w w:val="100"/>
                <w:position w:val="0"/>
              </w:rPr>
              <w:t>2</w:t>
            </w:r>
            <w:r>
              <w:rPr>
                <w:color w:val="000000"/>
                <w:spacing w:val="0"/>
                <w:w w:val="100"/>
                <w:position w:val="0"/>
              </w:rPr>
              <w:t>、如果发行人全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4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俊、王俊、 吴淳、李英 睿、赵谦、 王洪涛、金 春保、陈鹏 辉、王石、 徐爱民、蒋 昌建、谢 宏、吴育 辉、李松 岗、李雯 琪、胡宇 洁、张凌、 刘娜、陈轶 青、李治 平、王威、 徐茜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体董事、监事、高级管理人员未能履行上述承诺，将在 公司股东大会及中国证监会指定报刊上公开说明未履行 的具体原因并向公司股东和社会公众投资者道歉，并在 违反上述承诺发生之日起</w:t>
            </w:r>
            <w:r>
              <w:rPr>
                <w:rFonts w:ascii="Times New Roman" w:eastAsia="Times New Roman" w:hAnsi="Times New Roman" w:cs="Times New Roman"/>
                <w:color w:val="000000"/>
                <w:spacing w:val="0"/>
                <w:w w:val="100"/>
                <w:position w:val="0"/>
              </w:rPr>
              <w:t>5</w:t>
            </w:r>
            <w:r>
              <w:rPr>
                <w:color w:val="000000"/>
                <w:spacing w:val="0"/>
                <w:w w:val="100"/>
                <w:position w:val="0"/>
              </w:rPr>
              <w:t>个工作日内，停止在公司处 领取薪酬、津贴及股东分红，同时发行人全体董事、监 事、高级管理人员直接或间接所持有的公司股份将不得 转让，直至按上述承诺采取相应的赔偿措施并实施完毕 时为止。若法律、法规、规范性文件及中国证监会或深 圳证券交易所对发行人全体董事、监事、高级管理人员 因违反上述承诺而应承担的相关责任及后果有不同规 定，发行人全体董事、监事、高级管理人员自愿无条件 地遵从该等规定。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47"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中信证券股 份有限公 司、安永华 明会计师事 务所（特殊 普通合 伙）、国浩 律师（深 圳）事务 所、深圳德 正信国际资 产评估有限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中信证券股份有限公司承诺，因其为发行人首次公开发 行制作、出具的文件有虚假陈述、误导性陈述或者重大 遗漏，给投资者造成损失的，将先行赔偿投资者损失。 中信证券股份有限公司、国浩律师（深圳）事务所、安 永华明会计师事务所（特殊普通合伙）、深圳德正信国际 资产评估有限公司承诺，因其为发行人首次公开发行制 作、出具的文件存在虚假记载、误导性陈述或者重大遗 漏，并因此给投资者造成损失的，其将依法承担相应责 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114"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 因科技有限 公司、汪建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 同业竞争 的承诺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为避免同业竞争，维护公司及其他股东的利益，公司控 股股东华大控股、实际控制人汪建先生出具了《关于避 免同业竞争的承诺函》。其中，公司的控股股东华大控股 承诺如下：</w:t>
            </w:r>
            <w:r>
              <w:rPr>
                <w:rFonts w:ascii="Times New Roman" w:eastAsia="Times New Roman" w:hAnsi="Times New Roman" w:cs="Times New Roman"/>
                <w:color w:val="000000"/>
                <w:spacing w:val="0"/>
                <w:w w:val="100"/>
                <w:position w:val="0"/>
              </w:rPr>
              <w:t>1</w:t>
            </w:r>
            <w:r>
              <w:rPr>
                <w:color w:val="000000"/>
                <w:spacing w:val="0"/>
                <w:w w:val="100"/>
                <w:position w:val="0"/>
              </w:rPr>
              <w:t>、华大控股及其控制的其他企业目前没有， 将来也不从事与华大基因及其控制的其他企业主营业务 相同或相似的生产经营活动，华大控股及其控制的其他 企业也不会通过投资于其它经济实体、机构、经济组织 从事或参与和华大基因及其控制的其他企业主营业务相 同的竞争性业务。</w:t>
            </w:r>
            <w:r>
              <w:rPr>
                <w:rFonts w:ascii="Times New Roman" w:eastAsia="Times New Roman" w:hAnsi="Times New Roman" w:cs="Times New Roman"/>
                <w:color w:val="000000"/>
                <w:spacing w:val="0"/>
                <w:w w:val="100"/>
                <w:position w:val="0"/>
              </w:rPr>
              <w:t>2</w:t>
            </w:r>
            <w:r>
              <w:rPr>
                <w:color w:val="000000"/>
                <w:spacing w:val="0"/>
                <w:w w:val="100"/>
                <w:position w:val="0"/>
              </w:rPr>
              <w:t>、如果华大基因及其控制的其他企业 在其现有业务的基础上进一步拓展其经营业务范围，而 华大控股及其控制的其他企业对此已经进行生产、经营 的，只要其仍然是华大基因的控股股东，华大控股及其 控制的其他企业同意在合理期限内对该相关业务进行转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94"/>
        <w:gridCol w:w="850"/>
        <w:gridCol w:w="4536"/>
        <w:gridCol w:w="850"/>
        <w:gridCol w:w="854"/>
        <w:gridCol w:w="78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让且华大基因在同等商业条件下有优先收购权。</w:t>
            </w:r>
            <w:r>
              <w:rPr>
                <w:rFonts w:ascii="Times New Roman" w:eastAsia="Times New Roman" w:hAnsi="Times New Roman" w:cs="Times New Roman"/>
                <w:color w:val="000000"/>
                <w:spacing w:val="0"/>
                <w:w w:val="100"/>
                <w:position w:val="0"/>
              </w:rPr>
              <w:t>3</w:t>
            </w:r>
            <w:r>
              <w:rPr>
                <w:color w:val="000000"/>
                <w:spacing w:val="0"/>
                <w:w w:val="100"/>
                <w:position w:val="0"/>
              </w:rPr>
              <w:t>、对于 华大基因及其控制的其他企业在其现有业务范围的基础 上进一步拓展其经营业务范围，而华大控股及其控制的 其他企业目前尚未对此进行生产、经营的，只要其仍然 是华大基因的控股股东，华大控股及其控制的其他企业 将不从事与华大基因及其控制的其他企业相竞争的该等 新业务。</w:t>
            </w:r>
            <w:r>
              <w:rPr>
                <w:rFonts w:ascii="Times New Roman" w:eastAsia="Times New Roman" w:hAnsi="Times New Roman" w:cs="Times New Roman"/>
                <w:color w:val="000000"/>
                <w:spacing w:val="0"/>
                <w:w w:val="100"/>
                <w:position w:val="0"/>
              </w:rPr>
              <w:t>4</w:t>
            </w:r>
            <w:r>
              <w:rPr>
                <w:color w:val="000000"/>
                <w:spacing w:val="0"/>
                <w:w w:val="100"/>
                <w:position w:val="0"/>
              </w:rPr>
              <w:t>、华大控股及其控制的其他企业目前没有，将 来也不向其他业务与华大基因及其控制的其他企业主营 业务相同、类似的公司、企业或其他机构、组织或个人 提供专有技术或提供销售渠道、客户信息等商业机密。</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、华大基因股票在深圳证券交易所上市交易后且其依照 所适用的上市规则被认定为华大基因的控股股东期间， 其将不会变更、解除本承诺。</w:t>
            </w:r>
            <w:r>
              <w:rPr>
                <w:rFonts w:ascii="Times New Roman" w:eastAsia="Times New Roman" w:hAnsi="Times New Roman" w:cs="Times New Roman"/>
                <w:color w:val="000000"/>
                <w:spacing w:val="0"/>
                <w:w w:val="100"/>
                <w:position w:val="0"/>
              </w:rPr>
              <w:t>6</w:t>
            </w:r>
            <w:r>
              <w:rPr>
                <w:color w:val="000000"/>
                <w:spacing w:val="0"/>
                <w:w w:val="100"/>
                <w:position w:val="0"/>
              </w:rPr>
              <w:t>、其将忠实履行上述承 诺，并承担相应的法律责任，若不履行本承诺所赋予的 义务和责任，其将承担华大基因、华大基因其他股东或 利益相关方因此所受到的任何损失。公司的实际控制人 汪建先生承诺如下：</w:t>
            </w:r>
            <w:r>
              <w:rPr>
                <w:rFonts w:ascii="Times New Roman" w:eastAsia="Times New Roman" w:hAnsi="Times New Roman" w:cs="Times New Roman"/>
                <w:color w:val="000000"/>
                <w:spacing w:val="0"/>
                <w:w w:val="100"/>
                <w:position w:val="0"/>
              </w:rPr>
              <w:t>1</w:t>
            </w:r>
            <w:r>
              <w:rPr>
                <w:color w:val="000000"/>
                <w:spacing w:val="0"/>
                <w:w w:val="100"/>
                <w:position w:val="0"/>
              </w:rPr>
              <w:t>、本人、本人控制的其他企业及与 本人关系密切的近亲属（</w:t>
            </w:r>
            <w:r>
              <w:rPr>
                <w:rFonts w:ascii="Times New Roman" w:eastAsia="Times New Roman" w:hAnsi="Times New Roman" w:cs="Times New Roman"/>
                <w:color w:val="000000"/>
                <w:spacing w:val="0"/>
                <w:w w:val="100"/>
                <w:position w:val="0"/>
              </w:rPr>
              <w:t>”</w:t>
            </w:r>
            <w:r>
              <w:rPr>
                <w:color w:val="000000"/>
                <w:spacing w:val="0"/>
                <w:w w:val="100"/>
                <w:position w:val="0"/>
              </w:rPr>
              <w:t>关系密切的家庭成员</w:t>
            </w:r>
            <w:r>
              <w:rPr>
                <w:rFonts w:ascii="Times New Roman" w:eastAsia="Times New Roman" w:hAnsi="Times New Roman" w:cs="Times New Roman"/>
                <w:color w:val="000000"/>
                <w:spacing w:val="0"/>
                <w:w w:val="100"/>
                <w:position w:val="0"/>
              </w:rPr>
              <w:t>”</w:t>
            </w:r>
            <w:r>
              <w:rPr>
                <w:color w:val="000000"/>
                <w:spacing w:val="0"/>
                <w:w w:val="100"/>
                <w:position w:val="0"/>
              </w:rPr>
              <w:t>指配偶、 父母及配偶的父母、兄弟姐妹及其配偶、年满</w:t>
            </w:r>
            <w:r>
              <w:rPr>
                <w:rFonts w:ascii="Times New Roman" w:eastAsia="Times New Roman" w:hAnsi="Times New Roman" w:cs="Times New Roman"/>
                <w:color w:val="000000"/>
                <w:spacing w:val="0"/>
                <w:w w:val="100"/>
                <w:position w:val="0"/>
              </w:rPr>
              <w:t>18</w:t>
            </w:r>
            <w:r>
              <w:rPr>
                <w:color w:val="000000"/>
                <w:spacing w:val="0"/>
                <w:w w:val="100"/>
                <w:position w:val="0"/>
              </w:rPr>
              <w:t>周岁的 子女及其配偶、配偶的兄弟姐妹和子女配偶的父母）目 前没有，将来也不从事与华大基因及其控制的其他企业 主营业务相同或相似的生产经营活动，本人及本人控制 的其他企业也不会通过投资于其它经济实体、机构、经 济组织从事或参与和华大基因及其控制的其他企业主营 业务相同的竞争性业务，本人也不会在该等与华大基因 有竞争关系的经济实体、机构、经济组织担任董事、高 级管理人员或核心技术人员。</w:t>
            </w:r>
            <w:r>
              <w:rPr>
                <w:rFonts w:ascii="Times New Roman" w:eastAsia="Times New Roman" w:hAnsi="Times New Roman" w:cs="Times New Roman"/>
                <w:color w:val="000000"/>
                <w:spacing w:val="0"/>
                <w:w w:val="100"/>
                <w:position w:val="0"/>
              </w:rPr>
              <w:t>2</w:t>
            </w:r>
            <w:r>
              <w:rPr>
                <w:color w:val="000000"/>
                <w:spacing w:val="0"/>
                <w:w w:val="100"/>
                <w:position w:val="0"/>
              </w:rPr>
              <w:t>、如果华大基因及其控制 的其他企业在其现有业务的基础上进一步拓展其经营业 务范围，而本人、本人控制的其他企业及与本人关系密 切的近亲属对此已经进行生产、经营的，只要本人仍然 是华大基因的实际控制人，本人、本人控制的其他企业 及与本人关系密切的近亲属同意在合理期限内对该相关 业务进行转让且华大基因在同等商业条件下有优先收购 权。</w:t>
            </w:r>
            <w:r>
              <w:rPr>
                <w:rFonts w:ascii="Times New Roman" w:eastAsia="Times New Roman" w:hAnsi="Times New Roman" w:cs="Times New Roman"/>
                <w:color w:val="000000"/>
                <w:spacing w:val="0"/>
                <w:w w:val="100"/>
                <w:position w:val="0"/>
              </w:rPr>
              <w:t>3</w:t>
            </w:r>
            <w:r>
              <w:rPr>
                <w:color w:val="000000"/>
                <w:spacing w:val="0"/>
                <w:w w:val="100"/>
                <w:position w:val="0"/>
              </w:rPr>
              <w:t>、对于华大基因及其控制的其他企业在其现有业务 范围的基础上进一步拓展其经营业务范围，而本人、本 人控制的其他企业及与本人关系密切的近亲属目前尚未 对此进行生产、经营的，只要本人仍然是华大基因的实 际控制人，本人、本人控制的其他企业及与本人关系密 切的近亲属将不从事与华大基因及其控制的其他企业相 竞争的该等新业务。</w:t>
            </w:r>
            <w:r>
              <w:rPr>
                <w:rFonts w:ascii="Times New Roman" w:eastAsia="Times New Roman" w:hAnsi="Times New Roman" w:cs="Times New Roman"/>
                <w:color w:val="000000"/>
                <w:spacing w:val="0"/>
                <w:w w:val="100"/>
                <w:position w:val="0"/>
              </w:rPr>
              <w:t>4</w:t>
            </w:r>
            <w:r>
              <w:rPr>
                <w:color w:val="000000"/>
                <w:spacing w:val="0"/>
                <w:w w:val="100"/>
                <w:position w:val="0"/>
              </w:rPr>
              <w:t>、本人、本人控制的其他企业及与 本人关系密切的近亲属目前没有，将来也不向其他业务 与华大基因及其控制的其他企业主营业务相同、类似的 公司、企业或其他机构、组织或个人提供专有技术或提 供销售渠道、客户信息等商业机密。</w:t>
            </w:r>
            <w:r>
              <w:rPr>
                <w:rFonts w:ascii="Times New Roman" w:eastAsia="Times New Roman" w:hAnsi="Times New Roman" w:cs="Times New Roman"/>
                <w:color w:val="000000"/>
                <w:spacing w:val="0"/>
                <w:w w:val="100"/>
                <w:position w:val="0"/>
              </w:rPr>
              <w:t>5</w:t>
            </w:r>
            <w:r>
              <w:rPr>
                <w:color w:val="000000"/>
                <w:spacing w:val="0"/>
                <w:w w:val="100"/>
                <w:position w:val="0"/>
              </w:rPr>
              <w:t>、华大基因股票在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994"/>
        <w:gridCol w:w="850"/>
        <w:gridCol w:w="4536"/>
        <w:gridCol w:w="850"/>
        <w:gridCol w:w="854"/>
        <w:gridCol w:w="787"/>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深圳证券交易所上市交易后且本人依照所适用的上市规 则被认定为华大基因的实际控制人期间，本人将不会变 更、解除本承诺。</w:t>
            </w:r>
            <w:r>
              <w:rPr>
                <w:rFonts w:ascii="Times New Roman" w:eastAsia="Times New Roman" w:hAnsi="Times New Roman" w:cs="Times New Roman"/>
                <w:color w:val="000000"/>
                <w:spacing w:val="0"/>
                <w:w w:val="100"/>
                <w:position w:val="0"/>
              </w:rPr>
              <w:t>6</w:t>
            </w:r>
            <w:r>
              <w:rPr>
                <w:color w:val="000000"/>
                <w:spacing w:val="0"/>
                <w:w w:val="100"/>
                <w:position w:val="0"/>
              </w:rPr>
              <w:t>、本人将忠实履行上述承诺，并承担 相应的法律责任，若不履行本承诺所约定的义务和责 任，本人将承担华大基因、华大基因其他股东或利益相 关方因此所受到的任何损失。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深圳华大基 因科技有限 公司、汪建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关于避免</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或减少关</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联交易的</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为避免或减少将来可能与公司及其全资、控股子公司产 生的关联交易，公司控股股东华大控股、实际控制人汪 建先生出具了《关于避免或减少关联交易的承诺函》。其 中，公司的控股股东华大控股承诺如下：</w:t>
            </w:r>
            <w:r>
              <w:rPr>
                <w:rFonts w:ascii="Times New Roman" w:eastAsia="Times New Roman" w:hAnsi="Times New Roman" w:cs="Times New Roman"/>
                <w:color w:val="000000"/>
                <w:spacing w:val="0"/>
                <w:w w:val="100"/>
                <w:position w:val="0"/>
              </w:rPr>
              <w:t>1</w:t>
            </w:r>
            <w:r>
              <w:rPr>
                <w:color w:val="000000"/>
                <w:spacing w:val="0"/>
                <w:w w:val="100"/>
                <w:position w:val="0"/>
              </w:rPr>
              <w:t>、不利用自身 的地位及控制性影响谋求华大基因及其控制的其他企业 在业务合作等方面给予华大控股及其控制的其他企业优 于市场第三方的权利；</w:t>
            </w:r>
            <w:r>
              <w:rPr>
                <w:rFonts w:ascii="Times New Roman" w:eastAsia="Times New Roman" w:hAnsi="Times New Roman" w:cs="Times New Roman"/>
                <w:color w:val="000000"/>
                <w:spacing w:val="0"/>
                <w:w w:val="100"/>
                <w:position w:val="0"/>
              </w:rPr>
              <w:t>2</w:t>
            </w:r>
            <w:r>
              <w:rPr>
                <w:color w:val="000000"/>
                <w:spacing w:val="0"/>
                <w:w w:val="100"/>
                <w:position w:val="0"/>
              </w:rPr>
              <w:t>、不利用自身的地位及控制性影 响谋求华大控股及其控制的其他企业与华大基因及其控 制的其他企业达成交易的优先权利；</w:t>
            </w:r>
            <w:r>
              <w:rPr>
                <w:rFonts w:ascii="Times New Roman" w:eastAsia="Times New Roman" w:hAnsi="Times New Roman" w:cs="Times New Roman"/>
                <w:color w:val="000000"/>
                <w:spacing w:val="0"/>
                <w:w w:val="100"/>
                <w:position w:val="0"/>
              </w:rPr>
              <w:t>3</w:t>
            </w:r>
            <w:r>
              <w:rPr>
                <w:color w:val="000000"/>
                <w:spacing w:val="0"/>
                <w:w w:val="100"/>
                <w:position w:val="0"/>
              </w:rPr>
              <w:t>、华大控股及其控 制的其他企业不以低于或高于市场价格的条件与华大基 因及其控制的其他企业进行交易，不会利用关联交易转 移、输送利润，亦不利用关联交易从事任何损害华大基 因及其控制的其他企业利益的行为；</w:t>
            </w:r>
            <w:r>
              <w:rPr>
                <w:rFonts w:ascii="Times New Roman" w:eastAsia="Times New Roman" w:hAnsi="Times New Roman" w:cs="Times New Roman"/>
                <w:color w:val="000000"/>
                <w:spacing w:val="0"/>
                <w:w w:val="100"/>
                <w:position w:val="0"/>
              </w:rPr>
              <w:t>4</w:t>
            </w:r>
            <w:r>
              <w:rPr>
                <w:color w:val="000000"/>
                <w:spacing w:val="0"/>
                <w:w w:val="100"/>
                <w:position w:val="0"/>
              </w:rPr>
              <w:t>、华大控股及其控 制的其他企业将尽量避免或减少并规范与华大基因及其 控制的其他企业之间的关联交易。如果有不可避免的关 联交易发生，所涉及的关联交易均会按照相关法律法 规、《公司章程》和《关联交易管理制度》等文件的相关 规定履行合法程序，及时进行信息披露，保证不通过关 联交易损害华大基因及其他股东的合法权益；</w:t>
            </w:r>
            <w:r>
              <w:rPr>
                <w:rFonts w:ascii="Times New Roman" w:eastAsia="Times New Roman" w:hAnsi="Times New Roman" w:cs="Times New Roman"/>
                <w:color w:val="000000"/>
                <w:spacing w:val="0"/>
                <w:w w:val="100"/>
                <w:position w:val="0"/>
              </w:rPr>
              <w:t>5</w:t>
            </w:r>
            <w:r>
              <w:rPr>
                <w:color w:val="000000"/>
                <w:spacing w:val="0"/>
                <w:w w:val="100"/>
                <w:position w:val="0"/>
              </w:rPr>
              <w:t>、华大基 因股票在深圳证券交易所上市交易后且华大控股依照所 适用的上市规则被认定为华大基因的控股股东期间，其 将不会变更、解除本承诺；</w:t>
            </w:r>
            <w:r>
              <w:rPr>
                <w:rFonts w:ascii="Times New Roman" w:eastAsia="Times New Roman" w:hAnsi="Times New Roman" w:cs="Times New Roman"/>
                <w:color w:val="000000"/>
                <w:spacing w:val="0"/>
                <w:w w:val="100"/>
                <w:position w:val="0"/>
              </w:rPr>
              <w:t>6</w:t>
            </w:r>
            <w:r>
              <w:rPr>
                <w:color w:val="000000"/>
                <w:spacing w:val="0"/>
                <w:w w:val="100"/>
                <w:position w:val="0"/>
              </w:rPr>
              <w:t>、其将忠实履行上述承诺， 并承担相应的法律责任，若不履行本承诺所赋予的义务 和责任，其将承担华大基因、华大基因其他股东或利益 相关方因此所受到的任何损失。公司的实际控制人汪建 先生承诺如下：</w:t>
            </w:r>
            <w:r>
              <w:rPr>
                <w:rFonts w:ascii="Times New Roman" w:eastAsia="Times New Roman" w:hAnsi="Times New Roman" w:cs="Times New Roman"/>
                <w:color w:val="000000"/>
                <w:spacing w:val="0"/>
                <w:w w:val="100"/>
                <w:position w:val="0"/>
              </w:rPr>
              <w:t>1</w:t>
            </w:r>
            <w:r>
              <w:rPr>
                <w:color w:val="000000"/>
                <w:spacing w:val="0"/>
                <w:w w:val="100"/>
                <w:position w:val="0"/>
              </w:rPr>
              <w:t>、本人承诺并促使本人控制的其他企 业、与本人关系密切的家庭成员</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关系密切的家庭成员</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指配偶、父母及配偶的父母、兄弟姐妹及其配偶、年满 </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周岁的子女及其配偶、配偶的兄弟姐妹和子女配偶的 父母）不利用本人的地位及控制性影响谋求华大基因及 其控制的其他企业在业务合作等方面给予优于市场第三 方的权利；</w:t>
            </w:r>
            <w:r>
              <w:rPr>
                <w:rFonts w:ascii="Times New Roman" w:eastAsia="Times New Roman" w:hAnsi="Times New Roman" w:cs="Times New Roman"/>
                <w:color w:val="000000"/>
                <w:spacing w:val="0"/>
                <w:w w:val="100"/>
                <w:position w:val="0"/>
              </w:rPr>
              <w:t>2</w:t>
            </w:r>
            <w:r>
              <w:rPr>
                <w:color w:val="000000"/>
                <w:spacing w:val="0"/>
                <w:w w:val="100"/>
                <w:position w:val="0"/>
              </w:rPr>
              <w:t>、本人承诺并促使本人控制的其他企业、与 本人关系密切的家庭成员不利用本人的地位及控制性影 响谋求与华大基因及其控制的其他企业达成交易的优先 权利；</w:t>
            </w:r>
            <w:r>
              <w:rPr>
                <w:rFonts w:ascii="Times New Roman" w:eastAsia="Times New Roman" w:hAnsi="Times New Roman" w:cs="Times New Roman"/>
                <w:color w:val="000000"/>
                <w:spacing w:val="0"/>
                <w:w w:val="100"/>
                <w:position w:val="0"/>
              </w:rPr>
              <w:t>3</w:t>
            </w:r>
            <w:r>
              <w:rPr>
                <w:color w:val="000000"/>
                <w:spacing w:val="0"/>
                <w:w w:val="100"/>
                <w:position w:val="0"/>
              </w:rPr>
              <w:t>、本人承诺并促使本人控制的其他企业、与本人 关系密切的家庭成员不以低于或高于市场价格的条件与 华大基因及其控制的其他企业进行交易，不会利用关联 交易转移、输送利润，亦不利用关联交易从事任何损害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94"/>
        <w:gridCol w:w="850"/>
        <w:gridCol w:w="4536"/>
        <w:gridCol w:w="850"/>
        <w:gridCol w:w="854"/>
        <w:gridCol w:w="787"/>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华大基因及其控制的其他企业利益的行为；</w:t>
            </w:r>
            <w:r>
              <w:rPr>
                <w:rFonts w:ascii="Times New Roman" w:eastAsia="Times New Roman" w:hAnsi="Times New Roman" w:cs="Times New Roman"/>
                <w:color w:val="000000"/>
                <w:spacing w:val="0"/>
                <w:w w:val="100"/>
                <w:position w:val="0"/>
              </w:rPr>
              <w:t>4</w:t>
            </w:r>
            <w:r>
              <w:rPr>
                <w:color w:val="000000"/>
                <w:spacing w:val="0"/>
                <w:w w:val="100"/>
                <w:position w:val="0"/>
              </w:rPr>
              <w:t>、本人承诺 并促使本人控制的其他企业、与本人关系密切的家庭成 员尽量避免或减少并规范与华大基因及其控制的其他企 业之间的关联交易。如果有不可避免的关联交易发生， 所涉及的关联交易均会按照相关法律法规、《公司章程》 和《关联交易管理制度》等文件的相关规定履行合法程 序，及时进行信息披露，保证不通过关联交易损害华大 基因及其他股东的合法权益；</w:t>
            </w:r>
            <w:r>
              <w:rPr>
                <w:rFonts w:ascii="Times New Roman" w:eastAsia="Times New Roman" w:hAnsi="Times New Roman" w:cs="Times New Roman"/>
                <w:color w:val="000000"/>
                <w:spacing w:val="0"/>
                <w:w w:val="100"/>
                <w:position w:val="0"/>
              </w:rPr>
              <w:t>5</w:t>
            </w:r>
            <w:r>
              <w:rPr>
                <w:color w:val="000000"/>
                <w:spacing w:val="0"/>
                <w:w w:val="100"/>
                <w:position w:val="0"/>
              </w:rPr>
              <w:t>、华大基因股票在深圳证 券交易所上市交易后且本人依照所适用的上市规则被认 定为华大基因的实际控制人期间，本人将不会变更、解 除本承诺；</w:t>
            </w:r>
            <w:r>
              <w:rPr>
                <w:rFonts w:ascii="Times New Roman" w:eastAsia="Times New Roman" w:hAnsi="Times New Roman" w:cs="Times New Roman"/>
                <w:color w:val="000000"/>
                <w:spacing w:val="0"/>
                <w:w w:val="100"/>
                <w:position w:val="0"/>
              </w:rPr>
              <w:t>6</w:t>
            </w:r>
            <w:r>
              <w:rPr>
                <w:color w:val="000000"/>
                <w:spacing w:val="0"/>
                <w:w w:val="100"/>
                <w:position w:val="0"/>
              </w:rPr>
              <w:t>、本人将忠实履行上述承诺，并承担相应的 法律责任，若不履行本承诺所约定的义务和责任，本人 将承担华大基因、华大基因其他股东或利益相关方因此 所受到的任何损失。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 因科技有限 公司、汪建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避免欠缴员工社保和住房公积金对公司未来经营业绩造 成影响，公司控股股东华大控股和实际控制人汪建先生 承诺：在华大基因首次公开发行股票并上市前，如因华 大基因（含华大基因前身）及其控股子公司、分公司未 依法为员工缴纳社会保险费及</w:t>
            </w:r>
            <w:r>
              <w:rPr>
                <w:rFonts w:ascii="Times New Roman" w:eastAsia="Times New Roman" w:hAnsi="Times New Roman" w:cs="Times New Roman"/>
                <w:color w:val="000000"/>
                <w:spacing w:val="0"/>
                <w:w w:val="100"/>
                <w:position w:val="0"/>
              </w:rPr>
              <w:t>/</w:t>
            </w:r>
            <w:r>
              <w:rPr>
                <w:color w:val="000000"/>
                <w:spacing w:val="0"/>
                <w:w w:val="100"/>
                <w:position w:val="0"/>
              </w:rPr>
              <w:t>或住房公积金，根据有权 部门的要求或决定，华大基因及</w:t>
            </w:r>
            <w:r>
              <w:rPr>
                <w:rFonts w:ascii="Times New Roman" w:eastAsia="Times New Roman" w:hAnsi="Times New Roman" w:cs="Times New Roman"/>
                <w:color w:val="000000"/>
                <w:spacing w:val="0"/>
                <w:w w:val="100"/>
                <w:position w:val="0"/>
              </w:rPr>
              <w:t>/</w:t>
            </w:r>
            <w:r>
              <w:rPr>
                <w:color w:val="000000"/>
                <w:spacing w:val="0"/>
                <w:w w:val="100"/>
                <w:position w:val="0"/>
              </w:rPr>
              <w:t>或其控股子公司、分公 司产生补缴义务或遭受任何罚款或损失的，其愿意在毋 须华大基因及其控股子公司、分公司支付对价的情况 下，无条件、自愿承担所有补缴金额和相关所有费用及</w:t>
            </w:r>
            <w:r>
              <w:rPr>
                <w:rFonts w:ascii="Times New Roman" w:eastAsia="Times New Roman" w:hAnsi="Times New Roman" w:cs="Times New Roman"/>
                <w:color w:val="000000"/>
                <w:spacing w:val="0"/>
                <w:w w:val="100"/>
                <w:position w:val="0"/>
              </w:rPr>
              <w:t xml:space="preserve">/ </w:t>
            </w:r>
            <w:r>
              <w:rPr>
                <w:color w:val="000000"/>
                <w:spacing w:val="0"/>
                <w:w w:val="100"/>
                <w:position w:val="0"/>
              </w:rPr>
              <w:t>或相关的经济赔偿责任。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 因科技有限 公司、汪建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对于招股说明书述及租赁房产存在的法律瑕疵，公司控 股股东和实际控制人已出具了书面承诺，承诺如下：</w:t>
            </w:r>
            <w:r>
              <w:rPr>
                <w:rFonts w:ascii="Times New Roman" w:eastAsia="Times New Roman" w:hAnsi="Times New Roman" w:cs="Times New Roman"/>
                <w:color w:val="000000"/>
                <w:spacing w:val="0"/>
                <w:w w:val="100"/>
                <w:position w:val="0"/>
              </w:rPr>
              <w:t xml:space="preserve">"1. </w:t>
            </w:r>
            <w:r>
              <w:rPr>
                <w:color w:val="000000"/>
                <w:spacing w:val="0"/>
                <w:w w:val="100"/>
                <w:position w:val="0"/>
              </w:rPr>
              <w:t>若华大基因因租赁未取得房屋产权证书的物业被有权部 门处罚，并责令搬迁，本人愿意在毋需华大基因支付任 何对价的情况下承担华大基因因不能继续承租该等物业 而搬迁所产生的成本与费用，并对其搬迁期间因此造成 的经济损失承担足额、全面的经济补偿；</w:t>
            </w:r>
            <w:r>
              <w:rPr>
                <w:rFonts w:ascii="Times New Roman" w:eastAsia="Times New Roman" w:hAnsi="Times New Roman" w:cs="Times New Roman"/>
                <w:color w:val="000000"/>
                <w:spacing w:val="0"/>
                <w:w w:val="100"/>
                <w:position w:val="0"/>
              </w:rPr>
              <w:t>2</w:t>
            </w:r>
            <w:r>
              <w:rPr>
                <w:color w:val="000000"/>
                <w:spacing w:val="0"/>
                <w:w w:val="100"/>
                <w:position w:val="0"/>
              </w:rPr>
              <w:t>.若华大基因 因租赁合同被有权部门认定为无效而与出租方产生诉 讼、仲裁等纠纷或因租赁合同存在的法律瑕疵而与出租 方或其他第三方发生诉讼、仲裁等纠纷的，本人愿意在 毋需华大基因支付任何对价的情况下承担华大基因因该 等纠纷而支付的律师费、诉讼费、案件受理费等所有成 本与费用，以保证华大基因不因该等租赁合同可能存在 的瑕疵而遭受任何损失或潜在损失。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深圳华大基 因科技有限 公司、汪建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6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不越权干预公司经营管理活动，不侵占公司利益。</w:t>
            </w:r>
          </w:p>
          <w:p>
            <w:pPr>
              <w:pStyle w:val="Style20"/>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本人</w:t>
            </w:r>
            <w:r>
              <w:rPr>
                <w:rFonts w:ascii="Times New Roman" w:eastAsia="Times New Roman" w:hAnsi="Times New Roman" w:cs="Times New Roman"/>
                <w:color w:val="000000"/>
                <w:spacing w:val="0"/>
                <w:w w:val="100"/>
                <w:position w:val="0"/>
              </w:rPr>
              <w:t>/</w:t>
            </w:r>
            <w:r>
              <w:rPr>
                <w:color w:val="000000"/>
                <w:spacing w:val="0"/>
                <w:w w:val="100"/>
                <w:position w:val="0"/>
              </w:rPr>
              <w:t>本公司承诺切实履行公司制定的有关填补回报措 施以及本人</w:t>
            </w:r>
            <w:r>
              <w:rPr>
                <w:rFonts w:ascii="Times New Roman" w:eastAsia="Times New Roman" w:hAnsi="Times New Roman" w:cs="Times New Roman"/>
                <w:color w:val="000000"/>
                <w:spacing w:val="0"/>
                <w:w w:val="100"/>
                <w:position w:val="0"/>
              </w:rPr>
              <w:t>/</w:t>
            </w:r>
            <w:r>
              <w:rPr>
                <w:color w:val="000000"/>
                <w:spacing w:val="0"/>
                <w:w w:val="100"/>
                <w:position w:val="0"/>
              </w:rPr>
              <w:t>本公司对此作出的任何有关填补回报措施的 承诺。如本人</w:t>
            </w:r>
            <w:r>
              <w:rPr>
                <w:rFonts w:ascii="Times New Roman" w:eastAsia="Times New Roman" w:hAnsi="Times New Roman" w:cs="Times New Roman"/>
                <w:color w:val="000000"/>
                <w:spacing w:val="0"/>
                <w:w w:val="100"/>
                <w:position w:val="0"/>
              </w:rPr>
              <w:t>/</w:t>
            </w:r>
            <w:r>
              <w:rPr>
                <w:color w:val="000000"/>
                <w:spacing w:val="0"/>
                <w:w w:val="100"/>
                <w:position w:val="0"/>
              </w:rPr>
              <w:t>本公司违反或未能履行上述承诺，本人</w:t>
            </w:r>
            <w:r>
              <w:rPr>
                <w:rFonts w:ascii="Times New Roman" w:eastAsia="Times New Roman" w:hAnsi="Times New Roman" w:cs="Times New Roman"/>
                <w:color w:val="000000"/>
                <w:spacing w:val="0"/>
                <w:w w:val="100"/>
                <w:position w:val="0"/>
              </w:rPr>
              <w:t>/</w:t>
            </w:r>
            <w:r>
              <w:rPr>
                <w:color w:val="000000"/>
                <w:spacing w:val="0"/>
                <w:w w:val="100"/>
                <w:position w:val="0"/>
              </w:rPr>
              <w:t>本 公司同意中国证券监督管理委员会、深圳证券交易所等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998"/>
        <w:gridCol w:w="994"/>
        <w:gridCol w:w="850"/>
        <w:gridCol w:w="4536"/>
        <w:gridCol w:w="850"/>
        <w:gridCol w:w="854"/>
        <w:gridCol w:w="787"/>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证券监管机构按照其制定或发布的有关规定、规则，对 本人</w:t>
            </w:r>
            <w:r>
              <w:rPr>
                <w:rFonts w:ascii="Times New Roman" w:eastAsia="Times New Roman" w:hAnsi="Times New Roman" w:cs="Times New Roman"/>
                <w:color w:val="000000"/>
                <w:spacing w:val="0"/>
                <w:w w:val="100"/>
                <w:position w:val="0"/>
              </w:rPr>
              <w:t>/</w:t>
            </w:r>
            <w:r>
              <w:rPr>
                <w:color w:val="000000"/>
                <w:spacing w:val="0"/>
                <w:w w:val="100"/>
                <w:position w:val="0"/>
              </w:rPr>
              <w:t>本公司作出相关处罚或采取相关监管措施。如本人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本公司违反或未能履行上述承诺，给公司或者投资者造 成损失的，本人</w:t>
            </w:r>
            <w:r>
              <w:rPr>
                <w:rFonts w:ascii="Times New Roman" w:eastAsia="Times New Roman" w:hAnsi="Times New Roman" w:cs="Times New Roman"/>
                <w:color w:val="000000"/>
                <w:spacing w:val="0"/>
                <w:w w:val="100"/>
                <w:position w:val="0"/>
              </w:rPr>
              <w:t>/</w:t>
            </w:r>
            <w:r>
              <w:rPr>
                <w:color w:val="000000"/>
                <w:spacing w:val="0"/>
                <w:w w:val="100"/>
                <w:position w:val="0"/>
              </w:rPr>
              <w:t>本公司愿意依法承担赔偿责任。</w:t>
            </w:r>
            <w:r>
              <w:rPr>
                <w:rFonts w:ascii="Times New Roman" w:eastAsia="Times New Roman" w:hAnsi="Times New Roman" w:cs="Times New Roman"/>
                <w:color w:val="000000"/>
                <w:spacing w:val="0"/>
                <w:w w:val="100"/>
                <w:position w:val="0"/>
              </w:rPr>
              <w:t>3</w:t>
            </w:r>
            <w:r>
              <w:rPr>
                <w:color w:val="000000"/>
                <w:spacing w:val="0"/>
                <w:w w:val="100"/>
                <w:position w:val="0"/>
              </w:rPr>
              <w:t>、自本 承诺出具日至本次发行完成前，如中国证券监督管理委 员会等证券监管机构关于填补回报措施及其承诺制定新 的规定，且上述承诺不能满足相关规定的，本人</w:t>
            </w:r>
            <w:r>
              <w:rPr>
                <w:rFonts w:ascii="Times New Roman" w:eastAsia="Times New Roman" w:hAnsi="Times New Roman" w:cs="Times New Roman"/>
                <w:color w:val="000000"/>
                <w:spacing w:val="0"/>
                <w:w w:val="100"/>
                <w:position w:val="0"/>
              </w:rPr>
              <w:t>/</w:t>
            </w:r>
            <w:r>
              <w:rPr>
                <w:color w:val="000000"/>
                <w:spacing w:val="0"/>
                <w:w w:val="100"/>
                <w:position w:val="0"/>
              </w:rPr>
              <w:t>本公司 承诺将按照相关规定出具补充承诺。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公司全体董 事、高级管 理人员：汪 建、尹烨、 孙英俊、杜 玉涛、王洪 涛、陈鹏 辉；蒋昌 建、徐爱 民、吴育 辉；刘娜、 陈轶青、李 治平、徐茜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公司全体董事、高级管理人员为维护广大投资者的利 益，对公司本次向特定对象发行股的发行摊薄即期回报 采取填补措施事宜作出以下承诺：</w:t>
            </w:r>
            <w:r>
              <w:rPr>
                <w:rFonts w:ascii="Times New Roman" w:eastAsia="Times New Roman" w:hAnsi="Times New Roman" w:cs="Times New Roman"/>
                <w:color w:val="000000"/>
                <w:spacing w:val="0"/>
                <w:w w:val="100"/>
                <w:position w:val="0"/>
              </w:rPr>
              <w:t>1</w:t>
            </w:r>
            <w:r>
              <w:rPr>
                <w:color w:val="000000"/>
                <w:spacing w:val="0"/>
                <w:w w:val="100"/>
                <w:position w:val="0"/>
              </w:rPr>
              <w:t>、本人承诺不无偿或 以不公平条件向其他单位或者个人输送利益，也不采用 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、本人承诺对本人的职务消费 行为进行约束。</w:t>
            </w:r>
            <w:r>
              <w:rPr>
                <w:rFonts w:ascii="Times New Roman" w:eastAsia="Times New Roman" w:hAnsi="Times New Roman" w:cs="Times New Roman"/>
                <w:color w:val="000000"/>
                <w:spacing w:val="0"/>
                <w:w w:val="100"/>
                <w:position w:val="0"/>
              </w:rPr>
              <w:t>3</w:t>
            </w:r>
            <w:r>
              <w:rPr>
                <w:color w:val="000000"/>
                <w:spacing w:val="0"/>
                <w:w w:val="100"/>
                <w:position w:val="0"/>
              </w:rPr>
              <w:t>、本人承诺不动用公司资产从事与本人 履行职责无关的投资、消费活动。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、本人承诺由董事会 或薪酬委员会制订的薪酬制度与公司填补回报措施的执 行情况相挂钩。</w:t>
            </w:r>
            <w:r>
              <w:rPr>
                <w:rFonts w:ascii="Times New Roman" w:eastAsia="Times New Roman" w:hAnsi="Times New Roman" w:cs="Times New Roman"/>
                <w:color w:val="000000"/>
                <w:spacing w:val="0"/>
                <w:w w:val="100"/>
                <w:position w:val="0"/>
              </w:rPr>
              <w:t>5</w:t>
            </w:r>
            <w:r>
              <w:rPr>
                <w:color w:val="000000"/>
                <w:spacing w:val="0"/>
                <w:w w:val="100"/>
                <w:position w:val="0"/>
              </w:rPr>
              <w:t>、本人承诺未来公司如实施股权激励， 则拟公布的公司股权激励的行权条件与公司填补回报措 施的执行情况相挂钩。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、本人承诺切实履行公司制定的 有关填补回报措施以及本人对此作出的任何有关填补回 报措施的承诺。如本人违反或未能履行上述承诺，本人 同意中国证券监督管理委员会、深圳证券交易所等证券 监管机构按照其制定或发布的有关规定、规则，对本人 作出相关处罚或采取相关监管措施。如本人违反或未能 履行上述承诺，给公司或者投资者造成损失的，本人愿 意依法承担赔偿责任。</w:t>
            </w:r>
            <w:r>
              <w:rPr>
                <w:rFonts w:ascii="Times New Roman" w:eastAsia="Times New Roman" w:hAnsi="Times New Roman" w:cs="Times New Roman"/>
                <w:color w:val="000000"/>
                <w:spacing w:val="0"/>
                <w:w w:val="100"/>
                <w:position w:val="0"/>
              </w:rPr>
              <w:t>7</w:t>
            </w:r>
            <w:r>
              <w:rPr>
                <w:color w:val="000000"/>
                <w:spacing w:val="0"/>
                <w:w w:val="100"/>
                <w:position w:val="0"/>
              </w:rPr>
              <w:t>、自本承诺出具日至本次发行完 成前，如中国证券监督管理委员会等证券监管机构关于 填补回报措施及其承诺制定新的规定，且上述承诺不能 满足相关规定的，本人承诺将按照相关规定出具补充承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15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华泰证券股 份有限公 司、天津礼 仁投资管理 合伙企业</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伙）、招商 证券股份有 限公司、中 央企业贫困 地区产业投 资基金股份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本公司作为华大基因向特定对象发行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股股票的发行对 象，现就本次认购作出如下承诺：</w:t>
            </w:r>
            <w:r>
              <w:rPr>
                <w:rFonts w:ascii="Times New Roman" w:eastAsia="Times New Roman" w:hAnsi="Times New Roman" w:cs="Times New Roman"/>
                <w:color w:val="000000"/>
                <w:spacing w:val="0"/>
                <w:w w:val="100"/>
                <w:position w:val="0"/>
              </w:rPr>
              <w:t>1</w:t>
            </w:r>
            <w:r>
              <w:rPr>
                <w:color w:val="000000"/>
                <w:spacing w:val="0"/>
                <w:w w:val="100"/>
                <w:position w:val="0"/>
              </w:rPr>
              <w:t xml:space="preserve">、本公司同意自华大 基因本次发行结束之日（指本次发行的股份上市之日即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日）起，六个月内不转让本次认购的股 份。</w:t>
            </w:r>
            <w:r>
              <w:rPr>
                <w:rFonts w:ascii="Times New Roman" w:eastAsia="Times New Roman" w:hAnsi="Times New Roman" w:cs="Times New Roman"/>
                <w:color w:val="000000"/>
                <w:spacing w:val="0"/>
                <w:w w:val="100"/>
                <w:position w:val="0"/>
              </w:rPr>
              <w:t>2</w:t>
            </w:r>
            <w:r>
              <w:rPr>
                <w:color w:val="000000"/>
                <w:spacing w:val="0"/>
                <w:w w:val="100"/>
                <w:position w:val="0"/>
              </w:rPr>
              <w:t>、本公司保证在不履行或不完全履行承诺时，赔偿 其他股东因此而遭受的损失。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line="322" w:lineRule="exact"/>
              <w:ind w:left="0" w:right="0" w:firstLine="0"/>
              <w:jc w:val="both"/>
            </w:pPr>
            <w:r>
              <w:rPr>
                <w:color w:val="000000"/>
                <w:spacing w:val="0"/>
                <w:w w:val="100"/>
                <w:position w:val="0"/>
              </w:rPr>
              <w:t>截至</w:t>
            </w:r>
          </w:p>
          <w:p>
            <w:pPr>
              <w:pStyle w:val="Style20"/>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日已履行 完毕</w:t>
            </w:r>
          </w:p>
        </w:tc>
      </w:tr>
    </w:tbl>
    <w:tbl>
      <w:tblPr>
        <w:tblOverlap w:val="never"/>
        <w:jc w:val="center"/>
        <w:tblLayout w:type="fixed"/>
      </w:tblPr>
      <w:tblGrid>
        <w:gridCol w:w="998"/>
        <w:gridCol w:w="994"/>
        <w:gridCol w:w="850"/>
        <w:gridCol w:w="4536"/>
        <w:gridCol w:w="850"/>
        <w:gridCol w:w="854"/>
        <w:gridCol w:w="787"/>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0"/>
        <w:keepNext/>
        <w:keepLines/>
        <w:widowControl w:val="0"/>
        <w:shd w:val="clear" w:color="auto" w:fill="auto"/>
        <w:bidi w:val="0"/>
        <w:spacing w:before="0" w:line="322" w:lineRule="exact"/>
        <w:ind w:left="24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、公司资产或项目存在盈利预测，且报告期仍处在盈利预测期间，公司就资产或项目达到原盈利预测及 其原因做出说明</w:t>
      </w:r>
      <w:bookmarkEnd w:id="513"/>
      <w:bookmarkEnd w:id="514"/>
      <w:bookmarkEnd w:id="516"/>
    </w:p>
    <w:p>
      <w:pPr>
        <w:pStyle w:val="Style17"/>
        <w:keepNext w:val="0"/>
        <w:keepLines w:val="0"/>
        <w:widowControl w:val="0"/>
        <w:shd w:val="clear" w:color="auto" w:fill="auto"/>
        <w:bidi w:val="0"/>
        <w:spacing w:before="0" w:after="36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757" w:val="left"/>
        </w:tabs>
        <w:bidi w:val="0"/>
        <w:spacing w:before="0" w:after="360" w:line="240" w:lineRule="auto"/>
        <w:ind w:left="0" w:right="0" w:firstLine="240"/>
        <w:jc w:val="left"/>
      </w:pPr>
      <w:bookmarkStart w:id="517" w:name="bookmark517"/>
      <w:bookmarkStart w:id="518" w:name="bookmark518"/>
      <w:bookmarkStart w:id="519" w:name="bookmark519"/>
      <w:bookmarkStart w:id="520" w:name="bookmark520"/>
      <w:r>
        <w:rPr>
          <w:color w:val="000000"/>
          <w:spacing w:val="0"/>
          <w:w w:val="100"/>
          <w:position w:val="0"/>
          <w:sz w:val="24"/>
          <w:szCs w:val="24"/>
        </w:rPr>
        <w:t>二</w:t>
      </w:r>
      <w:bookmarkEnd w:id="519"/>
      <w:r>
        <w:rPr>
          <w:color w:val="000000"/>
          <w:spacing w:val="0"/>
          <w:w w:val="100"/>
          <w:position w:val="0"/>
          <w:sz w:val="24"/>
          <w:szCs w:val="24"/>
        </w:rPr>
        <w:t>、</w:t>
        <w:tab/>
        <w:t>控股股东及其他关联方对上市公司的非经营性占用资金情况</w:t>
      </w:r>
      <w:bookmarkEnd w:id="517"/>
      <w:bookmarkEnd w:id="518"/>
      <w:bookmarkEnd w:id="520"/>
    </w:p>
    <w:p>
      <w:pPr>
        <w:pStyle w:val="Style17"/>
        <w:keepNext w:val="0"/>
        <w:keepLines w:val="0"/>
        <w:widowControl w:val="0"/>
        <w:shd w:val="clear" w:color="auto" w:fill="auto"/>
        <w:bidi w:val="0"/>
        <w:spacing w:before="0" w:after="12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762" w:val="left"/>
        </w:tabs>
        <w:bidi w:val="0"/>
        <w:spacing w:before="0" w:after="360" w:line="240" w:lineRule="auto"/>
        <w:ind w:left="0" w:right="0" w:firstLine="240"/>
        <w:jc w:val="left"/>
      </w:pPr>
      <w:bookmarkStart w:id="521" w:name="bookmark521"/>
      <w:bookmarkStart w:id="522" w:name="bookmark522"/>
      <w:bookmarkStart w:id="523" w:name="bookmark523"/>
      <w:bookmarkStart w:id="524" w:name="bookmark524"/>
      <w:r>
        <w:rPr>
          <w:color w:val="000000"/>
          <w:spacing w:val="0"/>
          <w:w w:val="100"/>
          <w:position w:val="0"/>
          <w:sz w:val="24"/>
          <w:szCs w:val="24"/>
        </w:rPr>
        <w:t>三</w:t>
      </w:r>
      <w:bookmarkEnd w:id="523"/>
      <w:r>
        <w:rPr>
          <w:color w:val="000000"/>
          <w:spacing w:val="0"/>
          <w:w w:val="100"/>
          <w:position w:val="0"/>
          <w:sz w:val="24"/>
          <w:szCs w:val="24"/>
        </w:rPr>
        <w:t>、</w:t>
        <w:tab/>
        <w:t>违规对外担保情况</w:t>
      </w:r>
      <w:bookmarkEnd w:id="521"/>
      <w:bookmarkEnd w:id="522"/>
      <w:bookmarkEnd w:id="524"/>
    </w:p>
    <w:p>
      <w:pPr>
        <w:pStyle w:val="Style17"/>
        <w:keepNext w:val="0"/>
        <w:keepLines w:val="0"/>
        <w:widowControl w:val="0"/>
        <w:shd w:val="clear" w:color="auto" w:fill="auto"/>
        <w:bidi w:val="0"/>
        <w:spacing w:before="0" w:after="12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公司报告期无违规对外担保情况。</w:t>
      </w:r>
    </w:p>
    <w:p>
      <w:pPr>
        <w:pStyle w:val="Style24"/>
        <w:keepNext/>
        <w:keepLines/>
        <w:widowControl w:val="0"/>
        <w:shd w:val="clear" w:color="auto" w:fill="auto"/>
        <w:tabs>
          <w:tab w:pos="762" w:val="left"/>
        </w:tabs>
        <w:bidi w:val="0"/>
        <w:spacing w:before="0" w:after="360" w:line="240" w:lineRule="auto"/>
        <w:ind w:left="0" w:right="0" w:firstLine="240"/>
        <w:jc w:val="left"/>
      </w:pPr>
      <w:bookmarkStart w:id="525" w:name="bookmark525"/>
      <w:bookmarkStart w:id="526" w:name="bookmark526"/>
      <w:bookmarkStart w:id="527" w:name="bookmark527"/>
      <w:bookmarkStart w:id="528" w:name="bookmark528"/>
      <w:r>
        <w:rPr>
          <w:color w:val="000000"/>
          <w:spacing w:val="0"/>
          <w:w w:val="100"/>
          <w:position w:val="0"/>
          <w:sz w:val="24"/>
          <w:szCs w:val="24"/>
        </w:rPr>
        <w:t>四</w:t>
      </w:r>
      <w:bookmarkEnd w:id="52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25"/>
      <w:bookmarkEnd w:id="526"/>
      <w:bookmarkEnd w:id="528"/>
    </w:p>
    <w:p>
      <w:pPr>
        <w:pStyle w:val="Style17"/>
        <w:keepNext w:val="0"/>
        <w:keepLines w:val="0"/>
        <w:widowControl w:val="0"/>
        <w:shd w:val="clear" w:color="auto" w:fill="auto"/>
        <w:bidi w:val="0"/>
        <w:spacing w:before="0" w:after="360" w:line="240" w:lineRule="auto"/>
        <w:ind w:left="0" w:right="0" w:firstLine="2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762" w:val="left"/>
        </w:tabs>
        <w:bidi w:val="0"/>
        <w:spacing w:before="0" w:after="360" w:line="240" w:lineRule="auto"/>
        <w:ind w:left="0" w:right="0" w:firstLine="240"/>
        <w:jc w:val="left"/>
      </w:pPr>
      <w:bookmarkStart w:id="529" w:name="bookmark529"/>
      <w:bookmarkStart w:id="530" w:name="bookmark530"/>
      <w:bookmarkStart w:id="531" w:name="bookmark531"/>
      <w:bookmarkStart w:id="532" w:name="bookmark532"/>
      <w:r>
        <w:rPr>
          <w:color w:val="000000"/>
          <w:spacing w:val="0"/>
          <w:w w:val="100"/>
          <w:position w:val="0"/>
          <w:sz w:val="24"/>
          <w:szCs w:val="24"/>
        </w:rPr>
        <w:t>五</w:t>
      </w:r>
      <w:bookmarkEnd w:id="53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29"/>
      <w:bookmarkEnd w:id="530"/>
      <w:bookmarkEnd w:id="532"/>
    </w:p>
    <w:p>
      <w:pPr>
        <w:pStyle w:val="Style17"/>
        <w:keepNext w:val="0"/>
        <w:keepLines w:val="0"/>
        <w:widowControl w:val="0"/>
        <w:shd w:val="clear" w:color="auto" w:fill="auto"/>
        <w:bidi w:val="0"/>
        <w:spacing w:before="0" w:after="360" w:line="240" w:lineRule="auto"/>
        <w:ind w:left="0" w:right="0" w:firstLine="24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tabs>
          <w:tab w:pos="762" w:val="left"/>
        </w:tabs>
        <w:bidi w:val="0"/>
        <w:spacing w:before="0" w:after="360" w:line="240" w:lineRule="auto"/>
        <w:ind w:left="0" w:right="0" w:firstLine="240"/>
        <w:jc w:val="left"/>
      </w:pPr>
      <w:bookmarkStart w:id="533" w:name="bookmark533"/>
      <w:bookmarkStart w:id="534" w:name="bookmark534"/>
      <w:bookmarkStart w:id="535" w:name="bookmark535"/>
      <w:bookmarkStart w:id="536" w:name="bookmark536"/>
      <w:r>
        <w:rPr>
          <w:color w:val="000000"/>
          <w:spacing w:val="0"/>
          <w:w w:val="100"/>
          <w:position w:val="0"/>
          <w:sz w:val="24"/>
          <w:szCs w:val="24"/>
        </w:rPr>
        <w:t>六</w:t>
      </w:r>
      <w:bookmarkEnd w:id="535"/>
      <w:r>
        <w:rPr>
          <w:color w:val="000000"/>
          <w:spacing w:val="0"/>
          <w:w w:val="100"/>
          <w:position w:val="0"/>
          <w:sz w:val="24"/>
          <w:szCs w:val="24"/>
        </w:rPr>
        <w:t>、</w:t>
        <w:tab/>
        <w:t>董事会关于报告期会计政策、会计估计变更或重大会计差错更正的说明</w:t>
      </w:r>
      <w:bookmarkEnd w:id="533"/>
      <w:bookmarkEnd w:id="534"/>
      <w:bookmarkEnd w:id="536"/>
    </w:p>
    <w:p>
      <w:pPr>
        <w:pStyle w:val="Style17"/>
        <w:keepNext w:val="0"/>
        <w:keepLines w:val="0"/>
        <w:widowControl w:val="0"/>
        <w:shd w:val="clear" w:color="auto" w:fill="auto"/>
        <w:bidi w:val="0"/>
        <w:spacing w:before="0" w:after="120" w:line="240" w:lineRule="auto"/>
        <w:ind w:left="0" w:right="0" w:firstLine="24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600"/>
        <w:jc w:val="left"/>
      </w:pPr>
      <w:r>
        <w:rPr>
          <w:rFonts w:ascii="Times New Roman" w:eastAsia="Times New Roman" w:hAnsi="Times New Roman" w:cs="Times New Roman"/>
          <w:color w:val="000000"/>
          <w:spacing w:val="0"/>
          <w:w w:val="100"/>
          <w:position w:val="0"/>
        </w:rPr>
        <w:t>1</w:t>
      </w:r>
      <w:r>
        <w:rPr>
          <w:color w:val="000000"/>
          <w:spacing w:val="0"/>
          <w:w w:val="100"/>
          <w:position w:val="0"/>
        </w:rPr>
        <w:t>、新租赁准则</w:t>
      </w:r>
    </w:p>
    <w:p>
      <w:pPr>
        <w:pStyle w:val="Style17"/>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年，财政部颁布了修订的《企业会计准则第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），新租赁准则采用与现行融资租 赁会计处理类似的单一模型，要求承租人对除短期租赁和低价值资产租赁以外的所有租赁确认使用权资产和租赁负债，并分 别确认折旧和利息费用。本公司自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日开始按照新修订的租赁准则进行会计处理，对首次执行日前已存在的合同， 选择不重新评估其是否为租赁或者包含租赁，并根据衔接规定，对可比期间信息不予调整，首次执行日新租赁准则与现行租 赁准则的差异追溯调整</w:t>
      </w:r>
      <w:r>
        <w:rPr>
          <w:rFonts w:ascii="Times New Roman" w:eastAsia="Times New Roman" w:hAnsi="Times New Roman" w:cs="Times New Roman"/>
          <w:color w:val="000000"/>
          <w:spacing w:val="0"/>
          <w:w w:val="100"/>
          <w:position w:val="0"/>
        </w:rPr>
        <w:t>2021</w:t>
      </w:r>
      <w:r>
        <w:rPr>
          <w:color w:val="000000"/>
          <w:spacing w:val="0"/>
          <w:w w:val="100"/>
          <w:position w:val="0"/>
        </w:rPr>
        <w:t>年年初留存收益：</w:t>
      </w:r>
    </w:p>
    <w:p>
      <w:pPr>
        <w:pStyle w:val="Style17"/>
        <w:keepNext w:val="0"/>
        <w:keepLines w:val="0"/>
        <w:widowControl w:val="0"/>
        <w:shd w:val="clear" w:color="auto" w:fill="auto"/>
        <w:tabs>
          <w:tab w:pos="900" w:val="left"/>
        </w:tabs>
        <w:bidi w:val="0"/>
        <w:spacing w:before="0" w:after="0" w:line="316" w:lineRule="exact"/>
        <w:ind w:left="0" w:right="0"/>
        <w:jc w:val="both"/>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w:t>
        <w:tab/>
        <w:t>对于首次执行日之前的融资租赁，本公司按照融资租入资产和应付融资租赁款的原账面价值，分别计量使用权资 产和租赁负债；</w:t>
      </w:r>
    </w:p>
    <w:p>
      <w:pPr>
        <w:pStyle w:val="Style17"/>
        <w:keepNext w:val="0"/>
        <w:keepLines w:val="0"/>
        <w:widowControl w:val="0"/>
        <w:shd w:val="clear" w:color="auto" w:fill="auto"/>
        <w:tabs>
          <w:tab w:pos="891" w:val="left"/>
        </w:tabs>
        <w:bidi w:val="0"/>
        <w:spacing w:before="0" w:after="0" w:line="316" w:lineRule="exact"/>
        <w:ind w:left="0" w:right="0"/>
        <w:jc w:val="both"/>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rPr>
        <w:t>2</w:t>
      </w:r>
      <w:r>
        <w:rPr>
          <w:color w:val="000000"/>
          <w:spacing w:val="0"/>
          <w:w w:val="100"/>
          <w:position w:val="0"/>
        </w:rPr>
        <w:t>）</w:t>
        <w:tab/>
        <w:t>对于首次执行日之前的经营租赁，本公司根据剩余租赁付款额按首次执行日的增量借款利率折现的现值计量租赁 负债，并根据每项租赁按照与租赁负债相等的金额，并根据预付租金进行必要调整计量使用权资产；</w:t>
      </w:r>
    </w:p>
    <w:p>
      <w:pPr>
        <w:pStyle w:val="Style17"/>
        <w:keepNext w:val="0"/>
        <w:keepLines w:val="0"/>
        <w:widowControl w:val="0"/>
        <w:shd w:val="clear" w:color="auto" w:fill="auto"/>
        <w:tabs>
          <w:tab w:pos="819" w:val="left"/>
        </w:tabs>
        <w:bidi w:val="0"/>
        <w:spacing w:before="0" w:after="300" w:line="316" w:lineRule="exact"/>
        <w:ind w:left="0" w:right="0"/>
        <w:jc w:val="both"/>
      </w:pPr>
      <w:bookmarkStart w:id="539" w:name="bookmark539"/>
      <w:r>
        <w:rPr>
          <w:color w:val="000000"/>
          <w:spacing w:val="0"/>
          <w:w w:val="100"/>
          <w:position w:val="0"/>
        </w:rPr>
        <w:t>（</w:t>
      </w:r>
      <w:bookmarkEnd w:id="539"/>
      <w:r>
        <w:rPr>
          <w:rFonts w:ascii="Times New Roman" w:eastAsia="Times New Roman" w:hAnsi="Times New Roman" w:cs="Times New Roman"/>
          <w:color w:val="000000"/>
          <w:spacing w:val="0"/>
          <w:w w:val="100"/>
          <w:position w:val="0"/>
        </w:rPr>
        <w:t>3</w:t>
      </w:r>
      <w:r>
        <w:rPr>
          <w:color w:val="000000"/>
          <w:spacing w:val="0"/>
          <w:w w:val="100"/>
          <w:position w:val="0"/>
        </w:rPr>
        <w:t>）</w:t>
        <w:tab/>
        <w:t>本公司按照附注五</w:t>
      </w:r>
      <w:r>
        <w:rPr>
          <w:rFonts w:ascii="Times New Roman" w:eastAsia="Times New Roman" w:hAnsi="Times New Roman" w:cs="Times New Roman"/>
          <w:color w:val="000000"/>
          <w:spacing w:val="0"/>
          <w:w w:val="100"/>
          <w:position w:val="0"/>
        </w:rPr>
        <w:t>“19</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对使用权资产进行减值测试并进行相应的会计处理。</w:t>
      </w:r>
    </w:p>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本公司对首次执行日之前租赁资产属于低价值资产的经营租赁或将于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个月内完成的经营租赁，采用简化处理，未确认 使用权资产和租赁负债。此外，本公司对于首次执行日之前的经营租赁，采用了下列简化处理：</w:t>
      </w:r>
    </w:p>
    <w:p>
      <w:pPr>
        <w:pStyle w:val="Style17"/>
        <w:keepNext w:val="0"/>
        <w:keepLines w:val="0"/>
        <w:widowControl w:val="0"/>
        <w:shd w:val="clear" w:color="auto" w:fill="auto"/>
        <w:tabs>
          <w:tab w:pos="819" w:val="left"/>
        </w:tabs>
        <w:bidi w:val="0"/>
        <w:spacing w:before="0" w:after="0" w:line="326" w:lineRule="exact"/>
        <w:ind w:left="0" w:right="0"/>
        <w:jc w:val="both"/>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rPr>
        <w:t>1</w:t>
      </w:r>
      <w:r>
        <w:rPr>
          <w:color w:val="000000"/>
          <w:spacing w:val="0"/>
          <w:w w:val="100"/>
          <w:position w:val="0"/>
        </w:rPr>
        <w:t>）</w:t>
        <w:tab/>
        <w:t>计量租赁负债时，具有相似特征的租赁可采用同一折现率；使用权资产的计量可不包含初始直接费用；</w:t>
      </w:r>
    </w:p>
    <w:p>
      <w:pPr>
        <w:pStyle w:val="Style17"/>
        <w:keepNext w:val="0"/>
        <w:keepLines w:val="0"/>
        <w:widowControl w:val="0"/>
        <w:shd w:val="clear" w:color="auto" w:fill="auto"/>
        <w:tabs>
          <w:tab w:pos="819" w:val="left"/>
        </w:tabs>
        <w:bidi w:val="0"/>
        <w:spacing w:before="0" w:after="0" w:line="322" w:lineRule="exact"/>
        <w:ind w:left="0" w:right="0"/>
        <w:jc w:val="both"/>
      </w:pPr>
      <w:bookmarkStart w:id="541" w:name="bookmark541"/>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w:t>
        <w:tab/>
        <w:t>存在续租选择权或终止租赁选择权的，本公司根据首次执行日前选择权的实际行使及其他最新情况确定租赁期；</w:t>
      </w:r>
    </w:p>
    <w:p>
      <w:pPr>
        <w:pStyle w:val="Style17"/>
        <w:keepNext w:val="0"/>
        <w:keepLines w:val="0"/>
        <w:widowControl w:val="0"/>
        <w:shd w:val="clear" w:color="auto" w:fill="auto"/>
        <w:tabs>
          <w:tab w:pos="867" w:val="left"/>
        </w:tabs>
        <w:bidi w:val="0"/>
        <w:spacing w:before="0" w:after="0" w:line="322" w:lineRule="exact"/>
        <w:ind w:left="0" w:right="0"/>
        <w:jc w:val="both"/>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rPr>
        <w:t>3</w:t>
      </w:r>
      <w:r>
        <w:rPr>
          <w:color w:val="000000"/>
          <w:spacing w:val="0"/>
          <w:w w:val="100"/>
          <w:position w:val="0"/>
        </w:rPr>
        <w:t>）</w:t>
        <w:tab/>
        <w:t>作为使用权资产减值测试的替代，本公司评估包含租赁的合同在首次执行日前是否为亏损合同，并根据首次执行 日前计入资产负债表的亏损准备金额调整使用权资产；</w:t>
      </w:r>
    </w:p>
    <w:p>
      <w:pPr>
        <w:pStyle w:val="Style17"/>
        <w:keepNext w:val="0"/>
        <w:keepLines w:val="0"/>
        <w:widowControl w:val="0"/>
        <w:shd w:val="clear" w:color="auto" w:fill="auto"/>
        <w:tabs>
          <w:tab w:pos="819" w:val="left"/>
        </w:tabs>
        <w:bidi w:val="0"/>
        <w:spacing w:before="0" w:after="380" w:line="316" w:lineRule="exact"/>
        <w:ind w:left="0" w:right="0"/>
        <w:jc w:val="both"/>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rPr>
        <w:t>4</w:t>
      </w:r>
      <w:r>
        <w:rPr>
          <w:color w:val="000000"/>
          <w:spacing w:val="0"/>
          <w:w w:val="100"/>
          <w:position w:val="0"/>
        </w:rPr>
        <w:t>）</w:t>
        <w:tab/>
        <w:t>首次执行日前的租赁变更，本公司根据租赁变更的最终安排进行会计处理。</w:t>
      </w:r>
    </w:p>
    <w:p>
      <w:pPr>
        <w:pStyle w:val="Style17"/>
        <w:keepNext w:val="0"/>
        <w:keepLines w:val="0"/>
        <w:widowControl w:val="0"/>
        <w:shd w:val="clear" w:color="auto" w:fill="auto"/>
        <w:bidi w:val="0"/>
        <w:spacing w:before="0" w:after="300" w:line="322" w:lineRule="exact"/>
        <w:ind w:left="0" w:right="0"/>
        <w:jc w:val="both"/>
      </w:pPr>
      <w:r>
        <w:rPr>
          <w:color w:val="000000"/>
          <w:spacing w:val="0"/>
          <w:w w:val="100"/>
          <w:position w:val="0"/>
        </w:rPr>
        <w:t>对于首次执行日前作为销售和融资租赁进行会计处理的售后租回交易，本公司作为卖方（承租人）按照与其他融资租赁 相同的方法对租回进行会计处理，并继续在租赁期内摊销相关递延收益或损失。</w:t>
      </w:r>
    </w:p>
    <w:p>
      <w:pPr>
        <w:pStyle w:val="Style17"/>
        <w:keepNext w:val="0"/>
        <w:keepLines w:val="0"/>
        <w:widowControl w:val="0"/>
        <w:shd w:val="clear" w:color="auto" w:fill="auto"/>
        <w:bidi w:val="0"/>
        <w:spacing w:before="0" w:after="120" w:line="317" w:lineRule="exact"/>
        <w:ind w:left="0" w:right="0"/>
        <w:jc w:val="both"/>
      </w:pPr>
      <w:r>
        <w:rPr>
          <w:color w:val="000000"/>
          <w:spacing w:val="0"/>
          <w:w w:val="100"/>
          <w:position w:val="0"/>
        </w:rPr>
        <w:t>对于</w:t>
      </w:r>
      <w:r>
        <w:rPr>
          <w:rFonts w:ascii="Times New Roman" w:eastAsia="Times New Roman" w:hAnsi="Times New Roman" w:cs="Times New Roman"/>
          <w:color w:val="000000"/>
          <w:spacing w:val="0"/>
          <w:w w:val="100"/>
          <w:position w:val="0"/>
        </w:rPr>
        <w:t>2020</w:t>
      </w:r>
      <w:r>
        <w:rPr>
          <w:color w:val="000000"/>
          <w:spacing w:val="0"/>
          <w:w w:val="100"/>
          <w:position w:val="0"/>
        </w:rPr>
        <w:t>年财务报表中披露的重大经营租赁尚未支付的最低租赁付款额，本公司按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日本公司作为承租人的 增量借款利率折现的现值，与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日计入资产负债表的租赁负债的差异调整过程如下：</w:t>
      </w:r>
    </w:p>
    <w:p>
      <w:pPr>
        <w:pStyle w:val="Style38"/>
        <w:keepNext w:val="0"/>
        <w:keepLines w:val="0"/>
        <w:widowControl w:val="0"/>
        <w:shd w:val="clear" w:color="auto" w:fill="auto"/>
        <w:tabs>
          <w:tab w:pos="8333" w:val="right"/>
        </w:tabs>
        <w:bidi w:val="0"/>
        <w:spacing w:before="0" w:after="0" w:line="360" w:lineRule="auto"/>
        <w:ind w:left="0" w:right="0" w:firstLine="38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日重大经营租赁最低租赁付款额</w:t>
        <w:tab/>
      </w:r>
      <w:r>
        <w:rPr>
          <w:color w:val="000000"/>
          <w:spacing w:val="0"/>
          <w:w w:val="100"/>
          <w:position w:val="0"/>
        </w:rPr>
        <w:t>127,012,185.49</w:t>
      </w:r>
    </w:p>
    <w:p>
      <w:pPr>
        <w:pStyle w:val="Style17"/>
        <w:keepNext w:val="0"/>
        <w:keepLines w:val="0"/>
        <w:widowControl w:val="0"/>
        <w:shd w:val="clear" w:color="auto" w:fill="auto"/>
        <w:tabs>
          <w:tab w:pos="8333" w:val="right"/>
        </w:tabs>
        <w:bidi w:val="0"/>
        <w:spacing w:before="0" w:after="0" w:line="317" w:lineRule="exact"/>
        <w:ind w:left="0" w:right="0"/>
        <w:jc w:val="both"/>
      </w:pPr>
      <w:r>
        <w:rPr>
          <w:color w:val="000000"/>
          <w:spacing w:val="0"/>
          <w:w w:val="100"/>
          <w:position w:val="0"/>
        </w:rPr>
        <w:t>减：采用简化处理的租赁付款额</w:t>
        <w:tab/>
      </w:r>
      <w:r>
        <w:rPr>
          <w:rFonts w:ascii="Times New Roman" w:eastAsia="Times New Roman" w:hAnsi="Times New Roman" w:cs="Times New Roman"/>
          <w:color w:val="000000"/>
          <w:spacing w:val="0"/>
          <w:w w:val="100"/>
          <w:position w:val="0"/>
        </w:rPr>
        <w:t>9,328,422.76</w:t>
      </w:r>
    </w:p>
    <w:p>
      <w:pPr>
        <w:pStyle w:val="Style38"/>
        <w:keepNext w:val="0"/>
        <w:keepLines w:val="0"/>
        <w:widowControl w:val="0"/>
        <w:shd w:val="clear" w:color="auto" w:fill="auto"/>
        <w:tabs>
          <w:tab w:pos="8333" w:val="right"/>
        </w:tabs>
        <w:bidi w:val="0"/>
        <w:spacing w:before="0" w:after="0" w:line="317" w:lineRule="exact"/>
        <w:ind w:left="0" w:right="0" w:firstLine="940"/>
        <w:jc w:val="both"/>
      </w:pPr>
      <w:r>
        <w:rPr>
          <w:rFonts w:ascii="SimSun" w:eastAsia="SimSun" w:hAnsi="SimSun" w:cs="SimSun"/>
          <w:color w:val="000000"/>
          <w:spacing w:val="0"/>
          <w:w w:val="100"/>
          <w:position w:val="0"/>
        </w:rPr>
        <w:t>其中：短期租赁</w:t>
        <w:tab/>
      </w:r>
      <w:r>
        <w:rPr>
          <w:color w:val="000000"/>
          <w:spacing w:val="0"/>
          <w:w w:val="100"/>
          <w:position w:val="0"/>
        </w:rPr>
        <w:t>8,636,362.38</w:t>
      </w:r>
    </w:p>
    <w:p>
      <w:pPr>
        <w:pStyle w:val="Style17"/>
        <w:keepNext w:val="0"/>
        <w:keepLines w:val="0"/>
        <w:widowControl w:val="0"/>
        <w:shd w:val="clear" w:color="auto" w:fill="auto"/>
        <w:tabs>
          <w:tab w:pos="6864" w:val="right"/>
        </w:tabs>
        <w:bidi w:val="0"/>
        <w:spacing w:before="0" w:after="120" w:line="317" w:lineRule="exact"/>
        <w:ind w:left="0" w:right="0" w:firstLine="0"/>
        <w:jc w:val="center"/>
      </w:pPr>
      <w:r>
        <w:rPr>
          <w:color w:val="000000"/>
          <w:spacing w:val="0"/>
          <w:w w:val="100"/>
          <w:position w:val="0"/>
        </w:rPr>
        <w:t>剩余租赁期超过</w:t>
      </w:r>
      <w:r>
        <w:rPr>
          <w:rFonts w:ascii="Times New Roman" w:eastAsia="Times New Roman" w:hAnsi="Times New Roman" w:cs="Times New Roman"/>
          <w:color w:val="000000"/>
          <w:spacing w:val="0"/>
          <w:w w:val="100"/>
          <w:position w:val="0"/>
        </w:rPr>
        <w:t>12</w:t>
      </w:r>
      <w:r>
        <w:rPr>
          <w:color w:val="000000"/>
          <w:spacing w:val="0"/>
          <w:w w:val="100"/>
          <w:position w:val="0"/>
        </w:rPr>
        <w:t>个月的低价值资产租赁</w:t>
        <w:tab/>
      </w:r>
      <w:r>
        <w:rPr>
          <w:rFonts w:ascii="Times New Roman" w:eastAsia="Times New Roman" w:hAnsi="Times New Roman" w:cs="Times New Roman"/>
          <w:color w:val="000000"/>
          <w:spacing w:val="0"/>
          <w:w w:val="100"/>
          <w:position w:val="0"/>
        </w:rPr>
        <w:t>692,060.38</w:t>
      </w:r>
    </w:p>
    <w:tbl>
      <w:tblPr>
        <w:tblOverlap w:val="never"/>
        <w:jc w:val="left"/>
        <w:tblLayout w:type="fixed"/>
      </w:tblPr>
      <w:tblGrid>
        <w:gridCol w:w="6773"/>
        <w:gridCol w:w="1915"/>
      </w:tblGrid>
      <w:tr>
        <w:trPr>
          <w:trHeight w:val="197" w:hRule="exact"/>
        </w:trPr>
        <w:tc>
          <w:tcPr>
            <w:gridSpan w:val="2"/>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力日：未在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日确认但合理确定将行使续租选择权导致的租赁付款</w:t>
            </w:r>
          </w:p>
        </w:tc>
      </w:tr>
      <w:tr>
        <w:trPr>
          <w:trHeight w:val="394"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额的增加</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46,934,998.16</w:t>
            </w:r>
          </w:p>
        </w:tc>
      </w:tr>
      <w:tr>
        <w:trPr>
          <w:trHeight w:val="67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加权平均增量借款利率</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4.75%</w:t>
            </w:r>
          </w:p>
        </w:tc>
      </w:tr>
      <w:tr>
        <w:trPr>
          <w:trHeight w:val="34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日经营租赁付款额现值</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154,234,916.08</w:t>
            </w:r>
          </w:p>
        </w:tc>
      </w:tr>
      <w:tr>
        <w:trPr>
          <w:trHeight w:val="326" w:hRule="exact"/>
        </w:trPr>
        <w:tc>
          <w:tcPr>
            <w:tcBorders/>
            <w:shd w:val="clear" w:color="auto" w:fill="FFFFFF"/>
            <w:vAlign w:val="center"/>
          </w:tcPr>
          <w:p>
            <w:pPr>
              <w:pStyle w:val="Style20"/>
              <w:keepNext w:val="0"/>
              <w:keepLines w:val="0"/>
              <w:widowControl w:val="0"/>
              <w:shd w:val="clear" w:color="auto" w:fill="auto"/>
              <w:tabs>
                <w:tab w:pos="711" w:val="left"/>
              </w:tabs>
              <w:bidi w:val="0"/>
              <w:spacing w:before="0" w:after="0" w:line="240" w:lineRule="auto"/>
              <w:ind w:left="0" w:right="0"/>
              <w:jc w:val="left"/>
            </w:pPr>
            <w:r>
              <w:rPr>
                <w:color w:val="000000"/>
                <w:spacing w:val="0"/>
                <w:w w:val="100"/>
                <w:position w:val="0"/>
              </w:rPr>
              <w:t>力</w:t>
            </w:r>
            <w:r>
              <w:rPr>
                <w:color w:val="000000"/>
                <w:spacing w:val="0"/>
                <w:w w:val="100"/>
                <w:position w:val="0"/>
                <w:sz w:val="18"/>
                <w:szCs w:val="18"/>
              </w:rPr>
              <w:t>n：</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日应付融资租赁款</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73,894,553.92</w:t>
            </w:r>
          </w:p>
        </w:tc>
      </w:tr>
      <w:tr>
        <w:trPr>
          <w:trHeight w:val="346" w:hRule="exact"/>
        </w:trPr>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日租赁负债（含一年内到期的其他非流动负债）</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228,129,470.00</w:t>
            </w:r>
          </w:p>
        </w:tc>
      </w:tr>
    </w:tbl>
    <w:p>
      <w:pPr>
        <w:widowControl w:val="0"/>
        <w:spacing w:after="299" w:line="1" w:lineRule="exact"/>
      </w:pPr>
    </w:p>
    <w:p>
      <w:pPr>
        <w:pStyle w:val="Style26"/>
        <w:keepNext w:val="0"/>
        <w:keepLines w:val="0"/>
        <w:widowControl w:val="0"/>
        <w:shd w:val="clear" w:color="auto" w:fill="auto"/>
        <w:bidi w:val="0"/>
        <w:spacing w:before="0" w:after="0" w:line="312" w:lineRule="exact"/>
        <w:ind w:left="331"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日资产负债表项目的影响如下: 合并资产负债表</w:t>
      </w:r>
    </w:p>
    <w:tbl>
      <w:tblPr>
        <w:tblOverlap w:val="never"/>
        <w:jc w:val="left"/>
        <w:tblLayout w:type="fixed"/>
      </w:tblPr>
      <w:tblGrid>
        <w:gridCol w:w="2702"/>
        <w:gridCol w:w="1867"/>
        <w:gridCol w:w="1867"/>
        <w:gridCol w:w="187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119,058,920.41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120,648,157.15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-1,589,236.74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1,138,436,140.80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1,233,992,295.39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-95,556,154.59</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251,634,950.41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251,634,950.41</w:t>
            </w:r>
          </w:p>
        </w:tc>
      </w:tr>
    </w:tbl>
    <w:p>
      <w:pPr>
        <w:spacing w:lineRule="exact" w:line="1"/>
        <w:rPr>
          <w:sz w:val="2"/>
          <w:szCs w:val="2"/>
        </w:rPr>
      </w:pPr>
      <w:r>
        <w:br w:type="page"/>
      </w:r>
    </w:p>
    <w:tbl>
      <w:tblPr>
        <w:tblOverlap w:val="never"/>
        <w:jc w:val="left"/>
        <w:tblLayout w:type="fixed"/>
      </w:tblPr>
      <w:tblGrid>
        <w:gridCol w:w="2702"/>
        <w:gridCol w:w="1867"/>
        <w:gridCol w:w="1867"/>
        <w:gridCol w:w="1877"/>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124,881,805.03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81,307,028.86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43,574,776.17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143,937,721.54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143,937,721.54</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625,571,491.44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658,594,430.07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-33,022,938.63</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331" w:right="0" w:firstLine="0"/>
        <w:jc w:val="left"/>
      </w:pPr>
      <w:r>
        <w:rPr>
          <w:color w:val="000000"/>
          <w:spacing w:val="0"/>
          <w:w w:val="100"/>
          <w:position w:val="0"/>
        </w:rPr>
        <w:t>母公司资产负债表</w:t>
      </w:r>
    </w:p>
    <w:tbl>
      <w:tblPr>
        <w:tblOverlap w:val="never"/>
        <w:jc w:val="left"/>
        <w:tblLayout w:type="fixed"/>
      </w:tblPr>
      <w:tblGrid>
        <w:gridCol w:w="2702"/>
        <w:gridCol w:w="1867"/>
        <w:gridCol w:w="1867"/>
        <w:gridCol w:w="187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8,139,162.39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8,139,162.39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9,239,212.86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5,799,765.98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3,439,446.88</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4,699,715.51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4,699,715.51</w:t>
            </w:r>
          </w:p>
        </w:tc>
      </w:tr>
    </w:tbl>
    <w:p>
      <w:pPr>
        <w:widowControl w:val="0"/>
        <w:spacing w:after="339" w:line="1" w:lineRule="exact"/>
      </w:pPr>
    </w:p>
    <w:p>
      <w:pPr>
        <w:pStyle w:val="Style17"/>
        <w:keepNext w:val="0"/>
        <w:keepLines w:val="0"/>
        <w:widowControl w:val="0"/>
        <w:shd w:val="clear" w:color="auto" w:fill="auto"/>
        <w:bidi w:val="0"/>
        <w:spacing w:before="0" w:after="280" w:line="240" w:lineRule="auto"/>
        <w:ind w:left="0" w:right="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2020</w:t>
      </w:r>
      <w:r>
        <w:rPr>
          <w:color w:val="000000"/>
          <w:spacing w:val="0"/>
          <w:w w:val="100"/>
          <w:position w:val="0"/>
        </w:rPr>
        <w:t>年度本公司及母公司利润表无影响。</w:t>
      </w:r>
    </w:p>
    <w:p>
      <w:pPr>
        <w:pStyle w:val="Style26"/>
        <w:keepNext w:val="0"/>
        <w:keepLines w:val="0"/>
        <w:widowControl w:val="0"/>
        <w:shd w:val="clear" w:color="auto" w:fill="auto"/>
        <w:bidi w:val="0"/>
        <w:spacing w:before="0" w:after="0" w:line="331" w:lineRule="exact"/>
        <w:ind w:left="0" w:right="0" w:firstLine="0"/>
        <w:jc w:val="distribute"/>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日资产负债表及</w:t>
      </w:r>
      <w:r>
        <w:rPr>
          <w:rFonts w:ascii="Times New Roman" w:eastAsia="Times New Roman" w:hAnsi="Times New Roman" w:cs="Times New Roman"/>
          <w:color w:val="000000"/>
          <w:spacing w:val="0"/>
          <w:w w:val="100"/>
          <w:position w:val="0"/>
        </w:rPr>
        <w:t>2021</w:t>
      </w:r>
      <w:r>
        <w:rPr>
          <w:color w:val="000000"/>
          <w:spacing w:val="0"/>
          <w:w w:val="100"/>
          <w:position w:val="0"/>
        </w:rPr>
        <w:t>年度利润表项目的影响如下: 合并资产负债表</w:t>
      </w:r>
    </w:p>
    <w:tbl>
      <w:tblPr>
        <w:tblOverlap w:val="never"/>
        <w:jc w:val="left"/>
        <w:tblLayout w:type="fixed"/>
      </w:tblPr>
      <w:tblGrid>
        <w:gridCol w:w="2702"/>
        <w:gridCol w:w="1867"/>
        <w:gridCol w:w="1867"/>
        <w:gridCol w:w="187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79,748,902.30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82,467,681.34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-2,718,779.04</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1,167,095,216.51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1,221,590,475.48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-54,495,258.97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194,102,083.43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194,102,083.43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200,286,243.45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200,010,675.84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275,567.61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148,761,716.52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94,582,621.67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54,179,094.85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84,440,855.81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84,440,855.81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4,318,697,766.05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4,319,747,639.85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-1,049,873.80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122,865,533.67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123,271,997.50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-406,463.83</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331" w:right="0" w:firstLine="0"/>
        <w:jc w:val="left"/>
      </w:pPr>
      <w:r>
        <w:rPr>
          <w:color w:val="000000"/>
          <w:spacing w:val="0"/>
          <w:w w:val="100"/>
          <w:position w:val="0"/>
        </w:rPr>
        <w:t>合并利润表</w:t>
      </w:r>
    </w:p>
    <w:tbl>
      <w:tblPr>
        <w:tblOverlap w:val="never"/>
        <w:jc w:val="left"/>
        <w:tblLayout w:type="fixed"/>
      </w:tblPr>
      <w:tblGrid>
        <w:gridCol w:w="2698"/>
        <w:gridCol w:w="1872"/>
        <w:gridCol w:w="1872"/>
        <w:gridCol w:w="187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2,835,422,580.60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2,837,788,877.10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-2,366,296.50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1,238,310,798.94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1,238,627,970.01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-317,171.07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386,697,353.30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387,835,595.49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-1,138,242.19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487,147,967.73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487,352,963.93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-204,996.20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104,262,117.95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98,503,506.75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5,758,611.20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268,194,830.90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268,470,398.51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-275,567.61</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331" w:right="0" w:firstLine="0"/>
        <w:jc w:val="left"/>
      </w:pPr>
      <w:r>
        <w:rPr>
          <w:color w:val="000000"/>
          <w:spacing w:val="0"/>
          <w:w w:val="100"/>
          <w:position w:val="0"/>
        </w:rPr>
        <w:t>母公司资产负债表</w:t>
      </w:r>
    </w:p>
    <w:tbl>
      <w:tblPr>
        <w:tblOverlap w:val="never"/>
        <w:jc w:val="left"/>
        <w:tblLayout w:type="fixed"/>
      </w:tblPr>
      <w:tblGrid>
        <w:gridCol w:w="2698"/>
        <w:gridCol w:w="1843"/>
        <w:gridCol w:w="1843"/>
        <w:gridCol w:w="193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14,495,660.46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14,495,660.46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2,016,755.08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1,964,210.47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52,544.61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25,332,962.64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20,639,331.49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4,693,631.15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9,511,728.74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9,511,728.74</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781,923,884.66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781,581,039.48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342,845.18</w:t>
            </w:r>
          </w:p>
        </w:tc>
      </w:tr>
    </w:tbl>
    <w:p>
      <w:pPr>
        <w:pStyle w:val="Style26"/>
        <w:keepNext w:val="0"/>
        <w:keepLines w:val="0"/>
        <w:widowControl w:val="0"/>
        <w:shd w:val="clear" w:color="auto" w:fill="auto"/>
        <w:bidi w:val="0"/>
        <w:spacing w:before="0" w:after="0" w:line="240" w:lineRule="auto"/>
        <w:ind w:left="331" w:right="0" w:firstLine="0"/>
        <w:jc w:val="left"/>
      </w:pPr>
      <w:r>
        <w:rPr>
          <w:color w:val="000000"/>
          <w:spacing w:val="0"/>
          <w:w w:val="100"/>
          <w:position w:val="0"/>
        </w:rPr>
        <w:t>母公司利润表</w:t>
      </w:r>
    </w:p>
    <w:tbl>
      <w:tblPr>
        <w:tblOverlap w:val="never"/>
        <w:jc w:val="left"/>
        <w:tblLayout w:type="fixed"/>
      </w:tblPr>
      <w:tblGrid>
        <w:gridCol w:w="2698"/>
        <w:gridCol w:w="1872"/>
        <w:gridCol w:w="1872"/>
        <w:gridCol w:w="187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355,806,872.04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355,859,097.00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-52,224.96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184,985,833.44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185,086,699.09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-100,865.65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101,240,276.32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101,370,670.69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-130,394.37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26,886,360.91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26,207,486.14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678,874.77</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64,959,710.08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65,012,254.69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-52,544.61</w:t>
            </w:r>
          </w:p>
        </w:tc>
      </w:tr>
    </w:tbl>
    <w:p>
      <w:pPr>
        <w:widowControl w:val="0"/>
        <w:spacing w:after="259" w:line="1" w:lineRule="exact"/>
      </w:pPr>
    </w:p>
    <w:p>
      <w:pPr>
        <w:pStyle w:val="Style17"/>
        <w:keepNext w:val="0"/>
        <w:keepLines w:val="0"/>
        <w:widowControl w:val="0"/>
        <w:shd w:val="clear" w:color="auto" w:fill="auto"/>
        <w:bidi w:val="0"/>
        <w:spacing w:before="0" w:after="460" w:line="312" w:lineRule="exact"/>
        <w:ind w:left="0" w:right="0"/>
        <w:jc w:val="left"/>
      </w:pPr>
      <w:r>
        <w:rPr>
          <w:color w:val="000000"/>
          <w:spacing w:val="0"/>
          <w:w w:val="100"/>
          <w:position w:val="0"/>
        </w:rPr>
        <w:t>此外，首次执行日开始本公司将偿还租赁负债本金和利息所支付的现金在现金流量表中计入筹资活动现金流出，支付的 采用简化处理的短期租赁付款额和低价值资产租赁付款额仍然计入经营活动现金流出。</w:t>
      </w:r>
    </w:p>
    <w:p>
      <w:pPr>
        <w:pStyle w:val="Style1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、新冠肺炎疫情相关租金减让会计处理</w:t>
      </w:r>
    </w:p>
    <w:p>
      <w:pPr>
        <w:pStyle w:val="Style17"/>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本公司作为承租人，于</w:t>
      </w:r>
      <w:r>
        <w:rPr>
          <w:rFonts w:ascii="Times New Roman" w:eastAsia="Times New Roman" w:hAnsi="Times New Roman" w:cs="Times New Roman"/>
          <w:color w:val="000000"/>
          <w:spacing w:val="0"/>
          <w:w w:val="100"/>
          <w:position w:val="0"/>
        </w:rPr>
        <w:t>2020</w:t>
      </w:r>
      <w:r>
        <w:rPr>
          <w:color w:val="000000"/>
          <w:spacing w:val="0"/>
          <w:w w:val="100"/>
          <w:position w:val="0"/>
        </w:rPr>
        <w:t>年选择了《新冠肺炎疫情相关租金减让会计处理规定》中的简化方法对新冠肺炎疫情相关租金 减让进行会计处理。根据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月发布的《关于调整</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适用范围的通知》，适 用简化方法的租金减让期间调整为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日前的应付租赁付款额七本公司对于简化方法的选择一致应用 于《新冠肺炎疫情相关租金减让会计处理规定》适用范围调整前后符合条件的类似租赁合同。</w:t>
      </w:r>
    </w:p>
    <w:p>
      <w:pPr>
        <w:pStyle w:val="Style24"/>
        <w:keepNext/>
        <w:keepLines/>
        <w:widowControl w:val="0"/>
        <w:shd w:val="clear" w:color="auto" w:fill="auto"/>
        <w:tabs>
          <w:tab w:pos="569" w:val="left"/>
        </w:tabs>
        <w:bidi w:val="0"/>
        <w:spacing w:before="0" w:after="3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七</w:t>
      </w:r>
      <w:bookmarkEnd w:id="546"/>
      <w:r>
        <w:rPr>
          <w:color w:val="000000"/>
          <w:spacing w:val="0"/>
          <w:w w:val="100"/>
          <w:position w:val="0"/>
          <w:sz w:val="24"/>
          <w:szCs w:val="24"/>
        </w:rPr>
        <w:t>、</w:t>
        <w:tab/>
        <w:t>与上年度财务报告相比，合并报表范围发生变化的情况说明</w:t>
      </w:r>
      <w:bookmarkEnd w:id="544"/>
      <w:bookmarkEnd w:id="545"/>
      <w:bookmarkEnd w:id="547"/>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tabs>
          <w:tab w:pos="707" w:val="left"/>
        </w:tabs>
        <w:bidi w:val="0"/>
        <w:spacing w:before="0" w:after="0"/>
        <w:ind w:left="0" w:right="0"/>
        <w:jc w:val="both"/>
      </w:pPr>
      <w:bookmarkStart w:id="548" w:name="bookmark548"/>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处置子公司</w:t>
      </w:r>
    </w:p>
    <w:p>
      <w:pPr>
        <w:pStyle w:val="Style17"/>
        <w:keepNext w:val="0"/>
        <w:keepLines w:val="0"/>
        <w:widowControl w:val="0"/>
        <w:shd w:val="clear" w:color="auto" w:fill="auto"/>
        <w:bidi w:val="0"/>
        <w:spacing w:before="0" w:line="310" w:lineRule="exact"/>
        <w:ind w:left="0" w:right="0"/>
        <w:jc w:val="both"/>
      </w:pPr>
      <w:r>
        <w:rPr>
          <w:color w:val="000000"/>
          <w:spacing w:val="0"/>
          <w:w w:val="100"/>
          <w:position w:val="0"/>
        </w:rPr>
        <w:t>本公司所属廊坊华大吉比爱生物技术有限公司与厦门金诺花科学仪器有限公司于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日签订股权转让协议，以 人民币</w:t>
      </w:r>
      <w:r>
        <w:rPr>
          <w:rFonts w:ascii="Times New Roman" w:eastAsia="Times New Roman" w:hAnsi="Times New Roman" w:cs="Times New Roman"/>
          <w:color w:val="000000"/>
          <w:spacing w:val="0"/>
          <w:w w:val="100"/>
          <w:position w:val="0"/>
        </w:rPr>
        <w:t>5,905,000.00</w:t>
      </w:r>
      <w:r>
        <w:rPr>
          <w:color w:val="000000"/>
          <w:spacing w:val="0"/>
          <w:w w:val="100"/>
          <w:position w:val="0"/>
        </w:rPr>
        <w:t>元出售其所持有厦门华大吉比爱科学仪器有限公司的</w:t>
      </w:r>
      <w:r>
        <w:rPr>
          <w:rFonts w:ascii="Times New Roman" w:eastAsia="Times New Roman" w:hAnsi="Times New Roman" w:cs="Times New Roman"/>
          <w:color w:val="000000"/>
          <w:spacing w:val="0"/>
          <w:w w:val="100"/>
          <w:position w:val="0"/>
        </w:rPr>
        <w:t>85%</w:t>
      </w:r>
      <w:r>
        <w:rPr>
          <w:color w:val="000000"/>
          <w:spacing w:val="0"/>
          <w:w w:val="100"/>
          <w:position w:val="0"/>
        </w:rPr>
        <w:t>股权，处置日为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日。故自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日起，本公司不再将厦门华大吉比爱科学仪器有限公司纳入合并范围。</w:t>
      </w:r>
    </w:p>
    <w:p>
      <w:pPr>
        <w:pStyle w:val="Style17"/>
        <w:keepNext w:val="0"/>
        <w:keepLines w:val="0"/>
        <w:widowControl w:val="0"/>
        <w:shd w:val="clear" w:color="auto" w:fill="auto"/>
        <w:tabs>
          <w:tab w:pos="726" w:val="left"/>
        </w:tabs>
        <w:bidi w:val="0"/>
        <w:spacing w:before="0" w:after="0"/>
        <w:ind w:left="0" w:right="0"/>
        <w:jc w:val="both"/>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其他原因的合并范围变动</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月在北京设立北京华大吉比爱医学检验实验室有限公司，注册资本为人民币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万元，注册地址为：北 京市大兴区礼贤镇元平北路</w:t>
      </w:r>
      <w:r>
        <w:rPr>
          <w:rFonts w:ascii="Times New Roman" w:eastAsia="Times New Roman" w:hAnsi="Times New Roman" w:cs="Times New Roman"/>
          <w:color w:val="000000"/>
          <w:spacing w:val="0"/>
          <w:w w:val="100"/>
          <w:position w:val="0"/>
        </w:rPr>
        <w:t>1</w:t>
      </w:r>
      <w:r>
        <w:rPr>
          <w:color w:val="000000"/>
          <w:spacing w:val="0"/>
          <w:w w:val="100"/>
          <w:position w:val="0"/>
        </w:rPr>
        <w:t>号自贸试验区大兴机场片区自贸创新服务中心一层</w:t>
      </w:r>
      <w:r>
        <w:rPr>
          <w:rFonts w:ascii="Times New Roman" w:eastAsia="Times New Roman" w:hAnsi="Times New Roman" w:cs="Times New Roman"/>
          <w:color w:val="000000"/>
          <w:spacing w:val="0"/>
          <w:w w:val="100"/>
          <w:position w:val="0"/>
        </w:rPr>
        <w:t>0003</w:t>
      </w:r>
      <w:r>
        <w:rPr>
          <w:color w:val="000000"/>
          <w:spacing w:val="0"/>
          <w:w w:val="100"/>
          <w:position w:val="0"/>
        </w:rPr>
        <w:t>号，所属行业为专业技术服务业。</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月在呼和浩特设立内蒙古华大医学检验所有限公司，注册资本为人民币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万元，注册地址为：内蒙古 自治区呼和浩特市和林格尔县盛乐现代服务业集聚区云展街南侧智能制造产业园</w:t>
      </w:r>
      <w:r>
        <w:rPr>
          <w:rFonts w:ascii="Times New Roman" w:eastAsia="Times New Roman" w:hAnsi="Times New Roman" w:cs="Times New Roman"/>
          <w:color w:val="000000"/>
          <w:spacing w:val="0"/>
          <w:w w:val="100"/>
          <w:position w:val="0"/>
        </w:rPr>
        <w:t>A1</w:t>
      </w:r>
      <w:r>
        <w:rPr>
          <w:color w:val="000000"/>
          <w:spacing w:val="0"/>
          <w:w w:val="100"/>
          <w:position w:val="0"/>
        </w:rPr>
        <w:t>号楼二楼，所属行业为专业技术服务业。</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月在武汉设立武汉华大火眼实验室有限公司，注册资本为人民币</w:t>
      </w:r>
      <w:r>
        <w:rPr>
          <w:rFonts w:ascii="Times New Roman" w:eastAsia="Times New Roman" w:hAnsi="Times New Roman" w:cs="Times New Roman"/>
          <w:color w:val="000000"/>
          <w:spacing w:val="0"/>
          <w:w w:val="100"/>
          <w:position w:val="0"/>
        </w:rPr>
        <w:t>100</w:t>
      </w:r>
      <w:r>
        <w:rPr>
          <w:color w:val="000000"/>
          <w:spacing w:val="0"/>
          <w:w w:val="100"/>
          <w:position w:val="0"/>
        </w:rPr>
        <w:t>万元，注册地址为：武汉东湖新技术 开发区高新大道</w:t>
      </w:r>
      <w:r>
        <w:rPr>
          <w:rFonts w:ascii="Times New Roman" w:eastAsia="Times New Roman" w:hAnsi="Times New Roman" w:cs="Times New Roman"/>
          <w:color w:val="000000"/>
          <w:spacing w:val="0"/>
          <w:w w:val="100"/>
          <w:position w:val="0"/>
        </w:rPr>
        <w:t>666</w:t>
      </w:r>
      <w:r>
        <w:rPr>
          <w:color w:val="000000"/>
          <w:spacing w:val="0"/>
          <w:w w:val="100"/>
          <w:position w:val="0"/>
        </w:rPr>
        <w:t>号武汉国家生物产业基地项目</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区研发楼</w:t>
      </w:r>
      <w:r>
        <w:rPr>
          <w:rFonts w:ascii="Times New Roman" w:eastAsia="Times New Roman" w:hAnsi="Times New Roman" w:cs="Times New Roman"/>
          <w:color w:val="000000"/>
          <w:spacing w:val="0"/>
          <w:w w:val="100"/>
          <w:position w:val="0"/>
        </w:rPr>
        <w:t>B2</w:t>
      </w:r>
      <w:r>
        <w:rPr>
          <w:color w:val="000000"/>
          <w:spacing w:val="0"/>
          <w:w w:val="100"/>
          <w:position w:val="0"/>
        </w:rPr>
        <w:t>栋，所属行业为专业技术服务业。</w:t>
      </w:r>
    </w:p>
    <w:p>
      <w:pPr>
        <w:pStyle w:val="Style38"/>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月在波兰设立</w:t>
      </w:r>
      <w:r>
        <w:rPr>
          <w:color w:val="000000"/>
          <w:spacing w:val="0"/>
          <w:w w:val="100"/>
          <w:position w:val="0"/>
        </w:rPr>
        <w:t>BGI TECH SOLUTIONS (POLAND) SP. Z O. O.</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注册资本为波兰兹罗提</w:t>
      </w:r>
      <w:r>
        <w:rPr>
          <w:color w:val="000000"/>
          <w:spacing w:val="0"/>
          <w:w w:val="100"/>
          <w:position w:val="0"/>
        </w:rPr>
        <w:t>45</w:t>
      </w:r>
      <w:r>
        <w:rPr>
          <w:rFonts w:ascii="SimSun" w:eastAsia="SimSun" w:hAnsi="SimSun" w:cs="SimSun"/>
          <w:color w:val="000000"/>
          <w:spacing w:val="0"/>
          <w:w w:val="100"/>
          <w:position w:val="0"/>
        </w:rPr>
        <w:t>万元，所属行业 为专业技术服业。</w:t>
      </w:r>
    </w:p>
    <w:p>
      <w:pPr>
        <w:pStyle w:val="Style38"/>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月在沙特阿拉伯设立</w:t>
      </w:r>
      <w:r>
        <w:rPr>
          <w:color w:val="000000"/>
          <w:spacing w:val="0"/>
          <w:w w:val="100"/>
          <w:position w:val="0"/>
        </w:rPr>
        <w:t>BGI ALMANAHIL HEALTH FOR MEDICAL SERVICES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注册资本为沙特里亚尔</w:t>
      </w:r>
      <w:r>
        <w:rPr>
          <w:color w:val="000000"/>
          <w:spacing w:val="0"/>
          <w:w w:val="100"/>
          <w:position w:val="0"/>
        </w:rPr>
        <w:t xml:space="preserve">50 </w:t>
      </w:r>
      <w:r>
        <w:rPr>
          <w:rFonts w:ascii="SimSun" w:eastAsia="SimSun" w:hAnsi="SimSun" w:cs="SimSun"/>
          <w:color w:val="000000"/>
          <w:spacing w:val="0"/>
          <w:w w:val="100"/>
          <w:position w:val="0"/>
        </w:rPr>
        <w:t>万元，所属行业为专业技术服务业。</w:t>
      </w:r>
    </w:p>
    <w:p>
      <w:pPr>
        <w:pStyle w:val="Style38"/>
        <w:keepNext w:val="0"/>
        <w:keepLines w:val="0"/>
        <w:widowControl w:val="0"/>
        <w:shd w:val="clear" w:color="auto" w:fill="auto"/>
        <w:bidi w:val="0"/>
        <w:spacing w:before="0" w:after="360" w:line="322" w:lineRule="exact"/>
        <w:ind w:left="0" w:right="0" w:firstLine="380"/>
        <w:jc w:val="both"/>
      </w:pPr>
      <w:r>
        <w:rPr>
          <w:rFonts w:ascii="SimSun" w:eastAsia="SimSun" w:hAnsi="SimSun" w:cs="SimSun"/>
          <w:color w:val="000000"/>
          <w:spacing w:val="0"/>
          <w:w w:val="100"/>
          <w:position w:val="0"/>
        </w:rPr>
        <w:t>公司于</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 xml:space="preserve">月在香港注销控股子公司 </w:t>
      </w:r>
      <w:r>
        <w:rPr>
          <w:color w:val="000000"/>
          <w:spacing w:val="0"/>
          <w:w w:val="100"/>
          <w:position w:val="0"/>
        </w:rPr>
        <w:t>CHINA HONG KONG INTERNATIONAL MEDICAL CENTRE CO.,LIMITED</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持股比例为</w:t>
      </w:r>
      <w:r>
        <w:rPr>
          <w:color w:val="000000"/>
          <w:spacing w:val="0"/>
          <w:w w:val="100"/>
          <w:position w:val="0"/>
        </w:rPr>
        <w:t>51%</w:t>
      </w:r>
      <w:r>
        <w:rPr>
          <w:rFonts w:ascii="SimSun" w:eastAsia="SimSun" w:hAnsi="SimSun" w:cs="SimSun"/>
          <w:color w:val="000000"/>
          <w:spacing w:val="0"/>
          <w:w w:val="100"/>
          <w:position w:val="0"/>
        </w:rPr>
        <w:t>，所属行业为专业技术服务业。</w:t>
      </w:r>
    </w:p>
    <w:p>
      <w:pPr>
        <w:pStyle w:val="Style24"/>
        <w:keepNext/>
        <w:keepLines/>
        <w:widowControl w:val="0"/>
        <w:shd w:val="clear" w:color="auto" w:fill="auto"/>
        <w:tabs>
          <w:tab w:pos="569"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八</w:t>
      </w:r>
      <w:bookmarkEnd w:id="552"/>
      <w:r>
        <w:rPr>
          <w:color w:val="000000"/>
          <w:spacing w:val="0"/>
          <w:w w:val="100"/>
          <w:position w:val="0"/>
          <w:sz w:val="24"/>
          <w:szCs w:val="24"/>
        </w:rPr>
        <w:t>、</w:t>
        <w:tab/>
        <w:t>聘任、解聘会计师事务所情况</w:t>
      </w:r>
      <w:bookmarkEnd w:id="550"/>
      <w:bookmarkEnd w:id="551"/>
      <w:bookmarkEnd w:id="553"/>
    </w:p>
    <w:p>
      <w:pPr>
        <w:pStyle w:val="Style17"/>
        <w:keepNext w:val="0"/>
        <w:keepLines w:val="0"/>
        <w:widowControl w:val="0"/>
        <w:shd w:val="clear" w:color="auto" w:fill="auto"/>
        <w:bidi w:val="0"/>
        <w:spacing w:before="0" w:line="315" w:lineRule="exact"/>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bl>
    <w:p>
      <w:pPr>
        <w:spacing w:lineRule="exact" w:line="1"/>
        <w:rPr>
          <w:sz w:val="2"/>
          <w:szCs w:val="2"/>
        </w:rPr>
      </w:pPr>
      <w:r>
        <w:br w:type="page"/>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王士杰、黄寅</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王士杰</w:t>
            </w:r>
            <w:r>
              <w:rPr>
                <w:rFonts w:ascii="Times New Roman" w:eastAsia="Times New Roman" w:hAnsi="Times New Roman" w:cs="Times New Roman"/>
                <w:color w:val="000000"/>
                <w:spacing w:val="0"/>
                <w:w w:val="100"/>
                <w:position w:val="0"/>
              </w:rPr>
              <w:t>2</w:t>
            </w:r>
            <w:r>
              <w:rPr>
                <w:color w:val="000000"/>
                <w:spacing w:val="0"/>
                <w:w w:val="100"/>
                <w:position w:val="0"/>
              </w:rPr>
              <w:t>年、黄寅</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九</w:t>
      </w:r>
      <w:bookmarkEnd w:id="556"/>
      <w:r>
        <w:rPr>
          <w:color w:val="000000"/>
          <w:spacing w:val="0"/>
          <w:w w:val="100"/>
          <w:position w:val="0"/>
          <w:sz w:val="24"/>
          <w:szCs w:val="24"/>
        </w:rPr>
        <w:t>、年度报告披露后面临退市情况</w:t>
      </w:r>
      <w:bookmarkEnd w:id="554"/>
      <w:bookmarkEnd w:id="555"/>
      <w:bookmarkEnd w:id="557"/>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58" w:name="bookmark558"/>
      <w:bookmarkStart w:id="559" w:name="bookmark559"/>
      <w:bookmarkStart w:id="560" w:name="bookmark560"/>
      <w:r>
        <w:rPr>
          <w:color w:val="000000"/>
          <w:spacing w:val="0"/>
          <w:w w:val="100"/>
          <w:position w:val="0"/>
          <w:sz w:val="24"/>
          <w:szCs w:val="24"/>
        </w:rPr>
        <w:t>十、破产重整相关事项</w:t>
      </w:r>
      <w:bookmarkEnd w:id="558"/>
      <w:bookmarkEnd w:id="559"/>
      <w:bookmarkEnd w:id="560"/>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561" w:name="bookmark561"/>
      <w:bookmarkStart w:id="562" w:name="bookmark562"/>
      <w:bookmarkStart w:id="563" w:name="bookmark563"/>
      <w:r>
        <w:rPr>
          <w:color w:val="000000"/>
          <w:spacing w:val="0"/>
          <w:w w:val="100"/>
          <w:position w:val="0"/>
          <w:sz w:val="24"/>
          <w:szCs w:val="24"/>
        </w:rPr>
        <w:t>十一、重大诉讼、仲裁事项</w:t>
      </w:r>
      <w:bookmarkEnd w:id="561"/>
      <w:bookmarkEnd w:id="562"/>
      <w:bookmarkEnd w:id="563"/>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本年度公司无重大诉讼、仲裁事项。</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报告期内其他诉讼事项如下：</w:t>
      </w:r>
    </w:p>
    <w:tbl>
      <w:tblPr>
        <w:tblOverlap w:val="never"/>
        <w:jc w:val="center"/>
        <w:tblLayout w:type="fixed"/>
      </w:tblPr>
      <w:tblGrid>
        <w:gridCol w:w="1709"/>
        <w:gridCol w:w="710"/>
        <w:gridCol w:w="706"/>
        <w:gridCol w:w="3403"/>
        <w:gridCol w:w="850"/>
        <w:gridCol w:w="1138"/>
        <w:gridCol w:w="566"/>
        <w:gridCol w:w="504"/>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诉讼</w:t>
            </w:r>
            <w:r>
              <w:rPr>
                <w:rFonts w:ascii="Times New Roman" w:eastAsia="Times New Roman" w:hAnsi="Times New Roman" w:cs="Times New Roman"/>
                <w:b/>
                <w:bCs/>
                <w:color w:val="000000"/>
                <w:spacing w:val="0"/>
                <w:w w:val="100"/>
                <w:position w:val="0"/>
              </w:rPr>
              <w:t>（</w:t>
            </w:r>
            <w:r>
              <w:rPr>
                <w:b/>
                <w:bCs/>
                <w:color w:val="000000"/>
                <w:spacing w:val="0"/>
                <w:w w:val="100"/>
                <w:position w:val="0"/>
              </w:rPr>
              <w:t>仲裁</w:t>
            </w:r>
            <w:r>
              <w:rPr>
                <w:rFonts w:ascii="Times New Roman" w:eastAsia="Times New Roman" w:hAnsi="Times New Roman" w:cs="Times New Roman"/>
                <w:b/>
                <w:bCs/>
                <w:color w:val="000000"/>
                <w:spacing w:val="0"/>
                <w:w w:val="100"/>
                <w:position w:val="0"/>
              </w:rPr>
              <w:t>）</w:t>
            </w:r>
            <w:r>
              <w:rPr>
                <w:b/>
                <w:bCs/>
                <w:color w:val="000000"/>
                <w:spacing w:val="0"/>
                <w:w w:val="100"/>
                <w:position w:val="0"/>
              </w:rPr>
              <w:t>基本情况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涉案金 额（万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是否形</w:t>
            </w:r>
          </w:p>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成预计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诉讼</w:t>
            </w:r>
            <w:r>
              <w:rPr>
                <w:rFonts w:ascii="Times New Roman" w:eastAsia="Times New Roman" w:hAnsi="Times New Roman" w:cs="Times New Roman"/>
                <w:b/>
                <w:bCs/>
                <w:color w:val="000000"/>
                <w:spacing w:val="0"/>
                <w:w w:val="100"/>
                <w:position w:val="0"/>
              </w:rPr>
              <w:t>（</w:t>
            </w:r>
            <w:r>
              <w:rPr>
                <w:b/>
                <w:bCs/>
                <w:color w:val="000000"/>
                <w:spacing w:val="0"/>
                <w:w w:val="100"/>
                <w:position w:val="0"/>
              </w:rPr>
              <w:t>仲裁</w:t>
            </w:r>
            <w:r>
              <w:rPr>
                <w:rFonts w:ascii="Times New Roman" w:eastAsia="Times New Roman" w:hAnsi="Times New Roman" w:cs="Times New Roman"/>
                <w:b/>
                <w:bCs/>
                <w:color w:val="000000"/>
                <w:spacing w:val="0"/>
                <w:w w:val="100"/>
                <w:position w:val="0"/>
              </w:rPr>
              <w:t>）</w:t>
            </w:r>
            <w:r>
              <w:rPr>
                <w:b/>
                <w:bCs/>
                <w:color w:val="000000"/>
                <w:spacing w:val="0"/>
                <w:w w:val="100"/>
                <w:position w:val="0"/>
              </w:rPr>
              <w:t>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诉讼</w:t>
            </w:r>
            <w:r>
              <w:rPr>
                <w:rFonts w:ascii="Times New Roman" w:eastAsia="Times New Roman" w:hAnsi="Times New Roman" w:cs="Times New Roman"/>
                <w:b/>
                <w:bCs/>
                <w:color w:val="000000"/>
                <w:spacing w:val="0"/>
                <w:w w:val="100"/>
                <w:position w:val="0"/>
              </w:rPr>
              <w:t>（</w:t>
            </w:r>
            <w:r>
              <w:rPr>
                <w:b/>
                <w:bCs/>
                <w:color w:val="000000"/>
                <w:spacing w:val="0"/>
                <w:w w:val="100"/>
                <w:position w:val="0"/>
              </w:rPr>
              <w:t>仲 裁</w:t>
            </w:r>
            <w:r>
              <w:rPr>
                <w:rFonts w:ascii="Times New Roman" w:eastAsia="Times New Roman" w:hAnsi="Times New Roman" w:cs="Times New Roman"/>
                <w:b/>
                <w:bCs/>
                <w:color w:val="000000"/>
                <w:spacing w:val="0"/>
                <w:w w:val="100"/>
                <w:position w:val="0"/>
              </w:rPr>
              <w:t>）</w:t>
            </w:r>
            <w:r>
              <w:rPr>
                <w:b/>
                <w:bCs/>
                <w:color w:val="000000"/>
                <w:spacing w:val="0"/>
                <w:w w:val="100"/>
                <w:position w:val="0"/>
              </w:rPr>
              <w:t>审理结 果及影响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诉讼</w:t>
            </w:r>
            <w:r>
              <w:rPr>
                <w:rFonts w:ascii="Times New Roman" w:eastAsia="Times New Roman" w:hAnsi="Times New Roman" w:cs="Times New Roman"/>
                <w:b/>
                <w:bCs/>
                <w:color w:val="000000"/>
                <w:spacing w:val="0"/>
                <w:w w:val="100"/>
                <w:position w:val="0"/>
              </w:rPr>
              <w:t>（</w:t>
            </w:r>
            <w:r>
              <w:rPr>
                <w:b/>
                <w:bCs/>
                <w:color w:val="000000"/>
                <w:spacing w:val="0"/>
                <w:w w:val="100"/>
                <w:position w:val="0"/>
              </w:rPr>
              <w:t>仲裁</w:t>
            </w:r>
            <w:r>
              <w:rPr>
                <w:rFonts w:ascii="Times New Roman" w:eastAsia="Times New Roman" w:hAnsi="Times New Roman" w:cs="Times New Roman"/>
                <w:b/>
                <w:bCs/>
                <w:color w:val="000000"/>
                <w:spacing w:val="0"/>
                <w:w w:val="100"/>
                <w:position w:val="0"/>
              </w:rPr>
              <w:t>）</w:t>
            </w:r>
            <w:r>
              <w:rPr>
                <w:b/>
                <w:bCs/>
                <w:color w:val="000000"/>
                <w:spacing w:val="0"/>
                <w:w w:val="100"/>
                <w:position w:val="0"/>
              </w:rPr>
              <w:t>判 决执行情况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披露 索引</w:t>
            </w:r>
          </w:p>
        </w:tc>
      </w:tr>
      <w:tr>
        <w:trPr>
          <w:trHeight w:val="3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原告：雅士能基因科 技有限公司、香港中 文大学</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被告：公司关联方： 华大智造香港研发中 心有限公司；公司控 股子公司：华大基因 健康科技（香港）有 限公司；</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案由：专利侵权纠纷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不适用</w:t>
            </w:r>
          </w:p>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（已调 解结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已达成和解，原被告双方撤诉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根据《和 解协 议》， 公司从</w:t>
            </w:r>
          </w:p>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月支 付原告方 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月已支付完 毕；</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2021</w:t>
            </w:r>
            <w:r>
              <w:rPr>
                <w:color w:val="000000"/>
                <w:spacing w:val="0"/>
                <w:w w:val="100"/>
                <w:position w:val="0"/>
              </w:rPr>
              <w:t>年已预 提相关费用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原告：</w:t>
            </w:r>
            <w:r>
              <w:rPr>
                <w:rFonts w:ascii="Times New Roman" w:eastAsia="Times New Roman" w:hAnsi="Times New Roman" w:cs="Times New Roman"/>
                <w:color w:val="000000"/>
                <w:spacing w:val="0"/>
                <w:w w:val="100"/>
                <w:position w:val="0"/>
              </w:rPr>
              <w:t>Illumina, Inc.</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and Illumina</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Cambridge Ltd.</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被告：公司控股子公</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司 </w:t>
            </w:r>
            <w:r>
              <w:rPr>
                <w:rFonts w:ascii="Times New Roman" w:eastAsia="Times New Roman" w:hAnsi="Times New Roman" w:cs="Times New Roman"/>
                <w:color w:val="000000"/>
                <w:spacing w:val="0"/>
                <w:w w:val="100"/>
                <w:position w:val="0"/>
              </w:rPr>
              <w:t>BGI Europe A/S</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暂不适 用（现 阶段涉 诉金额 尚未明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月原告在丹麦提起专利诉讼，认 为被告侵犯其专利权（专利号</w:t>
            </w:r>
            <w:r>
              <w:rPr>
                <w:rFonts w:ascii="Times New Roman" w:eastAsia="Times New Roman" w:hAnsi="Times New Roman" w:cs="Times New Roman"/>
                <w:color w:val="000000"/>
                <w:spacing w:val="0"/>
                <w:w w:val="100"/>
                <w:position w:val="0"/>
              </w:rPr>
              <w:t>EP3002289</w:t>
            </w:r>
            <w:r>
              <w:rPr>
                <w:color w:val="000000"/>
                <w:spacing w:val="0"/>
                <w:w w:val="100"/>
                <w:position w:val="0"/>
              </w:rPr>
              <w:t xml:space="preserve">） </w:t>
            </w:r>
            <w:r>
              <w:rPr>
                <w:color w:val="000000"/>
                <w:spacing w:val="0"/>
                <w:w w:val="100"/>
                <w:position w:val="0"/>
              </w:rPr>
              <w:t>及其商标权（注册商标号</w:t>
            </w:r>
            <w:r>
              <w:rPr>
                <w:rFonts w:ascii="Times New Roman" w:eastAsia="Times New Roman" w:hAnsi="Times New Roman" w:cs="Times New Roman"/>
                <w:color w:val="000000"/>
                <w:spacing w:val="0"/>
                <w:w w:val="100"/>
                <w:position w:val="0"/>
              </w:rPr>
              <w:t>EUTM008972127</w:t>
            </w:r>
            <w:r>
              <w:rPr>
                <w:color w:val="000000"/>
                <w:spacing w:val="0"/>
                <w:w w:val="100"/>
                <w:position w:val="0"/>
              </w:rPr>
              <w:t xml:space="preserve">、 </w:t>
            </w:r>
            <w:r>
              <w:rPr>
                <w:rFonts w:ascii="Times New Roman" w:eastAsia="Times New Roman" w:hAnsi="Times New Roman" w:cs="Times New Roman"/>
                <w:color w:val="000000"/>
                <w:spacing w:val="0"/>
                <w:w w:val="100"/>
                <w:position w:val="0"/>
              </w:rPr>
              <w:t>EUTM017620287</w:t>
            </w:r>
            <w:r>
              <w:rPr>
                <w:color w:val="000000"/>
                <w:spacing w:val="0"/>
                <w:w w:val="100"/>
                <w:position w:val="0"/>
              </w:rPr>
              <w:t>），</w:t>
            </w:r>
            <w:r>
              <w:rPr>
                <w:color w:val="000000"/>
                <w:spacing w:val="0"/>
                <w:w w:val="100"/>
                <w:position w:val="0"/>
              </w:rPr>
              <w:t>要求被告停止使用、销 售、进口、提供含涉诉专利的产品及服务，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710"/>
        <w:gridCol w:w="706"/>
        <w:gridCol w:w="3403"/>
        <w:gridCol w:w="850"/>
        <w:gridCol w:w="1138"/>
        <w:gridCol w:w="566"/>
        <w:gridCol w:w="504"/>
      </w:tblGrid>
      <w:tr>
        <w:trPr>
          <w:trHeight w:val="286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案由：专利侵权纠纷 及商标侵权纠纷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并召回含涉诉专利的产品。原告虽在诉讼中 保留提出损害赔偿的权利，但截至目前，其 并未实际提出侵权赔偿的诉求。</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月，丹麦海事和商业高等法院（以下简称丹 麦法院）决定中止该诉讼，等到欧洲专利局 对涉诉的专利有效性做出裁决后再继续审 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日，法院驳回原告关于 解除丹麦案件中止状态的申请。该专利有效 期将于</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日届满。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原告：</w:t>
            </w:r>
            <w:r>
              <w:rPr>
                <w:rFonts w:ascii="Times New Roman" w:eastAsia="Times New Roman" w:hAnsi="Times New Roman" w:cs="Times New Roman"/>
                <w:color w:val="000000"/>
                <w:spacing w:val="0"/>
                <w:w w:val="100"/>
                <w:position w:val="0"/>
              </w:rPr>
              <w:t>Illumina, Inc. and Illumina Cambridge Ltd.</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被告：公司控股子公 司 </w:t>
            </w:r>
            <w:r>
              <w:rPr>
                <w:rFonts w:ascii="Times New Roman" w:eastAsia="Times New Roman" w:hAnsi="Times New Roman" w:cs="Times New Roman"/>
                <w:color w:val="000000"/>
                <w:spacing w:val="0"/>
                <w:w w:val="100"/>
                <w:position w:val="0"/>
              </w:rPr>
              <w:t>BGI Europe A/S</w:t>
            </w:r>
            <w:r>
              <w:rPr>
                <w:color w:val="000000"/>
                <w:spacing w:val="0"/>
                <w:w w:val="100"/>
                <w:position w:val="0"/>
              </w:rPr>
              <w:t xml:space="preserve">； </w:t>
            </w:r>
            <w:r>
              <w:rPr>
                <w:color w:val="000000"/>
                <w:spacing w:val="0"/>
                <w:w w:val="100"/>
                <w:position w:val="0"/>
              </w:rPr>
              <w:t>公司关联方：</w:t>
            </w:r>
            <w:r>
              <w:rPr>
                <w:rFonts w:ascii="Times New Roman" w:eastAsia="Times New Roman" w:hAnsi="Times New Roman" w:cs="Times New Roman"/>
                <w:color w:val="000000"/>
                <w:spacing w:val="0"/>
                <w:w w:val="100"/>
                <w:position w:val="0"/>
              </w:rPr>
              <w:t>BGI Complete Genomics Hong Kong Co., Limited</w:t>
            </w:r>
            <w:r>
              <w:rPr>
                <w:color w:val="000000"/>
                <w:spacing w:val="0"/>
                <w:w w:val="100"/>
                <w:position w:val="0"/>
              </w:rPr>
              <w:t>案由：专利 侵权纠纷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暂不适 用（现 阶段涉 诉金额 尚未明 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月原告向丹麦海事和商业高等法 院（以下简称丹麦法院）提起诉讼，主张被 告侵犯了其专利权（专利号</w:t>
            </w:r>
            <w:r>
              <w:rPr>
                <w:rFonts w:ascii="Times New Roman" w:eastAsia="Times New Roman" w:hAnsi="Times New Roman" w:cs="Times New Roman"/>
                <w:color w:val="000000"/>
                <w:spacing w:val="0"/>
                <w:w w:val="100"/>
                <w:position w:val="0"/>
              </w:rPr>
              <w:t>EP3002289</w:t>
            </w:r>
            <w:r>
              <w:rPr>
                <w:color w:val="000000"/>
                <w:spacing w:val="0"/>
                <w:w w:val="100"/>
                <w:position w:val="0"/>
              </w:rPr>
              <w:t xml:space="preserve">）， </w:t>
            </w:r>
            <w:r>
              <w:rPr>
                <w:color w:val="000000"/>
                <w:spacing w:val="0"/>
                <w:w w:val="100"/>
                <w:position w:val="0"/>
              </w:rPr>
              <w:t xml:space="preserve">要求丹麦法院向被告颁发临时禁令以禁止 其使用、销售、进口、提供涉诉的产品及服 务，并召回涉诉产品。该专利有效期将于 </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日届满。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丹麦法院裁定驳回原告提出的临时禁令申 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日，原告就法院裁定提 起上诉。上诉法院于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日判 决维持一审法院关于驳回原告临时禁令申 请的裁决，并判令原告向被告支付</w:t>
            </w:r>
            <w:r>
              <w:rPr>
                <w:rFonts w:ascii="Times New Roman" w:eastAsia="Times New Roman" w:hAnsi="Times New Roman" w:cs="Times New Roman"/>
                <w:color w:val="000000"/>
                <w:spacing w:val="0"/>
                <w:w w:val="100"/>
                <w:position w:val="0"/>
              </w:rPr>
              <w:t>100</w:t>
            </w:r>
            <w:r>
              <w:rPr>
                <w:color w:val="000000"/>
                <w:spacing w:val="0"/>
                <w:w w:val="100"/>
                <w:position w:val="0"/>
              </w:rPr>
              <w:t>万丹 麦克朗的诉讼费用。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原告：</w:t>
            </w:r>
            <w:r>
              <w:rPr>
                <w:rFonts w:ascii="Times New Roman" w:eastAsia="Times New Roman" w:hAnsi="Times New Roman" w:cs="Times New Roman"/>
                <w:color w:val="000000"/>
                <w:spacing w:val="0"/>
                <w:w w:val="100"/>
                <w:position w:val="0"/>
              </w:rPr>
              <w:t>Illumina, Inc. and Illumina Cambridge Ltd.</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被告：公司及控股子 公司</w:t>
            </w:r>
            <w:r>
              <w:rPr>
                <w:rFonts w:ascii="Times New Roman" w:eastAsia="Times New Roman" w:hAnsi="Times New Roman" w:cs="Times New Roman"/>
                <w:color w:val="000000"/>
                <w:spacing w:val="0"/>
                <w:w w:val="100"/>
                <w:position w:val="0"/>
              </w:rPr>
              <w:t>BGI</w:t>
            </w:r>
          </w:p>
          <w:p>
            <w:pPr>
              <w:pStyle w:val="Style20"/>
              <w:keepNext w:val="0"/>
              <w:keepLines w:val="0"/>
              <w:widowControl w:val="0"/>
              <w:shd w:val="clear" w:color="auto" w:fill="auto"/>
              <w:bidi w:val="0"/>
              <w:spacing w:before="0" w:line="319" w:lineRule="exact"/>
              <w:ind w:left="0" w:right="0" w:firstLine="0"/>
              <w:jc w:val="left"/>
            </w:pPr>
            <w:r>
              <w:rPr>
                <w:rFonts w:ascii="Times New Roman" w:eastAsia="Times New Roman" w:hAnsi="Times New Roman" w:cs="Times New Roman"/>
                <w:color w:val="000000"/>
                <w:spacing w:val="0"/>
                <w:w w:val="100"/>
                <w:position w:val="0"/>
              </w:rPr>
              <w:t xml:space="preserve">AMERICAS CORP., </w:t>
            </w:r>
            <w:r>
              <w:rPr>
                <w:color w:val="000000"/>
                <w:spacing w:val="0"/>
                <w:w w:val="100"/>
                <w:position w:val="0"/>
              </w:rPr>
              <w:t>公司关联方：</w:t>
            </w:r>
            <w:r>
              <w:rPr>
                <w:rFonts w:ascii="Times New Roman" w:eastAsia="Times New Roman" w:hAnsi="Times New Roman" w:cs="Times New Roman"/>
                <w:color w:val="000000"/>
                <w:spacing w:val="0"/>
                <w:w w:val="100"/>
                <w:position w:val="0"/>
              </w:rPr>
              <w:t>MGI TECH CO., LTD., MGI AMERICAS,</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INC., and</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COMPLETE</w:t>
            </w:r>
          </w:p>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GENOMICS, INC., </w:t>
            </w:r>
            <w:r>
              <w:rPr>
                <w:color w:val="000000"/>
                <w:spacing w:val="0"/>
                <w:w w:val="100"/>
                <w:position w:val="0"/>
              </w:rPr>
              <w:t>案由：专利侵权纠纷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暂不适 用（现 阶段涉 诉金额 尚未明 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月原告在美国提起 专利诉讼，认为被告侵犯其专利权，被告积 极应对竞争对手的诉讼。</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月，美 国加州北区联邦地区法院下令批准了原告 提出的动议，颁发临时禁令禁止被告在美国 销售、制造、许诺销售或使用涉嫌被诉侵权 产品。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月，被告就临时禁令提起 上诉。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月及</w:t>
            </w:r>
            <w:r>
              <w:rPr>
                <w:rFonts w:ascii="Times New Roman" w:eastAsia="Times New Roman" w:hAnsi="Times New Roman" w:cs="Times New Roman"/>
                <w:color w:val="000000"/>
                <w:spacing w:val="0"/>
                <w:w w:val="100"/>
                <w:position w:val="0"/>
              </w:rPr>
              <w:t>9</w:t>
            </w:r>
            <w:r>
              <w:rPr>
                <w:color w:val="000000"/>
                <w:spacing w:val="0"/>
                <w:w w:val="100"/>
                <w:position w:val="0"/>
              </w:rPr>
              <w:t>月，美国加州北区 联邦地区法院分别下令限缩了临时禁令的 范围。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日，举行了陪审团 审讯。</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日，陪审团裁定被 告对部分专利造成侵权，原告部分专利无 效;并支持被告对原告的损害赔偿为</w:t>
            </w:r>
            <w:r>
              <w:rPr>
                <w:rFonts w:ascii="Times New Roman" w:eastAsia="Times New Roman" w:hAnsi="Times New Roman" w:cs="Times New Roman"/>
                <w:color w:val="000000"/>
                <w:spacing w:val="0"/>
                <w:w w:val="100"/>
                <w:position w:val="0"/>
              </w:rPr>
              <w:t>800</w:t>
            </w:r>
            <w:r>
              <w:rPr>
                <w:color w:val="000000"/>
                <w:spacing w:val="0"/>
                <w:w w:val="100"/>
                <w:position w:val="0"/>
              </w:rPr>
              <w:t>万 美元。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日，法院作出一审判 决，判决结果与此前陪审团的裁定结果基本 一致，即判定原告</w:t>
            </w:r>
            <w:r>
              <w:rPr>
                <w:rFonts w:ascii="Times New Roman" w:eastAsia="Times New Roman" w:hAnsi="Times New Roman" w:cs="Times New Roman"/>
                <w:color w:val="000000"/>
                <w:spacing w:val="0"/>
                <w:w w:val="100"/>
                <w:position w:val="0"/>
              </w:rPr>
              <w:t>Illumina</w:t>
            </w:r>
            <w:r>
              <w:rPr>
                <w:color w:val="000000"/>
                <w:spacing w:val="0"/>
                <w:w w:val="100"/>
                <w:position w:val="0"/>
              </w:rPr>
              <w:t>的部分专利无 效，但被告对另一部分专利构成侵权；支持 原告的损害赔偿请求，金额为约</w:t>
            </w:r>
            <w:r>
              <w:rPr>
                <w:rFonts w:ascii="Times New Roman" w:eastAsia="Times New Roman" w:hAnsi="Times New Roman" w:cs="Times New Roman"/>
                <w:color w:val="000000"/>
                <w:spacing w:val="0"/>
                <w:w w:val="100"/>
                <w:position w:val="0"/>
              </w:rPr>
              <w:t>800</w:t>
            </w:r>
            <w:r>
              <w:rPr>
                <w:color w:val="000000"/>
                <w:spacing w:val="0"/>
                <w:w w:val="100"/>
                <w:position w:val="0"/>
              </w:rPr>
              <w:t>万美元 等费用。</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日，法院在前述一 审判决的基础上作出禁令，在涉诉专利有效 期内禁止被告就禁令所涉产品在美国实施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710"/>
        <w:gridCol w:w="706"/>
        <w:gridCol w:w="3403"/>
        <w:gridCol w:w="850"/>
        <w:gridCol w:w="1138"/>
        <w:gridCol w:w="566"/>
        <w:gridCol w:w="50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进口、销售、许诺销售、分销、使用等行为。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316" w:lineRule="exact"/>
              <w:ind w:left="0" w:right="0" w:firstLine="0"/>
              <w:jc w:val="left"/>
            </w:pPr>
            <w:r>
              <w:rPr>
                <w:color w:val="000000"/>
                <w:spacing w:val="0"/>
                <w:w w:val="100"/>
                <w:position w:val="0"/>
              </w:rPr>
              <w:t>原告：</w:t>
            </w:r>
            <w:r>
              <w:rPr>
                <w:rFonts w:ascii="Times New Roman" w:eastAsia="Times New Roman" w:hAnsi="Times New Roman" w:cs="Times New Roman"/>
                <w:color w:val="000000"/>
                <w:spacing w:val="0"/>
                <w:w w:val="100"/>
                <w:position w:val="0"/>
              </w:rPr>
              <w:t xml:space="preserve">Illumina Cambridge Ltd. </w:t>
            </w:r>
            <w:r>
              <w:rPr>
                <w:color w:val="000000"/>
                <w:spacing w:val="0"/>
                <w:w w:val="100"/>
                <w:position w:val="0"/>
              </w:rPr>
              <w:t>被告：公司关联方： 深圳华大智造科技股 份有限公司、香港华 大智造医疗设备有限 公司、</w:t>
            </w:r>
            <w:r>
              <w:rPr>
                <w:rFonts w:ascii="Times New Roman" w:eastAsia="Times New Roman" w:hAnsi="Times New Roman" w:cs="Times New Roman"/>
                <w:color w:val="000000"/>
                <w:spacing w:val="0"/>
                <w:w w:val="100"/>
                <w:position w:val="0"/>
              </w:rPr>
              <w:t>MGI</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International Sales</w:t>
            </w:r>
          </w:p>
          <w:p>
            <w:pPr>
              <w:pStyle w:val="Style20"/>
              <w:keepNext w:val="0"/>
              <w:keepLines w:val="0"/>
              <w:widowControl w:val="0"/>
              <w:shd w:val="clear" w:color="auto" w:fill="auto"/>
              <w:tabs>
                <w:tab w:pos="1267"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Co., Limited</w:t>
            </w:r>
            <w:r>
              <w:rPr>
                <w:color w:val="000000"/>
                <w:spacing w:val="0"/>
                <w:w w:val="100"/>
                <w:position w:val="0"/>
              </w:rPr>
              <w:t>、</w:t>
            </w:r>
            <w:r>
              <w:rPr>
                <w:color w:val="000000"/>
                <w:spacing w:val="0"/>
                <w:w w:val="100"/>
                <w:position w:val="0"/>
              </w:rPr>
              <w:t>华大智 造香港研发中心有限 公司、</w:t>
              <w:tab/>
              <w:t>公司</w:t>
            </w:r>
          </w:p>
          <w:p>
            <w:pPr>
              <w:pStyle w:val="Style20"/>
              <w:keepNext w:val="0"/>
              <w:keepLines w:val="0"/>
              <w:widowControl w:val="0"/>
              <w:shd w:val="clear" w:color="auto" w:fill="auto"/>
              <w:tabs>
                <w:tab w:pos="720" w:val="left"/>
              </w:tabs>
              <w:bidi w:val="0"/>
              <w:spacing w:before="0" w:after="0" w:line="316" w:lineRule="exact"/>
              <w:ind w:left="0" w:right="0" w:firstLine="0"/>
              <w:jc w:val="both"/>
            </w:pPr>
            <w:r>
              <w:rPr>
                <w:color w:val="000000"/>
                <w:spacing w:val="0"/>
                <w:w w:val="100"/>
                <w:position w:val="0"/>
              </w:rPr>
              <w:t>控股子公司：香港华 大基因科技服务有限 公司、华大基因健康 科技（香港）有限公 司；</w:t>
              <w:tab/>
              <w:t>案由：专利</w:t>
            </w:r>
          </w:p>
          <w:p>
            <w:pPr>
              <w:pStyle w:val="Style20"/>
              <w:keepNext w:val="0"/>
              <w:keepLines w:val="0"/>
              <w:widowControl w:val="0"/>
              <w:shd w:val="clear" w:color="auto" w:fill="auto"/>
              <w:bidi w:val="0"/>
              <w:spacing w:before="0" w:after="40" w:line="316" w:lineRule="exact"/>
              <w:ind w:left="0" w:right="0" w:firstLine="0"/>
              <w:jc w:val="both"/>
            </w:pPr>
            <w:r>
              <w:rPr>
                <w:color w:val="000000"/>
                <w:spacing w:val="0"/>
                <w:w w:val="100"/>
                <w:position w:val="0"/>
              </w:rPr>
              <w:t>侵权纠纷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暂不适 用（现 阶段涉 诉金额 尚未明 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月原告在香港特别行政区高等法 院（以下简称香港法院）起诉被告，要求香 港法院宣布被告侵犯了其在香港的标准专 利，并要求被告就其侵权行为向其作出经济 赔偿及交出就其侵权行为而获得的所有利 润，同时向香港法院申请了临时禁制令。香 港法院于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日就原告的临时 禁制令申请举行了指示聆讯，对被告在中国 香港地区的业务限制进行了约定，该约定自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日起生效。被告于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日向法庭提交抗辩书及反诉及侵权 异议详情。香港法院于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日就原告的临时禁令申请进行审理后作出 令状，对被告在香港地区的业务进行进一步 限制。正式庭审将于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日举行。上述香港诉讼中 的涉诉专利的有效期于</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届满。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 资讯 网</w:t>
            </w:r>
          </w:p>
          <w:p>
            <w:pPr>
              <w:pStyle w:val="Style20"/>
              <w:keepNext w:val="0"/>
              <w:keepLines w:val="0"/>
              <w:widowControl w:val="0"/>
              <w:shd w:val="clear" w:color="auto" w:fill="auto"/>
              <w:bidi w:val="0"/>
              <w:spacing w:before="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 p://w ww.c ninfo.</w:t>
            </w:r>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com.c n</w:t>
            </w:r>
            <w:r>
              <w:rPr>
                <w:color w:val="000000"/>
                <w:spacing w:val="0"/>
                <w:w w:val="100"/>
                <w:position w:val="0"/>
              </w:rPr>
              <w:t>)</w:t>
            </w:r>
          </w:p>
        </w:tc>
      </w:tr>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原告：公司控股子公 司 </w:t>
            </w:r>
            <w:r>
              <w:rPr>
                <w:rFonts w:ascii="Times New Roman" w:eastAsia="Times New Roman" w:hAnsi="Times New Roman" w:cs="Times New Roman"/>
                <w:color w:val="000000"/>
                <w:spacing w:val="0"/>
                <w:w w:val="100"/>
                <w:position w:val="0"/>
              </w:rPr>
              <w:t>BGI AMERICAS CORP.,</w:t>
            </w:r>
            <w:r>
              <w:rPr>
                <w:color w:val="000000"/>
                <w:spacing w:val="0"/>
                <w:w w:val="100"/>
                <w:position w:val="0"/>
              </w:rPr>
              <w:t>公司关联 方：</w:t>
            </w:r>
            <w:r>
              <w:rPr>
                <w:rFonts w:ascii="Times New Roman" w:eastAsia="Times New Roman" w:hAnsi="Times New Roman" w:cs="Times New Roman"/>
                <w:color w:val="000000"/>
                <w:spacing w:val="0"/>
                <w:w w:val="100"/>
                <w:position w:val="0"/>
              </w:rPr>
              <w:t xml:space="preserve">MGI AMERICAS, INC. and COMPLETE GENOMICS, INC. </w:t>
            </w:r>
            <w:r>
              <w:rPr>
                <w:color w:val="000000"/>
                <w:spacing w:val="0"/>
                <w:w w:val="100"/>
                <w:position w:val="0"/>
              </w:rPr>
              <w:t>被告：</w:t>
            </w:r>
            <w:r>
              <w:rPr>
                <w:rFonts w:ascii="Times New Roman" w:eastAsia="Times New Roman" w:hAnsi="Times New Roman" w:cs="Times New Roman"/>
                <w:color w:val="000000"/>
                <w:spacing w:val="0"/>
                <w:w w:val="100"/>
                <w:position w:val="0"/>
              </w:rPr>
              <w:t>Illumina, Inc. and Illumina Cambridge Ltd.</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案由：境外反垄断与 不正当竞争纠纷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暂不适 用（现 阶段涉 诉金额 尚未明 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日，原告对被告提起反垄 断与不正当竞争之诉。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 被告对原告的起诉状进行回复。经被告申 请，法院于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日批准本案中 止诉讼，直至被告诉原告的专利诉讼案件 完结。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公司及公司控股子公 司为被告的未达到重 大披露标准的其他诉 讼情况汇总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未结案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360" w:line="317" w:lineRule="exact"/>
        <w:ind w:left="0" w:right="0" w:firstLine="360"/>
        <w:jc w:val="left"/>
      </w:pPr>
      <w:r>
        <w:rPr>
          <w:color w:val="000000"/>
          <w:spacing w:val="0"/>
          <w:w w:val="100"/>
          <w:position w:val="0"/>
        </w:rPr>
        <w:t>注：上表涉诉主体中，香港华大智造医疗设备有限公司，曾用名香港华大基因医疗设备有限公司；华大智造香港研发中 心有限公司，曾用名华大基因香港研发中心有限公司。</w:t>
      </w:r>
    </w:p>
    <w:p>
      <w:pPr>
        <w:pStyle w:val="Style24"/>
        <w:keepNext/>
        <w:keepLines/>
        <w:widowControl w:val="0"/>
        <w:shd w:val="clear" w:color="auto" w:fill="auto"/>
        <w:bidi w:val="0"/>
        <w:spacing w:before="0" w:after="360" w:line="240" w:lineRule="auto"/>
        <w:ind w:left="0" w:right="0" w:firstLine="0"/>
        <w:jc w:val="left"/>
      </w:pPr>
      <w:bookmarkStart w:id="564" w:name="bookmark564"/>
      <w:bookmarkStart w:id="565" w:name="bookmark565"/>
      <w:bookmarkStart w:id="566" w:name="bookmark566"/>
      <w:r>
        <w:rPr>
          <w:color w:val="000000"/>
          <w:spacing w:val="0"/>
          <w:w w:val="100"/>
          <w:position w:val="0"/>
          <w:sz w:val="24"/>
          <w:szCs w:val="24"/>
        </w:rPr>
        <w:t>十二、处罚及整改情况</w:t>
      </w:r>
      <w:bookmarkEnd w:id="564"/>
      <w:bookmarkEnd w:id="565"/>
      <w:bookmarkEnd w:id="566"/>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公司报告期不存在重大处罚及整改情况。</w:t>
      </w:r>
    </w:p>
    <w:p>
      <w:pPr>
        <w:pStyle w:val="Style24"/>
        <w:keepNext/>
        <w:keepLines/>
        <w:widowControl w:val="0"/>
        <w:shd w:val="clear" w:color="auto" w:fill="auto"/>
        <w:bidi w:val="0"/>
        <w:spacing w:before="0" w:after="360" w:line="240" w:lineRule="auto"/>
        <w:ind w:left="0" w:right="0" w:firstLine="0"/>
        <w:jc w:val="left"/>
      </w:pPr>
      <w:bookmarkStart w:id="567" w:name="bookmark567"/>
      <w:bookmarkStart w:id="568" w:name="bookmark568"/>
      <w:bookmarkStart w:id="569" w:name="bookmark569"/>
      <w:r>
        <w:rPr>
          <w:color w:val="000000"/>
          <w:spacing w:val="0"/>
          <w:w w:val="100"/>
          <w:position w:val="0"/>
          <w:sz w:val="24"/>
          <w:szCs w:val="24"/>
        </w:rPr>
        <w:t>十三、公司及其控股股东、实际控制人的诚信状况</w:t>
      </w:r>
      <w:bookmarkEnd w:id="567"/>
      <w:bookmarkEnd w:id="568"/>
      <w:bookmarkEnd w:id="569"/>
    </w:p>
    <w:p>
      <w:pPr>
        <w:pStyle w:val="Style1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22" w:lineRule="exact"/>
        <w:ind w:left="0" w:right="0" w:firstLine="360"/>
        <w:jc w:val="left"/>
        <w:sectPr>
          <w:footnotePr>
            <w:pos w:val="pageBottom"/>
            <w:numFmt w:val="decimal"/>
            <w:numRestart w:val="continuous"/>
          </w:footnotePr>
          <w:pgSz w:w="11900" w:h="16840"/>
          <w:pgMar w:top="1383" w:right="1063" w:bottom="1469" w:left="915" w:header="0" w:footer="3" w:gutter="0"/>
          <w:cols w:space="720"/>
          <w:noEndnote/>
          <w:rtlGutter w:val="0"/>
          <w:docGrid w:linePitch="360"/>
        </w:sectPr>
      </w:pPr>
      <w:r>
        <w:rPr>
          <w:color w:val="000000"/>
          <w:spacing w:val="0"/>
          <w:w w:val="100"/>
          <w:position w:val="0"/>
        </w:rPr>
        <w:t>报告期内，公司及其控股股东、实际控制人的诚信状况良好，不存在未履行法院生效判决、所负数额较大的债务到期 未清偿等情况。</w:t>
      </w:r>
    </w:p>
    <w:p>
      <w:pPr>
        <w:pStyle w:val="Style24"/>
        <w:keepNext/>
        <w:keepLines/>
        <w:widowControl w:val="0"/>
        <w:shd w:val="clear" w:color="auto" w:fill="auto"/>
        <w:bidi w:val="0"/>
        <w:spacing w:before="0" w:after="360" w:line="240" w:lineRule="auto"/>
        <w:ind w:left="0" w:right="0" w:firstLine="0"/>
        <w:jc w:val="left"/>
      </w:pPr>
      <w:bookmarkStart w:id="570" w:name="bookmark570"/>
      <w:bookmarkStart w:id="571" w:name="bookmark571"/>
      <w:bookmarkStart w:id="572" w:name="bookmark572"/>
      <w:r>
        <w:rPr>
          <w:color w:val="000000"/>
          <w:spacing w:val="0"/>
          <w:w w:val="100"/>
          <w:position w:val="0"/>
          <w:sz w:val="24"/>
          <w:szCs w:val="24"/>
        </w:rPr>
        <w:t>十四、重大关联交易</w:t>
      </w:r>
      <w:bookmarkEnd w:id="570"/>
      <w:bookmarkEnd w:id="571"/>
      <w:bookmarkEnd w:id="572"/>
    </w:p>
    <w:p>
      <w:pPr>
        <w:pStyle w:val="Style30"/>
        <w:keepNext/>
        <w:keepLines/>
        <w:widowControl w:val="0"/>
        <w:shd w:val="clear" w:color="auto" w:fill="auto"/>
        <w:bidi w:val="0"/>
        <w:spacing w:before="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、与日常经营相关的关联交易</w:t>
      </w:r>
      <w:bookmarkEnd w:id="573"/>
      <w:bookmarkEnd w:id="574"/>
      <w:bookmarkEnd w:id="576"/>
    </w:p>
    <w:p>
      <w:pPr>
        <w:pStyle w:val="Style1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23"/>
        <w:gridCol w:w="936"/>
        <w:gridCol w:w="941"/>
        <w:gridCol w:w="974"/>
        <w:gridCol w:w="941"/>
        <w:gridCol w:w="931"/>
        <w:gridCol w:w="936"/>
        <w:gridCol w:w="931"/>
        <w:gridCol w:w="931"/>
        <w:gridCol w:w="936"/>
        <w:gridCol w:w="931"/>
        <w:gridCol w:w="936"/>
        <w:gridCol w:w="926"/>
        <w:gridCol w:w="1594"/>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关联交易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关联交易</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金额（万</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占同类交</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易金额的</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获批的交 易额度 （万元）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是否超过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关联交易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武汉华大智</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造科技有限</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与上市公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司受同一</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人控制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向关联人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采购物料、 采购设备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31,700.12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按协议结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 的公告》（公告编 号：</w:t>
            </w:r>
            <w:r>
              <w:rPr>
                <w:rFonts w:ascii="Times New Roman" w:eastAsia="Times New Roman" w:hAnsi="Times New Roman" w:cs="Times New Roman"/>
                <w:color w:val="000000"/>
                <w:spacing w:val="0"/>
                <w:w w:val="100"/>
                <w:position w:val="0"/>
              </w:rPr>
              <w:t>2021-017</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武汉华大智</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造科技有限</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与上市公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司受同一</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人控制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向关联人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按协议结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 的公告》（公告编 号：</w:t>
            </w:r>
            <w:r>
              <w:rPr>
                <w:rFonts w:ascii="Times New Roman" w:eastAsia="Times New Roman" w:hAnsi="Times New Roman" w:cs="Times New Roman"/>
                <w:color w:val="000000"/>
                <w:spacing w:val="0"/>
                <w:w w:val="100"/>
                <w:position w:val="0"/>
              </w:rPr>
              <w:t>2021-017</w:t>
            </w:r>
            <w:r>
              <w:rPr>
                <w:color w:val="000000"/>
                <w:spacing w:val="0"/>
                <w:w w:val="100"/>
                <w:position w:val="0"/>
              </w:rPr>
              <w:t>）</w:t>
            </w:r>
          </w:p>
        </w:tc>
      </w:tr>
      <w:tr>
        <w:trPr>
          <w:trHeight w:val="28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MGI</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International</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Sales Co.,</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与上市公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司受同一</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人控制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向关联人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采购物料、 采购设备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15,905.81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按协议结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 的公告》（公告编 号：</w:t>
            </w:r>
            <w:r>
              <w:rPr>
                <w:rFonts w:ascii="Times New Roman" w:eastAsia="Times New Roman" w:hAnsi="Times New Roman" w:cs="Times New Roman"/>
                <w:color w:val="000000"/>
                <w:spacing w:val="0"/>
                <w:w w:val="100"/>
                <w:position w:val="0"/>
              </w:rPr>
              <w:t>2021-017</w:t>
            </w:r>
            <w:r>
              <w:rPr>
                <w:color w:val="000000"/>
                <w:spacing w:val="0"/>
                <w:w w:val="100"/>
                <w:position w:val="0"/>
              </w:rPr>
              <w:t>）、</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《关于增加</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年度日常关联交易 预计额度的公告》</w:t>
            </w:r>
          </w:p>
        </w:tc>
      </w:tr>
    </w:tbl>
    <w:p>
      <w:pPr>
        <w:spacing w:lineRule="exact" w:line="1"/>
        <w:rPr>
          <w:sz w:val="2"/>
          <w:szCs w:val="2"/>
        </w:rPr>
      </w:pPr>
      <w:r>
        <w:br w:type="page"/>
      </w:r>
    </w:p>
    <w:tbl>
      <w:tblPr>
        <w:tblOverlap w:val="never"/>
        <w:jc w:val="center"/>
        <w:tblLayout w:type="fixed"/>
      </w:tblPr>
      <w:tblGrid>
        <w:gridCol w:w="1123"/>
        <w:gridCol w:w="936"/>
        <w:gridCol w:w="941"/>
        <w:gridCol w:w="974"/>
        <w:gridCol w:w="941"/>
        <w:gridCol w:w="931"/>
        <w:gridCol w:w="936"/>
        <w:gridCol w:w="931"/>
        <w:gridCol w:w="931"/>
        <w:gridCol w:w="936"/>
        <w:gridCol w:w="931"/>
        <w:gridCol w:w="936"/>
        <w:gridCol w:w="926"/>
        <w:gridCol w:w="1594"/>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MGI</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International</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Sales Co.,</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与上市公 司受同一 实际控制 人控制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向关联人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按协议结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 的公告》（公告编 号：</w:t>
            </w:r>
            <w:r>
              <w:rPr>
                <w:rFonts w:ascii="Times New Roman" w:eastAsia="Times New Roman" w:hAnsi="Times New Roman" w:cs="Times New Roman"/>
                <w:color w:val="000000"/>
                <w:spacing w:val="0"/>
                <w:w w:val="100"/>
                <w:position w:val="0"/>
              </w:rPr>
              <w:t>2021-017</w:t>
            </w:r>
            <w:r>
              <w:rPr>
                <w:color w:val="000000"/>
                <w:spacing w:val="0"/>
                <w:w w:val="100"/>
                <w:position w:val="0"/>
              </w:rPr>
              <w:t>）、</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《关于增加</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年度日常关联交易 预计额度的公告》</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049</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深圳华大智 造科技股份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与上市公 司受同一 实际控制 人控制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向关联人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采购物料、 采购设备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按协议结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 的公告》（公告编 号：</w:t>
            </w:r>
            <w:r>
              <w:rPr>
                <w:rFonts w:ascii="Times New Roman" w:eastAsia="Times New Roman" w:hAnsi="Times New Roman" w:cs="Times New Roman"/>
                <w:color w:val="000000"/>
                <w:spacing w:val="0"/>
                <w:w w:val="100"/>
                <w:position w:val="0"/>
              </w:rPr>
              <w:t>2021-017</w:t>
            </w:r>
            <w:r>
              <w:rPr>
                <w:color w:val="000000"/>
                <w:spacing w:val="0"/>
                <w:w w:val="100"/>
                <w:position w:val="0"/>
              </w:rPr>
              <w:t>）</w:t>
            </w:r>
          </w:p>
        </w:tc>
      </w:tr>
      <w:tr>
        <w:trPr>
          <w:trHeight w:val="31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深圳华大智 造科技股份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与上市公 司受同一 实际控制 人控制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向关联人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按协议结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 的公告》（公告编 号：</w:t>
            </w:r>
            <w:r>
              <w:rPr>
                <w:rFonts w:ascii="Times New Roman" w:eastAsia="Times New Roman" w:hAnsi="Times New Roman" w:cs="Times New Roman"/>
                <w:color w:val="000000"/>
                <w:spacing w:val="0"/>
                <w:w w:val="100"/>
                <w:position w:val="0"/>
              </w:rPr>
              <w:t>2021-017</w:t>
            </w:r>
            <w:r>
              <w:rPr>
                <w:color w:val="000000"/>
                <w:spacing w:val="0"/>
                <w:w w:val="100"/>
                <w:position w:val="0"/>
              </w:rPr>
              <w:t>）、</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《关于增加</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年度日常关联交易 预计额度的公告》</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w:t>
            </w:r>
          </w:p>
        </w:tc>
      </w:tr>
    </w:tbl>
    <w:p>
      <w:pPr>
        <w:spacing w:lineRule="exact" w:line="1"/>
        <w:rPr>
          <w:sz w:val="2"/>
          <w:szCs w:val="2"/>
        </w:rPr>
      </w:pPr>
      <w:r>
        <w:br w:type="page"/>
      </w:r>
    </w:p>
    <w:tbl>
      <w:tblPr>
        <w:tblOverlap w:val="never"/>
        <w:jc w:val="center"/>
        <w:tblLayout w:type="fixed"/>
      </w:tblPr>
      <w:tblGrid>
        <w:gridCol w:w="1123"/>
        <w:gridCol w:w="936"/>
        <w:gridCol w:w="941"/>
        <w:gridCol w:w="974"/>
        <w:gridCol w:w="941"/>
        <w:gridCol w:w="931"/>
        <w:gridCol w:w="936"/>
        <w:gridCol w:w="931"/>
        <w:gridCol w:w="931"/>
        <w:gridCol w:w="936"/>
        <w:gridCol w:w="931"/>
        <w:gridCol w:w="936"/>
        <w:gridCol w:w="926"/>
        <w:gridCol w:w="1594"/>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深圳华大智 造科技股份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与上市公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司受同一</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人控制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向关联人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代收代付电 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按协议结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 的公告》（公告编 号：</w:t>
            </w:r>
            <w:r>
              <w:rPr>
                <w:rFonts w:ascii="Times New Roman" w:eastAsia="Times New Roman" w:hAnsi="Times New Roman" w:cs="Times New Roman"/>
                <w:color w:val="000000"/>
                <w:spacing w:val="0"/>
                <w:w w:val="100"/>
                <w:position w:val="0"/>
              </w:rPr>
              <w:t>2021-017</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青岛华大智 造普惠科技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与上市公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司受同一</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人控制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向关联人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按协议结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 的公告》（公告编 号：</w:t>
            </w:r>
            <w:r>
              <w:rPr>
                <w:rFonts w:ascii="Times New Roman" w:eastAsia="Times New Roman" w:hAnsi="Times New Roman" w:cs="Times New Roman"/>
                <w:color w:val="000000"/>
                <w:spacing w:val="0"/>
                <w:w w:val="100"/>
                <w:position w:val="0"/>
              </w:rPr>
              <w:t>2021-017</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LATVIA MGI</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TECH 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与上市公</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司受同一</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人控制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向关联人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按协议结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《关于增加</w:t>
            </w: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年度日常关联交易 预计额度的公告》</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049</w:t>
            </w:r>
            <w:r>
              <w:rPr>
                <w:color w:val="000000"/>
                <w:spacing w:val="0"/>
                <w:w w:val="100"/>
                <w:position w:val="0"/>
              </w:rPr>
              <w:t>）</w:t>
            </w:r>
          </w:p>
        </w:tc>
      </w:tr>
      <w:tr>
        <w:trPr>
          <w:trHeight w:val="398"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61,579.18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75,358</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按类别对本期将发生的日常关联交易进行总金额 预计的，在报告期内的实际履行情况（如有）</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公司报告期内日常关联交易的实际履行情况参见第十节财务报告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十二、关联方及关联交易</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“5</w:t>
            </w:r>
            <w:r>
              <w:rPr>
                <w:color w:val="000000"/>
                <w:spacing w:val="0"/>
                <w:w w:val="100"/>
                <w:position w:val="0"/>
              </w:rPr>
              <w:t>、关联交易情况</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25"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交易价格与市场参考价格差异较大的原因（如适 用）</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、资产或股权收购、出售发生的关联交易</w:t>
      </w:r>
      <w:bookmarkEnd w:id="577"/>
      <w:bookmarkEnd w:id="578"/>
      <w:bookmarkEnd w:id="58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71"/>
        <w:gridCol w:w="1018"/>
        <w:gridCol w:w="946"/>
        <w:gridCol w:w="1243"/>
        <w:gridCol w:w="2002"/>
        <w:gridCol w:w="1272"/>
        <w:gridCol w:w="1267"/>
        <w:gridCol w:w="845"/>
        <w:gridCol w:w="850"/>
        <w:gridCol w:w="845"/>
        <w:gridCol w:w="562"/>
        <w:gridCol w:w="1949"/>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关联交易定价原则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转让资产的账</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面价值（万</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转让资产的评</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估价值（万</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转让价格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关联交易</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交易损益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披露</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5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北京华大基因 研究中心有限 公司（以下简 称北京研究中 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北京研究中 心为公司控 股股东深圳 华大基因科 技有限公司 控制的除上 市公司以外 的其他公 司，符合</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《创业板上 市规则》第 </w:t>
            </w:r>
            <w:r>
              <w:rPr>
                <w:rFonts w:ascii="Times New Roman" w:eastAsia="Times New Roman" w:hAnsi="Times New Roman" w:cs="Times New Roman"/>
                <w:color w:val="000000"/>
                <w:spacing w:val="0"/>
                <w:w w:val="100"/>
                <w:position w:val="0"/>
              </w:rPr>
              <w:t>7.2.3</w:t>
            </w:r>
            <w:r>
              <w:rPr>
                <w:color w:val="000000"/>
                <w:spacing w:val="0"/>
                <w:w w:val="100"/>
                <w:position w:val="0"/>
              </w:rPr>
              <w:t>条第</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（二）款规 定的关联关 系情形。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受让股权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深圳华大医学 检验实验室</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（以下简称深 圳医检）、北京 华大医学检验 所有限公司</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（以下简称北 京医检）分别 为公司持股 </w:t>
            </w:r>
            <w:r>
              <w:rPr>
                <w:rFonts w:ascii="Times New Roman" w:eastAsia="Times New Roman" w:hAnsi="Times New Roman" w:cs="Times New Roman"/>
                <w:color w:val="000000"/>
                <w:spacing w:val="0"/>
                <w:w w:val="100"/>
                <w:position w:val="0"/>
              </w:rPr>
              <w:t>97.5%</w:t>
            </w:r>
            <w:r>
              <w:rPr>
                <w:color w:val="000000"/>
                <w:spacing w:val="0"/>
                <w:w w:val="100"/>
                <w:position w:val="0"/>
              </w:rPr>
              <w:t>、</w:t>
            </w:r>
            <w:r>
              <w:rPr>
                <w:rFonts w:ascii="Times New Roman" w:eastAsia="Times New Roman" w:hAnsi="Times New Roman" w:cs="Times New Roman"/>
                <w:color w:val="000000"/>
                <w:spacing w:val="0"/>
                <w:w w:val="100"/>
                <w:position w:val="0"/>
              </w:rPr>
              <w:t>99%</w:t>
            </w:r>
            <w:r>
              <w:rPr>
                <w:color w:val="000000"/>
                <w:spacing w:val="0"/>
                <w:w w:val="100"/>
                <w:position w:val="0"/>
              </w:rPr>
              <w:t xml:space="preserve">的 控股子公司。 为优化深圳医 检、北京医检 股权结构，公 司分别以自有 资金人民币 </w:t>
            </w:r>
            <w:r>
              <w:rPr>
                <w:rFonts w:ascii="Times New Roman" w:eastAsia="Times New Roman" w:hAnsi="Times New Roman" w:cs="Times New Roman"/>
                <w:color w:val="000000"/>
                <w:spacing w:val="0"/>
                <w:w w:val="100"/>
                <w:position w:val="0"/>
              </w:rPr>
              <w:t xml:space="preserve">1,495.00 </w:t>
            </w:r>
            <w:r>
              <w:rPr>
                <w:color w:val="000000"/>
                <w:spacing w:val="0"/>
                <w:w w:val="100"/>
                <w:position w:val="0"/>
              </w:rPr>
              <w:t>万 元、</w:t>
            </w:r>
            <w:r>
              <w:rPr>
                <w:rFonts w:ascii="Times New Roman" w:eastAsia="Times New Roman" w:hAnsi="Times New Roman" w:cs="Times New Roman"/>
                <w:color w:val="000000"/>
                <w:spacing w:val="0"/>
                <w:w w:val="100"/>
                <w:position w:val="0"/>
              </w:rPr>
              <w:t xml:space="preserve">237.00 </w:t>
            </w:r>
            <w:r>
              <w:rPr>
                <w:color w:val="000000"/>
                <w:spacing w:val="0"/>
                <w:w w:val="100"/>
                <w:position w:val="0"/>
              </w:rPr>
              <w:t>万 元的价格受让 北京研究中心 持有的深圳医 检</w:t>
            </w:r>
            <w:r>
              <w:rPr>
                <w:rFonts w:ascii="Times New Roman" w:eastAsia="Times New Roman" w:hAnsi="Times New Roman" w:cs="Times New Roman"/>
                <w:color w:val="000000"/>
                <w:spacing w:val="0"/>
                <w:w w:val="100"/>
                <w:position w:val="0"/>
              </w:rPr>
              <w:t>2.5%</w:t>
            </w:r>
            <w:r>
              <w:rPr>
                <w:color w:val="000000"/>
                <w:spacing w:val="0"/>
                <w:w w:val="100"/>
                <w:position w:val="0"/>
              </w:rPr>
              <w:t xml:space="preserve">的股 权、北京医检 </w:t>
            </w:r>
            <w:r>
              <w:rPr>
                <w:rFonts w:ascii="Times New Roman" w:eastAsia="Times New Roman" w:hAnsi="Times New Roman" w:cs="Times New Roman"/>
                <w:color w:val="000000"/>
                <w:spacing w:val="0"/>
                <w:w w:val="100"/>
                <w:position w:val="0"/>
              </w:rPr>
              <w:t>1%</w:t>
            </w:r>
            <w:r>
              <w:rPr>
                <w:color w:val="000000"/>
                <w:spacing w:val="0"/>
                <w:w w:val="100"/>
                <w:position w:val="0"/>
              </w:rPr>
              <w:t>的股权。本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根据具有证券期货相关 业务资格的上海东洲资 产评估有限公司于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日出具的《深 圳华大基因股份有限公 司拟收购深圳华大医学 检验实验室</w:t>
            </w:r>
            <w:r>
              <w:rPr>
                <w:rFonts w:ascii="Times New Roman" w:eastAsia="Times New Roman" w:hAnsi="Times New Roman" w:cs="Times New Roman"/>
                <w:color w:val="000000"/>
                <w:spacing w:val="0"/>
                <w:w w:val="100"/>
                <w:position w:val="0"/>
              </w:rPr>
              <w:t>2.50%</w:t>
            </w:r>
            <w:r>
              <w:rPr>
                <w:color w:val="000000"/>
                <w:spacing w:val="0"/>
                <w:w w:val="100"/>
                <w:position w:val="0"/>
              </w:rPr>
              <w:t>股权 涉及的深圳华大医学检 验实验室股东部分权益 价值估值项目报告》（东 洲咨报字【</w:t>
            </w:r>
            <w:r>
              <w:rPr>
                <w:rFonts w:ascii="Times New Roman" w:eastAsia="Times New Roman" w:hAnsi="Times New Roman" w:cs="Times New Roman"/>
                <w:color w:val="000000"/>
                <w:spacing w:val="0"/>
                <w:w w:val="100"/>
                <w:position w:val="0"/>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rPr>
              <w:t>0587</w:t>
            </w:r>
            <w:r>
              <w:rPr>
                <w:color w:val="000000"/>
                <w:spacing w:val="0"/>
                <w:w w:val="100"/>
                <w:position w:val="0"/>
              </w:rPr>
              <w:t>号）、《深圳华大基 因股份有限公司拟收购 北京华大医学检验所有 限公司</w:t>
            </w:r>
            <w:r>
              <w:rPr>
                <w:rFonts w:ascii="Times New Roman" w:eastAsia="Times New Roman" w:hAnsi="Times New Roman" w:cs="Times New Roman"/>
                <w:color w:val="000000"/>
                <w:spacing w:val="0"/>
                <w:w w:val="100"/>
                <w:position w:val="0"/>
              </w:rPr>
              <w:t>1.00%</w:t>
            </w:r>
            <w:r>
              <w:rPr>
                <w:color w:val="000000"/>
                <w:spacing w:val="0"/>
                <w:w w:val="100"/>
                <w:position w:val="0"/>
              </w:rPr>
              <w:t>股权涉及 的北京华大医学检验所 有限公司股东部分权益 价值估值报告》（东洲咨 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 xml:space="preserve">0588 </w:t>
            </w:r>
            <w:r>
              <w:rPr>
                <w:color w:val="000000"/>
                <w:spacing w:val="0"/>
                <w:w w:val="100"/>
                <w:position w:val="0"/>
              </w:rPr>
              <w:t>号），本次估值采用市场 法的估值结论，此次公 司拟受让的控股子公司 深圳医检</w:t>
            </w:r>
            <w:r>
              <w:rPr>
                <w:rFonts w:ascii="Times New Roman" w:eastAsia="Times New Roman" w:hAnsi="Times New Roman" w:cs="Times New Roman"/>
                <w:color w:val="000000"/>
                <w:spacing w:val="0"/>
                <w:w w:val="100"/>
                <w:position w:val="0"/>
              </w:rPr>
              <w:t>2.50%</w:t>
            </w:r>
            <w:r>
              <w:rPr>
                <w:color w:val="000000"/>
                <w:spacing w:val="0"/>
                <w:w w:val="100"/>
                <w:position w:val="0"/>
              </w:rPr>
              <w:t>股权、 北京医检</w:t>
            </w:r>
            <w:r>
              <w:rPr>
                <w:rFonts w:ascii="Times New Roman" w:eastAsia="Times New Roman" w:hAnsi="Times New Roman" w:cs="Times New Roman"/>
                <w:color w:val="000000"/>
                <w:spacing w:val="0"/>
                <w:w w:val="100"/>
                <w:position w:val="0"/>
              </w:rPr>
              <w:t>1%</w:t>
            </w:r>
            <w:r>
              <w:rPr>
                <w:color w:val="000000"/>
                <w:spacing w:val="0"/>
                <w:w w:val="100"/>
                <w:position w:val="0"/>
              </w:rPr>
              <w:t>股权于评估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银行转账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line="309" w:lineRule="exact"/>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http: //www. cninfo .com.cn</w:t>
            </w:r>
          </w:p>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《关于受让控股子公司 少数股东股权暨关联交 易的公告》（公告编 号：</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71"/>
        <w:gridCol w:w="1018"/>
        <w:gridCol w:w="946"/>
        <w:gridCol w:w="1243"/>
        <w:gridCol w:w="2002"/>
        <w:gridCol w:w="1272"/>
        <w:gridCol w:w="1267"/>
        <w:gridCol w:w="845"/>
        <w:gridCol w:w="850"/>
        <w:gridCol w:w="845"/>
        <w:gridCol w:w="562"/>
        <w:gridCol w:w="1949"/>
      </w:tblGrid>
      <w:tr>
        <w:trPr>
          <w:trHeight w:val="53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次交易完成</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后，深圳医 检、北京医检 成为公司的全 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基准日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日对应的股东部分权益 价值分别为</w:t>
            </w:r>
            <w:r>
              <w:rPr>
                <w:rFonts w:ascii="Times New Roman" w:eastAsia="Times New Roman" w:hAnsi="Times New Roman" w:cs="Times New Roman"/>
                <w:color w:val="000000"/>
                <w:spacing w:val="0"/>
                <w:w w:val="100"/>
                <w:position w:val="0"/>
              </w:rPr>
              <w:t>1,495.00</w:t>
            </w:r>
            <w:r>
              <w:rPr>
                <w:color w:val="000000"/>
                <w:spacing w:val="0"/>
                <w:w w:val="100"/>
                <w:position w:val="0"/>
              </w:rPr>
              <w:t>万 元、</w:t>
            </w:r>
            <w:r>
              <w:rPr>
                <w:rFonts w:ascii="Times New Roman" w:eastAsia="Times New Roman" w:hAnsi="Times New Roman" w:cs="Times New Roman"/>
                <w:color w:val="000000"/>
                <w:spacing w:val="0"/>
                <w:w w:val="100"/>
                <w:position w:val="0"/>
              </w:rPr>
              <w:t>237.00</w:t>
            </w:r>
            <w:r>
              <w:rPr>
                <w:color w:val="000000"/>
                <w:spacing w:val="0"/>
                <w:w w:val="100"/>
                <w:position w:val="0"/>
              </w:rPr>
              <w:t>万元。本次 交易以深圳医检、北京 医检少数股权于评估基 准日的评估值为参考依 据，结合深圳医检、北 京医检目前经营情况和 未来发展前景，以及交 易对方的实际出资情 况，经双方友好协商一 致，确定以</w:t>
            </w:r>
            <w:r>
              <w:rPr>
                <w:rFonts w:ascii="Times New Roman" w:eastAsia="Times New Roman" w:hAnsi="Times New Roman" w:cs="Times New Roman"/>
                <w:color w:val="000000"/>
                <w:spacing w:val="0"/>
                <w:w w:val="100"/>
                <w:position w:val="0"/>
              </w:rPr>
              <w:t>1,495.00</w:t>
            </w:r>
            <w:r>
              <w:rPr>
                <w:color w:val="000000"/>
                <w:spacing w:val="0"/>
                <w:w w:val="100"/>
                <w:position w:val="0"/>
              </w:rPr>
              <w:t>万 元和</w:t>
            </w:r>
            <w:r>
              <w:rPr>
                <w:rFonts w:ascii="Times New Roman" w:eastAsia="Times New Roman" w:hAnsi="Times New Roman" w:cs="Times New Roman"/>
                <w:color w:val="000000"/>
                <w:spacing w:val="0"/>
                <w:w w:val="100"/>
                <w:position w:val="0"/>
              </w:rPr>
              <w:t>237.00</w:t>
            </w:r>
            <w:r>
              <w:rPr>
                <w:color w:val="000000"/>
                <w:spacing w:val="0"/>
                <w:w w:val="100"/>
                <w:position w:val="0"/>
              </w:rPr>
              <w:t>万元作为本 次交易标的深圳医检、 北京医检少数股权的交 易价格。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转让价格与账面价值或评估价值差异较大的原因（如 有）</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66"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0"/>
              <w:keepNext w:val="0"/>
              <w:keepLines w:val="0"/>
              <w:widowControl w:val="0"/>
              <w:numPr>
                <w:ilvl w:val="0"/>
                <w:numId w:val="11"/>
              </w:numPr>
              <w:shd w:val="clear" w:color="auto" w:fill="auto"/>
              <w:tabs>
                <w:tab w:pos="130" w:val="left"/>
              </w:tabs>
              <w:bidi w:val="0"/>
              <w:spacing w:before="0" w:after="0" w:line="317" w:lineRule="exact"/>
              <w:ind w:left="0" w:right="0" w:firstLine="0"/>
              <w:jc w:val="left"/>
            </w:pPr>
            <w:r>
              <w:rPr>
                <w:color w:val="000000"/>
                <w:spacing w:val="0"/>
                <w:w w:val="100"/>
                <w:position w:val="0"/>
              </w:rPr>
              <w:t>本次受让控股子公司深圳医检、北京医检少数股东股权后，深圳医检、北京医检成为公司全资子公司，有利于优化股权 结构，提高公司管理运营和决策效率。本次交易资金来源于公司自有资金，不会对公司的正常经营活动产生影响。</w:t>
            </w:r>
          </w:p>
          <w:p>
            <w:pPr>
              <w:pStyle w:val="Style20"/>
              <w:keepNext w:val="0"/>
              <w:keepLines w:val="0"/>
              <w:widowControl w:val="0"/>
              <w:numPr>
                <w:ilvl w:val="0"/>
                <w:numId w:val="11"/>
              </w:numPr>
              <w:shd w:val="clear" w:color="auto" w:fill="auto"/>
              <w:tabs>
                <w:tab w:pos="144" w:val="left"/>
              </w:tabs>
              <w:bidi w:val="0"/>
              <w:spacing w:before="0" w:after="0" w:line="317" w:lineRule="exact"/>
              <w:ind w:left="0" w:right="0" w:firstLine="0"/>
              <w:jc w:val="left"/>
            </w:pPr>
            <w:r>
              <w:rPr>
                <w:color w:val="000000"/>
                <w:spacing w:val="0"/>
                <w:w w:val="100"/>
                <w:position w:val="0"/>
              </w:rPr>
              <w:t>本次交易不涉及公司合并报表范围的变更，对公司当期及未来财务状况和经营成果不会产生重大影响。</w:t>
            </w:r>
          </w:p>
        </w:tc>
      </w:tr>
      <w:tr>
        <w:trPr>
          <w:trHeight w:val="725"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如相关交易涉及业绩约定的，报告期内的业绩实现情 况</w:t>
            </w:r>
          </w:p>
        </w:tc>
        <w:tc>
          <w:tcPr>
            <w:gridSpan w:val="8"/>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111" w:right="1432" w:bottom="1217" w:left="1426" w:header="0" w:footer="3" w:gutter="0"/>
          <w:cols w:space="720"/>
          <w:noEndnote/>
          <w:rtlGutter w:val="0"/>
          <w:docGrid w:linePitch="360"/>
        </w:sectPr>
      </w:pPr>
    </w:p>
    <w:p>
      <w:pPr>
        <w:pStyle w:val="Style30"/>
        <w:keepNext/>
        <w:keepLines/>
        <w:widowControl w:val="0"/>
        <w:shd w:val="clear" w:color="auto" w:fill="auto"/>
        <w:tabs>
          <w:tab w:pos="375" w:val="left"/>
        </w:tabs>
        <w:bidi w:val="0"/>
        <w:spacing w:before="80" w:after="28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t>共同对外投资的关联交易</w:t>
      </w:r>
      <w:bookmarkEnd w:id="581"/>
      <w:bookmarkEnd w:id="582"/>
      <w:bookmarkEnd w:id="584"/>
    </w:p>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5" w:val="left"/>
        </w:tabs>
        <w:bidi w:val="0"/>
        <w:spacing w:before="0" w:after="28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4</w:t>
      </w:r>
      <w:bookmarkEnd w:id="587"/>
      <w:r>
        <w:rPr>
          <w:color w:val="000000"/>
          <w:spacing w:val="0"/>
          <w:w w:val="100"/>
          <w:position w:val="0"/>
        </w:rPr>
        <w:t>、</w:t>
        <w:tab/>
        <w:t>关联债权债务往来</w:t>
      </w:r>
      <w:bookmarkEnd w:id="585"/>
      <w:bookmarkEnd w:id="586"/>
      <w:bookmarkEnd w:id="588"/>
    </w:p>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公司报告期不存在关联债权债务往来。</w:t>
      </w:r>
    </w:p>
    <w:p>
      <w:pPr>
        <w:pStyle w:val="Style30"/>
        <w:keepNext/>
        <w:keepLines/>
        <w:widowControl w:val="0"/>
        <w:shd w:val="clear" w:color="auto" w:fill="auto"/>
        <w:tabs>
          <w:tab w:pos="375" w:val="left"/>
        </w:tabs>
        <w:bidi w:val="0"/>
        <w:spacing w:before="0" w:after="28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5</w:t>
      </w:r>
      <w:bookmarkEnd w:id="591"/>
      <w:r>
        <w:rPr>
          <w:color w:val="000000"/>
          <w:spacing w:val="0"/>
          <w:w w:val="100"/>
          <w:position w:val="0"/>
        </w:rPr>
        <w:t>、</w:t>
        <w:tab/>
        <w:t>与存在关联关系的财务公司的往来情况</w:t>
      </w:r>
      <w:bookmarkEnd w:id="589"/>
      <w:bookmarkEnd w:id="590"/>
      <w:bookmarkEnd w:id="592"/>
    </w:p>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公司与存在关联关系的财务公司与关联方之间不存在存款、贷款、授信或其他金融业务。</w:t>
      </w:r>
    </w:p>
    <w:p>
      <w:pPr>
        <w:pStyle w:val="Style30"/>
        <w:keepNext/>
        <w:keepLines/>
        <w:widowControl w:val="0"/>
        <w:shd w:val="clear" w:color="auto" w:fill="auto"/>
        <w:tabs>
          <w:tab w:pos="375" w:val="left"/>
        </w:tabs>
        <w:bidi w:val="0"/>
        <w:spacing w:before="0" w:after="2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6</w:t>
      </w:r>
      <w:bookmarkEnd w:id="595"/>
      <w:r>
        <w:rPr>
          <w:color w:val="000000"/>
          <w:spacing w:val="0"/>
          <w:w w:val="100"/>
          <w:position w:val="0"/>
        </w:rPr>
        <w:t>、</w:t>
        <w:tab/>
        <w:t>公司控股的财务公司与关联方的往来情况</w:t>
      </w:r>
      <w:bookmarkEnd w:id="593"/>
      <w:bookmarkEnd w:id="594"/>
      <w:bookmarkEnd w:id="596"/>
    </w:p>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公司控股的财务公司与关联方之间不存在存款、贷款、授信或其他金融业务。</w:t>
      </w:r>
    </w:p>
    <w:p>
      <w:pPr>
        <w:pStyle w:val="Style30"/>
        <w:keepNext/>
        <w:keepLines/>
        <w:widowControl w:val="0"/>
        <w:shd w:val="clear" w:color="auto" w:fill="auto"/>
        <w:tabs>
          <w:tab w:pos="375" w:val="left"/>
        </w:tabs>
        <w:bidi w:val="0"/>
        <w:spacing w:before="0" w:after="38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7</w:t>
      </w:r>
      <w:bookmarkEnd w:id="599"/>
      <w:r>
        <w:rPr>
          <w:color w:val="000000"/>
          <w:spacing w:val="0"/>
          <w:w w:val="100"/>
          <w:position w:val="0"/>
        </w:rPr>
        <w:t>、</w:t>
        <w:tab/>
        <w:t>其他重大关联交易</w:t>
      </w:r>
      <w:bookmarkEnd w:id="597"/>
      <w:bookmarkEnd w:id="598"/>
      <w:bookmarkEnd w:id="600"/>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7"/>
        <w:keepNext w:val="0"/>
        <w:keepLines w:val="0"/>
        <w:widowControl w:val="0"/>
        <w:shd w:val="clear" w:color="auto" w:fill="auto"/>
        <w:tabs>
          <w:tab w:pos="822" w:val="left"/>
        </w:tabs>
        <w:bidi w:val="0"/>
        <w:spacing w:before="0" w:line="312" w:lineRule="exact"/>
        <w:ind w:left="0" w:right="0"/>
        <w:jc w:val="left"/>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rPr>
        <w:t>1</w:t>
      </w:r>
      <w:r>
        <w:rPr>
          <w:color w:val="000000"/>
          <w:spacing w:val="0"/>
          <w:w w:val="100"/>
          <w:position w:val="0"/>
        </w:rPr>
        <w:t>）</w:t>
        <w:tab/>
        <w:t>受让控股子公司少数股东股权暨关联交易事项</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日召开第二届董事会第三十次会议、第二届监事会第二十八次会议，审议通过了《关于受让控股子 公司少数股东股权暨关联交易的议案》，同意公司分别以自有资金</w:t>
      </w:r>
      <w:r>
        <w:rPr>
          <w:rFonts w:ascii="Times New Roman" w:eastAsia="Times New Roman" w:hAnsi="Times New Roman" w:cs="Times New Roman"/>
          <w:color w:val="000000"/>
          <w:spacing w:val="0"/>
          <w:w w:val="100"/>
          <w:position w:val="0"/>
        </w:rPr>
        <w:t>1,495</w:t>
      </w:r>
      <w:r>
        <w:rPr>
          <w:color w:val="000000"/>
          <w:spacing w:val="0"/>
          <w:w w:val="100"/>
          <w:position w:val="0"/>
        </w:rPr>
        <w:t>万元人民币（以下万元均指人民币万元）、</w:t>
      </w:r>
      <w:r>
        <w:rPr>
          <w:rFonts w:ascii="Times New Roman" w:eastAsia="Times New Roman" w:hAnsi="Times New Roman" w:cs="Times New Roman"/>
          <w:color w:val="000000"/>
          <w:spacing w:val="0"/>
          <w:w w:val="100"/>
          <w:position w:val="0"/>
        </w:rPr>
        <w:t>237</w:t>
      </w:r>
      <w:r>
        <w:rPr>
          <w:color w:val="000000"/>
          <w:spacing w:val="0"/>
          <w:w w:val="100"/>
          <w:position w:val="0"/>
        </w:rPr>
        <w:t>万元 的价格受让关联方北京华大基因研究中心有限公司（以下简称北京研究中心）持有的深圳华大医学检验实验室（以下简称深 圳医检）</w:t>
      </w:r>
      <w:r>
        <w:rPr>
          <w:rFonts w:ascii="Times New Roman" w:eastAsia="Times New Roman" w:hAnsi="Times New Roman" w:cs="Times New Roman"/>
          <w:color w:val="000000"/>
          <w:spacing w:val="0"/>
          <w:w w:val="100"/>
          <w:position w:val="0"/>
        </w:rPr>
        <w:t>2.5%</w:t>
      </w:r>
      <w:r>
        <w:rPr>
          <w:color w:val="000000"/>
          <w:spacing w:val="0"/>
          <w:w w:val="100"/>
          <w:position w:val="0"/>
        </w:rPr>
        <w:t>的股权、北京华大医学检验所有限公司（以下简称北京医检）</w:t>
      </w:r>
      <w:r>
        <w:rPr>
          <w:rFonts w:ascii="Times New Roman" w:eastAsia="Times New Roman" w:hAnsi="Times New Roman" w:cs="Times New Roman"/>
          <w:color w:val="000000"/>
          <w:spacing w:val="0"/>
          <w:w w:val="100"/>
          <w:position w:val="0"/>
        </w:rPr>
        <w:t>1%</w:t>
      </w:r>
      <w:r>
        <w:rPr>
          <w:color w:val="000000"/>
          <w:spacing w:val="0"/>
          <w:w w:val="100"/>
          <w:position w:val="0"/>
        </w:rPr>
        <w:t>的股权。本次交易完成后，公司持有深圳医 检的股权比例将由</w:t>
      </w:r>
      <w:r>
        <w:rPr>
          <w:rFonts w:ascii="Times New Roman" w:eastAsia="Times New Roman" w:hAnsi="Times New Roman" w:cs="Times New Roman"/>
          <w:color w:val="000000"/>
          <w:spacing w:val="0"/>
          <w:w w:val="100"/>
          <w:position w:val="0"/>
        </w:rPr>
        <w:t>97.5%</w:t>
      </w:r>
      <w:r>
        <w:rPr>
          <w:color w:val="000000"/>
          <w:spacing w:val="0"/>
          <w:w w:val="100"/>
          <w:position w:val="0"/>
        </w:rPr>
        <w:t>增至</w:t>
      </w:r>
      <w:r>
        <w:rPr>
          <w:rFonts w:ascii="Times New Roman" w:eastAsia="Times New Roman" w:hAnsi="Times New Roman" w:cs="Times New Roman"/>
          <w:color w:val="000000"/>
          <w:spacing w:val="0"/>
          <w:w w:val="100"/>
          <w:position w:val="0"/>
        </w:rPr>
        <w:t>100%</w:t>
      </w:r>
      <w:r>
        <w:rPr>
          <w:color w:val="000000"/>
          <w:spacing w:val="0"/>
          <w:w w:val="100"/>
          <w:position w:val="0"/>
        </w:rPr>
        <w:t>，持有北京医检的股权比例将由</w:t>
      </w:r>
      <w:r>
        <w:rPr>
          <w:rFonts w:ascii="Times New Roman" w:eastAsia="Times New Roman" w:hAnsi="Times New Roman" w:cs="Times New Roman"/>
          <w:color w:val="000000"/>
          <w:spacing w:val="0"/>
          <w:w w:val="100"/>
          <w:position w:val="0"/>
        </w:rPr>
        <w:t>99%</w:t>
      </w:r>
      <w:r>
        <w:rPr>
          <w:color w:val="000000"/>
          <w:spacing w:val="0"/>
          <w:w w:val="100"/>
          <w:position w:val="0"/>
        </w:rPr>
        <w:t>增至</w:t>
      </w:r>
      <w:r>
        <w:rPr>
          <w:rFonts w:ascii="Times New Roman" w:eastAsia="Times New Roman" w:hAnsi="Times New Roman" w:cs="Times New Roman"/>
          <w:color w:val="000000"/>
          <w:spacing w:val="0"/>
          <w:w w:val="100"/>
          <w:position w:val="0"/>
        </w:rPr>
        <w:t>100%</w:t>
      </w:r>
      <w:r>
        <w:rPr>
          <w:color w:val="000000"/>
          <w:spacing w:val="0"/>
          <w:w w:val="100"/>
          <w:position w:val="0"/>
        </w:rPr>
        <w:t>，深圳医检、北京医检成为公司的全资子公 司。具体详见公司于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日在巨潮资讯网披露的《关于受让控股子公司少数股东股权暨关联交易的公告》（公告编 号：</w:t>
      </w:r>
      <w:r>
        <w:rPr>
          <w:rFonts w:ascii="Times New Roman" w:eastAsia="Times New Roman" w:hAnsi="Times New Roman" w:cs="Times New Roman"/>
          <w:color w:val="000000"/>
          <w:spacing w:val="0"/>
          <w:w w:val="100"/>
          <w:position w:val="0"/>
        </w:rPr>
        <w:t>2021-055</w:t>
      </w:r>
      <w:r>
        <w:rPr>
          <w:color w:val="000000"/>
          <w:spacing w:val="0"/>
          <w:w w:val="100"/>
          <w:position w:val="0"/>
        </w:rPr>
        <w:t>）。</w:t>
      </w:r>
    </w:p>
    <w:p>
      <w:pPr>
        <w:pStyle w:val="Style17"/>
        <w:keepNext w:val="0"/>
        <w:keepLines w:val="0"/>
        <w:widowControl w:val="0"/>
        <w:shd w:val="clear" w:color="auto" w:fill="auto"/>
        <w:bidi w:val="0"/>
        <w:spacing w:before="0" w:line="311" w:lineRule="exact"/>
        <w:ind w:left="0" w:right="0"/>
        <w:jc w:val="both"/>
      </w:pPr>
      <w:r>
        <w:rPr>
          <w:color w:val="000000"/>
          <w:spacing w:val="0"/>
          <w:w w:val="100"/>
          <w:position w:val="0"/>
        </w:rPr>
        <w:t>公司与北京研究中心于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日分别就深圳医检、北京医检的上述股权转让事项签订了《股权转让协议书》。公司 已根据相关决议和协议约定向北京研究中心支付了受让其持有的深圳医检</w:t>
      </w:r>
      <w:r>
        <w:rPr>
          <w:rFonts w:ascii="Times New Roman" w:eastAsia="Times New Roman" w:hAnsi="Times New Roman" w:cs="Times New Roman"/>
          <w:color w:val="000000"/>
          <w:spacing w:val="0"/>
          <w:w w:val="100"/>
          <w:position w:val="0"/>
        </w:rPr>
        <w:t>2.5%</w:t>
      </w:r>
      <w:r>
        <w:rPr>
          <w:color w:val="000000"/>
          <w:spacing w:val="0"/>
          <w:w w:val="100"/>
          <w:position w:val="0"/>
        </w:rPr>
        <w:t>的股权、北京医检</w:t>
      </w:r>
      <w:r>
        <w:rPr>
          <w:rFonts w:ascii="Times New Roman" w:eastAsia="Times New Roman" w:hAnsi="Times New Roman" w:cs="Times New Roman"/>
          <w:color w:val="000000"/>
          <w:spacing w:val="0"/>
          <w:w w:val="100"/>
          <w:position w:val="0"/>
        </w:rPr>
        <w:t>1%</w:t>
      </w:r>
      <w:r>
        <w:rPr>
          <w:color w:val="000000"/>
          <w:spacing w:val="0"/>
          <w:w w:val="100"/>
          <w:position w:val="0"/>
        </w:rPr>
        <w:t>的股权款总计</w:t>
      </w:r>
      <w:r>
        <w:rPr>
          <w:rFonts w:ascii="Times New Roman" w:eastAsia="Times New Roman" w:hAnsi="Times New Roman" w:cs="Times New Roman"/>
          <w:color w:val="000000"/>
          <w:spacing w:val="0"/>
          <w:w w:val="100"/>
          <w:position w:val="0"/>
        </w:rPr>
        <w:t>1,732</w:t>
      </w:r>
      <w:r>
        <w:rPr>
          <w:color w:val="000000"/>
          <w:spacing w:val="0"/>
          <w:w w:val="100"/>
          <w:position w:val="0"/>
        </w:rPr>
        <w:t>万元。 深圳医检、北京医检分别于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月就上述股权转让事项完成了工商变更登记手续。具体详见公司分别于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日在巨潮资讯网披露的《关于受让控股子公司少数股东股权进展暨深圳医检完成工商变更登记的公 告》（公告编号：</w:t>
      </w:r>
      <w:r>
        <w:rPr>
          <w:rFonts w:ascii="Times New Roman" w:eastAsia="Times New Roman" w:hAnsi="Times New Roman" w:cs="Times New Roman"/>
          <w:color w:val="000000"/>
          <w:spacing w:val="0"/>
          <w:w w:val="100"/>
          <w:position w:val="0"/>
        </w:rPr>
        <w:t>2021-084</w:t>
      </w:r>
      <w:r>
        <w:rPr>
          <w:color w:val="000000"/>
          <w:spacing w:val="0"/>
          <w:w w:val="100"/>
          <w:position w:val="0"/>
        </w:rPr>
        <w:t>）</w:t>
      </w:r>
      <w:r>
        <w:rPr>
          <w:color w:val="000000"/>
          <w:spacing w:val="0"/>
          <w:w w:val="100"/>
          <w:position w:val="0"/>
        </w:rPr>
        <w:t xml:space="preserve">、《关于受让控股子公司少数股东股权进展暨北京医检完成工商变更登记的公告》（公告编号： </w:t>
      </w:r>
      <w:r>
        <w:rPr>
          <w:rFonts w:ascii="Times New Roman" w:eastAsia="Times New Roman" w:hAnsi="Times New Roman" w:cs="Times New Roman"/>
          <w:color w:val="000000"/>
          <w:spacing w:val="0"/>
          <w:w w:val="100"/>
          <w:position w:val="0"/>
        </w:rPr>
        <w:t>2021-093</w:t>
      </w:r>
      <w:r>
        <w:rPr>
          <w:color w:val="000000"/>
          <w:spacing w:val="0"/>
          <w:w w:val="100"/>
          <w:position w:val="0"/>
        </w:rPr>
        <w:t>）。</w:t>
      </w:r>
    </w:p>
    <w:p>
      <w:pPr>
        <w:pStyle w:val="Style17"/>
        <w:keepNext w:val="0"/>
        <w:keepLines w:val="0"/>
        <w:widowControl w:val="0"/>
        <w:shd w:val="clear" w:color="auto" w:fill="auto"/>
        <w:tabs>
          <w:tab w:pos="822" w:val="left"/>
        </w:tabs>
        <w:bidi w:val="0"/>
        <w:spacing w:before="0" w:line="312" w:lineRule="exact"/>
        <w:ind w:left="0" w:right="0"/>
        <w:jc w:val="both"/>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rPr>
        <w:t>2</w:t>
      </w:r>
      <w:r>
        <w:rPr>
          <w:color w:val="000000"/>
          <w:spacing w:val="0"/>
          <w:w w:val="100"/>
          <w:position w:val="0"/>
        </w:rPr>
        <w:t>）</w:t>
        <w:tab/>
        <w:t>关于向深圳市猛犸公益基金会捐赠暨关联交易事项</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日召开的第二届董事会第二十九次会议、第二届监事会第二十七次会议，审议通过了《关于向深圳市 猛犸公益基金会捐赠暨关联交易的议案》，同意公司以现金和实物方式向深圳市猛犸公益基金会（以下简称猛犸基金会）捐 赠</w:t>
      </w:r>
      <w:r>
        <w:rPr>
          <w:rFonts w:ascii="Times New Roman" w:eastAsia="Times New Roman" w:hAnsi="Times New Roman" w:cs="Times New Roman"/>
          <w:color w:val="000000"/>
          <w:spacing w:val="0"/>
          <w:w w:val="100"/>
          <w:position w:val="0"/>
        </w:rPr>
        <w:t>1,300</w:t>
      </w:r>
      <w:r>
        <w:rPr>
          <w:color w:val="000000"/>
          <w:spacing w:val="0"/>
          <w:w w:val="100"/>
          <w:position w:val="0"/>
        </w:rPr>
        <w:t>万元。公司于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日召开的第二届董事会第三十次会议、第二届监事会第二十八次会议审议通过了《关于向 深圳市猛犸公益基金会捐赠暨关联交易的议案》，同意公司以现金和实物方式向猛犸基金会捐赠</w:t>
      </w:r>
      <w:r>
        <w:rPr>
          <w:rFonts w:ascii="Times New Roman" w:eastAsia="Times New Roman" w:hAnsi="Times New Roman" w:cs="Times New Roman"/>
          <w:color w:val="000000"/>
          <w:spacing w:val="0"/>
          <w:w w:val="100"/>
          <w:position w:val="0"/>
        </w:rPr>
        <w:t>3,200</w:t>
      </w:r>
      <w:r>
        <w:rPr>
          <w:color w:val="000000"/>
          <w:spacing w:val="0"/>
          <w:w w:val="100"/>
          <w:position w:val="0"/>
        </w:rPr>
        <w:t xml:space="preserve">万元。具体详见公司 </w:t>
      </w:r>
      <w:r>
        <w:rPr>
          <w:color w:val="000000"/>
          <w:spacing w:val="0"/>
          <w:w w:val="100"/>
          <w:position w:val="0"/>
        </w:rPr>
        <w:t>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日发布在巨潮资讯网的《关于向深圳市猛犯公益基金会捐赠暨关联交易的公告》（公告 编号：</w:t>
      </w:r>
      <w:r>
        <w:rPr>
          <w:rFonts w:ascii="Times New Roman" w:eastAsia="Times New Roman" w:hAnsi="Times New Roman" w:cs="Times New Roman"/>
          <w:color w:val="000000"/>
          <w:spacing w:val="0"/>
          <w:w w:val="100"/>
          <w:position w:val="0"/>
        </w:rPr>
        <w:t>2021-018</w:t>
      </w:r>
      <w:r>
        <w:rPr>
          <w:color w:val="000000"/>
          <w:spacing w:val="0"/>
          <w:w w:val="100"/>
          <w:position w:val="0"/>
        </w:rPr>
        <w:t>）、《关于向深圳市猛犯公益基金会捐赠暨关联交易的公告》（公告编号：</w:t>
      </w:r>
      <w:r>
        <w:rPr>
          <w:rFonts w:ascii="Times New Roman" w:eastAsia="Times New Roman" w:hAnsi="Times New Roman" w:cs="Times New Roman"/>
          <w:color w:val="000000"/>
          <w:spacing w:val="0"/>
          <w:w w:val="100"/>
          <w:position w:val="0"/>
        </w:rPr>
        <w:t>2021-050</w:t>
      </w:r>
      <w:r>
        <w:rPr>
          <w:color w:val="000000"/>
          <w:spacing w:val="0"/>
          <w:w w:val="100"/>
          <w:position w:val="0"/>
        </w:rPr>
        <w:t>）。综上，报告期内公 司审议通过的对猛犯基金会的捐赠额度为</w:t>
      </w:r>
      <w:r>
        <w:rPr>
          <w:rFonts w:ascii="Times New Roman" w:eastAsia="Times New Roman" w:hAnsi="Times New Roman" w:cs="Times New Roman"/>
          <w:color w:val="000000"/>
          <w:spacing w:val="0"/>
          <w:w w:val="100"/>
          <w:position w:val="0"/>
        </w:rPr>
        <w:t>4,500</w:t>
      </w:r>
      <w:r>
        <w:rPr>
          <w:color w:val="000000"/>
          <w:spacing w:val="0"/>
          <w:w w:val="100"/>
          <w:position w:val="0"/>
        </w:rPr>
        <w:t>万元，报告期内实际执行金额为</w:t>
      </w:r>
      <w:r>
        <w:rPr>
          <w:rFonts w:ascii="Times New Roman" w:eastAsia="Times New Roman" w:hAnsi="Times New Roman" w:cs="Times New Roman"/>
          <w:color w:val="000000"/>
          <w:spacing w:val="0"/>
          <w:w w:val="100"/>
          <w:position w:val="0"/>
        </w:rPr>
        <w:t>2,763.06</w:t>
      </w:r>
      <w:r>
        <w:rPr>
          <w:color w:val="000000"/>
          <w:spacing w:val="0"/>
          <w:w w:val="100"/>
          <w:position w:val="0"/>
        </w:rPr>
        <w:t>万元。</w:t>
      </w:r>
    </w:p>
    <w:p>
      <w:pPr>
        <w:pStyle w:val="Style17"/>
        <w:keepNext w:val="0"/>
        <w:keepLines w:val="0"/>
        <w:widowControl w:val="0"/>
        <w:shd w:val="clear" w:color="auto" w:fill="auto"/>
        <w:bidi w:val="0"/>
        <w:spacing w:before="0" w:line="312" w:lineRule="exact"/>
        <w:ind w:left="0" w:right="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rPr>
        <w:t>3</w:t>
      </w:r>
      <w:r>
        <w:rPr>
          <w:color w:val="000000"/>
          <w:spacing w:val="0"/>
          <w:w w:val="100"/>
          <w:position w:val="0"/>
        </w:rPr>
        <w:t>）关于参与投资设立合伙企业暨关联交易事项</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日分别召开了第三届董事会第二次会议、第三届监事会第二次会议，审议通过了《关于拟参与投资 设立合伙企业暨关联交易的议案》，同意公司以自有资金出资</w:t>
      </w:r>
      <w:r>
        <w:rPr>
          <w:rFonts w:ascii="Times New Roman" w:eastAsia="Times New Roman" w:hAnsi="Times New Roman" w:cs="Times New Roman"/>
          <w:color w:val="000000"/>
          <w:spacing w:val="0"/>
          <w:w w:val="100"/>
          <w:position w:val="0"/>
        </w:rPr>
        <w:t>12,500</w:t>
      </w:r>
      <w:r>
        <w:rPr>
          <w:color w:val="000000"/>
          <w:spacing w:val="0"/>
          <w:w w:val="100"/>
          <w:position w:val="0"/>
        </w:rPr>
        <w:t>万元与包括公司关联方在内的专业投资机构共同投资设 立山东青岛华大共赢二号创业投资企业（有限合伙）（具体名称以市场监督管理部门核准登记为准）。具体详见公司于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日在巨潮资讯网披露的《关于拟参与投资设立合伙企业暨关联交易的公告》（公告编号：</w:t>
      </w:r>
      <w:r>
        <w:rPr>
          <w:rFonts w:ascii="Times New Roman" w:eastAsia="Times New Roman" w:hAnsi="Times New Roman" w:cs="Times New Roman"/>
          <w:color w:val="000000"/>
          <w:spacing w:val="0"/>
          <w:w w:val="100"/>
          <w:position w:val="0"/>
        </w:rPr>
        <w:t>2021-112</w:t>
      </w:r>
      <w:r>
        <w:rPr>
          <w:color w:val="000000"/>
          <w:spacing w:val="0"/>
          <w:w w:val="100"/>
          <w:position w:val="0"/>
        </w:rPr>
        <w:t>）。</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公司参与投资设立的合伙企业于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日完成工商注册登记，企业名称为青岛华大共赢二号创业投资基金合伙 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日在中国证券投资基金业协会完成了私募投资基金备案手续，其中公司认缴出资额</w:t>
      </w:r>
      <w:r>
        <w:rPr>
          <w:rFonts w:ascii="Times New Roman" w:eastAsia="Times New Roman" w:hAnsi="Times New Roman" w:cs="Times New Roman"/>
          <w:color w:val="000000"/>
          <w:spacing w:val="0"/>
          <w:w w:val="100"/>
          <w:position w:val="0"/>
        </w:rPr>
        <w:t xml:space="preserve">12,500 </w:t>
      </w:r>
      <w:r>
        <w:rPr>
          <w:color w:val="000000"/>
          <w:spacing w:val="0"/>
          <w:w w:val="100"/>
          <w:position w:val="0"/>
        </w:rPr>
        <w:t>万元，持股比例为</w:t>
      </w:r>
      <w:r>
        <w:rPr>
          <w:rFonts w:ascii="Times New Roman" w:eastAsia="Times New Roman" w:hAnsi="Times New Roman" w:cs="Times New Roman"/>
          <w:color w:val="000000"/>
          <w:spacing w:val="0"/>
          <w:w w:val="100"/>
          <w:position w:val="0"/>
        </w:rPr>
        <w:t>25%</w:t>
      </w:r>
      <w:r>
        <w:rPr>
          <w:color w:val="000000"/>
          <w:spacing w:val="0"/>
          <w:w w:val="100"/>
          <w:position w:val="0"/>
        </w:rPr>
        <w:t>。具体详见公司于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日在巨潮资讯网披露的《关于参与投资设立合伙企业暨关联交易的进展 公告》（公告编号：</w:t>
      </w:r>
      <w:r>
        <w:rPr>
          <w:rFonts w:ascii="Times New Roman" w:eastAsia="Times New Roman" w:hAnsi="Times New Roman" w:cs="Times New Roman"/>
          <w:color w:val="000000"/>
          <w:spacing w:val="0"/>
          <w:w w:val="100"/>
          <w:position w:val="0"/>
        </w:rPr>
        <w:t>2022-025</w:t>
      </w:r>
      <w:r>
        <w:rPr>
          <w:color w:val="000000"/>
          <w:spacing w:val="0"/>
          <w:w w:val="100"/>
          <w:position w:val="0"/>
        </w:rPr>
        <w:t>）。</w:t>
      </w:r>
    </w:p>
    <w:p>
      <w:pPr>
        <w:pStyle w:val="Style17"/>
        <w:keepNext w:val="0"/>
        <w:keepLines w:val="0"/>
        <w:widowControl w:val="0"/>
        <w:shd w:val="clear" w:color="auto" w:fill="auto"/>
        <w:bidi w:val="0"/>
        <w:spacing w:before="0" w:line="312" w:lineRule="exact"/>
        <w:ind w:left="0" w:right="0" w:firstLine="320"/>
        <w:jc w:val="both"/>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4</w:t>
      </w:r>
      <w:r>
        <w:rPr>
          <w:color w:val="000000"/>
          <w:spacing w:val="0"/>
          <w:w w:val="100"/>
          <w:position w:val="0"/>
        </w:rPr>
        <w:t>）关于以债转股方式对深圳市早知道科技有限公司增资并受让其部分股权暨关联交易事项</w:t>
      </w:r>
    </w:p>
    <w:p>
      <w:pPr>
        <w:pStyle w:val="Style17"/>
        <w:keepNext w:val="0"/>
        <w:keepLines w:val="0"/>
        <w:widowControl w:val="0"/>
        <w:shd w:val="clear" w:color="auto" w:fill="auto"/>
        <w:bidi w:val="0"/>
        <w:spacing w:before="0" w:line="313" w:lineRule="exact"/>
        <w:ind w:left="0" w:right="0" w:firstLine="3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日召开第三届董事会第四次会议、第三届监事会第四次会议，审议通过了《关于以债转股方式对深 圳市早知道科技有限公司增资并受让其部分股权暨关联交易的议案》，同意公司通过债转股方式对深圳市早知道科技有限公 司（以下简称目标公司）增资并受让其部分股权，交易金额合计为</w:t>
      </w:r>
      <w:r>
        <w:rPr>
          <w:rFonts w:ascii="Times New Roman" w:eastAsia="Times New Roman" w:hAnsi="Times New Roman" w:cs="Times New Roman"/>
          <w:color w:val="000000"/>
          <w:spacing w:val="0"/>
          <w:w w:val="100"/>
          <w:position w:val="0"/>
        </w:rPr>
        <w:t>5,300</w:t>
      </w:r>
      <w:r>
        <w:rPr>
          <w:color w:val="000000"/>
          <w:spacing w:val="0"/>
          <w:w w:val="100"/>
          <w:position w:val="0"/>
        </w:rPr>
        <w:t>万元。具体投资安排包括：（</w:t>
      </w:r>
      <w:r>
        <w:rPr>
          <w:rFonts w:ascii="Times New Roman" w:eastAsia="Times New Roman" w:hAnsi="Times New Roman" w:cs="Times New Roman"/>
          <w:color w:val="000000"/>
          <w:spacing w:val="0"/>
          <w:w w:val="100"/>
          <w:position w:val="0"/>
        </w:rPr>
        <w:t>1</w:t>
      </w:r>
      <w:r>
        <w:rPr>
          <w:color w:val="000000"/>
          <w:spacing w:val="0"/>
          <w:w w:val="100"/>
          <w:position w:val="0"/>
        </w:rPr>
        <w:t>）以可转股债权方式 增资：公司以其对目标公司享有的</w:t>
      </w:r>
      <w:r>
        <w:rPr>
          <w:rFonts w:ascii="Times New Roman" w:eastAsia="Times New Roman" w:hAnsi="Times New Roman" w:cs="Times New Roman"/>
          <w:color w:val="000000"/>
          <w:spacing w:val="0"/>
          <w:w w:val="100"/>
          <w:position w:val="0"/>
        </w:rPr>
        <w:t>3,500</w:t>
      </w:r>
      <w:r>
        <w:rPr>
          <w:color w:val="000000"/>
          <w:spacing w:val="0"/>
          <w:w w:val="100"/>
          <w:position w:val="0"/>
        </w:rPr>
        <w:t>万元的可转股债权方式向目标公司增资；（</w:t>
      </w:r>
      <w:r>
        <w:rPr>
          <w:rFonts w:ascii="Times New Roman" w:eastAsia="Times New Roman" w:hAnsi="Times New Roman" w:cs="Times New Roman"/>
          <w:color w:val="000000"/>
          <w:spacing w:val="0"/>
          <w:w w:val="100"/>
          <w:position w:val="0"/>
        </w:rPr>
        <w:t>2</w:t>
      </w:r>
      <w:r>
        <w:rPr>
          <w:color w:val="000000"/>
          <w:spacing w:val="0"/>
          <w:w w:val="100"/>
          <w:position w:val="0"/>
        </w:rPr>
        <w:t>）受让部分股权：公司以自有资金</w:t>
      </w:r>
      <w:r>
        <w:rPr>
          <w:rFonts w:ascii="Times New Roman" w:eastAsia="Times New Roman" w:hAnsi="Times New Roman" w:cs="Times New Roman"/>
          <w:color w:val="000000"/>
          <w:spacing w:val="0"/>
          <w:w w:val="100"/>
          <w:position w:val="0"/>
        </w:rPr>
        <w:t>953</w:t>
      </w:r>
      <w:r>
        <w:rPr>
          <w:color w:val="000000"/>
          <w:spacing w:val="0"/>
          <w:w w:val="100"/>
          <w:position w:val="0"/>
        </w:rPr>
        <w:t>万 元受让深圳市早知道投资有限公司（以下简称早知道投资）持有的目标公司注册资本</w:t>
      </w:r>
      <w:r>
        <w:rPr>
          <w:rFonts w:ascii="Times New Roman" w:eastAsia="Times New Roman" w:hAnsi="Times New Roman" w:cs="Times New Roman"/>
          <w:color w:val="000000"/>
          <w:spacing w:val="0"/>
          <w:w w:val="100"/>
          <w:position w:val="0"/>
        </w:rPr>
        <w:t>35.0368</w:t>
      </w:r>
      <w:r>
        <w:rPr>
          <w:color w:val="000000"/>
          <w:spacing w:val="0"/>
          <w:w w:val="100"/>
          <w:position w:val="0"/>
        </w:rPr>
        <w:t xml:space="preserve">万元对应的股权，以自有资金 </w:t>
      </w:r>
      <w:r>
        <w:rPr>
          <w:rFonts w:ascii="Times New Roman" w:eastAsia="Times New Roman" w:hAnsi="Times New Roman" w:cs="Times New Roman"/>
          <w:color w:val="000000"/>
          <w:spacing w:val="0"/>
          <w:w w:val="100"/>
          <w:position w:val="0"/>
        </w:rPr>
        <w:t>847</w:t>
      </w:r>
      <w:r>
        <w:rPr>
          <w:color w:val="000000"/>
          <w:spacing w:val="0"/>
          <w:w w:val="100"/>
          <w:position w:val="0"/>
        </w:rPr>
        <w:t>万元受让深圳市测不准投资企业（有限合伙）（以下简称测不准投资）持有的目标公司注册资本</w:t>
      </w:r>
      <w:r>
        <w:rPr>
          <w:rFonts w:ascii="Times New Roman" w:eastAsia="Times New Roman" w:hAnsi="Times New Roman" w:cs="Times New Roman"/>
          <w:color w:val="000000"/>
          <w:spacing w:val="0"/>
          <w:w w:val="100"/>
          <w:position w:val="0"/>
        </w:rPr>
        <w:t>31.139</w:t>
      </w:r>
      <w:r>
        <w:rPr>
          <w:rFonts w:ascii="Times New Roman" w:eastAsia="Times New Roman" w:hAnsi="Times New Roman" w:cs="Times New Roman"/>
          <w:color w:val="000000"/>
          <w:spacing w:val="0"/>
          <w:w w:val="100"/>
          <w:position w:val="0"/>
        </w:rPr>
        <w:t>7</w:t>
      </w:r>
      <w:r>
        <w:rPr>
          <w:color w:val="000000"/>
          <w:spacing w:val="0"/>
          <w:w w:val="100"/>
          <w:position w:val="0"/>
        </w:rPr>
        <w:t>万元对应的股权。 本次交易完成后，公司持有目标公司的注册资本为</w:t>
      </w:r>
      <w:r>
        <w:rPr>
          <w:rFonts w:ascii="Times New Roman" w:eastAsia="Times New Roman" w:hAnsi="Times New Roman" w:cs="Times New Roman"/>
          <w:color w:val="000000"/>
          <w:spacing w:val="0"/>
          <w:w w:val="100"/>
          <w:position w:val="0"/>
        </w:rPr>
        <w:t>174.5356</w:t>
      </w:r>
      <w:r>
        <w:rPr>
          <w:color w:val="000000"/>
          <w:spacing w:val="0"/>
          <w:w w:val="100"/>
          <w:position w:val="0"/>
        </w:rPr>
        <w:t>万元，占目标公司的股权比例为</w:t>
      </w:r>
      <w:r>
        <w:rPr>
          <w:rFonts w:ascii="Times New Roman" w:eastAsia="Times New Roman" w:hAnsi="Times New Roman" w:cs="Times New Roman"/>
          <w:color w:val="000000"/>
          <w:spacing w:val="0"/>
          <w:w w:val="100"/>
          <w:position w:val="0"/>
        </w:rPr>
        <w:t>10.9667%</w:t>
      </w:r>
      <w:r>
        <w:rPr>
          <w:color w:val="000000"/>
          <w:spacing w:val="0"/>
          <w:w w:val="100"/>
          <w:position w:val="0"/>
        </w:rPr>
        <w:t>。具体详见公司于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日在巨潮资讯网披露的《关于以债转股方式对深圳市早知道科技有限公司增资并受让其部分股权暨关联交易的公 告》（公告编号：</w:t>
      </w:r>
      <w:r>
        <w:rPr>
          <w:rFonts w:ascii="Times New Roman" w:eastAsia="Times New Roman" w:hAnsi="Times New Roman" w:cs="Times New Roman"/>
          <w:color w:val="000000"/>
          <w:spacing w:val="0"/>
          <w:w w:val="100"/>
          <w:position w:val="0"/>
        </w:rPr>
        <w:t>2021-133</w:t>
      </w:r>
      <w:r>
        <w:rPr>
          <w:color w:val="000000"/>
          <w:spacing w:val="0"/>
          <w:w w:val="100"/>
          <w:position w:val="0"/>
        </w:rPr>
        <w:t>）。</w:t>
      </w:r>
    </w:p>
    <w:p>
      <w:pPr>
        <w:pStyle w:val="Style17"/>
        <w:keepNext w:val="0"/>
        <w:keepLines w:val="0"/>
        <w:widowControl w:val="0"/>
        <w:shd w:val="clear" w:color="auto" w:fill="auto"/>
        <w:bidi w:val="0"/>
        <w:spacing w:before="0" w:line="310" w:lineRule="exact"/>
        <w:ind w:left="0" w:right="0" w:firstLine="320"/>
        <w:jc w:val="both"/>
      </w:pPr>
      <w:r>
        <w:rPr>
          <w:color w:val="000000"/>
          <w:spacing w:val="0"/>
          <w:w w:val="100"/>
          <w:position w:val="0"/>
        </w:rPr>
        <w:t>截至本报告披露日，公司已根据相关决议和协议约定分别向早知道投资、测不准投资支付了股权受让款</w:t>
      </w:r>
      <w:r>
        <w:rPr>
          <w:rFonts w:ascii="Times New Roman" w:eastAsia="Times New Roman" w:hAnsi="Times New Roman" w:cs="Times New Roman"/>
          <w:color w:val="000000"/>
          <w:spacing w:val="0"/>
          <w:w w:val="100"/>
          <w:position w:val="0"/>
        </w:rPr>
        <w:t>953</w:t>
      </w:r>
      <w:r>
        <w:rPr>
          <w:color w:val="000000"/>
          <w:spacing w:val="0"/>
          <w:w w:val="100"/>
          <w:position w:val="0"/>
        </w:rPr>
        <w:t>万元、</w:t>
      </w:r>
      <w:r>
        <w:rPr>
          <w:rFonts w:ascii="Times New Roman" w:eastAsia="Times New Roman" w:hAnsi="Times New Roman" w:cs="Times New Roman"/>
          <w:color w:val="000000"/>
          <w:spacing w:val="0"/>
          <w:w w:val="100"/>
          <w:position w:val="0"/>
        </w:rPr>
        <w:t>847</w:t>
      </w:r>
      <w:r>
        <w:rPr>
          <w:color w:val="000000"/>
          <w:spacing w:val="0"/>
          <w:w w:val="100"/>
          <w:position w:val="0"/>
        </w:rPr>
        <w:t>万 元，目标公司已就上述债转股方式增资及股权转让事项完成了工商变更登记手续。具体详见公司于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日在巨潮资 讯网披露的《关于以债转股方式对深圳市早知道科技有限公司增资并受让其部分股权暨关联交易的进展公告》（公告编号： </w:t>
      </w:r>
      <w:r>
        <w:rPr>
          <w:rFonts w:ascii="Times New Roman" w:eastAsia="Times New Roman" w:hAnsi="Times New Roman" w:cs="Times New Roman"/>
          <w:color w:val="000000"/>
          <w:spacing w:val="0"/>
          <w:w w:val="100"/>
          <w:position w:val="0"/>
        </w:rPr>
        <w:t>2022-022</w:t>
      </w:r>
      <w:r>
        <w:rPr>
          <w:color w:val="000000"/>
          <w:spacing w:val="0"/>
          <w:w w:val="100"/>
          <w:position w:val="0"/>
        </w:rPr>
        <w:t>）。</w:t>
      </w:r>
    </w:p>
    <w:p>
      <w:pPr>
        <w:pStyle w:val="Style17"/>
        <w:keepNext w:val="0"/>
        <w:keepLines w:val="0"/>
        <w:widowControl w:val="0"/>
        <w:shd w:val="clear" w:color="auto" w:fill="auto"/>
        <w:bidi w:val="0"/>
        <w:spacing w:before="0" w:line="312" w:lineRule="exact"/>
        <w:ind w:left="0" w:right="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5</w:t>
      </w:r>
      <w:r>
        <w:rPr>
          <w:color w:val="000000"/>
          <w:spacing w:val="0"/>
          <w:w w:val="100"/>
          <w:position w:val="0"/>
        </w:rPr>
        <w:t>）关于受让关联方深圳华大生命科学研究院游离</w:t>
      </w:r>
      <w:r>
        <w:rPr>
          <w:rFonts w:ascii="Times New Roman" w:eastAsia="Times New Roman" w:hAnsi="Times New Roman" w:cs="Times New Roman"/>
          <w:color w:val="000000"/>
          <w:spacing w:val="0"/>
          <w:w w:val="100"/>
          <w:position w:val="0"/>
        </w:rPr>
        <w:t>RNA</w:t>
      </w:r>
      <w:r>
        <w:rPr>
          <w:color w:val="000000"/>
          <w:spacing w:val="0"/>
          <w:w w:val="100"/>
          <w:position w:val="0"/>
        </w:rPr>
        <w:t>技术组合的交易事项</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日召开第三届董事会第四次会议、第三届监事会第四次会议，审议通过了《关于签署技术转让合同 暨关联交易的议案》，为持续提升公司生育健康全周期产品的核心竞争力，有效推进科研成果向临床检测产品的应用转化， 加快妊娠期疾病检测业务的新产品布局，同意公司以自有资金</w:t>
      </w:r>
      <w:r>
        <w:rPr>
          <w:rFonts w:ascii="Times New Roman" w:eastAsia="Times New Roman" w:hAnsi="Times New Roman" w:cs="Times New Roman"/>
          <w:color w:val="000000"/>
          <w:spacing w:val="0"/>
          <w:w w:val="100"/>
          <w:position w:val="0"/>
        </w:rPr>
        <w:t>1,499.59</w:t>
      </w:r>
      <w:r>
        <w:rPr>
          <w:color w:val="000000"/>
          <w:spacing w:val="0"/>
          <w:w w:val="100"/>
          <w:position w:val="0"/>
        </w:rPr>
        <w:t>万元购买关联方深圳华大生命科学研究院（以下简称 华大研究院）游离</w:t>
      </w:r>
      <w:r>
        <w:rPr>
          <w:rFonts w:ascii="Times New Roman" w:eastAsia="Times New Roman" w:hAnsi="Times New Roman" w:cs="Times New Roman"/>
          <w:color w:val="000000"/>
          <w:spacing w:val="0"/>
          <w:w w:val="100"/>
          <w:position w:val="0"/>
        </w:rPr>
        <w:t>RNA</w:t>
      </w:r>
      <w:r>
        <w:rPr>
          <w:color w:val="000000"/>
          <w:spacing w:val="0"/>
          <w:w w:val="100"/>
          <w:position w:val="0"/>
        </w:rPr>
        <w:t>技术相关的</w:t>
      </w:r>
      <w:r>
        <w:rPr>
          <w:rFonts w:ascii="Times New Roman" w:eastAsia="Times New Roman" w:hAnsi="Times New Roman" w:cs="Times New Roman"/>
          <w:color w:val="000000"/>
          <w:spacing w:val="0"/>
          <w:w w:val="100"/>
          <w:position w:val="0"/>
        </w:rPr>
        <w:t>6</w:t>
      </w:r>
      <w:r>
        <w:rPr>
          <w:color w:val="000000"/>
          <w:spacing w:val="0"/>
          <w:w w:val="100"/>
          <w:position w:val="0"/>
        </w:rPr>
        <w:t>项软件著作权及专利申请、专有技术。具体详见公司于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日在巨潮资讯网披 露的《关于签署技术转让合同暨关联交易的公告》（公告编号：</w:t>
      </w:r>
      <w:r>
        <w:rPr>
          <w:rFonts w:ascii="Times New Roman" w:eastAsia="Times New Roman" w:hAnsi="Times New Roman" w:cs="Times New Roman"/>
          <w:color w:val="000000"/>
          <w:spacing w:val="0"/>
          <w:w w:val="100"/>
          <w:position w:val="0"/>
        </w:rPr>
        <w:t>2021-134</w:t>
      </w:r>
      <w:r>
        <w:rPr>
          <w:color w:val="000000"/>
          <w:spacing w:val="0"/>
          <w:w w:val="100"/>
          <w:position w:val="0"/>
        </w:rPr>
        <w:t>）。</w:t>
      </w:r>
    </w:p>
    <w:p>
      <w:pPr>
        <w:pStyle w:val="Style17"/>
        <w:keepNext w:val="0"/>
        <w:keepLines w:val="0"/>
        <w:widowControl w:val="0"/>
        <w:shd w:val="clear" w:color="auto" w:fill="auto"/>
        <w:bidi w:val="0"/>
        <w:spacing w:before="0" w:after="440" w:line="314" w:lineRule="exact"/>
        <w:ind w:left="0" w:right="0"/>
        <w:jc w:val="both"/>
      </w:pPr>
      <w:r>
        <w:rPr>
          <w:color w:val="000000"/>
          <w:spacing w:val="0"/>
          <w:w w:val="100"/>
          <w:position w:val="0"/>
        </w:rPr>
        <w:t>公司与华大研究院于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日签署了《技术转让合同》，合同有效期限为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《关于向深圳市猛犯公益基金会捐赠暨关 联交易的公告》（公告编号：</w:t>
            </w:r>
            <w:r>
              <w:rPr>
                <w:rFonts w:ascii="Times New Roman" w:eastAsia="Times New Roman" w:hAnsi="Times New Roman" w:cs="Times New Roman"/>
                <w:color w:val="000000"/>
                <w:spacing w:val="0"/>
                <w:w w:val="100"/>
                <w:position w:val="0"/>
              </w:rPr>
              <w:t>2021-018</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《关于向深圳市猛犯公益基金会捐赠暨关 联交易的公告》（公告编号：</w:t>
            </w:r>
            <w:r>
              <w:rPr>
                <w:rFonts w:ascii="Times New Roman" w:eastAsia="Times New Roman" w:hAnsi="Times New Roman" w:cs="Times New Roman"/>
                <w:color w:val="000000"/>
                <w:spacing w:val="0"/>
                <w:w w:val="100"/>
                <w:position w:val="0"/>
              </w:rPr>
              <w:t>2021-050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466"/>
        <w:gridCol w:w="2650"/>
        <w:gridCol w:w="3470"/>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《关于受让控股子公司少数股东股权暨关 联交易的公告》（公告编号：</w:t>
            </w:r>
            <w:r>
              <w:rPr>
                <w:rFonts w:ascii="Times New Roman" w:eastAsia="Times New Roman" w:hAnsi="Times New Roman" w:cs="Times New Roman"/>
                <w:color w:val="000000"/>
                <w:spacing w:val="0"/>
                <w:w w:val="100"/>
                <w:position w:val="0"/>
              </w:rPr>
              <w:t>2021-055</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《关于受让控股子公司少数股东股权进展 暨深圳医检完成工商变更登记的公告》（公 告编号：</w:t>
            </w:r>
            <w:r>
              <w:rPr>
                <w:rFonts w:ascii="Times New Roman" w:eastAsia="Times New Roman" w:hAnsi="Times New Roman" w:cs="Times New Roman"/>
                <w:color w:val="000000"/>
                <w:spacing w:val="0"/>
                <w:w w:val="100"/>
                <w:position w:val="0"/>
              </w:rPr>
              <w:t>2021-084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《关于受让控股子公司少数股东股权进展 暨北京医检完成工商变更登记的公告》（公 告编号：</w:t>
            </w:r>
            <w:r>
              <w:rPr>
                <w:rFonts w:ascii="Times New Roman" w:eastAsia="Times New Roman" w:hAnsi="Times New Roman" w:cs="Times New Roman"/>
                <w:color w:val="000000"/>
                <w:spacing w:val="0"/>
                <w:w w:val="100"/>
                <w:position w:val="0"/>
              </w:rPr>
              <w:t>2021-093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《关于拟参与投资设立合伙企业暨关联交 易的公告》（公告编号：</w:t>
            </w:r>
            <w:r>
              <w:rPr>
                <w:rFonts w:ascii="Times New Roman" w:eastAsia="Times New Roman" w:hAnsi="Times New Roman" w:cs="Times New Roman"/>
                <w:color w:val="000000"/>
                <w:spacing w:val="0"/>
                <w:w w:val="100"/>
                <w:position w:val="0"/>
              </w:rPr>
              <w:t>2021-112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《关于以债转股方式对深圳市早知道科技 有限公司增资并受让其部分股权暨关联交 易的公告》（公告编号：</w:t>
            </w:r>
            <w:r>
              <w:rPr>
                <w:rFonts w:ascii="Times New Roman" w:eastAsia="Times New Roman" w:hAnsi="Times New Roman" w:cs="Times New Roman"/>
                <w:color w:val="000000"/>
                <w:spacing w:val="0"/>
                <w:w w:val="100"/>
                <w:position w:val="0"/>
              </w:rPr>
              <w:t>2021-133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《关于签署技术转让合同暨关联交易的公 告》（公告编号：</w:t>
            </w:r>
            <w:r>
              <w:rPr>
                <w:rFonts w:ascii="Times New Roman" w:eastAsia="Times New Roman" w:hAnsi="Times New Roman" w:cs="Times New Roman"/>
                <w:color w:val="000000"/>
                <w:spacing w:val="0"/>
                <w:w w:val="100"/>
                <w:position w:val="0"/>
              </w:rPr>
              <w:t>2021-134</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《关于以债转股方式对深圳市早知道科技 有限公司增资并受让其部分股权暨关联交 易的进展公告》（公告编号：</w:t>
            </w:r>
            <w:r>
              <w:rPr>
                <w:rFonts w:ascii="Times New Roman" w:eastAsia="Times New Roman" w:hAnsi="Times New Roman" w:cs="Times New Roman"/>
                <w:color w:val="000000"/>
                <w:spacing w:val="0"/>
                <w:w w:val="100"/>
                <w:position w:val="0"/>
              </w:rPr>
              <w:t>2022-022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《关于参与投资设立合伙企业暨关联交易 的进展公告》（公告编号：</w:t>
            </w:r>
            <w:r>
              <w:rPr>
                <w:rFonts w:ascii="Times New Roman" w:eastAsia="Times New Roman" w:hAnsi="Times New Roman" w:cs="Times New Roman"/>
                <w:color w:val="000000"/>
                <w:spacing w:val="0"/>
                <w:w w:val="100"/>
                <w:position w:val="0"/>
              </w:rPr>
              <w:t>2022-025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240"/>
        <w:jc w:val="both"/>
      </w:pPr>
      <w:bookmarkStart w:id="606" w:name="bookmark606"/>
      <w:bookmarkStart w:id="607" w:name="bookmark607"/>
      <w:bookmarkStart w:id="608" w:name="bookmark608"/>
      <w:r>
        <w:rPr>
          <w:color w:val="000000"/>
          <w:spacing w:val="0"/>
          <w:w w:val="100"/>
          <w:position w:val="0"/>
          <w:sz w:val="24"/>
          <w:szCs w:val="24"/>
        </w:rPr>
        <w:t>十五、重大合同及其履行情况</w:t>
      </w:r>
      <w:bookmarkEnd w:id="606"/>
      <w:bookmarkEnd w:id="607"/>
      <w:bookmarkEnd w:id="608"/>
    </w:p>
    <w:p>
      <w:pPr>
        <w:pStyle w:val="Style30"/>
        <w:keepNext/>
        <w:keepLines/>
        <w:widowControl w:val="0"/>
        <w:shd w:val="clear" w:color="auto" w:fill="auto"/>
        <w:bidi w:val="0"/>
        <w:spacing w:before="0" w:line="240" w:lineRule="auto"/>
        <w:ind w:left="0" w:right="0" w:firstLine="24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、托管、承包、租赁事项情况</w:t>
      </w:r>
      <w:bookmarkEnd w:id="609"/>
      <w:bookmarkEnd w:id="610"/>
      <w:bookmarkEnd w:id="612"/>
    </w:p>
    <w:p>
      <w:pPr>
        <w:pStyle w:val="Style30"/>
        <w:keepNext/>
        <w:keepLines/>
        <w:widowControl w:val="0"/>
        <w:shd w:val="clear" w:color="auto" w:fill="auto"/>
        <w:tabs>
          <w:tab w:pos="733" w:val="left"/>
        </w:tabs>
        <w:bidi w:val="0"/>
        <w:spacing w:before="0" w:line="240" w:lineRule="auto"/>
        <w:ind w:left="0" w:right="0" w:firstLine="240"/>
        <w:jc w:val="both"/>
      </w:pPr>
      <w:bookmarkStart w:id="609" w:name="bookmark609"/>
      <w:bookmarkStart w:id="610" w:name="bookmark610"/>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09"/>
      <w:bookmarkEnd w:id="610"/>
      <w:bookmarkEnd w:id="614"/>
    </w:p>
    <w:p>
      <w:pPr>
        <w:pStyle w:val="Style17"/>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公司报告期不存在托管情况。</w:t>
      </w:r>
    </w:p>
    <w:p>
      <w:pPr>
        <w:pStyle w:val="Style30"/>
        <w:keepNext/>
        <w:keepLines/>
        <w:widowControl w:val="0"/>
        <w:shd w:val="clear" w:color="auto" w:fill="auto"/>
        <w:tabs>
          <w:tab w:pos="733" w:val="left"/>
        </w:tabs>
        <w:bidi w:val="0"/>
        <w:spacing w:before="0" w:line="240" w:lineRule="auto"/>
        <w:ind w:left="0" w:right="0" w:firstLine="240"/>
        <w:jc w:val="both"/>
      </w:pPr>
      <w:bookmarkStart w:id="615" w:name="bookmark615"/>
      <w:bookmarkStart w:id="616" w:name="bookmark616"/>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15"/>
      <w:bookmarkEnd w:id="616"/>
      <w:bookmarkEnd w:id="618"/>
    </w:p>
    <w:p>
      <w:pPr>
        <w:pStyle w:val="Style17"/>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公司报告期不存在承包情况。</w:t>
      </w:r>
    </w:p>
    <w:p>
      <w:pPr>
        <w:pStyle w:val="Style30"/>
        <w:keepNext/>
        <w:keepLines/>
        <w:widowControl w:val="0"/>
        <w:shd w:val="clear" w:color="auto" w:fill="auto"/>
        <w:tabs>
          <w:tab w:pos="733" w:val="left"/>
        </w:tabs>
        <w:bidi w:val="0"/>
        <w:spacing w:before="0" w:line="240" w:lineRule="auto"/>
        <w:ind w:left="0" w:right="0" w:firstLine="240"/>
        <w:jc w:val="both"/>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19"/>
      <w:bookmarkEnd w:id="620"/>
      <w:bookmarkEnd w:id="622"/>
    </w:p>
    <w:p>
      <w:pPr>
        <w:pStyle w:val="Style17"/>
        <w:keepNext w:val="0"/>
        <w:keepLines w:val="0"/>
        <w:widowControl w:val="0"/>
        <w:shd w:val="clear" w:color="auto" w:fill="auto"/>
        <w:bidi w:val="0"/>
        <w:spacing w:before="0" w:after="140" w:line="240" w:lineRule="auto"/>
        <w:ind w:left="0" w:right="0" w:firstLine="2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600"/>
        <w:jc w:val="both"/>
      </w:pPr>
      <w:r>
        <w:rPr>
          <w:color w:val="000000"/>
          <w:spacing w:val="0"/>
          <w:w w:val="100"/>
          <w:position w:val="0"/>
        </w:rPr>
        <w:t>公司报告期不存在租赁情况。</w:t>
      </w:r>
      <w:r>
        <w:br w:type="page"/>
      </w:r>
    </w:p>
    <w:p>
      <w:pPr>
        <w:pStyle w:val="Style30"/>
        <w:keepNext/>
        <w:keepLines/>
        <w:widowControl w:val="0"/>
        <w:shd w:val="clear" w:color="auto" w:fill="auto"/>
        <w:bidi w:val="0"/>
        <w:spacing w:before="0" w:line="240" w:lineRule="auto"/>
        <w:ind w:left="0" w:right="0" w:firstLine="24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、重大担保</w:t>
      </w:r>
      <w:bookmarkEnd w:id="623"/>
      <w:bookmarkEnd w:id="624"/>
      <w:bookmarkEnd w:id="626"/>
    </w:p>
    <w:p>
      <w:pPr>
        <w:pStyle w:val="Style17"/>
        <w:keepNext w:val="0"/>
        <w:keepLines w:val="0"/>
        <w:widowControl w:val="0"/>
        <w:shd w:val="clear" w:color="auto" w:fill="auto"/>
        <w:bidi w:val="0"/>
        <w:spacing w:before="0" w:after="120" w:line="240" w:lineRule="auto"/>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29"/>
        <w:gridCol w:w="926"/>
        <w:gridCol w:w="686"/>
        <w:gridCol w:w="850"/>
        <w:gridCol w:w="710"/>
        <w:gridCol w:w="710"/>
        <w:gridCol w:w="1982"/>
        <w:gridCol w:w="710"/>
        <w:gridCol w:w="994"/>
        <w:gridCol w:w="566"/>
        <w:gridCol w:w="715"/>
      </w:tblGrid>
      <w:tr>
        <w:trPr>
          <w:trHeight w:val="40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履行</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是否为</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关联方</w:t>
            </w:r>
          </w:p>
          <w:p>
            <w:pPr>
              <w:pStyle w:val="Style20"/>
              <w:keepNext w:val="0"/>
              <w:keepLines w:val="0"/>
              <w:widowControl w:val="0"/>
              <w:shd w:val="clear" w:color="auto" w:fill="auto"/>
              <w:bidi w:val="0"/>
              <w:spacing w:before="0" w:line="240" w:lineRule="auto"/>
              <w:ind w:left="0" w:right="0" w:firstLine="160"/>
              <w:jc w:val="left"/>
            </w:pPr>
            <w:r>
              <w:rPr>
                <w:color w:val="000000"/>
                <w:spacing w:val="0"/>
                <w:w w:val="100"/>
                <w:position w:val="0"/>
              </w:rPr>
              <w:t>担保</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深圳市高新投</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融资担保有限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连带责</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任保证</w:t>
            </w:r>
            <w:r>
              <w:rPr>
                <w:color w:val="000000"/>
                <w:spacing w:val="0"/>
                <w:w w:val="100"/>
                <w:position w:val="0"/>
              </w:rPr>
              <w:t>；</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针对深圳高新投为公司 债券</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还本付 息义务提供连带责任保 证，全资子公司武汉医 检和天津医检以其合法 持有的不动产向其提供 抵押反担保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深圳担保集团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连带责</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任保证</w:t>
            </w:r>
            <w:r>
              <w:rPr>
                <w:color w:val="000000"/>
                <w:spacing w:val="0"/>
                <w:w w:val="100"/>
                <w:position w:val="0"/>
              </w:rPr>
              <w:t>；</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针对深圳担保集团为公 司债券</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还本 付息义务提供连带责任 保证，公司的全资子公 司武汉医检向其提供保 证反担保；公司的全资 子公司青岛青西华大以 其合法持有的不动产向 其提供抵押反担保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报告期内审批的对外担保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报告期内对外担</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保实际发生额合</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报告期末已审批的对外担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报告期末实际对</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外担保余额合计</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39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担保物（如有）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履行</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是否为</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关联方</w:t>
            </w:r>
          </w:p>
          <w:p>
            <w:pPr>
              <w:pStyle w:val="Style20"/>
              <w:keepNext w:val="0"/>
              <w:keepLines w:val="0"/>
              <w:widowControl w:val="0"/>
              <w:shd w:val="clear" w:color="auto" w:fill="auto"/>
              <w:bidi w:val="0"/>
              <w:spacing w:before="0" w:line="240" w:lineRule="auto"/>
              <w:ind w:left="0" w:right="0" w:firstLine="160"/>
              <w:jc w:val="left"/>
            </w:pPr>
            <w:r>
              <w:rPr>
                <w:color w:val="000000"/>
                <w:spacing w:val="0"/>
                <w:w w:val="100"/>
                <w:position w:val="0"/>
              </w:rPr>
              <w:t>担保</w:t>
            </w:r>
          </w:p>
        </w:tc>
      </w:tr>
      <w:tr>
        <w:trPr>
          <w:trHeight w:val="193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华大基因健康 科技（香港） 有限公司</w:t>
            </w:r>
          </w:p>
          <w:p>
            <w:pPr>
              <w:pStyle w:val="Style2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BGI</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HEALTH （HK） CO.,LTD</w:t>
            </w:r>
            <w:r>
              <w:rPr>
                <w:color w:val="000000"/>
                <w:spacing w:val="0"/>
                <w:w w:val="100"/>
                <w:position w:val="0"/>
              </w:rPr>
              <w:t>）</w:t>
            </w: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一般保 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担保条款生 效之日起至 履约义务执 行完毕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9"/>
        <w:gridCol w:w="926"/>
        <w:gridCol w:w="686"/>
        <w:gridCol w:w="850"/>
        <w:gridCol w:w="710"/>
        <w:gridCol w:w="710"/>
        <w:gridCol w:w="1982"/>
        <w:gridCol w:w="710"/>
        <w:gridCol w:w="994"/>
        <w:gridCol w:w="566"/>
        <w:gridCol w:w="715"/>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武汉华大医学</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检验所有限公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深圳华大医学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检验实验室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深圳华大医学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检验实验室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numPr>
                <w:ilvl w:val="0"/>
                <w:numId w:val="13"/>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p>
          <w:p>
            <w:pPr>
              <w:pStyle w:val="Style20"/>
              <w:keepNext w:val="0"/>
              <w:keepLines w:val="0"/>
              <w:widowControl w:val="0"/>
              <w:numPr>
                <w:ilvl w:val="0"/>
                <w:numId w:val="13"/>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深圳华大医学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检验实验室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numPr>
                <w:ilvl w:val="0"/>
                <w:numId w:val="15"/>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p>
          <w:p>
            <w:pPr>
              <w:pStyle w:val="Style20"/>
              <w:keepNext w:val="0"/>
              <w:keepLines w:val="0"/>
              <w:widowControl w:val="0"/>
              <w:numPr>
                <w:ilvl w:val="0"/>
                <w:numId w:val="15"/>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深圳华大医学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检验实验室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武汉华大医学</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检验所有限公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numPr>
                <w:ilvl w:val="0"/>
                <w:numId w:val="17"/>
              </w:numPr>
              <w:shd w:val="clear" w:color="auto" w:fill="auto"/>
              <w:tabs>
                <w:tab w:pos="418" w:val="left"/>
              </w:tabs>
              <w:bidi w:val="0"/>
              <w:spacing w:before="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p>
          <w:p>
            <w:pPr>
              <w:pStyle w:val="Style20"/>
              <w:keepNext w:val="0"/>
              <w:keepLines w:val="0"/>
              <w:widowControl w:val="0"/>
              <w:numPr>
                <w:ilvl w:val="0"/>
                <w:numId w:val="17"/>
              </w:numPr>
              <w:shd w:val="clear" w:color="auto" w:fill="auto"/>
              <w:tabs>
                <w:tab w:pos="418" w:val="left"/>
              </w:tabs>
              <w:bidi w:val="0"/>
              <w:spacing w:before="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武汉华大医学</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检验所有限公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numPr>
                <w:ilvl w:val="0"/>
                <w:numId w:val="19"/>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p>
          <w:p>
            <w:pPr>
              <w:pStyle w:val="Style20"/>
              <w:keepNext w:val="0"/>
              <w:keepLines w:val="0"/>
              <w:widowControl w:val="0"/>
              <w:numPr>
                <w:ilvl w:val="0"/>
                <w:numId w:val="19"/>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武汉华大医学</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检验所有限公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numPr>
                <w:ilvl w:val="0"/>
                <w:numId w:val="21"/>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p>
          <w:p>
            <w:pPr>
              <w:pStyle w:val="Style20"/>
              <w:keepNext w:val="0"/>
              <w:keepLines w:val="0"/>
              <w:widowControl w:val="0"/>
              <w:numPr>
                <w:ilvl w:val="0"/>
                <w:numId w:val="21"/>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武汉华大医学</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检验所有限公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华大生物科技</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numPr>
                <w:ilvl w:val="0"/>
                <w:numId w:val="23"/>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p>
          <w:p>
            <w:pPr>
              <w:pStyle w:val="Style20"/>
              <w:keepNext w:val="0"/>
              <w:keepLines w:val="0"/>
              <w:widowControl w:val="0"/>
              <w:numPr>
                <w:ilvl w:val="0"/>
                <w:numId w:val="23"/>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9"/>
        <w:gridCol w:w="926"/>
        <w:gridCol w:w="686"/>
        <w:gridCol w:w="850"/>
        <w:gridCol w:w="710"/>
        <w:gridCol w:w="710"/>
        <w:gridCol w:w="1982"/>
        <w:gridCol w:w="710"/>
        <w:gridCol w:w="994"/>
        <w:gridCol w:w="566"/>
        <w:gridCol w:w="715"/>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华大生物科技</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武汉华大医学</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检验所有限公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深圳华大医学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检验实验室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青岛青西华大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Genomics</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UK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科技服务有限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Europe</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BGI Tech</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Solutions (Europe) B.V.</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Americas</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Corporation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JAPAN</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KABUSHIKIK</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AISYA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华大基因健康 科技（香港） 有限公司</w:t>
            </w:r>
          </w:p>
          <w:p>
            <w:pPr>
              <w:pStyle w:val="Style20"/>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BGI</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HEALTH （HK） CO.,LTD</w:t>
            </w:r>
            <w:r>
              <w:rPr>
                <w:color w:val="000000"/>
                <w:spacing w:val="0"/>
                <w:w w:val="100"/>
                <w:position w:val="0"/>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连带责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numPr>
                <w:ilvl w:val="0"/>
                <w:numId w:val="25"/>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p>
          <w:p>
            <w:pPr>
              <w:pStyle w:val="Style20"/>
              <w:keepNext w:val="0"/>
              <w:keepLines w:val="0"/>
              <w:widowControl w:val="0"/>
              <w:numPr>
                <w:ilvl w:val="0"/>
                <w:numId w:val="25"/>
              </w:numPr>
              <w:shd w:val="clear" w:color="auto" w:fill="auto"/>
              <w:tabs>
                <w:tab w:pos="418" w:val="left"/>
              </w:tabs>
              <w:bidi w:val="0"/>
              <w:spacing w:before="0" w:after="80" w:line="240" w:lineRule="auto"/>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报告期内对子公 司担保实际发生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1037"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报告期末已审批的对子公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司担保额度合计（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223,910</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报告期末对子公 司实际担保余额 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w:t>
            </w:r>
          </w:p>
        </w:tc>
      </w:tr>
    </w:tbl>
    <w:p>
      <w:pPr>
        <w:spacing w:lineRule="exact" w:line="1"/>
        <w:rPr>
          <w:sz w:val="2"/>
          <w:szCs w:val="2"/>
        </w:rPr>
      </w:pPr>
      <w:r>
        <w:br w:type="page"/>
      </w:r>
    </w:p>
    <w:tbl>
      <w:tblPr>
        <w:tblOverlap w:val="never"/>
        <w:jc w:val="center"/>
        <w:tblLayout w:type="fixed"/>
      </w:tblPr>
      <w:tblGrid>
        <w:gridCol w:w="1229"/>
        <w:gridCol w:w="926"/>
        <w:gridCol w:w="619"/>
        <w:gridCol w:w="917"/>
        <w:gridCol w:w="710"/>
        <w:gridCol w:w="710"/>
        <w:gridCol w:w="1982"/>
        <w:gridCol w:w="710"/>
        <w:gridCol w:w="994"/>
        <w:gridCol w:w="566"/>
        <w:gridCol w:w="715"/>
      </w:tblGrid>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实际担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履行</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是否为</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关联方</w:t>
            </w:r>
          </w:p>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担保</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158,300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报告期内担保实</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际发生额合计</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1022"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273,910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保余额合计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w:t>
            </w: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为股东、实际控制人及其关联方提供担保的余</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260" w:right="0" w:firstLine="0"/>
              <w:jc w:val="left"/>
            </w:pPr>
            <w:r>
              <w:rPr>
                <w:rFonts w:ascii="Times New Roman" w:eastAsia="Times New Roman" w:hAnsi="Times New Roman" w:cs="Times New Roman"/>
                <w:color w:val="000000"/>
                <w:spacing w:val="0"/>
                <w:w w:val="100"/>
                <w:position w:val="0"/>
              </w:rPr>
              <w:t>0</w:t>
            </w:r>
          </w:p>
        </w:tc>
      </w:tr>
      <w:tr>
        <w:trPr>
          <w:trHeight w:val="710"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2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2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260" w:right="0" w:firstLine="0"/>
              <w:jc w:val="left"/>
            </w:pPr>
            <w:r>
              <w:rPr>
                <w:rFonts w:ascii="Times New Roman" w:eastAsia="Times New Roman" w:hAnsi="Times New Roman" w:cs="Times New Roman"/>
                <w:color w:val="000000"/>
                <w:spacing w:val="0"/>
                <w:w w:val="100"/>
                <w:position w:val="0"/>
              </w:rPr>
              <w:t>0</w:t>
            </w:r>
          </w:p>
        </w:tc>
      </w:tr>
      <w:tr>
        <w:trPr>
          <w:trHeight w:val="1027"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322" w:lineRule="exact"/>
        <w:ind w:left="245"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：系公司为全资子公司华大基因健康科技（香港）有限公司提供担保金额为</w:t>
      </w:r>
      <w:r>
        <w:rPr>
          <w:rFonts w:ascii="Times New Roman" w:eastAsia="Times New Roman" w:hAnsi="Times New Roman" w:cs="Times New Roman"/>
          <w:color w:val="000000"/>
          <w:spacing w:val="0"/>
          <w:w w:val="100"/>
          <w:position w:val="0"/>
        </w:rPr>
        <w:t>5,000</w:t>
      </w:r>
      <w:r>
        <w:rPr>
          <w:color w:val="000000"/>
          <w:spacing w:val="0"/>
          <w:w w:val="100"/>
          <w:position w:val="0"/>
        </w:rPr>
        <w:t>万美元，折合人民币</w:t>
      </w:r>
      <w:r>
        <w:rPr>
          <w:rFonts w:ascii="Times New Roman" w:eastAsia="Times New Roman" w:hAnsi="Times New Roman" w:cs="Times New Roman"/>
          <w:color w:val="000000"/>
          <w:spacing w:val="0"/>
          <w:w w:val="100"/>
          <w:position w:val="0"/>
        </w:rPr>
        <w:t>3.36</w:t>
      </w:r>
      <w:r>
        <w:rPr>
          <w:color w:val="000000"/>
          <w:spacing w:val="0"/>
          <w:w w:val="100"/>
          <w:position w:val="0"/>
        </w:rPr>
        <w:t>亿元的履 约担保；</w:t>
      </w:r>
    </w:p>
    <w:p>
      <w:pPr>
        <w:pStyle w:val="Style17"/>
        <w:keepNext w:val="0"/>
        <w:keepLines w:val="0"/>
        <w:widowControl w:val="0"/>
        <w:shd w:val="clear" w:color="auto" w:fill="auto"/>
        <w:bidi w:val="0"/>
        <w:spacing w:before="0" w:after="380" w:line="312" w:lineRule="exact"/>
        <w:ind w:left="24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：公司为香港医学向荷兰卫生部竞标核酸检测项目提供连带责任保证，预计担保金额不超过</w:t>
      </w:r>
      <w:r>
        <w:rPr>
          <w:rFonts w:ascii="Times New Roman" w:eastAsia="Times New Roman" w:hAnsi="Times New Roman" w:cs="Times New Roman"/>
          <w:color w:val="000000"/>
          <w:spacing w:val="0"/>
          <w:w w:val="100"/>
          <w:position w:val="0"/>
        </w:rPr>
        <w:t>3,600</w:t>
      </w:r>
      <w:r>
        <w:rPr>
          <w:color w:val="000000"/>
          <w:spacing w:val="0"/>
          <w:w w:val="100"/>
          <w:position w:val="0"/>
        </w:rPr>
        <w:t>万欧元（按</w:t>
      </w:r>
      <w:r>
        <w:rPr>
          <w:rFonts w:ascii="Times New Roman" w:eastAsia="Times New Roman" w:hAnsi="Times New Roman" w:cs="Times New Roman"/>
          <w:color w:val="000000"/>
          <w:spacing w:val="0"/>
          <w:w w:val="100"/>
          <w:position w:val="0"/>
        </w:rPr>
        <w:t>1</w:t>
      </w:r>
      <w:r>
        <w:rPr>
          <w:color w:val="000000"/>
          <w:spacing w:val="0"/>
          <w:w w:val="100"/>
          <w:position w:val="0"/>
        </w:rPr>
        <w:t>欧元 兑人民币</w:t>
      </w:r>
      <w:r>
        <w:rPr>
          <w:rFonts w:ascii="Times New Roman" w:eastAsia="Times New Roman" w:hAnsi="Times New Roman" w:cs="Times New Roman"/>
          <w:color w:val="000000"/>
          <w:spacing w:val="0"/>
          <w:w w:val="100"/>
          <w:position w:val="0"/>
        </w:rPr>
        <w:t>8.2083</w:t>
      </w:r>
      <w:r>
        <w:rPr>
          <w:color w:val="000000"/>
          <w:spacing w:val="0"/>
          <w:w w:val="100"/>
          <w:position w:val="0"/>
        </w:rPr>
        <w:t>元的汇率，</w:t>
      </w:r>
      <w:r>
        <w:rPr>
          <w:rFonts w:ascii="Times New Roman" w:eastAsia="Times New Roman" w:hAnsi="Times New Roman" w:cs="Times New Roman"/>
          <w:color w:val="000000"/>
          <w:spacing w:val="0"/>
          <w:w w:val="100"/>
          <w:position w:val="0"/>
        </w:rPr>
        <w:t>3,600</w:t>
      </w:r>
      <w:r>
        <w:rPr>
          <w:color w:val="000000"/>
          <w:spacing w:val="0"/>
          <w:w w:val="100"/>
          <w:position w:val="0"/>
        </w:rPr>
        <w:t>万欧元换算为人民币</w:t>
      </w:r>
      <w:r>
        <w:rPr>
          <w:rFonts w:ascii="Times New Roman" w:eastAsia="Times New Roman" w:hAnsi="Times New Roman" w:cs="Times New Roman"/>
          <w:color w:val="000000"/>
          <w:spacing w:val="0"/>
          <w:w w:val="100"/>
          <w:position w:val="0"/>
        </w:rPr>
        <w:t>29,550</w:t>
      </w:r>
      <w:r>
        <w:rPr>
          <w:color w:val="000000"/>
          <w:spacing w:val="0"/>
          <w:w w:val="100"/>
          <w:position w:val="0"/>
        </w:rPr>
        <w:t>万元。</w:t>
      </w:r>
    </w:p>
    <w:p>
      <w:pPr>
        <w:pStyle w:val="Style30"/>
        <w:keepNext/>
        <w:keepLines/>
        <w:widowControl w:val="0"/>
        <w:shd w:val="clear" w:color="auto" w:fill="auto"/>
        <w:bidi w:val="0"/>
        <w:spacing w:before="0" w:after="380" w:line="240" w:lineRule="auto"/>
        <w:ind w:left="0" w:right="0" w:firstLine="24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、委托他人进行现金资产管理情况</w:t>
      </w:r>
      <w:bookmarkEnd w:id="627"/>
      <w:bookmarkEnd w:id="628"/>
      <w:bookmarkEnd w:id="630"/>
    </w:p>
    <w:p>
      <w:pPr>
        <w:pStyle w:val="Style30"/>
        <w:keepNext/>
        <w:keepLines/>
        <w:widowControl w:val="0"/>
        <w:shd w:val="clear" w:color="auto" w:fill="auto"/>
        <w:bidi w:val="0"/>
        <w:spacing w:before="0" w:after="260" w:line="240" w:lineRule="auto"/>
        <w:ind w:left="0" w:right="0" w:firstLine="240"/>
        <w:jc w:val="left"/>
      </w:pPr>
      <w:bookmarkStart w:id="627" w:name="bookmark627"/>
      <w:bookmarkStart w:id="628" w:name="bookmark628"/>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27"/>
      <w:bookmarkEnd w:id="628"/>
      <w:bookmarkEnd w:id="632"/>
    </w:p>
    <w:p>
      <w:pPr>
        <w:pStyle w:val="Style17"/>
        <w:keepNext w:val="0"/>
        <w:keepLines w:val="0"/>
        <w:widowControl w:val="0"/>
        <w:shd w:val="clear" w:color="auto" w:fill="auto"/>
        <w:bidi w:val="0"/>
        <w:spacing w:before="0" w:after="0" w:line="312" w:lineRule="exact"/>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20" w:line="312" w:lineRule="exact"/>
        <w:ind w:left="0" w:right="0" w:firstLine="24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1574"/>
        <w:gridCol w:w="1646"/>
        <w:gridCol w:w="1661"/>
        <w:gridCol w:w="1598"/>
        <w:gridCol w:w="1550"/>
        <w:gridCol w:w="155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单项金额重大或安全性较低、流动性较差的高风险委托理财具体情况</w:t>
      </w:r>
    </w:p>
    <w:p>
      <w:pPr>
        <w:pStyle w:val="Style17"/>
        <w:keepNext w:val="0"/>
        <w:keepLines w:val="0"/>
        <w:widowControl w:val="0"/>
        <w:shd w:val="clear" w:color="auto" w:fill="auto"/>
        <w:bidi w:val="0"/>
        <w:spacing w:before="0" w:after="140" w:line="240" w:lineRule="auto"/>
        <w:ind w:left="0" w:right="0" w:firstLine="2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40" w:line="240" w:lineRule="auto"/>
        <w:ind w:left="0" w:right="180" w:firstLine="0"/>
        <w:jc w:val="right"/>
        <w:sectPr>
          <w:footnotePr>
            <w:pos w:val="pageBottom"/>
            <w:numFmt w:val="decimal"/>
            <w:numRestart w:val="continuous"/>
          </w:footnotePr>
          <w:pgSz w:w="11900" w:h="16840"/>
          <w:pgMar w:top="1393" w:right="925" w:bottom="1441" w:left="895" w:header="0" w:footer="3" w:gutter="0"/>
          <w:cols w:space="720"/>
          <w:noEndnote/>
          <w:rtlGutter w:val="0"/>
          <w:docGrid w:linePitch="360"/>
        </w:sectPr>
      </w:pPr>
      <w:r>
        <w:rPr>
          <w:color w:val="000000"/>
          <w:spacing w:val="0"/>
          <w:w w:val="100"/>
          <w:position w:val="0"/>
        </w:rPr>
        <w:t>单位：万元</w:t>
      </w:r>
    </w:p>
    <w:p>
      <w:pPr>
        <w:widowControl w:val="0"/>
        <w:spacing w:after="359" w:line="1" w:lineRule="exact"/>
      </w:pPr>
    </w:p>
    <w:tbl>
      <w:tblPr>
        <w:tblOverlap w:val="never"/>
        <w:jc w:val="center"/>
        <w:tblLayout w:type="fixed"/>
      </w:tblPr>
      <w:tblGrid>
        <w:gridCol w:w="840"/>
        <w:gridCol w:w="859"/>
        <w:gridCol w:w="888"/>
        <w:gridCol w:w="840"/>
        <w:gridCol w:w="816"/>
        <w:gridCol w:w="816"/>
        <w:gridCol w:w="816"/>
        <w:gridCol w:w="821"/>
        <w:gridCol w:w="816"/>
        <w:gridCol w:w="816"/>
        <w:gridCol w:w="816"/>
        <w:gridCol w:w="816"/>
        <w:gridCol w:w="821"/>
        <w:gridCol w:w="797"/>
        <w:gridCol w:w="802"/>
        <w:gridCol w:w="797"/>
        <w:gridCol w:w="792"/>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受托机构 名称（或 受托人姓 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受托机构</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（或受托</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220" w:right="0" w:hanging="220"/>
              <w:jc w:val="both"/>
            </w:pPr>
            <w:r>
              <w:rPr>
                <w:color w:val="000000"/>
                <w:spacing w:val="0"/>
                <w:w w:val="100"/>
                <w:position w:val="0"/>
              </w:rPr>
              <w:t>报酬确定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参考年化 收益率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预期收益</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报告期实</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际损益金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报告期损</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益实际收</w:t>
            </w:r>
          </w:p>
          <w:p>
            <w:pPr>
              <w:pStyle w:val="Style20"/>
              <w:keepNext w:val="0"/>
              <w:keepLines w:val="0"/>
              <w:widowControl w:val="0"/>
              <w:shd w:val="clear" w:color="auto" w:fill="auto"/>
              <w:bidi w:val="0"/>
              <w:spacing w:before="0" w:line="240" w:lineRule="auto"/>
              <w:ind w:left="0" w:right="0" w:firstLine="140"/>
              <w:jc w:val="left"/>
            </w:pPr>
            <w:r>
              <w:rPr>
                <w:color w:val="000000"/>
                <w:spacing w:val="0"/>
                <w:w w:val="100"/>
                <w:position w:val="0"/>
              </w:rPr>
              <w:t>回情况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计提减值</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准备金额</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是否经过</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法定程序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未来是否</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还有委托</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理财计划</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事项概述</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及相关查</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询索引</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（如有）</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深圳盐田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859"/>
        <w:gridCol w:w="888"/>
        <w:gridCol w:w="840"/>
        <w:gridCol w:w="816"/>
        <w:gridCol w:w="816"/>
        <w:gridCol w:w="816"/>
        <w:gridCol w:w="821"/>
        <w:gridCol w:w="816"/>
        <w:gridCol w:w="816"/>
        <w:gridCol w:w="816"/>
        <w:gridCol w:w="816"/>
        <w:gridCol w:w="821"/>
        <w:gridCol w:w="797"/>
        <w:gridCol w:w="802"/>
        <w:gridCol w:w="797"/>
        <w:gridCol w:w="792"/>
      </w:tblGrid>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工商银行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华夏银行 深圳东门 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华夏银行 深圳东门 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深圳盐田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40"/>
        <w:gridCol w:w="859"/>
        <w:gridCol w:w="888"/>
        <w:gridCol w:w="840"/>
        <w:gridCol w:w="816"/>
        <w:gridCol w:w="816"/>
        <w:gridCol w:w="816"/>
        <w:gridCol w:w="821"/>
        <w:gridCol w:w="816"/>
        <w:gridCol w:w="816"/>
        <w:gridCol w:w="816"/>
        <w:gridCol w:w="816"/>
        <w:gridCol w:w="821"/>
        <w:gridCol w:w="797"/>
        <w:gridCol w:w="802"/>
        <w:gridCol w:w="797"/>
        <w:gridCol w:w="792"/>
      </w:tblGrid>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广州银行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广州银行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深圳分行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40"/>
        <w:gridCol w:w="859"/>
        <w:gridCol w:w="888"/>
        <w:gridCol w:w="840"/>
        <w:gridCol w:w="816"/>
        <w:gridCol w:w="816"/>
        <w:gridCol w:w="816"/>
        <w:gridCol w:w="821"/>
        <w:gridCol w:w="816"/>
        <w:gridCol w:w="816"/>
        <w:gridCol w:w="816"/>
        <w:gridCol w:w="816"/>
        <w:gridCol w:w="821"/>
        <w:gridCol w:w="797"/>
        <w:gridCol w:w="802"/>
        <w:gridCol w:w="797"/>
        <w:gridCol w:w="792"/>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招商银行</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深圳盐田</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236,100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1,752.76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33"/>
      <w:bookmarkEnd w:id="634"/>
      <w:bookmarkEnd w:id="636"/>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4</w:t>
      </w:r>
      <w:bookmarkEnd w:id="639"/>
      <w:r>
        <w:rPr>
          <w:color w:val="000000"/>
          <w:spacing w:val="0"/>
          <w:w w:val="100"/>
          <w:position w:val="0"/>
        </w:rPr>
        <w:t>、其他重大合同</w:t>
      </w:r>
      <w:bookmarkEnd w:id="637"/>
      <w:bookmarkEnd w:id="638"/>
      <w:bookmarkEnd w:id="640"/>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6840" w:h="11900" w:orient="landscape"/>
          <w:pgMar w:top="1104" w:right="1429" w:bottom="1206" w:left="1424" w:header="0" w:footer="3" w:gutter="0"/>
          <w:cols w:space="720"/>
          <w:noEndnote/>
          <w:rtlGutter w:val="0"/>
          <w:docGrid w:linePitch="360"/>
        </w:sectPr>
      </w:pPr>
      <w:r>
        <w:rPr>
          <w:color w:val="000000"/>
          <w:spacing w:val="0"/>
          <w:w w:val="100"/>
          <w:position w:val="0"/>
        </w:rPr>
        <w:t>公司报告期不存在其他重大合同。</w:t>
      </w:r>
    </w:p>
    <w:p>
      <w:pPr>
        <w:pStyle w:val="Style24"/>
        <w:keepNext/>
        <w:keepLines/>
        <w:widowControl w:val="0"/>
        <w:shd w:val="clear" w:color="auto" w:fill="auto"/>
        <w:bidi w:val="0"/>
        <w:spacing w:before="560" w:after="360" w:line="240" w:lineRule="auto"/>
        <w:ind w:left="0" w:right="0" w:firstLine="0"/>
        <w:jc w:val="both"/>
      </w:pPr>
      <w:bookmarkStart w:id="641" w:name="bookmark641"/>
      <w:bookmarkStart w:id="642" w:name="bookmark642"/>
      <w:bookmarkStart w:id="643" w:name="bookmark643"/>
      <w:r>
        <w:rPr>
          <w:color w:val="000000"/>
          <w:spacing w:val="0"/>
          <w:w w:val="100"/>
          <w:position w:val="0"/>
          <w:sz w:val="24"/>
          <w:szCs w:val="24"/>
        </w:rPr>
        <w:t>十六、其他重大事项的说明</w:t>
      </w:r>
      <w:bookmarkEnd w:id="641"/>
      <w:bookmarkEnd w:id="642"/>
      <w:bookmarkEnd w:id="643"/>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220" w:line="313" w:lineRule="exact"/>
        <w:ind w:left="0" w:right="0"/>
        <w:jc w:val="both"/>
      </w:pPr>
      <w:bookmarkStart w:id="644" w:name="bookmark644"/>
      <w:r>
        <w:rPr>
          <w:b/>
          <w:bCs/>
          <w:color w:val="000000"/>
          <w:spacing w:val="0"/>
          <w:w w:val="100"/>
          <w:position w:val="0"/>
        </w:rPr>
        <w:t>（</w:t>
      </w:r>
      <w:bookmarkEnd w:id="644"/>
      <w:r>
        <w:rPr>
          <w:b/>
          <w:bCs/>
          <w:color w:val="000000"/>
          <w:spacing w:val="0"/>
          <w:w w:val="100"/>
          <w:position w:val="0"/>
        </w:rPr>
        <w:t>一）公司申请向特定对象发行股票事项的进展情况</w:t>
      </w:r>
    </w:p>
    <w:p>
      <w:pPr>
        <w:pStyle w:val="Style17"/>
        <w:keepNext w:val="0"/>
        <w:keepLines w:val="0"/>
        <w:widowControl w:val="0"/>
        <w:shd w:val="clear" w:color="auto" w:fill="auto"/>
        <w:tabs>
          <w:tab w:pos="660" w:val="left"/>
        </w:tabs>
        <w:bidi w:val="0"/>
        <w:spacing w:before="0" w:after="0"/>
        <w:ind w:left="0" w:right="0"/>
        <w:jc w:val="both"/>
      </w:pPr>
      <w:bookmarkStart w:id="645" w:name="bookmark645"/>
      <w:r>
        <w:rPr>
          <w:rFonts w:ascii="Times New Roman" w:eastAsia="Times New Roman" w:hAnsi="Times New Roman" w:cs="Times New Roman"/>
          <w:color w:val="000000"/>
          <w:spacing w:val="0"/>
          <w:w w:val="100"/>
          <w:position w:val="0"/>
        </w:rPr>
        <w:t>1</w:t>
      </w:r>
      <w:bookmarkEnd w:id="645"/>
      <w:r>
        <w:rPr>
          <w:color w:val="000000"/>
          <w:spacing w:val="0"/>
          <w:w w:val="100"/>
          <w:position w:val="0"/>
        </w:rPr>
        <w:t>、</w:t>
        <w:tab/>
        <w:t>向特定对象发行股票</w:t>
      </w:r>
    </w:p>
    <w:p>
      <w:pPr>
        <w:pStyle w:val="Style17"/>
        <w:keepNext w:val="0"/>
        <w:keepLines w:val="0"/>
        <w:widowControl w:val="0"/>
        <w:shd w:val="clear" w:color="auto" w:fill="auto"/>
        <w:bidi w:val="0"/>
        <w:spacing w:before="0" w:after="220" w:line="313" w:lineRule="exact"/>
        <w:ind w:left="0" w:right="0"/>
        <w:jc w:val="both"/>
      </w:pPr>
      <w:r>
        <w:rPr>
          <w:color w:val="000000"/>
          <w:spacing w:val="0"/>
          <w:w w:val="100"/>
          <w:position w:val="0"/>
        </w:rPr>
        <w:t>经证监会《关于同意深圳华大基因股份有限公司向特定对象发行股票注册的批复》（证监许可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2020]3580</w:t>
      </w:r>
      <w:r>
        <w:rPr>
          <w:color w:val="000000"/>
          <w:spacing w:val="0"/>
          <w:w w:val="100"/>
          <w:position w:val="0"/>
        </w:rPr>
        <w:t>号）同意，公 司向特定对象发行了人民币普通股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股，本次发行对象为华泰证券股份有限公司、招商证券股份有限公司、 中央企业贫困地区产业投资基金股份有限公司、天津礼仁投资管理合伙企业（有限合伙）</w:t>
      </w:r>
      <w:r>
        <w:rPr>
          <w:rFonts w:ascii="Times New Roman" w:eastAsia="Times New Roman" w:hAnsi="Times New Roman" w:cs="Times New Roman"/>
          <w:color w:val="000000"/>
          <w:spacing w:val="0"/>
          <w:w w:val="100"/>
          <w:position w:val="0"/>
        </w:rPr>
        <w:t>4</w:t>
      </w:r>
      <w:r>
        <w:rPr>
          <w:color w:val="000000"/>
          <w:spacing w:val="0"/>
          <w:w w:val="100"/>
          <w:position w:val="0"/>
        </w:rPr>
        <w:t>家企业，新增股份于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日在深交所上市，限售期为股票上市日起</w:t>
      </w:r>
      <w:r>
        <w:rPr>
          <w:rFonts w:ascii="Times New Roman" w:eastAsia="Times New Roman" w:hAnsi="Times New Roman" w:cs="Times New Roman"/>
          <w:color w:val="000000"/>
          <w:spacing w:val="0"/>
          <w:w w:val="100"/>
          <w:position w:val="0"/>
        </w:rPr>
        <w:t>6</w:t>
      </w:r>
      <w:r>
        <w:rPr>
          <w:color w:val="000000"/>
          <w:spacing w:val="0"/>
          <w:w w:val="100"/>
          <w:position w:val="0"/>
        </w:rPr>
        <w:t>个月。本次募集资金总额为人民币</w:t>
      </w:r>
      <w:r>
        <w:rPr>
          <w:rFonts w:ascii="Times New Roman" w:eastAsia="Times New Roman" w:hAnsi="Times New Roman" w:cs="Times New Roman"/>
          <w:color w:val="000000"/>
          <w:spacing w:val="0"/>
          <w:w w:val="100"/>
          <w:position w:val="0"/>
        </w:rPr>
        <w:t>2,003,077,125</w:t>
      </w:r>
      <w:r>
        <w:rPr>
          <w:color w:val="000000"/>
          <w:spacing w:val="0"/>
          <w:w w:val="100"/>
          <w:position w:val="0"/>
        </w:rPr>
        <w:t xml:space="preserve">元，扣减不含税发行费用人民币 </w:t>
      </w:r>
      <w:r>
        <w:rPr>
          <w:rFonts w:ascii="Times New Roman" w:eastAsia="Times New Roman" w:hAnsi="Times New Roman" w:cs="Times New Roman"/>
          <w:color w:val="000000"/>
          <w:spacing w:val="0"/>
          <w:w w:val="100"/>
          <w:position w:val="0"/>
        </w:rPr>
        <w:t>26,432,391.37</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1,976,644,733.63</w:t>
      </w:r>
      <w:r>
        <w:rPr>
          <w:color w:val="000000"/>
          <w:spacing w:val="0"/>
          <w:w w:val="100"/>
          <w:position w:val="0"/>
        </w:rPr>
        <w:t>元。以上募集资金到账情况已由安永华明会计师事务所（特殊普 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日出具的安永华明（</w:t>
      </w:r>
      <w:r>
        <w:rPr>
          <w:rFonts w:ascii="Times New Roman" w:eastAsia="Times New Roman" w:hAnsi="Times New Roman" w:cs="Times New Roman"/>
          <w:color w:val="000000"/>
          <w:spacing w:val="0"/>
          <w:w w:val="100"/>
          <w:position w:val="0"/>
        </w:rPr>
        <w:t>2021</w:t>
      </w:r>
      <w:r>
        <w:rPr>
          <w:color w:val="000000"/>
          <w:spacing w:val="0"/>
          <w:w w:val="100"/>
          <w:position w:val="0"/>
        </w:rPr>
        <w:t>）验字第</w:t>
      </w:r>
      <w:r>
        <w:rPr>
          <w:rFonts w:ascii="Times New Roman" w:eastAsia="Times New Roman" w:hAnsi="Times New Roman" w:cs="Times New Roman"/>
          <w:color w:val="000000"/>
          <w:spacing w:val="0"/>
          <w:w w:val="100"/>
          <w:position w:val="0"/>
        </w:rPr>
        <w:t>61098952_H0</w:t>
      </w:r>
      <w:r>
        <w:rPr>
          <w:rFonts w:ascii="Times New Roman" w:eastAsia="Times New Roman" w:hAnsi="Times New Roman" w:cs="Times New Roman"/>
          <w:color w:val="000000"/>
          <w:spacing w:val="0"/>
          <w:w w:val="100"/>
          <w:position w:val="0"/>
        </w:rPr>
        <w:t>2</w:t>
      </w:r>
      <w:r>
        <w:rPr>
          <w:color w:val="000000"/>
          <w:spacing w:val="0"/>
          <w:w w:val="100"/>
          <w:position w:val="0"/>
        </w:rPr>
        <w:t>号《验资报告》验证确认。具体内容详见公司分别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日在巨潮资讯网披露的《向特定对象发行股票发行情况报告书》《向特定对象发行股票上市公 告书》。</w:t>
      </w:r>
    </w:p>
    <w:p>
      <w:pPr>
        <w:pStyle w:val="Style17"/>
        <w:keepNext w:val="0"/>
        <w:keepLines w:val="0"/>
        <w:widowControl w:val="0"/>
        <w:shd w:val="clear" w:color="auto" w:fill="auto"/>
        <w:tabs>
          <w:tab w:pos="674" w:val="left"/>
        </w:tabs>
        <w:bidi w:val="0"/>
        <w:spacing w:before="0" w:after="0"/>
        <w:ind w:left="0" w:right="0"/>
        <w:jc w:val="both"/>
      </w:pPr>
      <w:bookmarkStart w:id="646" w:name="bookmark646"/>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签订三方监管协议</w:t>
      </w:r>
    </w:p>
    <w:p>
      <w:pPr>
        <w:pStyle w:val="Style17"/>
        <w:keepNext w:val="0"/>
        <w:keepLines w:val="0"/>
        <w:widowControl w:val="0"/>
        <w:shd w:val="clear" w:color="auto" w:fill="auto"/>
        <w:bidi w:val="0"/>
        <w:spacing w:before="0" w:line="310" w:lineRule="exact"/>
        <w:ind w:left="0" w:right="0"/>
        <w:jc w:val="both"/>
      </w:pPr>
      <w:r>
        <w:rPr>
          <w:color w:val="000000"/>
          <w:spacing w:val="0"/>
          <w:w w:val="100"/>
          <w:position w:val="0"/>
        </w:rPr>
        <w:t>为规范公司募集资金管理、保护广大投资者的权益，根据相关规定及公司第二届董事会第二十七次会议授权，公司已在 招商银行股份有限公司深圳盐田支行设立了募集资金专项账户，对募集资金的存放和使用实行专户管理，并与招商银行股份 有限公司深圳盐田支行及保荐机构中信证券股份有限公司（以下简称中信证券）签署了《募集资金三方监管协议》。具体内 容详见公司分别于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日在巨潮资讯网披露的《第二届董事会第二十七次会议决议公告》（公告编号： </w:t>
      </w:r>
      <w:r>
        <w:rPr>
          <w:rFonts w:ascii="Times New Roman" w:eastAsia="Times New Roman" w:hAnsi="Times New Roman" w:cs="Times New Roman"/>
          <w:color w:val="000000"/>
          <w:spacing w:val="0"/>
          <w:w w:val="100"/>
          <w:position w:val="0"/>
        </w:rPr>
        <w:t>2021-001</w:t>
      </w:r>
      <w:r>
        <w:rPr>
          <w:color w:val="000000"/>
          <w:spacing w:val="0"/>
          <w:w w:val="100"/>
          <w:position w:val="0"/>
        </w:rPr>
        <w:t>）</w:t>
      </w:r>
      <w:r>
        <w:rPr>
          <w:color w:val="000000"/>
          <w:spacing w:val="0"/>
          <w:w w:val="100"/>
          <w:position w:val="0"/>
        </w:rPr>
        <w:t>、《关于签订募集资金三方监管协议的公告》（公告编号：</w:t>
      </w:r>
      <w:r>
        <w:rPr>
          <w:rFonts w:ascii="Times New Roman" w:eastAsia="Times New Roman" w:hAnsi="Times New Roman" w:cs="Times New Roman"/>
          <w:color w:val="000000"/>
          <w:spacing w:val="0"/>
          <w:w w:val="100"/>
          <w:position w:val="0"/>
        </w:rPr>
        <w:t>2021-013</w:t>
      </w:r>
      <w:r>
        <w:rPr>
          <w:color w:val="000000"/>
          <w:spacing w:val="0"/>
          <w:w w:val="100"/>
          <w:position w:val="0"/>
        </w:rPr>
        <w:t>）。</w:t>
      </w:r>
    </w:p>
    <w:p>
      <w:pPr>
        <w:pStyle w:val="Style17"/>
        <w:keepNext w:val="0"/>
        <w:keepLines w:val="0"/>
        <w:widowControl w:val="0"/>
        <w:shd w:val="clear" w:color="auto" w:fill="auto"/>
        <w:tabs>
          <w:tab w:pos="674" w:val="left"/>
        </w:tabs>
        <w:bidi w:val="0"/>
        <w:spacing w:before="0" w:line="313" w:lineRule="exact"/>
        <w:ind w:left="0" w:right="0"/>
        <w:jc w:val="both"/>
      </w:pPr>
      <w:bookmarkStart w:id="647" w:name="bookmark647"/>
      <w:r>
        <w:rPr>
          <w:rFonts w:ascii="Times New Roman" w:eastAsia="Times New Roman" w:hAnsi="Times New Roman" w:cs="Times New Roman"/>
          <w:color w:val="000000"/>
          <w:spacing w:val="0"/>
          <w:w w:val="100"/>
          <w:position w:val="0"/>
        </w:rPr>
        <w:t>3</w:t>
      </w:r>
      <w:bookmarkEnd w:id="647"/>
      <w:r>
        <w:rPr>
          <w:color w:val="000000"/>
          <w:spacing w:val="0"/>
          <w:w w:val="100"/>
          <w:position w:val="0"/>
        </w:rPr>
        <w:t>、</w:t>
        <w:tab/>
        <w:t>使用募集资金向子公司增资及提供借款以实施募投项目</w:t>
      </w:r>
    </w:p>
    <w:p>
      <w:pPr>
        <w:pStyle w:val="Style17"/>
        <w:keepNext w:val="0"/>
        <w:keepLines w:val="0"/>
        <w:widowControl w:val="0"/>
        <w:shd w:val="clear" w:color="auto" w:fill="auto"/>
        <w:bidi w:val="0"/>
        <w:spacing w:before="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日召开的第二届董事会第二十九次会议和第二届监事会第二十七次会议、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年第一次临时股东大会审议通过了《关于使用募集资金向子公司增资及提供借款以实施募投项目的议案》，为保障公司向特 定对象发行股票募投项目的顺利实施，基于募投项目建设的实际需要，同意公司使用募集资金</w:t>
      </w:r>
      <w:r>
        <w:rPr>
          <w:rFonts w:ascii="Times New Roman" w:eastAsia="Times New Roman" w:hAnsi="Times New Roman" w:cs="Times New Roman"/>
          <w:color w:val="000000"/>
          <w:spacing w:val="0"/>
          <w:w w:val="100"/>
          <w:position w:val="0"/>
        </w:rPr>
        <w:t>135,897.35</w:t>
      </w:r>
      <w:r>
        <w:rPr>
          <w:color w:val="000000"/>
          <w:spacing w:val="0"/>
          <w:w w:val="100"/>
          <w:position w:val="0"/>
        </w:rPr>
        <w:t>万元向子公司青岛 青西华大基因有限公司（以下简称青岛青西华大）、上海华大医学检验所有限公司（以下简称上海医检）、天津华大医学检 验所有限公司（以下简称天津医检）、石家庄华大医学检验实验室有限公司（以下简称石家庄华大医检）、武汉华大医学检 验所有限公司（以下简称武汉医检）增资及使用募集资金</w:t>
      </w:r>
      <w:r>
        <w:rPr>
          <w:rFonts w:ascii="Times New Roman" w:eastAsia="Times New Roman" w:hAnsi="Times New Roman" w:cs="Times New Roman"/>
          <w:color w:val="000000"/>
          <w:spacing w:val="0"/>
          <w:w w:val="100"/>
          <w:position w:val="0"/>
        </w:rPr>
        <w:t>5,296.37</w:t>
      </w:r>
      <w:r>
        <w:rPr>
          <w:color w:val="000000"/>
          <w:spacing w:val="0"/>
          <w:w w:val="100"/>
          <w:position w:val="0"/>
        </w:rPr>
        <w:t>万元向子公司深圳华大医学检验实验室（原深圳华大临床 检验中心）提供借款实施募投项目。</w:t>
      </w:r>
    </w:p>
    <w:p>
      <w:pPr>
        <w:pStyle w:val="Style17"/>
        <w:keepNext w:val="0"/>
        <w:keepLines w:val="0"/>
        <w:widowControl w:val="0"/>
        <w:shd w:val="clear" w:color="auto" w:fill="auto"/>
        <w:bidi w:val="0"/>
        <w:spacing w:before="0" w:line="310" w:lineRule="exact"/>
        <w:ind w:left="0" w:right="0"/>
        <w:jc w:val="both"/>
      </w:pPr>
      <w:r>
        <w:rPr>
          <w:color w:val="000000"/>
          <w:spacing w:val="0"/>
          <w:w w:val="100"/>
          <w:position w:val="0"/>
        </w:rPr>
        <w:t>上述董事会和股东大会同时还审议通过了《关于变更公司注册资本及修订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的议案》，同意公司根据本次发行 后总股本和注册资本变更情况，对《公司章程》中的相应条款进行修订。公司于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日完成了注册资本增加的工商 变更登记，并对新的《公司章程》进行了备案，取得了深圳市市场监督管理局出具的《变更（备案）通知书》。具体内容详 见公司在巨潮资讯网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日披露的《关于使用募集资金向子公司增资及提供借款以实施募投项目的公告》（公告编 号：</w:t>
      </w:r>
      <w:r>
        <w:rPr>
          <w:rFonts w:ascii="Times New Roman" w:eastAsia="Times New Roman" w:hAnsi="Times New Roman" w:cs="Times New Roman"/>
          <w:color w:val="000000"/>
          <w:spacing w:val="0"/>
          <w:w w:val="100"/>
          <w:position w:val="0"/>
        </w:rPr>
        <w:t>2021-019</w:t>
      </w:r>
      <w:r>
        <w:rPr>
          <w:color w:val="000000"/>
          <w:spacing w:val="0"/>
          <w:w w:val="100"/>
          <w:position w:val="0"/>
        </w:rPr>
        <w:t>）</w:t>
      </w:r>
      <w:r>
        <w:rPr>
          <w:color w:val="000000"/>
          <w:spacing w:val="0"/>
          <w:w w:val="100"/>
          <w:position w:val="0"/>
        </w:rPr>
        <w:t>、《关于变更公司注册资本及修订</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2021-023</w:t>
      </w:r>
      <w:r>
        <w:rPr>
          <w:color w:val="000000"/>
          <w:spacing w:val="0"/>
          <w:w w:val="100"/>
          <w:position w:val="0"/>
        </w:rPr>
        <w:t>）及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日披露的《关 于完成工商变更登记的公告》（公告编号：</w:t>
      </w:r>
      <w:r>
        <w:rPr>
          <w:rFonts w:ascii="Times New Roman" w:eastAsia="Times New Roman" w:hAnsi="Times New Roman" w:cs="Times New Roman"/>
          <w:color w:val="000000"/>
          <w:spacing w:val="0"/>
          <w:w w:val="100"/>
          <w:position w:val="0"/>
        </w:rPr>
        <w:t>2021-035</w:t>
      </w:r>
      <w:r>
        <w:rPr>
          <w:color w:val="000000"/>
          <w:spacing w:val="0"/>
          <w:w w:val="100"/>
          <w:position w:val="0"/>
        </w:rPr>
        <w:t>）。</w:t>
      </w:r>
    </w:p>
    <w:p>
      <w:pPr>
        <w:pStyle w:val="Style17"/>
        <w:keepNext w:val="0"/>
        <w:keepLines w:val="0"/>
        <w:widowControl w:val="0"/>
        <w:shd w:val="clear" w:color="auto" w:fill="auto"/>
        <w:bidi w:val="0"/>
        <w:spacing w:before="0" w:after="22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日在巨潮资讯网披露了《关于使用募集资金向子公司增资完成情况的公告》（公告编号:</w:t>
      </w:r>
      <w:r>
        <w:rPr>
          <w:rFonts w:ascii="Times New Roman" w:eastAsia="Times New Roman" w:hAnsi="Times New Roman" w:cs="Times New Roman"/>
          <w:color w:val="000000"/>
          <w:spacing w:val="0"/>
          <w:w w:val="100"/>
          <w:position w:val="0"/>
        </w:rPr>
        <w:t>2021-077</w:t>
      </w:r>
      <w:r>
        <w:rPr>
          <w:color w:val="000000"/>
          <w:spacing w:val="0"/>
          <w:w w:val="100"/>
          <w:position w:val="0"/>
        </w:rPr>
        <w:t xml:space="preserve">）， </w:t>
      </w:r>
      <w:r>
        <w:rPr>
          <w:color w:val="000000"/>
          <w:spacing w:val="0"/>
          <w:w w:val="100"/>
          <w:position w:val="0"/>
        </w:rPr>
        <w:t>公司已完成向特定对象发行股票募投项目的增资事项，获增资的子公司青岛青西华大、上海医检、天津医检、石家庄华大医 检、武汉医检已完成增资事项的工商变更登记、《公司章程》的备案手续并取得了换发的《营业执照》。</w:t>
      </w:r>
    </w:p>
    <w:p>
      <w:pPr>
        <w:pStyle w:val="Style17"/>
        <w:keepNext w:val="0"/>
        <w:keepLines w:val="0"/>
        <w:widowControl w:val="0"/>
        <w:shd w:val="clear" w:color="auto" w:fill="auto"/>
        <w:tabs>
          <w:tab w:pos="674" w:val="left"/>
        </w:tabs>
        <w:bidi w:val="0"/>
        <w:spacing w:before="0" w:after="0"/>
        <w:ind w:left="0" w:right="0"/>
        <w:jc w:val="both"/>
      </w:pPr>
      <w:bookmarkStart w:id="648" w:name="bookmark648"/>
      <w:r>
        <w:rPr>
          <w:rFonts w:ascii="Times New Roman" w:eastAsia="Times New Roman" w:hAnsi="Times New Roman" w:cs="Times New Roman"/>
          <w:color w:val="000000"/>
          <w:spacing w:val="0"/>
          <w:w w:val="100"/>
          <w:position w:val="0"/>
        </w:rPr>
        <w:t>4</w:t>
      </w:r>
      <w:bookmarkEnd w:id="648"/>
      <w:r>
        <w:rPr>
          <w:color w:val="000000"/>
          <w:spacing w:val="0"/>
          <w:w w:val="100"/>
          <w:position w:val="0"/>
        </w:rPr>
        <w:t>、</w:t>
        <w:tab/>
        <w:t>签订四方监管协议</w:t>
      </w:r>
    </w:p>
    <w:p>
      <w:pPr>
        <w:pStyle w:val="Style17"/>
        <w:keepNext w:val="0"/>
        <w:keepLines w:val="0"/>
        <w:widowControl w:val="0"/>
        <w:shd w:val="clear" w:color="auto" w:fill="auto"/>
        <w:bidi w:val="0"/>
        <w:spacing w:before="0" w:after="220" w:line="32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日在巨潮资讯网披露了《关于签订募集资金四方监管协议的公告》（公告编号：</w:t>
      </w:r>
      <w:r>
        <w:rPr>
          <w:rFonts w:ascii="Times New Roman" w:eastAsia="Times New Roman" w:hAnsi="Times New Roman" w:cs="Times New Roman"/>
          <w:color w:val="000000"/>
          <w:spacing w:val="0"/>
          <w:w w:val="100"/>
          <w:position w:val="0"/>
        </w:rPr>
        <w:t>2021-036</w:t>
      </w:r>
      <w:r>
        <w:rPr>
          <w:color w:val="000000"/>
          <w:spacing w:val="0"/>
          <w:w w:val="100"/>
          <w:position w:val="0"/>
        </w:rPr>
        <w:t>）</w:t>
      </w:r>
      <w:r>
        <w:rPr>
          <w:color w:val="000000"/>
          <w:spacing w:val="0"/>
          <w:w w:val="100"/>
          <w:position w:val="0"/>
        </w:rPr>
        <w:t xml:space="preserve">，子公司 青岛青西华大、深圳医检、上海医检、石家庄华大医检、武汉医检分别在招商银行股份有限公司深圳盐田支行、上海银行股 </w:t>
      </w:r>
      <w:r>
        <w:rPr>
          <w:color w:val="000000"/>
          <w:spacing w:val="0"/>
          <w:w w:val="100"/>
          <w:position w:val="0"/>
        </w:rPr>
        <w:t>份有限公司深圳分行、中国民生银行股份有限公司深圳分行、上海浦东发展银行股份有限公司深圳分行、中国建设银行股份 有限公司深圳田背支行设立了募集资金专项账户，子公司天津医检在中国邮政储蓄银行股份有限公司深圳华强北支行、中国 银行股份有限公司深圳东部支行设立了募集资金专项账户，对募集资金的存放和使用实行专户管理。公司及上述子公司与中 信证券、开户银行签订了《募集资金四方监管协议》。</w:t>
      </w:r>
    </w:p>
    <w:p>
      <w:pPr>
        <w:pStyle w:val="Style17"/>
        <w:keepNext w:val="0"/>
        <w:keepLines w:val="0"/>
        <w:widowControl w:val="0"/>
        <w:shd w:val="clear" w:color="auto" w:fill="auto"/>
        <w:tabs>
          <w:tab w:pos="664" w:val="left"/>
        </w:tabs>
        <w:bidi w:val="0"/>
        <w:spacing w:before="0" w:after="0"/>
        <w:ind w:left="0" w:right="0"/>
        <w:jc w:val="both"/>
      </w:pPr>
      <w:bookmarkStart w:id="649" w:name="bookmark649"/>
      <w:r>
        <w:rPr>
          <w:rFonts w:ascii="Times New Roman" w:eastAsia="Times New Roman" w:hAnsi="Times New Roman" w:cs="Times New Roman"/>
          <w:color w:val="000000"/>
          <w:spacing w:val="0"/>
          <w:w w:val="100"/>
          <w:position w:val="0"/>
        </w:rPr>
        <w:t>5</w:t>
      </w:r>
      <w:bookmarkEnd w:id="649"/>
      <w:r>
        <w:rPr>
          <w:color w:val="000000"/>
          <w:spacing w:val="0"/>
          <w:w w:val="100"/>
          <w:position w:val="0"/>
        </w:rPr>
        <w:t>、</w:t>
        <w:tab/>
        <w:t>募集资金置换预先已投入募投项目自筹资金</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日召开第二届董事会第三十次会议、第二次监事会第二十八次会议，审议通过了《关于使用募集资 金置换预先已投入募投项目自筹资金的议案》，同意公司使用募集资金置换预先已投入募投项目的自筹资金，置换金额为 </w:t>
      </w:r>
      <w:r>
        <w:rPr>
          <w:rFonts w:ascii="Times New Roman" w:eastAsia="Times New Roman" w:hAnsi="Times New Roman" w:cs="Times New Roman"/>
          <w:color w:val="000000"/>
          <w:spacing w:val="0"/>
          <w:w w:val="100"/>
          <w:position w:val="0"/>
        </w:rPr>
        <w:t>9,826.6</w:t>
      </w:r>
      <w:r>
        <w:rPr>
          <w:rFonts w:ascii="Times New Roman" w:eastAsia="Times New Roman" w:hAnsi="Times New Roman" w:cs="Times New Roman"/>
          <w:color w:val="000000"/>
          <w:spacing w:val="0"/>
          <w:w w:val="100"/>
          <w:position w:val="0"/>
        </w:rPr>
        <w:t>0</w:t>
      </w:r>
      <w:r>
        <w:rPr>
          <w:color w:val="000000"/>
          <w:spacing w:val="0"/>
          <w:w w:val="100"/>
          <w:position w:val="0"/>
        </w:rPr>
        <w:t>万元。具体内容详见公司于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日在巨潮资讯网披露的《关于使用募集资金置换预先已投入募投项目自筹资 金的公告》（公告编号：</w:t>
      </w:r>
      <w:r>
        <w:rPr>
          <w:rFonts w:ascii="Times New Roman" w:eastAsia="Times New Roman" w:hAnsi="Times New Roman" w:cs="Times New Roman"/>
          <w:color w:val="000000"/>
          <w:spacing w:val="0"/>
          <w:w w:val="100"/>
          <w:position w:val="0"/>
        </w:rPr>
        <w:t>2021-048</w:t>
      </w:r>
      <w:r>
        <w:rPr>
          <w:color w:val="000000"/>
          <w:spacing w:val="0"/>
          <w:w w:val="100"/>
          <w:position w:val="0"/>
        </w:rPr>
        <w:t>）。</w:t>
      </w:r>
    </w:p>
    <w:p>
      <w:pPr>
        <w:pStyle w:val="Style17"/>
        <w:keepNext w:val="0"/>
        <w:keepLines w:val="0"/>
        <w:widowControl w:val="0"/>
        <w:shd w:val="clear" w:color="auto" w:fill="auto"/>
        <w:tabs>
          <w:tab w:pos="669" w:val="left"/>
        </w:tabs>
        <w:bidi w:val="0"/>
        <w:spacing w:before="0" w:after="0"/>
        <w:ind w:left="0" w:right="0"/>
        <w:jc w:val="both"/>
      </w:pPr>
      <w:bookmarkStart w:id="650" w:name="bookmark650"/>
      <w:r>
        <w:rPr>
          <w:rFonts w:ascii="Times New Roman" w:eastAsia="Times New Roman" w:hAnsi="Times New Roman" w:cs="Times New Roman"/>
          <w:color w:val="000000"/>
          <w:spacing w:val="0"/>
          <w:w w:val="100"/>
          <w:position w:val="0"/>
        </w:rPr>
        <w:t>6</w:t>
      </w:r>
      <w:bookmarkEnd w:id="650"/>
      <w:r>
        <w:rPr>
          <w:color w:val="000000"/>
          <w:spacing w:val="0"/>
          <w:w w:val="100"/>
          <w:position w:val="0"/>
        </w:rPr>
        <w:t>、</w:t>
        <w:tab/>
        <w:t>注销部分募集资金专户</w:t>
      </w:r>
    </w:p>
    <w:p>
      <w:pPr>
        <w:pStyle w:val="Style17"/>
        <w:keepNext w:val="0"/>
        <w:keepLines w:val="0"/>
        <w:widowControl w:val="0"/>
        <w:shd w:val="clear" w:color="auto" w:fill="auto"/>
        <w:bidi w:val="0"/>
        <w:spacing w:before="0" w:after="220" w:line="31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日在巨潮资讯网披露了《关于注销部分募集资金专户的公告》（公告编号：</w:t>
      </w:r>
      <w:r>
        <w:rPr>
          <w:rFonts w:ascii="Times New Roman" w:eastAsia="Times New Roman" w:hAnsi="Times New Roman" w:cs="Times New Roman"/>
          <w:color w:val="000000"/>
          <w:spacing w:val="0"/>
          <w:w w:val="100"/>
          <w:position w:val="0"/>
        </w:rPr>
        <w:t>2021-062</w:t>
      </w:r>
      <w:r>
        <w:rPr>
          <w:color w:val="000000"/>
          <w:spacing w:val="0"/>
          <w:w w:val="100"/>
          <w:position w:val="0"/>
        </w:rPr>
        <w:t>）</w:t>
      </w:r>
      <w:r>
        <w:rPr>
          <w:color w:val="000000"/>
          <w:spacing w:val="0"/>
          <w:w w:val="100"/>
          <w:position w:val="0"/>
        </w:rPr>
        <w:t>，公司已将存 放于招商银行股份有限公司深圳盐田支行的募集资金专户中（账号：</w:t>
      </w:r>
      <w:r>
        <w:rPr>
          <w:rFonts w:ascii="Times New Roman" w:eastAsia="Times New Roman" w:hAnsi="Times New Roman" w:cs="Times New Roman"/>
          <w:color w:val="000000"/>
          <w:spacing w:val="0"/>
          <w:w w:val="100"/>
          <w:position w:val="0"/>
        </w:rPr>
        <w:t>755917320910666</w:t>
      </w:r>
      <w:r>
        <w:rPr>
          <w:color w:val="000000"/>
          <w:spacing w:val="0"/>
          <w:w w:val="100"/>
          <w:position w:val="0"/>
        </w:rPr>
        <w:t>）的资金分别全部用于对实施募投项 目的子公司增资及借款事项及补充流动资金，专户中的募集资金已全部转出。为方便募集资金专户的管理，公司注销了上述 募集资金专户，注销时专户余额为</w:t>
      </w:r>
      <w:r>
        <w:rPr>
          <w:rFonts w:ascii="Times New Roman" w:eastAsia="Times New Roman" w:hAnsi="Times New Roman" w:cs="Times New Roman"/>
          <w:color w:val="000000"/>
          <w:spacing w:val="0"/>
          <w:w w:val="100"/>
          <w:position w:val="0"/>
        </w:rPr>
        <w:t>0</w:t>
      </w:r>
      <w:r>
        <w:rPr>
          <w:color w:val="000000"/>
          <w:spacing w:val="0"/>
          <w:w w:val="100"/>
          <w:position w:val="0"/>
        </w:rPr>
        <w:t>元。上述募集资金账户注销后，公司与募集资金开户银行招商银行股份有限公司深圳盐 田支行、保荐机构中信证券签署的《募集资金三方监管协议》相应终止。</w:t>
      </w:r>
    </w:p>
    <w:p>
      <w:pPr>
        <w:pStyle w:val="Style17"/>
        <w:keepNext w:val="0"/>
        <w:keepLines w:val="0"/>
        <w:widowControl w:val="0"/>
        <w:shd w:val="clear" w:color="auto" w:fill="auto"/>
        <w:tabs>
          <w:tab w:pos="669" w:val="left"/>
        </w:tabs>
        <w:bidi w:val="0"/>
        <w:spacing w:before="0" w:after="0"/>
        <w:ind w:left="0" w:right="0"/>
        <w:jc w:val="both"/>
      </w:pPr>
      <w:bookmarkStart w:id="651" w:name="bookmark651"/>
      <w:r>
        <w:rPr>
          <w:rFonts w:ascii="Times New Roman" w:eastAsia="Times New Roman" w:hAnsi="Times New Roman" w:cs="Times New Roman"/>
          <w:color w:val="000000"/>
          <w:spacing w:val="0"/>
          <w:w w:val="100"/>
          <w:position w:val="0"/>
        </w:rPr>
        <w:t>7</w:t>
      </w:r>
      <w:bookmarkEnd w:id="651"/>
      <w:r>
        <w:rPr>
          <w:color w:val="000000"/>
          <w:spacing w:val="0"/>
          <w:w w:val="100"/>
          <w:position w:val="0"/>
        </w:rPr>
        <w:t>、</w:t>
        <w:tab/>
        <w:t>向特定对象发行股票限售股份上市流通</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日在巨潮资讯网披露了《关于向特定对象发行股票限售股份上市流通的提示性公告》（公告编号： </w:t>
      </w:r>
      <w:r>
        <w:rPr>
          <w:rFonts w:ascii="Times New Roman" w:eastAsia="Times New Roman" w:hAnsi="Times New Roman" w:cs="Times New Roman"/>
          <w:color w:val="000000"/>
          <w:spacing w:val="0"/>
          <w:w w:val="100"/>
          <w:position w:val="0"/>
        </w:rPr>
        <w:t>2021-103</w:t>
      </w:r>
      <w:r>
        <w:rPr>
          <w:color w:val="000000"/>
          <w:spacing w:val="0"/>
          <w:w w:val="100"/>
          <w:position w:val="0"/>
        </w:rPr>
        <w:t>）</w:t>
      </w:r>
      <w:r>
        <w:rPr>
          <w:color w:val="000000"/>
          <w:spacing w:val="0"/>
          <w:w w:val="100"/>
          <w:position w:val="0"/>
        </w:rPr>
        <w:t>，华泰证券股份有限公司、招商证券股份有限公司、中央企业贫困地区产业投资基金股份有限公司、天津礼仁投 资管理合伙企业（有限合伙）等</w:t>
      </w:r>
      <w:r>
        <w:rPr>
          <w:rFonts w:ascii="Times New Roman" w:eastAsia="Times New Roman" w:hAnsi="Times New Roman" w:cs="Times New Roman"/>
          <w:color w:val="000000"/>
          <w:spacing w:val="0"/>
          <w:w w:val="100"/>
          <w:position w:val="0"/>
        </w:rPr>
        <w:t>4</w:t>
      </w:r>
      <w:r>
        <w:rPr>
          <w:color w:val="000000"/>
          <w:spacing w:val="0"/>
          <w:w w:val="100"/>
          <w:position w:val="0"/>
        </w:rPr>
        <w:t>名股东持有的公司向特定对象发行的</w:t>
      </w:r>
      <w:r>
        <w:rPr>
          <w:rFonts w:ascii="Times New Roman" w:eastAsia="Times New Roman" w:hAnsi="Times New Roman" w:cs="Times New Roman"/>
          <w:color w:val="000000"/>
          <w:spacing w:val="0"/>
          <w:w w:val="100"/>
          <w:position w:val="0"/>
        </w:rPr>
        <w:t>13,814,325</w:t>
      </w:r>
      <w:r>
        <w:rPr>
          <w:color w:val="000000"/>
          <w:spacing w:val="0"/>
          <w:w w:val="100"/>
          <w:position w:val="0"/>
        </w:rPr>
        <w:t>股股票于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日限售期届满，上市流 通日期为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17"/>
        <w:keepNext w:val="0"/>
        <w:keepLines w:val="0"/>
        <w:widowControl w:val="0"/>
        <w:shd w:val="clear" w:color="auto" w:fill="auto"/>
        <w:tabs>
          <w:tab w:pos="669" w:val="left"/>
        </w:tabs>
        <w:bidi w:val="0"/>
        <w:spacing w:before="0" w:after="0"/>
        <w:ind w:left="0" w:right="0"/>
        <w:jc w:val="both"/>
      </w:pPr>
      <w:bookmarkStart w:id="652" w:name="bookmark652"/>
      <w:r>
        <w:rPr>
          <w:rFonts w:ascii="Times New Roman" w:eastAsia="Times New Roman" w:hAnsi="Times New Roman" w:cs="Times New Roman"/>
          <w:color w:val="000000"/>
          <w:spacing w:val="0"/>
          <w:w w:val="100"/>
          <w:position w:val="0"/>
        </w:rPr>
        <w:t>8</w:t>
      </w:r>
      <w:bookmarkEnd w:id="652"/>
      <w:r>
        <w:rPr>
          <w:color w:val="000000"/>
          <w:spacing w:val="0"/>
          <w:w w:val="100"/>
          <w:position w:val="0"/>
        </w:rPr>
        <w:t>、</w:t>
        <w:tab/>
        <w:t>部分募集资金投资项目延期</w:t>
      </w:r>
    </w:p>
    <w:p>
      <w:pPr>
        <w:pStyle w:val="Style17"/>
        <w:keepNext w:val="0"/>
        <w:keepLines w:val="0"/>
        <w:widowControl w:val="0"/>
        <w:shd w:val="clear" w:color="auto" w:fill="auto"/>
        <w:bidi w:val="0"/>
        <w:spacing w:before="0" w:after="40" w:line="308"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青岛华大基因检测试剂生产及基因检测服务项目</w:t>
      </w:r>
      <w:r>
        <w:rPr>
          <w:rFonts w:ascii="Times New Roman" w:eastAsia="Times New Roman" w:hAnsi="Times New Roman" w:cs="Times New Roman"/>
          <w:color w:val="000000"/>
          <w:spacing w:val="0"/>
          <w:w w:val="100"/>
          <w:position w:val="0"/>
        </w:rPr>
        <w:t>”</w:t>
      </w:r>
      <w:r>
        <w:rPr>
          <w:color w:val="000000"/>
          <w:spacing w:val="0"/>
          <w:w w:val="100"/>
          <w:position w:val="0"/>
        </w:rPr>
        <w:t>因所在地块涉及调整相关规划建设指标，项目实施主体青岛青西华大 基因有限公司与相关政府部门多次沟通和协商修订土地出让合同相关条款；以及受新冠疫情的影响项目整体进度放缓。公司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日召开第三届董事会第三次会议、第三届监事会第三次会议，分别审议通过了《关于部分募集资金投资项目 延期的议案》，同意将项目达到预计可使用状态日期由</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日延期至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日在巨潮资讯网披露的《关于部分募集资金投资项目延期的公告》（公告编号：</w:t>
      </w:r>
      <w:r>
        <w:rPr>
          <w:rFonts w:ascii="Times New Roman" w:eastAsia="Times New Roman" w:hAnsi="Times New Roman" w:cs="Times New Roman"/>
          <w:color w:val="000000"/>
          <w:spacing w:val="0"/>
          <w:w w:val="100"/>
          <w:position w:val="0"/>
        </w:rPr>
        <w:t>2021-123</w:t>
      </w:r>
      <w:r>
        <w:rPr>
          <w:color w:val="000000"/>
          <w:spacing w:val="0"/>
          <w:w w:val="100"/>
          <w:position w:val="0"/>
        </w:rPr>
        <w:t>）。</w:t>
      </w:r>
    </w:p>
    <w:p>
      <w:pPr>
        <w:pStyle w:val="Style17"/>
        <w:keepNext w:val="0"/>
        <w:keepLines w:val="0"/>
        <w:widowControl w:val="0"/>
        <w:shd w:val="clear" w:color="auto" w:fill="auto"/>
        <w:bidi w:val="0"/>
        <w:spacing w:before="0" w:after="40" w:line="310"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上海医学检验解决方案平台建设项目</w:t>
      </w:r>
      <w:r>
        <w:rPr>
          <w:rFonts w:ascii="Times New Roman" w:eastAsia="Times New Roman" w:hAnsi="Times New Roman" w:cs="Times New Roman"/>
          <w:color w:val="000000"/>
          <w:spacing w:val="0"/>
          <w:w w:val="100"/>
          <w:position w:val="0"/>
        </w:rPr>
        <w:t>”</w:t>
      </w:r>
      <w:r>
        <w:rPr>
          <w:color w:val="000000"/>
          <w:spacing w:val="0"/>
          <w:w w:val="100"/>
          <w:position w:val="0"/>
        </w:rPr>
        <w:t>根据市场需求变化和业务发展的需要，公司拟采用更高通量的测序仪开展业务以 缩短交付周期、降低成本，原建设场地承重不符合更高通量设备安装要求，经场地评估需变更该募投项目实施地点，因此该 募投项目整体建设进度相应延后。公司于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日召开第三届董事会第七次会议、第三届监事会第七次会议，分别审 议通过了《关于部分募集资金投资项目变更实施地点及延期的议案》，同意将项目实施地点由上海市浦东新区康新公路</w:t>
      </w:r>
      <w:r>
        <w:rPr>
          <w:rFonts w:ascii="Times New Roman" w:eastAsia="Times New Roman" w:hAnsi="Times New Roman" w:cs="Times New Roman"/>
          <w:color w:val="000000"/>
          <w:spacing w:val="0"/>
          <w:w w:val="100"/>
          <w:position w:val="0"/>
        </w:rPr>
        <w:t xml:space="preserve">3399 </w:t>
      </w:r>
      <w:r>
        <w:rPr>
          <w:color w:val="000000"/>
          <w:spacing w:val="0"/>
          <w:w w:val="100"/>
          <w:position w:val="0"/>
        </w:rPr>
        <w:t>弄</w:t>
      </w:r>
      <w:r>
        <w:rPr>
          <w:rFonts w:ascii="Times New Roman" w:eastAsia="Times New Roman" w:hAnsi="Times New Roman" w:cs="Times New Roman"/>
          <w:color w:val="000000"/>
          <w:spacing w:val="0"/>
          <w:w w:val="100"/>
          <w:position w:val="0"/>
        </w:rPr>
        <w:t>26</w:t>
      </w:r>
      <w:r>
        <w:rPr>
          <w:color w:val="000000"/>
          <w:spacing w:val="0"/>
          <w:w w:val="100"/>
          <w:position w:val="0"/>
        </w:rPr>
        <w:t>号楼变更为上海市浦东新区半夏路</w:t>
      </w:r>
      <w:r>
        <w:rPr>
          <w:rFonts w:ascii="Times New Roman" w:eastAsia="Times New Roman" w:hAnsi="Times New Roman" w:cs="Times New Roman"/>
          <w:color w:val="000000"/>
          <w:spacing w:val="0"/>
          <w:w w:val="100"/>
          <w:position w:val="0"/>
        </w:rPr>
        <w:t>208</w:t>
      </w:r>
      <w:r>
        <w:rPr>
          <w:color w:val="000000"/>
          <w:spacing w:val="0"/>
          <w:w w:val="100"/>
          <w:position w:val="0"/>
        </w:rPr>
        <w:t>号及青黛路</w:t>
      </w:r>
      <w:r>
        <w:rPr>
          <w:rFonts w:ascii="Times New Roman" w:eastAsia="Times New Roman" w:hAnsi="Times New Roman" w:cs="Times New Roman"/>
          <w:color w:val="000000"/>
          <w:spacing w:val="0"/>
          <w:w w:val="100"/>
          <w:position w:val="0"/>
        </w:rPr>
        <w:t>588</w:t>
      </w:r>
      <w:r>
        <w:rPr>
          <w:color w:val="000000"/>
          <w:spacing w:val="0"/>
          <w:w w:val="100"/>
          <w:position w:val="0"/>
        </w:rPr>
        <w:t>号研发大楼，项目达到预计可使用状态日期由</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日延期 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日在巨潮资讯网披露的《关于部分募集资金投资项目变更实施地点及 延期的公告》。</w:t>
      </w:r>
    </w:p>
    <w:p>
      <w:pPr>
        <w:pStyle w:val="Style17"/>
        <w:keepNext w:val="0"/>
        <w:keepLines w:val="0"/>
        <w:widowControl w:val="0"/>
        <w:shd w:val="clear" w:color="auto" w:fill="auto"/>
        <w:bidi w:val="0"/>
        <w:spacing w:before="0" w:after="140" w:line="313"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生物样本库建设项目</w:t>
      </w:r>
      <w:r>
        <w:rPr>
          <w:rFonts w:ascii="Times New Roman" w:eastAsia="Times New Roman" w:hAnsi="Times New Roman" w:cs="Times New Roman"/>
          <w:color w:val="000000"/>
          <w:spacing w:val="0"/>
          <w:w w:val="100"/>
          <w:position w:val="0"/>
        </w:rPr>
        <w:t>”</w:t>
      </w:r>
      <w:r>
        <w:rPr>
          <w:color w:val="000000"/>
          <w:spacing w:val="0"/>
          <w:w w:val="100"/>
          <w:position w:val="0"/>
        </w:rPr>
        <w:t>由于新冠疫情影响，项目建设施工进展以及部分定制化设备的制造、安装及调试周期延长，导致 该募投项目整体进度放缓。公司于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日召开第三届董事会第七次会议、第三届监事会第七次会议，分别审议通过 了《关于部分募集资金投资项目变更实施地点及延期的议案》，同意将项目达到预计可使用状态日期由</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日延期 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日在巨潮资讯网披露的《关于部分募集资金投资项目变更实施地点及延 期的公告》。</w:t>
      </w:r>
    </w:p>
    <w:p>
      <w:pPr>
        <w:pStyle w:val="Style17"/>
        <w:keepNext w:val="0"/>
        <w:keepLines w:val="0"/>
        <w:widowControl w:val="0"/>
        <w:shd w:val="clear" w:color="auto" w:fill="auto"/>
        <w:bidi w:val="0"/>
        <w:spacing w:before="0" w:after="80" w:line="312" w:lineRule="exact"/>
        <w:ind w:left="0" w:right="0"/>
        <w:jc w:val="both"/>
      </w:pPr>
      <w:bookmarkStart w:id="653" w:name="bookmark653"/>
      <w:r>
        <w:rPr>
          <w:b/>
          <w:bCs/>
          <w:color w:val="000000"/>
          <w:spacing w:val="0"/>
          <w:w w:val="100"/>
          <w:position w:val="0"/>
        </w:rPr>
        <w:t>（</w:t>
      </w:r>
      <w:bookmarkEnd w:id="653"/>
      <w:r>
        <w:rPr>
          <w:b/>
          <w:bCs/>
          <w:color w:val="000000"/>
          <w:spacing w:val="0"/>
          <w:w w:val="100"/>
          <w:position w:val="0"/>
        </w:rPr>
        <w:t>二）关于报告期内处于存续期的公司债情况的说明</w:t>
      </w:r>
    </w:p>
    <w:p>
      <w:pPr>
        <w:pStyle w:val="Style17"/>
        <w:keepNext w:val="0"/>
        <w:keepLines w:val="0"/>
        <w:widowControl w:val="0"/>
        <w:shd w:val="clear" w:color="auto" w:fill="auto"/>
        <w:bidi w:val="0"/>
        <w:spacing w:before="0" w:line="317" w:lineRule="exact"/>
        <w:ind w:left="0" w:right="0"/>
        <w:jc w:val="both"/>
      </w:pPr>
      <w:r>
        <w:rPr>
          <w:color w:val="000000"/>
          <w:spacing w:val="0"/>
          <w:w w:val="100"/>
          <w:position w:val="0"/>
        </w:rPr>
        <w:t>报告期内，公司处于存续期的公司债为</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年面向合格投资者公开发行公司债券（第一期），发行规模为</w:t>
      </w:r>
      <w:r>
        <w:rPr>
          <w:rFonts w:ascii="Times New Roman" w:eastAsia="Times New Roman" w:hAnsi="Times New Roman" w:cs="Times New Roman"/>
          <w:color w:val="000000"/>
          <w:spacing w:val="0"/>
          <w:w w:val="100"/>
          <w:position w:val="0"/>
        </w:rPr>
        <w:t>5</w:t>
      </w:r>
      <w:r>
        <w:rPr>
          <w:color w:val="000000"/>
          <w:spacing w:val="0"/>
          <w:w w:val="100"/>
          <w:position w:val="0"/>
        </w:rPr>
        <w:t>亿元，本期 债券分为两个品种，品种一规模为</w:t>
      </w:r>
      <w:r>
        <w:rPr>
          <w:rFonts w:ascii="Times New Roman" w:eastAsia="Times New Roman" w:hAnsi="Times New Roman" w:cs="Times New Roman"/>
          <w:color w:val="000000"/>
          <w:spacing w:val="0"/>
          <w:w w:val="100"/>
          <w:position w:val="0"/>
        </w:rPr>
        <w:t>3</w:t>
      </w:r>
      <w:r>
        <w:rPr>
          <w:color w:val="000000"/>
          <w:spacing w:val="0"/>
          <w:w w:val="100"/>
          <w:position w:val="0"/>
        </w:rPr>
        <w:t>亿元（简称为</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，债券代码为</w:t>
      </w:r>
      <w:r>
        <w:rPr>
          <w:rFonts w:ascii="Times New Roman" w:eastAsia="Times New Roman" w:hAnsi="Times New Roman" w:cs="Times New Roman"/>
          <w:color w:val="000000"/>
          <w:spacing w:val="0"/>
          <w:w w:val="100"/>
          <w:position w:val="0"/>
        </w:rPr>
        <w:t>149105</w:t>
      </w:r>
      <w:r>
        <w:rPr>
          <w:color w:val="000000"/>
          <w:spacing w:val="0"/>
          <w:w w:val="100"/>
          <w:position w:val="0"/>
        </w:rPr>
        <w:t>），票面利率为</w:t>
      </w:r>
      <w:r>
        <w:rPr>
          <w:rFonts w:ascii="Times New Roman" w:eastAsia="Times New Roman" w:hAnsi="Times New Roman" w:cs="Times New Roman"/>
          <w:color w:val="000000"/>
          <w:spacing w:val="0"/>
          <w:w w:val="100"/>
          <w:position w:val="0"/>
        </w:rPr>
        <w:t>3.50%</w:t>
      </w:r>
      <w:r>
        <w:rPr>
          <w:color w:val="000000"/>
          <w:spacing w:val="0"/>
          <w:w w:val="100"/>
          <w:position w:val="0"/>
        </w:rPr>
        <w:t xml:space="preserve">，由深圳市高新投融资 </w:t>
      </w:r>
      <w:r>
        <w:rPr>
          <w:color w:val="000000"/>
          <w:spacing w:val="0"/>
          <w:w w:val="100"/>
          <w:position w:val="0"/>
        </w:rPr>
        <w:t>担保有限公司（以下简称深圳高新投）为品种一的按期还本付息提供连带责任保证担保；品种二规模为</w:t>
      </w:r>
      <w:r>
        <w:rPr>
          <w:rFonts w:ascii="Times New Roman" w:eastAsia="Times New Roman" w:hAnsi="Times New Roman" w:cs="Times New Roman"/>
          <w:color w:val="000000"/>
          <w:spacing w:val="0"/>
          <w:w w:val="100"/>
          <w:position w:val="0"/>
        </w:rPr>
        <w:t>2</w:t>
      </w:r>
      <w:r>
        <w:rPr>
          <w:color w:val="000000"/>
          <w:spacing w:val="0"/>
          <w:w w:val="100"/>
          <w:position w:val="0"/>
        </w:rPr>
        <w:t>亿元（简称为</w:t>
      </w:r>
      <w:r>
        <w:rPr>
          <w:rFonts w:ascii="Times New Roman" w:eastAsia="Times New Roman" w:hAnsi="Times New Roman" w:cs="Times New Roman"/>
          <w:color w:val="000000"/>
          <w:spacing w:val="0"/>
          <w:w w:val="100"/>
          <w:position w:val="0"/>
        </w:rPr>
        <w:t>20</w:t>
      </w:r>
      <w:r>
        <w:rPr>
          <w:color w:val="000000"/>
          <w:spacing w:val="0"/>
          <w:w w:val="100"/>
          <w:position w:val="0"/>
        </w:rPr>
        <w:t>华 大</w:t>
      </w:r>
      <w:r>
        <w:rPr>
          <w:rFonts w:ascii="Times New Roman" w:eastAsia="Times New Roman" w:hAnsi="Times New Roman" w:cs="Times New Roman"/>
          <w:color w:val="000000"/>
          <w:spacing w:val="0"/>
          <w:w w:val="100"/>
          <w:position w:val="0"/>
        </w:rPr>
        <w:t>02</w:t>
      </w:r>
      <w:r>
        <w:rPr>
          <w:color w:val="000000"/>
          <w:spacing w:val="0"/>
          <w:w w:val="100"/>
          <w:position w:val="0"/>
        </w:rPr>
        <w:t>，债券代码为</w:t>
      </w:r>
      <w:r>
        <w:rPr>
          <w:rFonts w:ascii="Times New Roman" w:eastAsia="Times New Roman" w:hAnsi="Times New Roman" w:cs="Times New Roman"/>
          <w:color w:val="000000"/>
          <w:spacing w:val="0"/>
          <w:w w:val="100"/>
          <w:position w:val="0"/>
        </w:rPr>
        <w:t>149106</w:t>
      </w:r>
      <w:r>
        <w:rPr>
          <w:color w:val="000000"/>
          <w:spacing w:val="0"/>
          <w:w w:val="100"/>
          <w:position w:val="0"/>
        </w:rPr>
        <w:t>），票面利率为</w:t>
      </w:r>
      <w:r>
        <w:rPr>
          <w:rFonts w:ascii="Times New Roman" w:eastAsia="Times New Roman" w:hAnsi="Times New Roman" w:cs="Times New Roman"/>
          <w:color w:val="000000"/>
          <w:spacing w:val="0"/>
          <w:w w:val="100"/>
          <w:position w:val="0"/>
        </w:rPr>
        <w:t>3.50%</w:t>
      </w:r>
      <w:r>
        <w:rPr>
          <w:color w:val="000000"/>
          <w:spacing w:val="0"/>
          <w:w w:val="100"/>
          <w:position w:val="0"/>
        </w:rPr>
        <w:t>，由深圳担保集团有限公司（以下简称深圳担保）为品种二的按期还本付息 提供连带责任保证担保。本期债券品种一和品种二期限均为</w:t>
      </w:r>
      <w:r>
        <w:rPr>
          <w:rFonts w:ascii="Times New Roman" w:eastAsia="Times New Roman" w:hAnsi="Times New Roman" w:cs="Times New Roman"/>
          <w:color w:val="000000"/>
          <w:spacing w:val="0"/>
          <w:w w:val="100"/>
          <w:position w:val="0"/>
        </w:rPr>
        <w:t>3</w:t>
      </w:r>
      <w:r>
        <w:rPr>
          <w:color w:val="000000"/>
          <w:spacing w:val="0"/>
          <w:w w:val="100"/>
          <w:position w:val="0"/>
        </w:rPr>
        <w:t>年，均附加第</w:t>
      </w:r>
      <w:r>
        <w:rPr>
          <w:rFonts w:ascii="Times New Roman" w:eastAsia="Times New Roman" w:hAnsi="Times New Roman" w:cs="Times New Roman"/>
          <w:color w:val="000000"/>
          <w:spacing w:val="0"/>
          <w:w w:val="100"/>
          <w:position w:val="0"/>
        </w:rPr>
        <w:t>2</w:t>
      </w:r>
      <w:r>
        <w:rPr>
          <w:color w:val="000000"/>
          <w:spacing w:val="0"/>
          <w:w w:val="100"/>
          <w:position w:val="0"/>
        </w:rPr>
        <w:t>年末发行人调整票面利率选择权、赎回选择权和 投资者回售选择权。经联合信用评级有限公司（以下简称联合评级）综合评定，发行人主体信用等级为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本期债券信用 等级为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具体内容详见公司分别于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日发布在巨潮资讯网的《</w:t>
      </w:r>
      <w:r>
        <w:rPr>
          <w:rFonts w:ascii="Times New Roman" w:eastAsia="Times New Roman" w:hAnsi="Times New Roman" w:cs="Times New Roman"/>
          <w:color w:val="000000"/>
          <w:spacing w:val="0"/>
          <w:w w:val="100"/>
          <w:position w:val="0"/>
        </w:rPr>
        <w:t>2020</w:t>
      </w:r>
      <w:r>
        <w:rPr>
          <w:color w:val="000000"/>
          <w:spacing w:val="0"/>
          <w:w w:val="100"/>
          <w:position w:val="0"/>
        </w:rPr>
        <w:t>年面向 合格投资者公开发行公司债券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rFonts w:ascii="Times New Roman" w:eastAsia="Times New Roman" w:hAnsi="Times New Roman" w:cs="Times New Roman"/>
          <w:color w:val="000000"/>
          <w:spacing w:val="0"/>
          <w:w w:val="100"/>
          <w:position w:val="0"/>
        </w:rPr>
        <w:t>）</w:t>
      </w:r>
      <w:r>
        <w:rPr>
          <w:color w:val="000000"/>
          <w:spacing w:val="0"/>
          <w:w w:val="100"/>
          <w:position w:val="0"/>
        </w:rPr>
        <w:t>发行公告》《</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年面向合格投资者公开发行公司债券（第一期）发行结果公告》《</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年面向合格投资者公开发行公司债券（第一期）在深圳证券交易所上市的公告》。</w:t>
      </w:r>
    </w:p>
    <w:p>
      <w:pPr>
        <w:pStyle w:val="Style17"/>
        <w:keepNext w:val="0"/>
        <w:keepLines w:val="0"/>
        <w:widowControl w:val="0"/>
        <w:shd w:val="clear" w:color="auto" w:fill="auto"/>
        <w:bidi w:val="0"/>
        <w:spacing w:before="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日在巨潮资讯网发布《</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w:t>
      </w:r>
      <w:r>
        <w:rPr>
          <w:rFonts w:ascii="Times New Roman" w:eastAsia="Times New Roman" w:hAnsi="Times New Roman" w:cs="Times New Roman"/>
          <w:color w:val="000000"/>
          <w:spacing w:val="0"/>
          <w:w w:val="100"/>
          <w:position w:val="0"/>
        </w:rPr>
        <w:t>2021</w:t>
      </w:r>
      <w:r>
        <w:rPr>
          <w:color w:val="000000"/>
          <w:spacing w:val="0"/>
          <w:w w:val="100"/>
          <w:position w:val="0"/>
        </w:rPr>
        <w:t>年付息公告》（公 告编号:</w:t>
      </w:r>
      <w:r>
        <w:rPr>
          <w:rFonts w:ascii="Times New Roman" w:eastAsia="Times New Roman" w:hAnsi="Times New Roman" w:cs="Times New Roman"/>
          <w:color w:val="000000"/>
          <w:spacing w:val="0"/>
          <w:w w:val="100"/>
          <w:position w:val="0"/>
        </w:rPr>
        <w:t>2021-040</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年面向合格投资者公开发行公司债券（第一期）已于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日支付自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日期间的利息，本期债券品种一</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和品种二</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的票面利率为</w:t>
      </w:r>
      <w:r>
        <w:rPr>
          <w:rFonts w:ascii="Times New Roman" w:eastAsia="Times New Roman" w:hAnsi="Times New Roman" w:cs="Times New Roman"/>
          <w:color w:val="000000"/>
          <w:spacing w:val="0"/>
          <w:w w:val="100"/>
          <w:position w:val="0"/>
        </w:rPr>
        <w:t>3.50%</w:t>
      </w: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张债券（面值为人民 币</w:t>
      </w:r>
      <w:r>
        <w:rPr>
          <w:rFonts w:ascii="Times New Roman" w:eastAsia="Times New Roman" w:hAnsi="Times New Roman" w:cs="Times New Roman"/>
          <w:color w:val="000000"/>
          <w:spacing w:val="0"/>
          <w:w w:val="100"/>
          <w:position w:val="0"/>
        </w:rPr>
        <w:t>1,000</w:t>
      </w:r>
      <w:r>
        <w:rPr>
          <w:color w:val="000000"/>
          <w:spacing w:val="0"/>
          <w:w w:val="100"/>
          <w:position w:val="0"/>
        </w:rPr>
        <w:t>元）派发利息为人民币</w:t>
      </w:r>
      <w:r>
        <w:rPr>
          <w:rFonts w:ascii="Times New Roman" w:eastAsia="Times New Roman" w:hAnsi="Times New Roman" w:cs="Times New Roman"/>
          <w:color w:val="000000"/>
          <w:spacing w:val="0"/>
          <w:w w:val="100"/>
          <w:position w:val="0"/>
        </w:rPr>
        <w:t>35.00</w:t>
      </w:r>
      <w:r>
        <w:rPr>
          <w:color w:val="000000"/>
          <w:spacing w:val="0"/>
          <w:w w:val="100"/>
          <w:position w:val="0"/>
        </w:rPr>
        <w:t>元（含税）。报告期内，公司已完成本期债券品种一和品种二的利息支付，共计</w:t>
      </w:r>
      <w:r>
        <w:rPr>
          <w:rFonts w:ascii="Times New Roman" w:eastAsia="Times New Roman" w:hAnsi="Times New Roman" w:cs="Times New Roman"/>
          <w:color w:val="000000"/>
          <w:spacing w:val="0"/>
          <w:w w:val="100"/>
          <w:position w:val="0"/>
        </w:rPr>
        <w:t>1,750</w:t>
      </w:r>
      <w:r>
        <w:rPr>
          <w:color w:val="000000"/>
          <w:spacing w:val="0"/>
          <w:w w:val="100"/>
          <w:position w:val="0"/>
        </w:rPr>
        <w:t>万 元人民币。</w:t>
      </w:r>
    </w:p>
    <w:p>
      <w:pPr>
        <w:pStyle w:val="Style17"/>
        <w:keepNext w:val="0"/>
        <w:keepLines w:val="0"/>
        <w:widowControl w:val="0"/>
        <w:shd w:val="clear" w:color="auto" w:fill="auto"/>
        <w:bidi w:val="0"/>
        <w:spacing w:before="0" w:line="311" w:lineRule="exact"/>
        <w:ind w:left="0" w:right="0"/>
        <w:jc w:val="both"/>
      </w:pPr>
      <w:r>
        <w:rPr>
          <w:color w:val="000000"/>
          <w:spacing w:val="0"/>
          <w:w w:val="100"/>
          <w:position w:val="0"/>
        </w:rPr>
        <w:t>根据公司实际情况及当前的市场环境，公司决定对品种一、品种二债券行使发行人赎回选择权，对赎回登记日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日登记在册的债券全部赎回，赎回价格为人民币</w:t>
      </w:r>
      <w:r>
        <w:rPr>
          <w:rFonts w:ascii="Times New Roman" w:eastAsia="Times New Roman" w:hAnsi="Times New Roman" w:cs="Times New Roman"/>
          <w:color w:val="000000"/>
          <w:spacing w:val="0"/>
          <w:w w:val="100"/>
          <w:position w:val="0"/>
        </w:rPr>
        <w:t>103.50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张，赎回金额为人民币</w:t>
      </w:r>
      <w:r>
        <w:rPr>
          <w:rFonts w:ascii="Times New Roman" w:eastAsia="Times New Roman" w:hAnsi="Times New Roman" w:cs="Times New Roman"/>
          <w:color w:val="000000"/>
          <w:spacing w:val="0"/>
          <w:w w:val="100"/>
          <w:position w:val="0"/>
        </w:rPr>
        <w:t>5</w:t>
      </w:r>
      <w:r>
        <w:rPr>
          <w:color w:val="000000"/>
          <w:spacing w:val="0"/>
          <w:w w:val="100"/>
          <w:position w:val="0"/>
        </w:rPr>
        <w:t>亿元。赎回登记日次一交易日起品种 一、品种二债券将停止交易；本期债券赎回完成后品种一、品种二将在深圳证券交易所摘牌。具体内容详见公司在巨潮资讯 网于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日发布的《关于行使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发行人赎回选择权的第一次提示性公告》（公告编号：</w:t>
      </w:r>
      <w:r>
        <w:rPr>
          <w:rFonts w:ascii="Times New Roman" w:eastAsia="Times New Roman" w:hAnsi="Times New Roman" w:cs="Times New Roman"/>
          <w:color w:val="000000"/>
          <w:spacing w:val="0"/>
          <w:w w:val="100"/>
          <w:position w:val="0"/>
        </w:rPr>
        <w:t>2022-030</w:t>
      </w:r>
      <w:r>
        <w:rPr>
          <w:color w:val="000000"/>
          <w:spacing w:val="0"/>
          <w:w w:val="100"/>
          <w:position w:val="0"/>
        </w:rPr>
        <w:t>）、《关于 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发行人赎回选择权的第一次提示性公告》（公告编号：</w:t>
      </w:r>
      <w:r>
        <w:rPr>
          <w:rFonts w:ascii="Times New Roman" w:eastAsia="Times New Roman" w:hAnsi="Times New Roman" w:cs="Times New Roman"/>
          <w:color w:val="000000"/>
          <w:spacing w:val="0"/>
          <w:w w:val="100"/>
          <w:position w:val="0"/>
        </w:rPr>
        <w:t>2022-031</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日发布的《关于行使</w:t>
      </w:r>
      <w:r>
        <w:rPr>
          <w:rFonts w:ascii="Times New Roman" w:eastAsia="Times New Roman" w:hAnsi="Times New Roman" w:cs="Times New Roman"/>
          <w:color w:val="000000"/>
          <w:spacing w:val="0"/>
          <w:w w:val="100"/>
          <w:position w:val="0"/>
        </w:rPr>
        <w:t xml:space="preserve">“20 </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发行人赎回选择权的第二次提示性公告》（公告编号：</w:t>
      </w:r>
      <w:r>
        <w:rPr>
          <w:rFonts w:ascii="Times New Roman" w:eastAsia="Times New Roman" w:hAnsi="Times New Roman" w:cs="Times New Roman"/>
          <w:color w:val="000000"/>
          <w:spacing w:val="0"/>
          <w:w w:val="100"/>
          <w:position w:val="0"/>
        </w:rPr>
        <w:t>2022-032</w:t>
      </w:r>
      <w:r>
        <w:rPr>
          <w:color w:val="000000"/>
          <w:spacing w:val="0"/>
          <w:w w:val="100"/>
          <w:position w:val="0"/>
        </w:rPr>
        <w:t>）</w:t>
      </w:r>
      <w:r>
        <w:rPr>
          <w:color w:val="000000"/>
          <w:spacing w:val="0"/>
          <w:w w:val="100"/>
          <w:position w:val="0"/>
        </w:rPr>
        <w:t>、《关于行使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发行人赎回选择权的第二 次提示性公告》（公告编号：</w:t>
      </w:r>
      <w:r>
        <w:rPr>
          <w:rFonts w:ascii="Times New Roman" w:eastAsia="Times New Roman" w:hAnsi="Times New Roman" w:cs="Times New Roman"/>
          <w:color w:val="000000"/>
          <w:spacing w:val="0"/>
          <w:w w:val="100"/>
          <w:position w:val="0"/>
        </w:rPr>
        <w:t>2022-033</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日发布的《关于行使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发行人赎回选择权的第三次提示性 公告》（公告编号：</w:t>
      </w:r>
      <w:r>
        <w:rPr>
          <w:rFonts w:ascii="Times New Roman" w:eastAsia="Times New Roman" w:hAnsi="Times New Roman" w:cs="Times New Roman"/>
          <w:color w:val="000000"/>
          <w:spacing w:val="0"/>
          <w:w w:val="100"/>
          <w:position w:val="0"/>
        </w:rPr>
        <w:t>2022-035</w:t>
      </w:r>
      <w:r>
        <w:rPr>
          <w:color w:val="000000"/>
          <w:spacing w:val="0"/>
          <w:w w:val="100"/>
          <w:position w:val="0"/>
        </w:rPr>
        <w:t>）</w:t>
      </w:r>
      <w:r>
        <w:rPr>
          <w:color w:val="000000"/>
          <w:spacing w:val="0"/>
          <w:w w:val="100"/>
          <w:position w:val="0"/>
        </w:rPr>
        <w:t>、《关于行使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发行人赎回选择权的第三次提示性公告》（公告编号：</w:t>
      </w:r>
      <w:r>
        <w:rPr>
          <w:rFonts w:ascii="Times New Roman" w:eastAsia="Times New Roman" w:hAnsi="Times New Roman" w:cs="Times New Roman"/>
          <w:color w:val="000000"/>
          <w:spacing w:val="0"/>
          <w:w w:val="100"/>
          <w:position w:val="0"/>
        </w:rPr>
        <w:t>2022-036</w:t>
      </w:r>
      <w:r>
        <w:rPr>
          <w:color w:val="000000"/>
          <w:spacing w:val="0"/>
          <w:w w:val="100"/>
          <w:position w:val="0"/>
        </w:rPr>
        <w:t>）。</w:t>
      </w:r>
    </w:p>
    <w:p>
      <w:pPr>
        <w:pStyle w:val="Style17"/>
        <w:keepNext w:val="0"/>
        <w:keepLines w:val="0"/>
        <w:widowControl w:val="0"/>
        <w:shd w:val="clear" w:color="auto" w:fill="auto"/>
        <w:bidi w:val="0"/>
        <w:spacing w:before="0" w:line="313" w:lineRule="exact"/>
        <w:ind w:left="0" w:right="0"/>
        <w:jc w:val="both"/>
      </w:pPr>
      <w:bookmarkStart w:id="654" w:name="bookmark654"/>
      <w:r>
        <w:rPr>
          <w:b/>
          <w:bCs/>
          <w:color w:val="000000"/>
          <w:spacing w:val="0"/>
          <w:w w:val="100"/>
          <w:position w:val="0"/>
        </w:rPr>
        <w:t>（</w:t>
      </w:r>
      <w:bookmarkEnd w:id="654"/>
      <w:r>
        <w:rPr>
          <w:b/>
          <w:bCs/>
          <w:color w:val="000000"/>
          <w:spacing w:val="0"/>
          <w:w w:val="100"/>
          <w:position w:val="0"/>
        </w:rPr>
        <w:t>三）控股股东及其一致行动人股权质押情况的说明</w:t>
      </w:r>
    </w:p>
    <w:p>
      <w:pPr>
        <w:pStyle w:val="Style17"/>
        <w:keepNext w:val="0"/>
        <w:keepLines w:val="0"/>
        <w:widowControl w:val="0"/>
        <w:shd w:val="clear" w:color="auto" w:fill="auto"/>
        <w:bidi w:val="0"/>
        <w:spacing w:before="0" w:line="311"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日，深圳华大基因科技有限公司（以下简称华大控股）将其分别质押给中国建设银行股份有限公司深圳市分 行、中国民生银行股份有限公司深圳分行的上市公司股份</w:t>
      </w:r>
      <w:r>
        <w:rPr>
          <w:rFonts w:ascii="Times New Roman" w:eastAsia="Times New Roman" w:hAnsi="Times New Roman" w:cs="Times New Roman"/>
          <w:color w:val="000000"/>
          <w:spacing w:val="0"/>
          <w:w w:val="100"/>
          <w:position w:val="0"/>
        </w:rPr>
        <w:t>26,200,000</w:t>
      </w:r>
      <w:r>
        <w:rPr>
          <w:color w:val="000000"/>
          <w:spacing w:val="0"/>
          <w:w w:val="100"/>
          <w:position w:val="0"/>
        </w:rPr>
        <w:t>股、</w:t>
      </w:r>
      <w:r>
        <w:rPr>
          <w:rFonts w:ascii="Times New Roman" w:eastAsia="Times New Roman" w:hAnsi="Times New Roman" w:cs="Times New Roman"/>
          <w:color w:val="000000"/>
          <w:spacing w:val="0"/>
          <w:w w:val="100"/>
          <w:position w:val="0"/>
        </w:rPr>
        <w:t>3,000,000</w:t>
      </w:r>
      <w:r>
        <w:rPr>
          <w:color w:val="000000"/>
          <w:spacing w:val="0"/>
          <w:w w:val="100"/>
          <w:position w:val="0"/>
        </w:rPr>
        <w:t>股办理了解除质押，同时将其持有的上市 公司股份</w:t>
      </w:r>
      <w:r>
        <w:rPr>
          <w:rFonts w:ascii="Times New Roman" w:eastAsia="Times New Roman" w:hAnsi="Times New Roman" w:cs="Times New Roman"/>
          <w:color w:val="000000"/>
          <w:spacing w:val="0"/>
          <w:w w:val="100"/>
          <w:position w:val="0"/>
        </w:rPr>
        <w:t>3,400,000</w:t>
      </w:r>
      <w:r>
        <w:rPr>
          <w:color w:val="000000"/>
          <w:spacing w:val="0"/>
          <w:w w:val="100"/>
          <w:position w:val="0"/>
        </w:rPr>
        <w:t>股、</w:t>
      </w:r>
      <w:r>
        <w:rPr>
          <w:rFonts w:ascii="Times New Roman" w:eastAsia="Times New Roman" w:hAnsi="Times New Roman" w:cs="Times New Roman"/>
          <w:color w:val="000000"/>
          <w:spacing w:val="0"/>
          <w:w w:val="100"/>
          <w:position w:val="0"/>
        </w:rPr>
        <w:t>3,000,000</w:t>
      </w:r>
      <w:r>
        <w:rPr>
          <w:color w:val="000000"/>
          <w:spacing w:val="0"/>
          <w:w w:val="100"/>
          <w:position w:val="0"/>
        </w:rPr>
        <w:t>股分别再质押给华夏银行股份有限公司深圳东门支行、中国民生银行股份有限公司深圳分行。 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日发布在巨潮资讯网的《关于控股股东部分股份解除质押及再质押的公告》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080</w:t>
      </w:r>
      <w:r>
        <w:rPr>
          <w:color w:val="000000"/>
          <w:spacing w:val="0"/>
          <w:w w:val="100"/>
          <w:position w:val="0"/>
        </w:rPr>
        <w:t>）。</w:t>
      </w:r>
    </w:p>
    <w:p>
      <w:pPr>
        <w:pStyle w:val="Style17"/>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日，华大控股将其质押给中国银行股份有限公司深圳东部支行的上市公司股份</w:t>
      </w:r>
      <w:r>
        <w:rPr>
          <w:rFonts w:ascii="Times New Roman" w:eastAsia="Times New Roman" w:hAnsi="Times New Roman" w:cs="Times New Roman"/>
          <w:color w:val="000000"/>
          <w:spacing w:val="0"/>
          <w:w w:val="100"/>
          <w:position w:val="0"/>
        </w:rPr>
        <w:t>1,330,000</w:t>
      </w:r>
      <w:r>
        <w:rPr>
          <w:color w:val="000000"/>
          <w:spacing w:val="0"/>
          <w:w w:val="100"/>
          <w:position w:val="0"/>
        </w:rPr>
        <w:t>股办理了解除质 押，同时将其持有的上市公司股份</w:t>
      </w:r>
      <w:r>
        <w:rPr>
          <w:rFonts w:ascii="Times New Roman" w:eastAsia="Times New Roman" w:hAnsi="Times New Roman" w:cs="Times New Roman"/>
          <w:color w:val="000000"/>
          <w:spacing w:val="0"/>
          <w:w w:val="100"/>
          <w:position w:val="0"/>
        </w:rPr>
        <w:t>7,000,000</w:t>
      </w:r>
      <w:r>
        <w:rPr>
          <w:color w:val="000000"/>
          <w:spacing w:val="0"/>
          <w:w w:val="100"/>
          <w:position w:val="0"/>
        </w:rPr>
        <w:t>股、</w:t>
      </w:r>
      <w:r>
        <w:rPr>
          <w:rFonts w:ascii="Times New Roman" w:eastAsia="Times New Roman" w:hAnsi="Times New Roman" w:cs="Times New Roman"/>
          <w:color w:val="000000"/>
          <w:spacing w:val="0"/>
          <w:w w:val="100"/>
          <w:position w:val="0"/>
        </w:rPr>
        <w:t>5,000,000</w:t>
      </w:r>
      <w:r>
        <w:rPr>
          <w:color w:val="000000"/>
          <w:spacing w:val="0"/>
          <w:w w:val="100"/>
          <w:position w:val="0"/>
        </w:rPr>
        <w:t>股、</w:t>
      </w:r>
      <w:r>
        <w:rPr>
          <w:rFonts w:ascii="Times New Roman" w:eastAsia="Times New Roman" w:hAnsi="Times New Roman" w:cs="Times New Roman"/>
          <w:color w:val="000000"/>
          <w:spacing w:val="0"/>
          <w:w w:val="100"/>
          <w:position w:val="0"/>
        </w:rPr>
        <w:t>3,000,000</w:t>
      </w:r>
      <w:r>
        <w:rPr>
          <w:color w:val="000000"/>
          <w:spacing w:val="0"/>
          <w:w w:val="100"/>
          <w:position w:val="0"/>
        </w:rPr>
        <w:t>股分别再质押给上海浦东发展银行股份有限公司深圳 分行、中国银行股份有限公司深圳东部支行、广州银行股份有限公司深圳分行。具体内容详见公司于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日发布在 巨潮资讯网的《关于控股股东部分股份解除质押及再质押的公告》（公告编号：</w:t>
      </w:r>
      <w:r>
        <w:rPr>
          <w:rFonts w:ascii="Times New Roman" w:eastAsia="Times New Roman" w:hAnsi="Times New Roman" w:cs="Times New Roman"/>
          <w:color w:val="000000"/>
          <w:spacing w:val="0"/>
          <w:w w:val="100"/>
          <w:position w:val="0"/>
        </w:rPr>
        <w:t>2021-135</w:t>
      </w:r>
      <w:r>
        <w:rPr>
          <w:color w:val="000000"/>
          <w:spacing w:val="0"/>
          <w:w w:val="100"/>
          <w:position w:val="0"/>
        </w:rPr>
        <w:t>）。</w:t>
      </w:r>
    </w:p>
    <w:p>
      <w:pPr>
        <w:pStyle w:val="Style17"/>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日，华大控股将其质押给中国建设银行股份有限公司深圳市分行的上市公司股份</w:t>
      </w:r>
      <w:r>
        <w:rPr>
          <w:rFonts w:ascii="Times New Roman" w:eastAsia="Times New Roman" w:hAnsi="Times New Roman" w:cs="Times New Roman"/>
          <w:color w:val="000000"/>
          <w:spacing w:val="0"/>
          <w:w w:val="100"/>
          <w:position w:val="0"/>
        </w:rPr>
        <w:t>30,630,000</w:t>
      </w:r>
      <w:r>
        <w:rPr>
          <w:color w:val="000000"/>
          <w:spacing w:val="0"/>
          <w:w w:val="100"/>
          <w:position w:val="0"/>
        </w:rPr>
        <w:t>股办理了解除 质押，同时将其持有的上市公司股份</w:t>
      </w:r>
      <w:r>
        <w:rPr>
          <w:rFonts w:ascii="Times New Roman" w:eastAsia="Times New Roman" w:hAnsi="Times New Roman" w:cs="Times New Roman"/>
          <w:color w:val="000000"/>
          <w:spacing w:val="0"/>
          <w:w w:val="100"/>
          <w:position w:val="0"/>
        </w:rPr>
        <w:t>20,000,000</w:t>
      </w:r>
      <w:r>
        <w:rPr>
          <w:color w:val="000000"/>
          <w:spacing w:val="0"/>
          <w:w w:val="100"/>
          <w:position w:val="0"/>
        </w:rPr>
        <w:t>股再质押给中国建设银行股份有限公司深圳市分行。具体内容详见公司于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日发布在巨潮资讯网的《关于控股股东部分股份解除质押及再质押的公告》（公告编号：</w:t>
      </w:r>
      <w:r>
        <w:rPr>
          <w:rFonts w:ascii="Times New Roman" w:eastAsia="Times New Roman" w:hAnsi="Times New Roman" w:cs="Times New Roman"/>
          <w:color w:val="000000"/>
          <w:spacing w:val="0"/>
          <w:w w:val="100"/>
          <w:position w:val="0"/>
        </w:rPr>
        <w:t>2022-003</w:t>
      </w:r>
      <w:r>
        <w:rPr>
          <w:color w:val="000000"/>
          <w:spacing w:val="0"/>
          <w:w w:val="100"/>
          <w:position w:val="0"/>
        </w:rPr>
        <w:t>）。</w:t>
      </w:r>
    </w:p>
    <w:p>
      <w:pPr>
        <w:pStyle w:val="Style17"/>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日，华大控股将其持有的上市公司股份</w:t>
      </w:r>
      <w:r>
        <w:rPr>
          <w:rFonts w:ascii="Times New Roman" w:eastAsia="Times New Roman" w:hAnsi="Times New Roman" w:cs="Times New Roman"/>
          <w:color w:val="000000"/>
          <w:spacing w:val="0"/>
          <w:w w:val="100"/>
          <w:position w:val="0"/>
        </w:rPr>
        <w:t>11,860,000</w:t>
      </w:r>
      <w:r>
        <w:rPr>
          <w:color w:val="000000"/>
          <w:spacing w:val="0"/>
          <w:w w:val="100"/>
          <w:position w:val="0"/>
        </w:rPr>
        <w:t>股质押给招商银行股份有限公司深圳分行，具体内容详见 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日发布在巨潮资讯网的《关于控股股东部分股份质押的公告》（公告编号：</w:t>
      </w:r>
      <w:r>
        <w:rPr>
          <w:rFonts w:ascii="Times New Roman" w:eastAsia="Times New Roman" w:hAnsi="Times New Roman" w:cs="Times New Roman"/>
          <w:color w:val="000000"/>
          <w:spacing w:val="0"/>
          <w:w w:val="100"/>
          <w:position w:val="0"/>
        </w:rPr>
        <w:t>2022-026</w:t>
      </w:r>
      <w:r>
        <w:rPr>
          <w:color w:val="000000"/>
          <w:spacing w:val="0"/>
          <w:w w:val="100"/>
          <w:position w:val="0"/>
        </w:rPr>
        <w:t>）。</w:t>
      </w:r>
    </w:p>
    <w:p>
      <w:pPr>
        <w:pStyle w:val="Style17"/>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日，华大控股将其持有的上市公司股份</w:t>
      </w:r>
      <w:r>
        <w:rPr>
          <w:rFonts w:ascii="Times New Roman" w:eastAsia="Times New Roman" w:hAnsi="Times New Roman" w:cs="Times New Roman"/>
          <w:color w:val="000000"/>
          <w:spacing w:val="0"/>
          <w:w w:val="100"/>
          <w:position w:val="0"/>
        </w:rPr>
        <w:t>3,000,000</w:t>
      </w:r>
      <w:r>
        <w:rPr>
          <w:color w:val="000000"/>
          <w:spacing w:val="0"/>
          <w:w w:val="100"/>
          <w:position w:val="0"/>
        </w:rPr>
        <w:t>质押给兴业银行股份有限公司深圳分行，具体内容详见公 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日发布在巨潮资讯网的《关于控股股东部分股份质押的公告》（公告编号：</w:t>
      </w:r>
      <w:r>
        <w:rPr>
          <w:rFonts w:ascii="Times New Roman" w:eastAsia="Times New Roman" w:hAnsi="Times New Roman" w:cs="Times New Roman"/>
          <w:color w:val="000000"/>
          <w:spacing w:val="0"/>
          <w:w w:val="100"/>
          <w:position w:val="0"/>
        </w:rPr>
        <w:t>2022-034</w:t>
      </w:r>
      <w:r>
        <w:rPr>
          <w:color w:val="000000"/>
          <w:spacing w:val="0"/>
          <w:w w:val="100"/>
          <w:position w:val="0"/>
        </w:rPr>
        <w:t>）。</w:t>
      </w:r>
    </w:p>
    <w:p>
      <w:pPr>
        <w:pStyle w:val="Style17"/>
        <w:keepNext w:val="0"/>
        <w:keepLines w:val="0"/>
        <w:widowControl w:val="0"/>
        <w:shd w:val="clear" w:color="auto" w:fill="auto"/>
        <w:bidi w:val="0"/>
        <w:spacing w:before="0" w:after="22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日，公司控股股东华大控股及其一致行动人深圳华大三生园科技有限公司、汪建先生持有公司股份数 量为</w:t>
      </w:r>
      <w:r>
        <w:rPr>
          <w:rFonts w:ascii="Times New Roman" w:eastAsia="Times New Roman" w:hAnsi="Times New Roman" w:cs="Times New Roman"/>
          <w:color w:val="000000"/>
          <w:spacing w:val="0"/>
          <w:w w:val="100"/>
          <w:position w:val="0"/>
        </w:rPr>
        <w:t>155,247,517</w:t>
      </w:r>
      <w:r>
        <w:rPr>
          <w:color w:val="000000"/>
          <w:spacing w:val="0"/>
          <w:w w:val="100"/>
          <w:position w:val="0"/>
        </w:rPr>
        <w:t>股，占公司当时总股本的</w:t>
      </w:r>
      <w:r>
        <w:rPr>
          <w:rFonts w:ascii="Times New Roman" w:eastAsia="Times New Roman" w:hAnsi="Times New Roman" w:cs="Times New Roman"/>
          <w:color w:val="000000"/>
          <w:spacing w:val="0"/>
          <w:w w:val="100"/>
          <w:position w:val="0"/>
        </w:rPr>
        <w:t xml:space="preserve">37.51% </w:t>
      </w:r>
      <w:r>
        <w:rPr>
          <w:color w:val="000000"/>
          <w:spacing w:val="0"/>
          <w:w w:val="100"/>
          <w:position w:val="0"/>
        </w:rPr>
        <w:t>；其持有公司股份累计被质押</w:t>
      </w:r>
      <w:r>
        <w:rPr>
          <w:rFonts w:ascii="Times New Roman" w:eastAsia="Times New Roman" w:hAnsi="Times New Roman" w:cs="Times New Roman"/>
          <w:color w:val="000000"/>
          <w:spacing w:val="0"/>
          <w:w w:val="100"/>
          <w:position w:val="0"/>
        </w:rPr>
        <w:t>84,887,600</w:t>
      </w:r>
      <w:r>
        <w:rPr>
          <w:color w:val="000000"/>
          <w:spacing w:val="0"/>
          <w:w w:val="100"/>
          <w:position w:val="0"/>
        </w:rPr>
        <w:t xml:space="preserve">股，占其持有公司股份数的 </w:t>
      </w:r>
      <w:r>
        <w:rPr>
          <w:rFonts w:ascii="Times New Roman" w:eastAsia="Times New Roman" w:hAnsi="Times New Roman" w:cs="Times New Roman"/>
          <w:color w:val="000000"/>
          <w:spacing w:val="0"/>
          <w:w w:val="100"/>
          <w:position w:val="0"/>
        </w:rPr>
        <w:t>54.68%</w:t>
      </w:r>
      <w:r>
        <w:rPr>
          <w:color w:val="000000"/>
          <w:spacing w:val="0"/>
          <w:w w:val="100"/>
          <w:position w:val="0"/>
        </w:rPr>
        <w:t>，占公司当时总股本的</w:t>
      </w:r>
      <w:r>
        <w:rPr>
          <w:rFonts w:ascii="Times New Roman" w:eastAsia="Times New Roman" w:hAnsi="Times New Roman" w:cs="Times New Roman"/>
          <w:color w:val="000000"/>
          <w:spacing w:val="0"/>
          <w:w w:val="100"/>
          <w:position w:val="0"/>
        </w:rPr>
        <w:t>20.51%</w:t>
      </w:r>
      <w:r>
        <w:rPr>
          <w:color w:val="000000"/>
          <w:spacing w:val="0"/>
          <w:w w:val="100"/>
          <w:position w:val="0"/>
        </w:rPr>
        <w:t>。</w:t>
      </w:r>
    </w:p>
    <w:p>
      <w:pPr>
        <w:pStyle w:val="Style17"/>
        <w:keepNext w:val="0"/>
        <w:keepLines w:val="0"/>
        <w:widowControl w:val="0"/>
        <w:shd w:val="clear" w:color="auto" w:fill="auto"/>
        <w:bidi w:val="0"/>
        <w:spacing w:before="0" w:line="240" w:lineRule="auto"/>
        <w:ind w:left="0" w:right="0"/>
        <w:jc w:val="both"/>
      </w:pPr>
      <w:bookmarkStart w:id="655" w:name="bookmark655"/>
      <w:r>
        <w:rPr>
          <w:b/>
          <w:bCs/>
          <w:color w:val="000000"/>
          <w:spacing w:val="0"/>
          <w:w w:val="100"/>
          <w:position w:val="0"/>
        </w:rPr>
        <w:t>（</w:t>
      </w:r>
      <w:bookmarkEnd w:id="655"/>
      <w:r>
        <w:rPr>
          <w:b/>
          <w:bCs/>
          <w:color w:val="000000"/>
          <w:spacing w:val="0"/>
          <w:w w:val="100"/>
          <w:position w:val="0"/>
        </w:rPr>
        <w:t>四）股东减持公司股份的情况说明</w:t>
      </w:r>
    </w:p>
    <w:p>
      <w:pPr>
        <w:pStyle w:val="Style17"/>
        <w:keepNext w:val="0"/>
        <w:keepLines w:val="0"/>
        <w:widowControl w:val="0"/>
        <w:shd w:val="clear" w:color="auto" w:fill="auto"/>
        <w:tabs>
          <w:tab w:pos="654" w:val="left"/>
        </w:tabs>
        <w:bidi w:val="0"/>
        <w:spacing w:before="0" w:after="120" w:line="312" w:lineRule="exact"/>
        <w:ind w:left="0" w:right="0"/>
        <w:jc w:val="both"/>
      </w:pPr>
      <w:bookmarkStart w:id="656" w:name="bookmark656"/>
      <w:r>
        <w:rPr>
          <w:rFonts w:ascii="Times New Roman" w:eastAsia="Times New Roman" w:hAnsi="Times New Roman" w:cs="Times New Roman"/>
          <w:color w:val="000000"/>
          <w:spacing w:val="0"/>
          <w:w w:val="100"/>
          <w:position w:val="0"/>
        </w:rPr>
        <w:t>1</w:t>
      </w:r>
      <w:bookmarkEnd w:id="656"/>
      <w:r>
        <w:rPr>
          <w:color w:val="000000"/>
          <w:spacing w:val="0"/>
          <w:w w:val="100"/>
          <w:position w:val="0"/>
        </w:rPr>
        <w:t>、</w:t>
        <w:tab/>
        <w:t>持股</w:t>
      </w:r>
      <w:r>
        <w:rPr>
          <w:rFonts w:ascii="Times New Roman" w:eastAsia="Times New Roman" w:hAnsi="Times New Roman" w:cs="Times New Roman"/>
          <w:color w:val="000000"/>
          <w:spacing w:val="0"/>
          <w:w w:val="100"/>
          <w:position w:val="0"/>
        </w:rPr>
        <w:t>5%</w:t>
      </w:r>
      <w:r>
        <w:rPr>
          <w:color w:val="000000"/>
          <w:spacing w:val="0"/>
          <w:w w:val="100"/>
          <w:position w:val="0"/>
        </w:rPr>
        <w:t>以上股东华大投资减持公司股份的情况</w:t>
      </w:r>
    </w:p>
    <w:p>
      <w:pPr>
        <w:pStyle w:val="Style17"/>
        <w:keepNext w:val="0"/>
        <w:keepLines w:val="0"/>
        <w:widowControl w:val="0"/>
        <w:shd w:val="clear" w:color="auto" w:fill="auto"/>
        <w:bidi w:val="0"/>
        <w:spacing w:before="0" w:after="120" w:line="311" w:lineRule="exact"/>
        <w:ind w:left="0" w:right="0"/>
        <w:jc w:val="both"/>
      </w:pPr>
      <w:r>
        <w:rPr>
          <w:color w:val="000000"/>
          <w:spacing w:val="0"/>
          <w:w w:val="100"/>
          <w:position w:val="0"/>
        </w:rPr>
        <w:t>鉴于深圳前海华大基因投资企业（有限合伙）（以下简称华大投资）于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日通过深圳证券 交易所交易系统集中竞价和大宗交易方式累计减持公司股份</w:t>
      </w:r>
      <w:r>
        <w:rPr>
          <w:rFonts w:ascii="Times New Roman" w:eastAsia="Times New Roman" w:hAnsi="Times New Roman" w:cs="Times New Roman"/>
          <w:color w:val="000000"/>
          <w:spacing w:val="0"/>
          <w:w w:val="100"/>
          <w:position w:val="0"/>
        </w:rPr>
        <w:t>3,313,600</w:t>
      </w:r>
      <w:r>
        <w:rPr>
          <w:color w:val="000000"/>
          <w:spacing w:val="0"/>
          <w:w w:val="100"/>
          <w:position w:val="0"/>
        </w:rPr>
        <w:t>股，且公司后续完成向特定对象发行股票</w:t>
      </w:r>
      <w:r>
        <w:rPr>
          <w:rFonts w:ascii="Times New Roman" w:eastAsia="Times New Roman" w:hAnsi="Times New Roman" w:cs="Times New Roman"/>
          <w:color w:val="000000"/>
          <w:spacing w:val="0"/>
          <w:w w:val="100"/>
          <w:position w:val="0"/>
        </w:rPr>
        <w:t>13,814,325</w:t>
      </w:r>
      <w:r>
        <w:rPr>
          <w:color w:val="000000"/>
          <w:spacing w:val="0"/>
          <w:w w:val="100"/>
          <w:position w:val="0"/>
        </w:rPr>
        <w:t>股， 公司总股本由</w:t>
      </w:r>
      <w:r>
        <w:rPr>
          <w:rFonts w:ascii="Times New Roman" w:eastAsia="Times New Roman" w:hAnsi="Times New Roman" w:cs="Times New Roman"/>
          <w:color w:val="000000"/>
          <w:spacing w:val="0"/>
          <w:w w:val="100"/>
          <w:position w:val="0"/>
        </w:rPr>
        <w:t>400,100,000</w:t>
      </w:r>
      <w:r>
        <w:rPr>
          <w:color w:val="000000"/>
          <w:spacing w:val="0"/>
          <w:w w:val="100"/>
          <w:position w:val="0"/>
        </w:rPr>
        <w:t>股增加至</w:t>
      </w:r>
      <w:r>
        <w:rPr>
          <w:rFonts w:ascii="Times New Roman" w:eastAsia="Times New Roman" w:hAnsi="Times New Roman" w:cs="Times New Roman"/>
          <w:color w:val="000000"/>
          <w:spacing w:val="0"/>
          <w:w w:val="100"/>
          <w:position w:val="0"/>
        </w:rPr>
        <w:t>413,914,325</w:t>
      </w:r>
      <w:r>
        <w:rPr>
          <w:color w:val="000000"/>
          <w:spacing w:val="0"/>
          <w:w w:val="100"/>
          <w:position w:val="0"/>
        </w:rPr>
        <w:t>股。华大投资自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日期间的股份减持及公司向特 定对象发行股票被动稀释导致其持股变动比例已达到</w:t>
      </w:r>
      <w:r>
        <w:rPr>
          <w:rFonts w:ascii="Times New Roman" w:eastAsia="Times New Roman" w:hAnsi="Times New Roman" w:cs="Times New Roman"/>
          <w:color w:val="000000"/>
          <w:spacing w:val="0"/>
          <w:w w:val="100"/>
          <w:position w:val="0"/>
        </w:rPr>
        <w:t>1.1570%</w:t>
      </w:r>
      <w:r>
        <w:rPr>
          <w:color w:val="000000"/>
          <w:spacing w:val="0"/>
          <w:w w:val="100"/>
          <w:position w:val="0"/>
        </w:rPr>
        <w:t>。具体内容详见公司在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日于巨潮资讯网披露的《关 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以上股东减持及被动稀释股份比例达到</w:t>
      </w:r>
      <w:r>
        <w:rPr>
          <w:rFonts w:ascii="Times New Roman" w:eastAsia="Times New Roman" w:hAnsi="Times New Roman" w:cs="Times New Roman"/>
          <w:color w:val="000000"/>
          <w:spacing w:val="0"/>
          <w:w w:val="100"/>
          <w:position w:val="0"/>
        </w:rPr>
        <w:t>1%</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2021-011</w:t>
      </w:r>
      <w:r>
        <w:rPr>
          <w:color w:val="000000"/>
          <w:spacing w:val="0"/>
          <w:w w:val="100"/>
          <w:position w:val="0"/>
        </w:rPr>
        <w:t>）。</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日在巨潮资讯网披露了《关于持股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以上股东减持股份计划的预披露公告》（公告编号：</w:t>
      </w:r>
      <w:r>
        <w:rPr>
          <w:rFonts w:ascii="Times New Roman" w:eastAsia="Times New Roman" w:hAnsi="Times New Roman" w:cs="Times New Roman"/>
          <w:color w:val="000000"/>
          <w:spacing w:val="0"/>
          <w:w w:val="100"/>
          <w:position w:val="0"/>
        </w:rPr>
        <w:t>2021-026</w:t>
      </w:r>
      <w:r>
        <w:rPr>
          <w:color w:val="000000"/>
          <w:spacing w:val="0"/>
          <w:w w:val="100"/>
          <w:position w:val="0"/>
        </w:rPr>
        <w:t xml:space="preserve">）， </w:t>
      </w:r>
      <w:r>
        <w:rPr>
          <w:color w:val="000000"/>
          <w:spacing w:val="0"/>
          <w:w w:val="100"/>
          <w:position w:val="0"/>
        </w:rPr>
        <w:t>华大投资计划以大宗交易或集中竞价方式减持公司股份合计不超过</w:t>
      </w:r>
      <w:r>
        <w:rPr>
          <w:rFonts w:ascii="Times New Roman" w:eastAsia="Times New Roman" w:hAnsi="Times New Roman" w:cs="Times New Roman"/>
          <w:color w:val="000000"/>
          <w:spacing w:val="0"/>
          <w:w w:val="100"/>
          <w:position w:val="0"/>
        </w:rPr>
        <w:t>8,278,286</w:t>
      </w:r>
      <w:r>
        <w:rPr>
          <w:color w:val="000000"/>
          <w:spacing w:val="0"/>
          <w:w w:val="100"/>
          <w:position w:val="0"/>
        </w:rPr>
        <w:t>股（即合计不超过剔除回购专用账户股份</w:t>
      </w:r>
      <w:r>
        <w:rPr>
          <w:rFonts w:ascii="Times New Roman" w:eastAsia="Times New Roman" w:hAnsi="Times New Roman" w:cs="Times New Roman"/>
          <w:color w:val="000000"/>
          <w:spacing w:val="0"/>
          <w:w w:val="100"/>
          <w:position w:val="0"/>
        </w:rPr>
        <w:t>42</w:t>
      </w:r>
      <w:r>
        <w:rPr>
          <w:color w:val="000000"/>
          <w:spacing w:val="0"/>
          <w:w w:val="100"/>
          <w:position w:val="0"/>
        </w:rPr>
        <w:t>股 后总股本</w:t>
      </w:r>
      <w:r>
        <w:rPr>
          <w:rFonts w:ascii="Times New Roman" w:eastAsia="Times New Roman" w:hAnsi="Times New Roman" w:cs="Times New Roman"/>
          <w:color w:val="000000"/>
          <w:spacing w:val="0"/>
          <w:w w:val="100"/>
          <w:position w:val="0"/>
        </w:rPr>
        <w:t>413,914,283</w:t>
      </w:r>
      <w:r>
        <w:rPr>
          <w:color w:val="000000"/>
          <w:spacing w:val="0"/>
          <w:w w:val="100"/>
          <w:position w:val="0"/>
        </w:rPr>
        <w:t>股的</w:t>
      </w:r>
      <w:r>
        <w:rPr>
          <w:rFonts w:ascii="Times New Roman" w:eastAsia="Times New Roman" w:hAnsi="Times New Roman" w:cs="Times New Roman"/>
          <w:color w:val="000000"/>
          <w:spacing w:val="0"/>
          <w:w w:val="100"/>
          <w:position w:val="0"/>
        </w:rPr>
        <w:t>2%</w:t>
      </w:r>
      <w:r>
        <w:rPr>
          <w:color w:val="000000"/>
          <w:spacing w:val="0"/>
          <w:w w:val="100"/>
          <w:position w:val="0"/>
        </w:rPr>
        <w:t>，总股本指代下同）。截至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日，华大投资于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日披露的减持计划期限届 满，上述减持计划期间，华大投资通过深圳证券交易所交易系统集中竞价和大宗交易方式累计减持公司股份</w:t>
      </w:r>
      <w:r>
        <w:rPr>
          <w:rFonts w:ascii="Times New Roman" w:eastAsia="Times New Roman" w:hAnsi="Times New Roman" w:cs="Times New Roman"/>
          <w:color w:val="000000"/>
          <w:spacing w:val="0"/>
          <w:w w:val="100"/>
          <w:position w:val="0"/>
        </w:rPr>
        <w:t>4,951,945</w:t>
      </w:r>
      <w:r>
        <w:rPr>
          <w:color w:val="000000"/>
          <w:spacing w:val="0"/>
          <w:w w:val="100"/>
          <w:position w:val="0"/>
        </w:rPr>
        <w:t>股，占 公司总股本的</w:t>
      </w:r>
      <w:r>
        <w:rPr>
          <w:rFonts w:ascii="Times New Roman" w:eastAsia="Times New Roman" w:hAnsi="Times New Roman" w:cs="Times New Roman"/>
          <w:color w:val="000000"/>
          <w:spacing w:val="0"/>
          <w:w w:val="100"/>
          <w:position w:val="0"/>
        </w:rPr>
        <w:t>1.1964%</w:t>
      </w:r>
      <w:r>
        <w:rPr>
          <w:color w:val="000000"/>
          <w:spacing w:val="0"/>
          <w:w w:val="100"/>
          <w:position w:val="0"/>
        </w:rPr>
        <w:t>。华大投资持有公司股份由减持计划实施前的</w:t>
      </w:r>
      <w:r>
        <w:rPr>
          <w:rFonts w:ascii="Times New Roman" w:eastAsia="Times New Roman" w:hAnsi="Times New Roman" w:cs="Times New Roman"/>
          <w:color w:val="000000"/>
          <w:spacing w:val="0"/>
          <w:w w:val="100"/>
          <w:position w:val="0"/>
        </w:rPr>
        <w:t>39,422,400</w:t>
      </w:r>
      <w:r>
        <w:rPr>
          <w:color w:val="000000"/>
          <w:spacing w:val="0"/>
          <w:w w:val="100"/>
          <w:position w:val="0"/>
        </w:rPr>
        <w:t>股减至减持计划实施完成后的</w:t>
      </w:r>
      <w:r>
        <w:rPr>
          <w:rFonts w:ascii="Times New Roman" w:eastAsia="Times New Roman" w:hAnsi="Times New Roman" w:cs="Times New Roman"/>
          <w:color w:val="000000"/>
          <w:spacing w:val="0"/>
          <w:w w:val="100"/>
          <w:position w:val="0"/>
        </w:rPr>
        <w:t>34,470,455</w:t>
      </w:r>
      <w:r>
        <w:rPr>
          <w:color w:val="000000"/>
          <w:spacing w:val="0"/>
          <w:w w:val="100"/>
          <w:position w:val="0"/>
        </w:rPr>
        <w:t>股， 持股比例由</w:t>
      </w:r>
      <w:r>
        <w:rPr>
          <w:rFonts w:ascii="Times New Roman" w:eastAsia="Times New Roman" w:hAnsi="Times New Roman" w:cs="Times New Roman"/>
          <w:color w:val="000000"/>
          <w:spacing w:val="0"/>
          <w:w w:val="100"/>
          <w:position w:val="0"/>
        </w:rPr>
        <w:t>9.5243%</w:t>
      </w:r>
      <w:r>
        <w:rPr>
          <w:color w:val="000000"/>
          <w:spacing w:val="0"/>
          <w:w w:val="100"/>
          <w:position w:val="0"/>
        </w:rPr>
        <w:t>降至</w:t>
      </w:r>
      <w:r>
        <w:rPr>
          <w:rFonts w:ascii="Times New Roman" w:eastAsia="Times New Roman" w:hAnsi="Times New Roman" w:cs="Times New Roman"/>
          <w:color w:val="000000"/>
          <w:spacing w:val="0"/>
          <w:w w:val="100"/>
          <w:position w:val="0"/>
        </w:rPr>
        <w:t>8.3279%</w:t>
      </w:r>
      <w:r>
        <w:rPr>
          <w:color w:val="000000"/>
          <w:spacing w:val="0"/>
          <w:w w:val="100"/>
          <w:position w:val="0"/>
        </w:rPr>
        <w:t>。华大投资此次减持公司股份计划的实施情况详见公司于巨潮资讯网披露的《关于持股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以上股东减持股份比例超过</w:t>
      </w:r>
      <w:r>
        <w:rPr>
          <w:rFonts w:ascii="Times New Roman" w:eastAsia="Times New Roman" w:hAnsi="Times New Roman" w:cs="Times New Roman"/>
          <w:color w:val="000000"/>
          <w:spacing w:val="0"/>
          <w:w w:val="100"/>
          <w:position w:val="0"/>
        </w:rPr>
        <w:t>1%</w:t>
      </w:r>
      <w:r>
        <w:rPr>
          <w:color w:val="000000"/>
          <w:spacing w:val="0"/>
          <w:w w:val="100"/>
          <w:position w:val="0"/>
        </w:rPr>
        <w:t>暨减持计划数量过半的公告》（披露日期：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日，公告编号：</w:t>
      </w:r>
      <w:r>
        <w:rPr>
          <w:rFonts w:ascii="Times New Roman" w:eastAsia="Times New Roman" w:hAnsi="Times New Roman" w:cs="Times New Roman"/>
          <w:color w:val="000000"/>
          <w:spacing w:val="0"/>
          <w:w w:val="100"/>
          <w:position w:val="0"/>
        </w:rPr>
        <w:t>2021-070</w:t>
      </w:r>
      <w:r>
        <w:rPr>
          <w:color w:val="000000"/>
          <w:spacing w:val="0"/>
          <w:w w:val="100"/>
          <w:position w:val="0"/>
        </w:rPr>
        <w:t>）、《关于 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以上股东减持计划期限届满暨实施情况的公告》（披露日期：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日，公告编号：</w:t>
      </w:r>
      <w:r>
        <w:rPr>
          <w:rFonts w:ascii="Times New Roman" w:eastAsia="Times New Roman" w:hAnsi="Times New Roman" w:cs="Times New Roman"/>
          <w:color w:val="000000"/>
          <w:spacing w:val="0"/>
          <w:w w:val="100"/>
          <w:position w:val="0"/>
        </w:rPr>
        <w:t>2021-114</w:t>
      </w:r>
      <w:r>
        <w:rPr>
          <w:color w:val="000000"/>
          <w:spacing w:val="0"/>
          <w:w w:val="100"/>
          <w:position w:val="0"/>
        </w:rPr>
        <w:t>）。</w:t>
      </w:r>
    </w:p>
    <w:p>
      <w:pPr>
        <w:pStyle w:val="Style17"/>
        <w:keepNext w:val="0"/>
        <w:keepLines w:val="0"/>
        <w:widowControl w:val="0"/>
        <w:shd w:val="clear" w:color="auto" w:fill="auto"/>
        <w:tabs>
          <w:tab w:pos="674" w:val="left"/>
        </w:tabs>
        <w:bidi w:val="0"/>
        <w:spacing w:before="0" w:after="120" w:line="312" w:lineRule="exact"/>
        <w:ind w:left="0" w:right="0"/>
        <w:jc w:val="both"/>
      </w:pPr>
      <w:bookmarkStart w:id="657" w:name="bookmark657"/>
      <w:r>
        <w:rPr>
          <w:rFonts w:ascii="Times New Roman" w:eastAsia="Times New Roman" w:hAnsi="Times New Roman" w:cs="Times New Roman"/>
          <w:color w:val="000000"/>
          <w:spacing w:val="0"/>
          <w:w w:val="100"/>
          <w:position w:val="0"/>
        </w:rPr>
        <w:t>2</w:t>
      </w:r>
      <w:bookmarkEnd w:id="657"/>
      <w:r>
        <w:rPr>
          <w:color w:val="000000"/>
          <w:spacing w:val="0"/>
          <w:w w:val="100"/>
          <w:position w:val="0"/>
        </w:rPr>
        <w:t>、</w:t>
        <w:tab/>
        <w:t>股东和玉高林和高林同创减持公司股份的情况</w:t>
      </w:r>
    </w:p>
    <w:p>
      <w:pPr>
        <w:pStyle w:val="Style17"/>
        <w:keepNext w:val="0"/>
        <w:keepLines w:val="0"/>
        <w:widowControl w:val="0"/>
        <w:shd w:val="clear" w:color="auto" w:fill="auto"/>
        <w:bidi w:val="0"/>
        <w:spacing w:before="0" w:after="0" w:line="312" w:lineRule="exact"/>
        <w:ind w:left="0" w:right="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1</w:t>
      </w:r>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日在巨潮资讯网披露了《关于股东减持计划期限届满暨未来减持计划的预披露公告》（公告 编号:</w:t>
      </w:r>
      <w:r>
        <w:rPr>
          <w:rFonts w:ascii="Times New Roman" w:eastAsia="Times New Roman" w:hAnsi="Times New Roman" w:cs="Times New Roman"/>
          <w:color w:val="000000"/>
          <w:spacing w:val="0"/>
          <w:w w:val="100"/>
          <w:position w:val="0"/>
        </w:rPr>
        <w:t>2020-132</w:t>
      </w:r>
      <w:r>
        <w:rPr>
          <w:color w:val="000000"/>
          <w:spacing w:val="0"/>
          <w:w w:val="100"/>
          <w:position w:val="0"/>
        </w:rPr>
        <w:t>）</w:t>
      </w:r>
      <w:r>
        <w:rPr>
          <w:color w:val="000000"/>
          <w:spacing w:val="0"/>
          <w:w w:val="100"/>
          <w:position w:val="0"/>
        </w:rPr>
        <w:t xml:space="preserve">，深圳和玉高林股权投资合伙企业（有限合伙）（以下简称和玉高林）和上海高林同创股权投资合伙企业 </w:t>
      </w:r>
      <w:r>
        <w:rPr>
          <w:rFonts w:ascii="Times New Roman" w:eastAsia="Times New Roman" w:hAnsi="Times New Roman" w:cs="Times New Roman"/>
          <w:color w:val="000000"/>
          <w:spacing w:val="0"/>
          <w:w w:val="100"/>
          <w:position w:val="0"/>
        </w:rPr>
        <w:t>（</w:t>
      </w:r>
      <w:r>
        <w:rPr>
          <w:color w:val="000000"/>
          <w:spacing w:val="0"/>
          <w:w w:val="100"/>
          <w:position w:val="0"/>
        </w:rPr>
        <w:t>有限合伙）（以下简称高林同创）计划以大宗交易或集中竞价方式减持公司股份合计不超过</w:t>
      </w:r>
      <w:r>
        <w:rPr>
          <w:rFonts w:ascii="Times New Roman" w:eastAsia="Times New Roman" w:hAnsi="Times New Roman" w:cs="Times New Roman"/>
          <w:color w:val="000000"/>
          <w:spacing w:val="0"/>
          <w:w w:val="100"/>
          <w:position w:val="0"/>
        </w:rPr>
        <w:t>12,002,999</w:t>
      </w:r>
      <w:r>
        <w:rPr>
          <w:color w:val="000000"/>
          <w:spacing w:val="0"/>
          <w:w w:val="100"/>
          <w:position w:val="0"/>
        </w:rPr>
        <w:t>股（即合计不超过公司 剔除回购专用账户股份后总股本</w:t>
      </w:r>
      <w:r>
        <w:rPr>
          <w:rFonts w:ascii="Times New Roman" w:eastAsia="Times New Roman" w:hAnsi="Times New Roman" w:cs="Times New Roman"/>
          <w:color w:val="000000"/>
          <w:spacing w:val="0"/>
          <w:w w:val="100"/>
          <w:position w:val="0"/>
        </w:rPr>
        <w:t>400,099,958</w:t>
      </w:r>
      <w:r>
        <w:rPr>
          <w:color w:val="000000"/>
          <w:spacing w:val="0"/>
          <w:w w:val="100"/>
          <w:position w:val="0"/>
        </w:rPr>
        <w:t>股的</w:t>
      </w:r>
      <w:r>
        <w:rPr>
          <w:rFonts w:ascii="Times New Roman" w:eastAsia="Times New Roman" w:hAnsi="Times New Roman" w:cs="Times New Roman"/>
          <w:color w:val="000000"/>
          <w:spacing w:val="0"/>
          <w:w w:val="100"/>
          <w:position w:val="0"/>
        </w:rPr>
        <w:t>3%</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日，和玉高林和高林同创累计减持公 司股份数量合计为</w:t>
      </w:r>
      <w:r>
        <w:rPr>
          <w:rFonts w:ascii="Times New Roman" w:eastAsia="Times New Roman" w:hAnsi="Times New Roman" w:cs="Times New Roman"/>
          <w:color w:val="000000"/>
          <w:spacing w:val="0"/>
          <w:w w:val="100"/>
          <w:position w:val="0"/>
        </w:rPr>
        <w:t>11,285,383</w:t>
      </w:r>
      <w:r>
        <w:rPr>
          <w:color w:val="000000"/>
          <w:spacing w:val="0"/>
          <w:w w:val="100"/>
          <w:position w:val="0"/>
        </w:rPr>
        <w:t>股，股份减持及被动稀释引致的股份变动比例达到</w:t>
      </w:r>
      <w:r>
        <w:rPr>
          <w:rFonts w:ascii="Times New Roman" w:eastAsia="Times New Roman" w:hAnsi="Times New Roman" w:cs="Times New Roman"/>
          <w:color w:val="000000"/>
          <w:spacing w:val="0"/>
          <w:w w:val="100"/>
          <w:position w:val="0"/>
        </w:rPr>
        <w:t>2.9999%</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日，和玉高林和高 林同创于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日披露的减持计划已实施完毕，其持有公司股份从减持计划实施前的</w:t>
      </w:r>
      <w:r>
        <w:rPr>
          <w:rFonts w:ascii="Times New Roman" w:eastAsia="Times New Roman" w:hAnsi="Times New Roman" w:cs="Times New Roman"/>
          <w:color w:val="000000"/>
          <w:spacing w:val="0"/>
          <w:w w:val="100"/>
          <w:position w:val="0"/>
        </w:rPr>
        <w:t>32,779,500</w:t>
      </w:r>
      <w:r>
        <w:rPr>
          <w:color w:val="000000"/>
          <w:spacing w:val="0"/>
          <w:w w:val="100"/>
          <w:position w:val="0"/>
        </w:rPr>
        <w:t>股减至减持计划实施 完成后的</w:t>
      </w:r>
      <w:r>
        <w:rPr>
          <w:rFonts w:ascii="Times New Roman" w:eastAsia="Times New Roman" w:hAnsi="Times New Roman" w:cs="Times New Roman"/>
          <w:color w:val="000000"/>
          <w:spacing w:val="0"/>
          <w:w w:val="100"/>
          <w:position w:val="0"/>
        </w:rPr>
        <w:t>21,494,117</w:t>
      </w:r>
      <w:r>
        <w:rPr>
          <w:color w:val="000000"/>
          <w:spacing w:val="0"/>
          <w:w w:val="100"/>
          <w:position w:val="0"/>
        </w:rPr>
        <w:t>股，持股比例由</w:t>
      </w:r>
      <w:r>
        <w:rPr>
          <w:rFonts w:ascii="Times New Roman" w:eastAsia="Times New Roman" w:hAnsi="Times New Roman" w:cs="Times New Roman"/>
          <w:color w:val="000000"/>
          <w:spacing w:val="0"/>
          <w:w w:val="100"/>
          <w:position w:val="0"/>
        </w:rPr>
        <w:t>8.1928%</w:t>
      </w:r>
      <w:r>
        <w:rPr>
          <w:color w:val="000000"/>
          <w:spacing w:val="0"/>
          <w:w w:val="100"/>
          <w:position w:val="0"/>
        </w:rPr>
        <w:t>降至</w:t>
      </w:r>
      <w:r>
        <w:rPr>
          <w:rFonts w:ascii="Times New Roman" w:eastAsia="Times New Roman" w:hAnsi="Times New Roman" w:cs="Times New Roman"/>
          <w:color w:val="000000"/>
          <w:spacing w:val="0"/>
          <w:w w:val="100"/>
          <w:position w:val="0"/>
        </w:rPr>
        <w:t>5.1929%</w:t>
      </w:r>
      <w:r>
        <w:rPr>
          <w:color w:val="000000"/>
          <w:spacing w:val="0"/>
          <w:w w:val="100"/>
          <w:position w:val="0"/>
        </w:rPr>
        <w:t>。和玉高林和高林同创本次减持公司股份计划的实施情况详见公司 于巨潮资讯网披露的《关于股东减持股份比例累计达到</w:t>
      </w:r>
      <w:r>
        <w:rPr>
          <w:rFonts w:ascii="Times New Roman" w:eastAsia="Times New Roman" w:hAnsi="Times New Roman" w:cs="Times New Roman"/>
          <w:color w:val="000000"/>
          <w:spacing w:val="0"/>
          <w:w w:val="100"/>
          <w:position w:val="0"/>
        </w:rPr>
        <w:t>1%</w:t>
      </w:r>
      <w:r>
        <w:rPr>
          <w:color w:val="000000"/>
          <w:spacing w:val="0"/>
          <w:w w:val="100"/>
          <w:position w:val="0"/>
        </w:rPr>
        <w:t>的公告》（披露日期：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日，公告编号：</w:t>
      </w:r>
      <w:r>
        <w:rPr>
          <w:rFonts w:ascii="Times New Roman" w:eastAsia="Times New Roman" w:hAnsi="Times New Roman" w:cs="Times New Roman"/>
          <w:color w:val="000000"/>
          <w:spacing w:val="0"/>
          <w:w w:val="100"/>
          <w:position w:val="0"/>
        </w:rPr>
        <w:t>2020-162</w:t>
      </w:r>
      <w:r>
        <w:rPr>
          <w:color w:val="000000"/>
          <w:spacing w:val="0"/>
          <w:w w:val="100"/>
          <w:position w:val="0"/>
        </w:rPr>
        <w:t>）、</w:t>
      </w:r>
    </w:p>
    <w:p>
      <w:pPr>
        <w:pStyle w:val="Style1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《关于股东减持计划时间过半的进展公告》（披露日期：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日，公告编号：</w:t>
      </w:r>
      <w:r>
        <w:rPr>
          <w:rFonts w:ascii="Times New Roman" w:eastAsia="Times New Roman" w:hAnsi="Times New Roman" w:cs="Times New Roman"/>
          <w:color w:val="000000"/>
          <w:spacing w:val="0"/>
          <w:w w:val="100"/>
          <w:position w:val="0"/>
        </w:rPr>
        <w:t>2021-008</w:t>
      </w:r>
      <w:r>
        <w:rPr>
          <w:color w:val="000000"/>
          <w:spacing w:val="0"/>
          <w:w w:val="100"/>
          <w:position w:val="0"/>
        </w:rPr>
        <w:t>）</w:t>
      </w:r>
      <w:r>
        <w:rPr>
          <w:color w:val="000000"/>
          <w:spacing w:val="0"/>
          <w:w w:val="100"/>
          <w:position w:val="0"/>
        </w:rPr>
        <w:t>、《关于股东减持股份比例 超过</w:t>
      </w:r>
      <w:r>
        <w:rPr>
          <w:rFonts w:ascii="Times New Roman" w:eastAsia="Times New Roman" w:hAnsi="Times New Roman" w:cs="Times New Roman"/>
          <w:color w:val="000000"/>
          <w:spacing w:val="0"/>
          <w:w w:val="100"/>
          <w:position w:val="0"/>
        </w:rPr>
        <w:t>1%</w:t>
      </w:r>
      <w:r>
        <w:rPr>
          <w:color w:val="000000"/>
          <w:spacing w:val="0"/>
          <w:w w:val="100"/>
          <w:position w:val="0"/>
        </w:rPr>
        <w:t>暨减持计划实施完成的公告》（披露日期：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日，公告编号：</w:t>
      </w:r>
      <w:r>
        <w:rPr>
          <w:rFonts w:ascii="Times New Roman" w:eastAsia="Times New Roman" w:hAnsi="Times New Roman" w:cs="Times New Roman"/>
          <w:color w:val="000000"/>
          <w:spacing w:val="0"/>
          <w:w w:val="100"/>
          <w:position w:val="0"/>
        </w:rPr>
        <w:t>2021-010</w:t>
      </w:r>
      <w:r>
        <w:rPr>
          <w:color w:val="000000"/>
          <w:spacing w:val="0"/>
          <w:w w:val="100"/>
          <w:position w:val="0"/>
        </w:rPr>
        <w:t>）。</w:t>
      </w:r>
    </w:p>
    <w:p>
      <w:pPr>
        <w:pStyle w:val="Style17"/>
        <w:keepNext w:val="0"/>
        <w:keepLines w:val="0"/>
        <w:widowControl w:val="0"/>
        <w:shd w:val="clear" w:color="auto" w:fill="auto"/>
        <w:bidi w:val="0"/>
        <w:spacing w:before="0" w:after="0" w:line="312" w:lineRule="exact"/>
        <w:ind w:left="0" w:right="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2</w:t>
      </w:r>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日在巨潮资讯网披露了《关于股东减持股份计划的预披露公告》（公告编号：</w:t>
      </w:r>
      <w:r>
        <w:rPr>
          <w:rFonts w:ascii="Times New Roman" w:eastAsia="Times New Roman" w:hAnsi="Times New Roman" w:cs="Times New Roman"/>
          <w:color w:val="000000"/>
          <w:spacing w:val="0"/>
          <w:w w:val="100"/>
          <w:position w:val="0"/>
        </w:rPr>
        <w:t>2021-025</w:t>
      </w:r>
      <w:r>
        <w:rPr>
          <w:color w:val="000000"/>
          <w:spacing w:val="0"/>
          <w:w w:val="100"/>
          <w:position w:val="0"/>
        </w:rPr>
        <w:t>）</w:t>
      </w:r>
      <w:r>
        <w:rPr>
          <w:color w:val="000000"/>
          <w:spacing w:val="0"/>
          <w:w w:val="100"/>
          <w:position w:val="0"/>
        </w:rPr>
        <w:t>，和 玉高林和高林同创计划通过集中竞价交易方式减持公司股份合计不超过</w:t>
      </w:r>
      <w:r>
        <w:rPr>
          <w:rFonts w:ascii="Times New Roman" w:eastAsia="Times New Roman" w:hAnsi="Times New Roman" w:cs="Times New Roman"/>
          <w:color w:val="000000"/>
          <w:spacing w:val="0"/>
          <w:w w:val="100"/>
          <w:position w:val="0"/>
        </w:rPr>
        <w:t>2,069,571</w:t>
      </w:r>
      <w:r>
        <w:rPr>
          <w:color w:val="000000"/>
          <w:spacing w:val="0"/>
          <w:w w:val="100"/>
          <w:position w:val="0"/>
        </w:rPr>
        <w:t>股（即合计不超过公司剔除回购专用账户 股份后总股本</w:t>
      </w:r>
      <w:r>
        <w:rPr>
          <w:rFonts w:ascii="Times New Roman" w:eastAsia="Times New Roman" w:hAnsi="Times New Roman" w:cs="Times New Roman"/>
          <w:color w:val="000000"/>
          <w:spacing w:val="0"/>
          <w:w w:val="100"/>
          <w:position w:val="0"/>
        </w:rPr>
        <w:t>413,914,283</w:t>
      </w:r>
      <w:r>
        <w:rPr>
          <w:color w:val="000000"/>
          <w:spacing w:val="0"/>
          <w:w w:val="100"/>
          <w:position w:val="0"/>
        </w:rPr>
        <w:t>股的</w:t>
      </w:r>
      <w:r>
        <w:rPr>
          <w:rFonts w:ascii="Times New Roman" w:eastAsia="Times New Roman" w:hAnsi="Times New Roman" w:cs="Times New Roman"/>
          <w:color w:val="000000"/>
          <w:spacing w:val="0"/>
          <w:w w:val="100"/>
          <w:position w:val="0"/>
        </w:rPr>
        <w:t>0.5%</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日，和玉高林和高林同创于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日披露的减持期限已届满， 上述减持计划期间，和玉高林和高林同创通过集中竞价交易方式累计减持公司股份合计</w:t>
      </w:r>
      <w:r>
        <w:rPr>
          <w:rFonts w:ascii="Times New Roman" w:eastAsia="Times New Roman" w:hAnsi="Times New Roman" w:cs="Times New Roman"/>
          <w:color w:val="000000"/>
          <w:spacing w:val="0"/>
          <w:w w:val="100"/>
          <w:position w:val="0"/>
        </w:rPr>
        <w:t>2,069,412</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0.5000%</w:t>
      </w:r>
      <w:r>
        <w:rPr>
          <w:color w:val="000000"/>
          <w:spacing w:val="0"/>
          <w:w w:val="100"/>
          <w:position w:val="0"/>
        </w:rPr>
        <w:t>，本次减持计划已实施完毕。和玉高林和高林同创持有公司股份由减持计划实施前的股</w:t>
      </w:r>
      <w:r>
        <w:rPr>
          <w:rFonts w:ascii="Times New Roman" w:eastAsia="Times New Roman" w:hAnsi="Times New Roman" w:cs="Times New Roman"/>
          <w:color w:val="000000"/>
          <w:spacing w:val="0"/>
          <w:w w:val="100"/>
          <w:position w:val="0"/>
        </w:rPr>
        <w:t>21,494,117</w:t>
      </w:r>
      <w:r>
        <w:rPr>
          <w:color w:val="000000"/>
          <w:spacing w:val="0"/>
          <w:w w:val="100"/>
          <w:position w:val="0"/>
        </w:rPr>
        <w:t>股降至减持计划实 施完成后的</w:t>
      </w:r>
      <w:r>
        <w:rPr>
          <w:rFonts w:ascii="Times New Roman" w:eastAsia="Times New Roman" w:hAnsi="Times New Roman" w:cs="Times New Roman"/>
          <w:color w:val="000000"/>
          <w:spacing w:val="0"/>
          <w:w w:val="100"/>
          <w:position w:val="0"/>
        </w:rPr>
        <w:t>19,424,705</w:t>
      </w:r>
      <w:r>
        <w:rPr>
          <w:color w:val="000000"/>
          <w:spacing w:val="0"/>
          <w:w w:val="100"/>
          <w:position w:val="0"/>
        </w:rPr>
        <w:t>股，持股比例由</w:t>
      </w:r>
      <w:r>
        <w:rPr>
          <w:rFonts w:ascii="Times New Roman" w:eastAsia="Times New Roman" w:hAnsi="Times New Roman" w:cs="Times New Roman"/>
          <w:color w:val="000000"/>
          <w:spacing w:val="0"/>
          <w:w w:val="100"/>
          <w:position w:val="0"/>
        </w:rPr>
        <w:t>5.1929%</w:t>
      </w:r>
      <w:r>
        <w:rPr>
          <w:color w:val="000000"/>
          <w:spacing w:val="0"/>
          <w:w w:val="100"/>
          <w:position w:val="0"/>
        </w:rPr>
        <w:t>降至</w:t>
      </w:r>
      <w:r>
        <w:rPr>
          <w:rFonts w:ascii="Times New Roman" w:eastAsia="Times New Roman" w:hAnsi="Times New Roman" w:cs="Times New Roman"/>
          <w:color w:val="000000"/>
          <w:spacing w:val="0"/>
          <w:w w:val="100"/>
          <w:position w:val="0"/>
        </w:rPr>
        <w:t>4,6929%</w:t>
      </w:r>
      <w:r>
        <w:rPr>
          <w:color w:val="000000"/>
          <w:spacing w:val="0"/>
          <w:w w:val="100"/>
          <w:position w:val="0"/>
        </w:rPr>
        <w:t>。和玉高林和高林同创此次减持公司股份计划的实施情况详见公 司于巨潮资讯网披露的《关于股东减持计划时间过半的进展公告》（披露日期：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日，公告编号：</w:t>
      </w:r>
      <w:r>
        <w:rPr>
          <w:rFonts w:ascii="Times New Roman" w:eastAsia="Times New Roman" w:hAnsi="Times New Roman" w:cs="Times New Roman"/>
          <w:color w:val="000000"/>
          <w:spacing w:val="0"/>
          <w:w w:val="100"/>
          <w:position w:val="0"/>
        </w:rPr>
        <w:t>2021-058</w:t>
      </w:r>
      <w:r>
        <w:rPr>
          <w:color w:val="000000"/>
          <w:spacing w:val="0"/>
          <w:w w:val="100"/>
          <w:position w:val="0"/>
        </w:rPr>
        <w:t>）、</w:t>
      </w:r>
    </w:p>
    <w:p>
      <w:pPr>
        <w:pStyle w:val="Style1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《关于股东减持计划期限届满暨实施情况的公告》（披露日期：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日，公告编号：</w:t>
      </w:r>
      <w:r>
        <w:rPr>
          <w:rFonts w:ascii="Times New Roman" w:eastAsia="Times New Roman" w:hAnsi="Times New Roman" w:cs="Times New Roman"/>
          <w:color w:val="000000"/>
          <w:spacing w:val="0"/>
          <w:w w:val="100"/>
          <w:position w:val="0"/>
        </w:rPr>
        <w:t>2021-082</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日在巨潮资讯网披露了《关于股东权益变动暨持股比例降至</w:t>
      </w:r>
      <w:r>
        <w:rPr>
          <w:rFonts w:ascii="Times New Roman" w:eastAsia="Times New Roman" w:hAnsi="Times New Roman" w:cs="Times New Roman"/>
          <w:color w:val="000000"/>
          <w:spacing w:val="0"/>
          <w:w w:val="100"/>
          <w:position w:val="0"/>
        </w:rPr>
        <w:t>5%</w:t>
      </w:r>
      <w:r>
        <w:rPr>
          <w:color w:val="000000"/>
          <w:spacing w:val="0"/>
          <w:w w:val="100"/>
          <w:position w:val="0"/>
        </w:rPr>
        <w:t>以下的提示性公告》（公告编号：</w:t>
      </w:r>
      <w:r>
        <w:rPr>
          <w:rFonts w:ascii="Times New Roman" w:eastAsia="Times New Roman" w:hAnsi="Times New Roman" w:cs="Times New Roman"/>
          <w:color w:val="000000"/>
          <w:spacing w:val="0"/>
          <w:w w:val="100"/>
          <w:position w:val="0"/>
        </w:rPr>
        <w:t>2021-060</w:t>
      </w:r>
      <w:r>
        <w:rPr>
          <w:color w:val="000000"/>
          <w:spacing w:val="0"/>
          <w:w w:val="100"/>
          <w:position w:val="0"/>
        </w:rPr>
        <w:t>）</w:t>
      </w:r>
      <w:r>
        <w:rPr>
          <w:color w:val="000000"/>
          <w:spacing w:val="0"/>
          <w:w w:val="100"/>
          <w:position w:val="0"/>
        </w:rPr>
        <w:t>和《简式权 益变动报告书》。自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日首次减持至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日期间，因和玉高林和高林同创通过大宗交易和集中竞价交易方 式累计减持公司股份</w:t>
      </w:r>
      <w:r>
        <w:rPr>
          <w:rFonts w:ascii="Times New Roman" w:eastAsia="Times New Roman" w:hAnsi="Times New Roman" w:cs="Times New Roman"/>
          <w:color w:val="000000"/>
          <w:spacing w:val="0"/>
          <w:w w:val="100"/>
          <w:position w:val="0"/>
        </w:rPr>
        <w:t>17,344,083</w:t>
      </w:r>
      <w:r>
        <w:rPr>
          <w:color w:val="000000"/>
          <w:spacing w:val="0"/>
          <w:w w:val="100"/>
          <w:position w:val="0"/>
        </w:rPr>
        <w:t>股及公司向特定对象发行股票导致其持股比例被动稀释，和玉高林和高林同创合计持有公 司股份比例降至</w:t>
      </w:r>
      <w:r>
        <w:rPr>
          <w:rFonts w:ascii="Times New Roman" w:eastAsia="Times New Roman" w:hAnsi="Times New Roman" w:cs="Times New Roman"/>
          <w:color w:val="000000"/>
          <w:spacing w:val="0"/>
          <w:w w:val="100"/>
          <w:position w:val="0"/>
        </w:rPr>
        <w:t>5%</w:t>
      </w:r>
      <w:r>
        <w:rPr>
          <w:color w:val="000000"/>
          <w:spacing w:val="0"/>
          <w:w w:val="100"/>
          <w:position w:val="0"/>
        </w:rPr>
        <w:t>以下。截至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日，和玉高林和高林同创合计持有公司股份</w:t>
      </w:r>
      <w:r>
        <w:rPr>
          <w:rFonts w:ascii="Times New Roman" w:eastAsia="Times New Roman" w:hAnsi="Times New Roman" w:cs="Times New Roman"/>
          <w:color w:val="000000"/>
          <w:spacing w:val="0"/>
          <w:w w:val="100"/>
          <w:position w:val="0"/>
        </w:rPr>
        <w:t>20,695,417</w:t>
      </w:r>
      <w:r>
        <w:rPr>
          <w:color w:val="000000"/>
          <w:spacing w:val="0"/>
          <w:w w:val="100"/>
          <w:position w:val="0"/>
        </w:rPr>
        <w:t xml:space="preserve">股，占公司总股本比例 的 </w:t>
      </w:r>
      <w:r>
        <w:rPr>
          <w:rFonts w:ascii="Times New Roman" w:eastAsia="Times New Roman" w:hAnsi="Times New Roman" w:cs="Times New Roman"/>
          <w:color w:val="000000"/>
          <w:spacing w:val="0"/>
          <w:w w:val="100"/>
          <w:position w:val="0"/>
        </w:rPr>
        <w:t>4.9999%</w:t>
      </w:r>
      <w:r>
        <w:rPr>
          <w:color w:val="000000"/>
          <w:spacing w:val="0"/>
          <w:w w:val="100"/>
          <w:position w:val="0"/>
        </w:rPr>
        <w:t>。</w:t>
      </w:r>
    </w:p>
    <w:p>
      <w:pPr>
        <w:pStyle w:val="Style17"/>
        <w:keepNext w:val="0"/>
        <w:keepLines w:val="0"/>
        <w:widowControl w:val="0"/>
        <w:shd w:val="clear" w:color="auto" w:fill="auto"/>
        <w:bidi w:val="0"/>
        <w:spacing w:before="0" w:line="312" w:lineRule="exact"/>
        <w:ind w:left="0" w:right="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3</w:t>
      </w:r>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日在巨潮资讯网披露了《关于股东减持股份计划的预披露公告》（公告编号：</w:t>
      </w:r>
      <w:r>
        <w:rPr>
          <w:rFonts w:ascii="Times New Roman" w:eastAsia="Times New Roman" w:hAnsi="Times New Roman" w:cs="Times New Roman"/>
          <w:color w:val="000000"/>
          <w:spacing w:val="0"/>
          <w:w w:val="100"/>
          <w:position w:val="0"/>
        </w:rPr>
        <w:t>2021-083</w:t>
      </w:r>
      <w:r>
        <w:rPr>
          <w:color w:val="000000"/>
          <w:spacing w:val="0"/>
          <w:w w:val="100"/>
          <w:position w:val="0"/>
        </w:rPr>
        <w:t>）</w:t>
      </w:r>
      <w:r>
        <w:rPr>
          <w:color w:val="000000"/>
          <w:spacing w:val="0"/>
          <w:w w:val="100"/>
          <w:position w:val="0"/>
        </w:rPr>
        <w:t>，和 玉高林计划通过大宗交易或集中竞价方式减持公司股份合计不超过</w:t>
      </w:r>
      <w:r>
        <w:rPr>
          <w:rFonts w:ascii="Times New Roman" w:eastAsia="Times New Roman" w:hAnsi="Times New Roman" w:cs="Times New Roman"/>
          <w:color w:val="000000"/>
          <w:spacing w:val="0"/>
          <w:w w:val="100"/>
          <w:position w:val="0"/>
        </w:rPr>
        <w:t>4,139,143</w:t>
      </w:r>
      <w:r>
        <w:rPr>
          <w:color w:val="000000"/>
          <w:spacing w:val="0"/>
          <w:w w:val="100"/>
          <w:position w:val="0"/>
        </w:rPr>
        <w:t xml:space="preserve">股（即合计不超过公司剔除回购专用账户股份 </w:t>
      </w:r>
      <w:r>
        <w:rPr>
          <w:rFonts w:ascii="Times New Roman" w:eastAsia="Times New Roman" w:hAnsi="Times New Roman" w:cs="Times New Roman"/>
          <w:color w:val="000000"/>
          <w:spacing w:val="0"/>
          <w:w w:val="100"/>
          <w:position w:val="0"/>
        </w:rPr>
        <w:t>42</w:t>
      </w:r>
      <w:r>
        <w:rPr>
          <w:color w:val="000000"/>
          <w:spacing w:val="0"/>
          <w:w w:val="100"/>
          <w:position w:val="0"/>
        </w:rPr>
        <w:t>股后总股本</w:t>
      </w:r>
      <w:r>
        <w:rPr>
          <w:rFonts w:ascii="Times New Roman" w:eastAsia="Times New Roman" w:hAnsi="Times New Roman" w:cs="Times New Roman"/>
          <w:color w:val="000000"/>
          <w:spacing w:val="0"/>
          <w:w w:val="100"/>
          <w:position w:val="0"/>
        </w:rPr>
        <w:t>413,914,283</w:t>
      </w:r>
      <w:r>
        <w:rPr>
          <w:color w:val="000000"/>
          <w:spacing w:val="0"/>
          <w:w w:val="100"/>
          <w:position w:val="0"/>
        </w:rPr>
        <w:t>股的</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日，和玉高林于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日披露的减持计划期限届满，上述减持 计划期间，和玉高林通过集中竞价交易方式累计减持公司股份</w:t>
      </w:r>
      <w:r>
        <w:rPr>
          <w:rFonts w:ascii="Times New Roman" w:eastAsia="Times New Roman" w:hAnsi="Times New Roman" w:cs="Times New Roman"/>
          <w:color w:val="000000"/>
          <w:spacing w:val="0"/>
          <w:w w:val="100"/>
          <w:position w:val="0"/>
        </w:rPr>
        <w:t>713,039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0.1723%</w:t>
      </w:r>
      <w:r>
        <w:rPr>
          <w:color w:val="000000"/>
          <w:spacing w:val="0"/>
          <w:w w:val="100"/>
          <w:position w:val="0"/>
        </w:rPr>
        <w:t xml:space="preserve">。本次减持期限届满后， </w:t>
      </w:r>
      <w:r>
        <w:rPr>
          <w:color w:val="000000"/>
          <w:spacing w:val="0"/>
          <w:w w:val="100"/>
          <w:position w:val="0"/>
        </w:rPr>
        <w:t>和玉高林持有公司股份由减持计划实施前的</w:t>
      </w:r>
      <w:r>
        <w:rPr>
          <w:rFonts w:ascii="Times New Roman" w:eastAsia="Times New Roman" w:hAnsi="Times New Roman" w:cs="Times New Roman"/>
          <w:color w:val="000000"/>
          <w:spacing w:val="0"/>
          <w:w w:val="100"/>
          <w:position w:val="0"/>
        </w:rPr>
        <w:t>19,424,705</w:t>
      </w:r>
      <w:r>
        <w:rPr>
          <w:color w:val="000000"/>
          <w:spacing w:val="0"/>
          <w:w w:val="100"/>
          <w:position w:val="0"/>
        </w:rPr>
        <w:t>股减至减持期限届满后的</w:t>
      </w:r>
      <w:r>
        <w:rPr>
          <w:rFonts w:ascii="Times New Roman" w:eastAsia="Times New Roman" w:hAnsi="Times New Roman" w:cs="Times New Roman"/>
          <w:color w:val="000000"/>
          <w:spacing w:val="0"/>
          <w:w w:val="100"/>
          <w:position w:val="0"/>
        </w:rPr>
        <w:t>18,711,666</w:t>
      </w:r>
      <w:r>
        <w:rPr>
          <w:color w:val="000000"/>
          <w:spacing w:val="0"/>
          <w:w w:val="100"/>
          <w:position w:val="0"/>
        </w:rPr>
        <w:t>股，持股比例由</w:t>
      </w:r>
      <w:r>
        <w:rPr>
          <w:rFonts w:ascii="Times New Roman" w:eastAsia="Times New Roman" w:hAnsi="Times New Roman" w:cs="Times New Roman"/>
          <w:color w:val="000000"/>
          <w:spacing w:val="0"/>
          <w:w w:val="100"/>
          <w:position w:val="0"/>
        </w:rPr>
        <w:t>4.6929%</w:t>
      </w:r>
      <w:r>
        <w:rPr>
          <w:color w:val="000000"/>
          <w:spacing w:val="0"/>
          <w:w w:val="100"/>
          <w:position w:val="0"/>
        </w:rPr>
        <w:t xml:space="preserve">降至 </w:t>
      </w:r>
      <w:r>
        <w:rPr>
          <w:rFonts w:ascii="Times New Roman" w:eastAsia="Times New Roman" w:hAnsi="Times New Roman" w:cs="Times New Roman"/>
          <w:color w:val="000000"/>
          <w:spacing w:val="0"/>
          <w:w w:val="100"/>
          <w:position w:val="0"/>
        </w:rPr>
        <w:t>4.5207%</w:t>
      </w:r>
      <w:r>
        <w:rPr>
          <w:color w:val="000000"/>
          <w:spacing w:val="0"/>
          <w:w w:val="100"/>
          <w:position w:val="0"/>
        </w:rPr>
        <w:t>。和玉高林此次减持公司股份计划的实施情况详见公司于巨潮资讯网披露的《关于股东减持计划时间过半的进展公 告》（披露日期：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日，公告编号：</w:t>
      </w:r>
      <w:r>
        <w:rPr>
          <w:rFonts w:ascii="Times New Roman" w:eastAsia="Times New Roman" w:hAnsi="Times New Roman" w:cs="Times New Roman"/>
          <w:color w:val="000000"/>
          <w:spacing w:val="0"/>
          <w:w w:val="100"/>
          <w:position w:val="0"/>
        </w:rPr>
        <w:t>2021-095</w:t>
      </w:r>
      <w:r>
        <w:rPr>
          <w:color w:val="000000"/>
          <w:spacing w:val="0"/>
          <w:w w:val="100"/>
          <w:position w:val="0"/>
        </w:rPr>
        <w:t>）</w:t>
      </w:r>
      <w:r>
        <w:rPr>
          <w:color w:val="000000"/>
          <w:spacing w:val="0"/>
          <w:w w:val="100"/>
          <w:position w:val="0"/>
        </w:rPr>
        <w:t xml:space="preserve">、《关于股东减持计划期限届满暨实施情况的公告》（披露日期：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日，公告编号：</w:t>
      </w:r>
      <w:r>
        <w:rPr>
          <w:rFonts w:ascii="Times New Roman" w:eastAsia="Times New Roman" w:hAnsi="Times New Roman" w:cs="Times New Roman"/>
          <w:color w:val="000000"/>
          <w:spacing w:val="0"/>
          <w:w w:val="100"/>
          <w:position w:val="0"/>
        </w:rPr>
        <w:t>2021-102</w:t>
      </w:r>
      <w:r>
        <w:rPr>
          <w:color w:val="000000"/>
          <w:spacing w:val="0"/>
          <w:w w:val="100"/>
          <w:position w:val="0"/>
        </w:rPr>
        <w:t>）</w:t>
      </w:r>
      <w:r>
        <w:rPr>
          <w:color w:val="000000"/>
          <w:spacing w:val="0"/>
          <w:w w:val="100"/>
          <w:position w:val="0"/>
        </w:rPr>
        <w:t>。和玉高林作为持有公司首次公开发行前股份的特定股东，其对公司特定股份的后续 减持仍将遵守《上市公司股东、董监高减持股份的若干规定》《深圳证券交易所上市公司股东及董事、监事、高级管理人员 减持股份实施细则》等有关特定股东减持的规定。</w:t>
      </w:r>
    </w:p>
    <w:p>
      <w:pPr>
        <w:pStyle w:val="Style17"/>
        <w:keepNext w:val="0"/>
        <w:keepLines w:val="0"/>
        <w:widowControl w:val="0"/>
        <w:shd w:val="clear" w:color="auto" w:fill="auto"/>
        <w:tabs>
          <w:tab w:pos="861" w:val="left"/>
        </w:tabs>
        <w:bidi w:val="0"/>
        <w:spacing w:before="0" w:line="312" w:lineRule="exact"/>
        <w:ind w:left="0" w:right="0"/>
        <w:jc w:val="both"/>
      </w:pPr>
      <w:bookmarkStart w:id="661" w:name="bookmark661"/>
      <w:r>
        <w:rPr>
          <w:b/>
          <w:bCs/>
          <w:color w:val="000000"/>
          <w:spacing w:val="0"/>
          <w:w w:val="100"/>
          <w:position w:val="0"/>
        </w:rPr>
        <w:t>（</w:t>
      </w:r>
      <w:bookmarkEnd w:id="661"/>
      <w:r>
        <w:rPr>
          <w:b/>
          <w:bCs/>
          <w:color w:val="000000"/>
          <w:spacing w:val="0"/>
          <w:w w:val="100"/>
          <w:position w:val="0"/>
        </w:rPr>
        <w:t>五）</w:t>
        <w:tab/>
        <w:t>公司董事、监事及高级管理人员换届事项</w:t>
      </w:r>
    </w:p>
    <w:p>
      <w:pPr>
        <w:pStyle w:val="Style17"/>
        <w:keepNext w:val="0"/>
        <w:keepLines w:val="0"/>
        <w:widowControl w:val="0"/>
        <w:shd w:val="clear" w:color="auto" w:fill="auto"/>
        <w:bidi w:val="0"/>
        <w:spacing w:before="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年第二次临时股东大会，审议通过了《关于公司董事会换届选举第三届董事会非独立董 事的议案》《关于公司董事会换届选举第三届董事会独立董事的议案》，完成了第三届董事会的换届选举。</w:t>
      </w: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时股东大会同时审议通过了《关于公司监事会换届选举第三届监事会非职工代表监事的议案》，选举了第三届监事会非职工 代表监事，与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日职工代表大会选举的职工代表监事共同组成第三届监事会，完成了第三届监事会的换届选举。 第三届董事会和监事会任期自公司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年第二次临时股东大会选举通过之日（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日）起三年。公司于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日分别召开第三届董事会第一次会议和第三届监事会第一次会议，审议通过了《关于选举公司第三届董事会董事长、副董事 长的议案》《关于选举公司第三届董事会各专门委员会委员的议案》《关于聘任公司总经理及变更法定代表人的议案》《关 于聘任公司其他高级管理人员的议案》《关于选举公司第三届监事会主席的议案》等相关议案。具体内容详见公司于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披露的《关于董事会、监事会和高级管理人员换届完成的公告》（公告编</w:t>
      </w:r>
      <w:r>
        <w:rPr>
          <w:color w:val="000000"/>
          <w:spacing w:val="0"/>
          <w:w w:val="100"/>
          <w:position w:val="0"/>
        </w:rPr>
        <w:t xml:space="preserve"> 号：</w:t>
      </w:r>
      <w:r>
        <w:rPr>
          <w:rFonts w:ascii="Times New Roman" w:eastAsia="Times New Roman" w:hAnsi="Times New Roman" w:cs="Times New Roman"/>
          <w:color w:val="000000"/>
          <w:spacing w:val="0"/>
          <w:w w:val="100"/>
          <w:position w:val="0"/>
        </w:rPr>
        <w:t>2021-088</w:t>
      </w:r>
      <w:r>
        <w:rPr>
          <w:color w:val="000000"/>
          <w:spacing w:val="0"/>
          <w:w w:val="100"/>
          <w:position w:val="0"/>
        </w:rPr>
        <w:t>）、《关于聘任高级管理人员、内审内控部负责人和证券事务代表暨变更法定代表人的公告》（公告编号：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089</w:t>
      </w:r>
      <w:r>
        <w:rPr>
          <w:color w:val="000000"/>
          <w:spacing w:val="0"/>
          <w:w w:val="100"/>
          <w:position w:val="0"/>
        </w:rPr>
        <w:t>）。</w:t>
      </w:r>
    </w:p>
    <w:p>
      <w:pPr>
        <w:pStyle w:val="Style17"/>
        <w:keepNext w:val="0"/>
        <w:keepLines w:val="0"/>
        <w:widowControl w:val="0"/>
        <w:shd w:val="clear" w:color="auto" w:fill="auto"/>
        <w:bidi w:val="0"/>
        <w:spacing w:before="0" w:line="31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日在巨潮资讯网披露了《关于完成工商变更登记的公告》（公告编号：</w:t>
      </w:r>
      <w:r>
        <w:rPr>
          <w:rFonts w:ascii="Times New Roman" w:eastAsia="Times New Roman" w:hAnsi="Times New Roman" w:cs="Times New Roman"/>
          <w:color w:val="000000"/>
          <w:spacing w:val="0"/>
          <w:w w:val="100"/>
          <w:position w:val="0"/>
        </w:rPr>
        <w:t>2021-090</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日完成了法定代表人的工商变更登记及新任董事、监事、总经理的备案手续，取得了深圳市市场监督管理局换发的《营 业执照》及出具的《变更（备案）通知书》。</w:t>
      </w:r>
    </w:p>
    <w:p>
      <w:pPr>
        <w:pStyle w:val="Style17"/>
        <w:keepNext w:val="0"/>
        <w:keepLines w:val="0"/>
        <w:widowControl w:val="0"/>
        <w:shd w:val="clear" w:color="auto" w:fill="auto"/>
        <w:tabs>
          <w:tab w:pos="861" w:val="left"/>
        </w:tabs>
        <w:bidi w:val="0"/>
        <w:spacing w:before="0" w:line="312" w:lineRule="exact"/>
        <w:ind w:left="0" w:right="0"/>
        <w:jc w:val="both"/>
      </w:pPr>
      <w:bookmarkStart w:id="662" w:name="bookmark662"/>
      <w:r>
        <w:rPr>
          <w:b/>
          <w:bCs/>
          <w:color w:val="000000"/>
          <w:spacing w:val="0"/>
          <w:w w:val="100"/>
          <w:position w:val="0"/>
        </w:rPr>
        <w:t>（</w:t>
      </w:r>
      <w:bookmarkEnd w:id="662"/>
      <w:r>
        <w:rPr>
          <w:b/>
          <w:bCs/>
          <w:color w:val="000000"/>
          <w:spacing w:val="0"/>
          <w:w w:val="100"/>
          <w:position w:val="0"/>
        </w:rPr>
        <w:t>六）</w:t>
        <w:tab/>
        <w:t>公司第一期员工持股计划第一个锁定期届满事项</w:t>
      </w:r>
    </w:p>
    <w:p>
      <w:pPr>
        <w:pStyle w:val="Style17"/>
        <w:keepNext w:val="0"/>
        <w:keepLines w:val="0"/>
        <w:widowControl w:val="0"/>
        <w:shd w:val="clear" w:color="auto" w:fill="auto"/>
        <w:bidi w:val="0"/>
        <w:spacing w:before="0" w:line="312" w:lineRule="exact"/>
        <w:ind w:left="0" w:right="0" w:firstLine="3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日在巨潮资讯网披露了《关于第一期员工持股计划第一个锁定期届满的提示性公告》（公告编号： </w:t>
      </w:r>
      <w:r>
        <w:rPr>
          <w:rFonts w:ascii="Times New Roman" w:eastAsia="Times New Roman" w:hAnsi="Times New Roman" w:cs="Times New Roman"/>
          <w:color w:val="000000"/>
          <w:spacing w:val="0"/>
          <w:w w:val="100"/>
          <w:position w:val="0"/>
        </w:rPr>
        <w:t>2021-097</w:t>
      </w:r>
      <w:r>
        <w:rPr>
          <w:color w:val="000000"/>
          <w:spacing w:val="0"/>
          <w:w w:val="100"/>
          <w:position w:val="0"/>
        </w:rPr>
        <w:t>）</w:t>
      </w:r>
      <w:r>
        <w:rPr>
          <w:color w:val="000000"/>
          <w:spacing w:val="0"/>
          <w:w w:val="100"/>
          <w:position w:val="0"/>
        </w:rPr>
        <w:t>，公司第一期员工持股计划第一个锁定期于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日届满，该批股票解锁日期为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日，可解锁分 配的权益份额占本员工持股计划持有权益总额的</w:t>
      </w:r>
      <w:r>
        <w:rPr>
          <w:rFonts w:ascii="Times New Roman" w:eastAsia="Times New Roman" w:hAnsi="Times New Roman" w:cs="Times New Roman"/>
          <w:color w:val="000000"/>
          <w:spacing w:val="0"/>
          <w:w w:val="100"/>
          <w:position w:val="0"/>
        </w:rPr>
        <w:t>50%</w:t>
      </w:r>
      <w:r>
        <w:rPr>
          <w:color w:val="000000"/>
          <w:spacing w:val="0"/>
          <w:w w:val="100"/>
          <w:position w:val="0"/>
        </w:rPr>
        <w:t>，对应的标的股票数量为</w:t>
      </w:r>
      <w:r>
        <w:rPr>
          <w:rFonts w:ascii="Times New Roman" w:eastAsia="Times New Roman" w:hAnsi="Times New Roman" w:cs="Times New Roman"/>
          <w:color w:val="000000"/>
          <w:spacing w:val="0"/>
          <w:w w:val="100"/>
          <w:position w:val="0"/>
        </w:rPr>
        <w:t>200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0.4832%</w:t>
      </w:r>
      <w:r>
        <w:rPr>
          <w:color w:val="000000"/>
          <w:spacing w:val="0"/>
          <w:w w:val="100"/>
          <w:position w:val="0"/>
        </w:rPr>
        <w:t>。截至报告 期末，公司第一期员工持股计划第一个锁定期解锁的</w:t>
      </w:r>
      <w:r>
        <w:rPr>
          <w:rFonts w:ascii="Times New Roman" w:eastAsia="Times New Roman" w:hAnsi="Times New Roman" w:cs="Times New Roman"/>
          <w:color w:val="000000"/>
          <w:spacing w:val="0"/>
          <w:w w:val="100"/>
          <w:position w:val="0"/>
        </w:rPr>
        <w:t>200</w:t>
      </w:r>
      <w:r>
        <w:rPr>
          <w:color w:val="000000"/>
          <w:spacing w:val="0"/>
          <w:w w:val="100"/>
          <w:position w:val="0"/>
        </w:rPr>
        <w:t>万股股票出售完毕。</w:t>
      </w:r>
    </w:p>
    <w:p>
      <w:pPr>
        <w:pStyle w:val="Style17"/>
        <w:keepNext w:val="0"/>
        <w:keepLines w:val="0"/>
        <w:widowControl w:val="0"/>
        <w:shd w:val="clear" w:color="auto" w:fill="auto"/>
        <w:tabs>
          <w:tab w:pos="861" w:val="left"/>
        </w:tabs>
        <w:bidi w:val="0"/>
        <w:spacing w:before="0" w:line="312" w:lineRule="exact"/>
        <w:ind w:left="0" w:right="0"/>
        <w:jc w:val="both"/>
      </w:pPr>
      <w:bookmarkStart w:id="663" w:name="bookmark663"/>
      <w:r>
        <w:rPr>
          <w:b/>
          <w:bCs/>
          <w:color w:val="000000"/>
          <w:spacing w:val="0"/>
          <w:w w:val="100"/>
          <w:position w:val="0"/>
        </w:rPr>
        <w:t>（</w:t>
      </w:r>
      <w:bookmarkEnd w:id="663"/>
      <w:r>
        <w:rPr>
          <w:b/>
          <w:bCs/>
          <w:color w:val="000000"/>
          <w:spacing w:val="0"/>
          <w:w w:val="100"/>
          <w:position w:val="0"/>
        </w:rPr>
        <w:t>七）</w:t>
        <w:tab/>
        <w:t>公司实际控制人、董事长增持计划事项</w:t>
      </w:r>
    </w:p>
    <w:p>
      <w:pPr>
        <w:pStyle w:val="Style17"/>
        <w:keepNext w:val="0"/>
        <w:keepLines w:val="0"/>
        <w:widowControl w:val="0"/>
        <w:shd w:val="clear" w:color="auto" w:fill="auto"/>
        <w:bidi w:val="0"/>
        <w:spacing w:before="0" w:line="311" w:lineRule="exact"/>
        <w:ind w:left="0" w:right="0"/>
        <w:jc w:val="both"/>
      </w:pPr>
      <w:r>
        <w:rPr>
          <w:color w:val="000000"/>
          <w:spacing w:val="0"/>
          <w:w w:val="100"/>
          <w:position w:val="0"/>
        </w:rPr>
        <w:t>基于对公司未来发展的信心以及对公司长期投资价值的认可，同时为了提升投资者信心，切实维护中小股东利益，结合 对公司股票价值的合理和独立判断，公司实际控制人、董事长汪建先生计划自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日期间，通过深 圳证券交易所交易系统按照相关法律法规许可的方式（包括但不限于集中竞价交易和大宗交易方式）增持公司股票，增持金 额累计不低于</w:t>
      </w:r>
      <w:r>
        <w:rPr>
          <w:rFonts w:ascii="Times New Roman" w:eastAsia="Times New Roman" w:hAnsi="Times New Roman" w:cs="Times New Roman"/>
          <w:color w:val="000000"/>
          <w:spacing w:val="0"/>
          <w:w w:val="100"/>
          <w:position w:val="0"/>
        </w:rPr>
        <w:t>5,000</w:t>
      </w:r>
      <w:r>
        <w:rPr>
          <w:color w:val="000000"/>
          <w:spacing w:val="0"/>
          <w:w w:val="100"/>
          <w:position w:val="0"/>
        </w:rPr>
        <w:t>万元人民币。具体内容详见公司于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日在巨潮资讯网披露的《关于实际控制人兼董事长增持公 司股份计划的公告》（公告编号：</w:t>
      </w:r>
      <w:r>
        <w:rPr>
          <w:rFonts w:ascii="Times New Roman" w:eastAsia="Times New Roman" w:hAnsi="Times New Roman" w:cs="Times New Roman"/>
          <w:color w:val="000000"/>
          <w:spacing w:val="0"/>
          <w:w w:val="100"/>
          <w:position w:val="0"/>
        </w:rPr>
        <w:t>2021-115</w:t>
      </w:r>
      <w:r>
        <w:rPr>
          <w:color w:val="000000"/>
          <w:spacing w:val="0"/>
          <w:w w:val="100"/>
          <w:position w:val="0"/>
        </w:rPr>
        <w:t>）。</w:t>
      </w:r>
    </w:p>
    <w:p>
      <w:pPr>
        <w:pStyle w:val="Style17"/>
        <w:keepNext w:val="0"/>
        <w:keepLines w:val="0"/>
        <w:widowControl w:val="0"/>
        <w:shd w:val="clear" w:color="auto" w:fill="auto"/>
        <w:bidi w:val="0"/>
        <w:spacing w:before="0" w:after="240" w:line="312" w:lineRule="exact"/>
        <w:ind w:left="0" w:right="0"/>
        <w:jc w:val="both"/>
      </w:pPr>
      <w:r>
        <w:rPr>
          <w:color w:val="000000"/>
          <w:spacing w:val="0"/>
          <w:w w:val="100"/>
          <w:position w:val="0"/>
        </w:rPr>
        <w:t>自增持计划公告之日（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日）起至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日，公司实际控制人、董事长汪建先生通过深圳证券交易所交 易系统集中竞价和大宗交易方式合计增持公司股份</w:t>
      </w:r>
      <w:r>
        <w:rPr>
          <w:rFonts w:ascii="Times New Roman" w:eastAsia="Times New Roman" w:hAnsi="Times New Roman" w:cs="Times New Roman"/>
          <w:color w:val="000000"/>
          <w:spacing w:val="0"/>
          <w:w w:val="100"/>
          <w:position w:val="0"/>
        </w:rPr>
        <w:t>629,500</w:t>
      </w:r>
      <w:r>
        <w:rPr>
          <w:color w:val="000000"/>
          <w:spacing w:val="0"/>
          <w:w w:val="100"/>
          <w:position w:val="0"/>
        </w:rPr>
        <w:t>股，增持金额累计</w:t>
      </w:r>
      <w:r>
        <w:rPr>
          <w:rFonts w:ascii="Times New Roman" w:eastAsia="Times New Roman" w:hAnsi="Times New Roman" w:cs="Times New Roman"/>
          <w:color w:val="000000"/>
          <w:spacing w:val="0"/>
          <w:w w:val="100"/>
          <w:position w:val="0"/>
        </w:rPr>
        <w:t>51,324,443</w:t>
      </w:r>
      <w:r>
        <w:rPr>
          <w:color w:val="000000"/>
          <w:spacing w:val="0"/>
          <w:w w:val="100"/>
          <w:position w:val="0"/>
        </w:rPr>
        <w:t>元。截至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日，本次增持计 划已实施完成。本次增持计划实施的具体进展情况详见公司分别于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日在巨潮 资讯网披露的《关于实际控制人兼董事长增持公司股份计划的进展公告》（公告编号：</w:t>
      </w:r>
      <w:r>
        <w:rPr>
          <w:rFonts w:ascii="Times New Roman" w:eastAsia="Times New Roman" w:hAnsi="Times New Roman" w:cs="Times New Roman"/>
          <w:color w:val="000000"/>
          <w:spacing w:val="0"/>
          <w:w w:val="100"/>
          <w:position w:val="0"/>
        </w:rPr>
        <w:t>2021-136</w:t>
      </w:r>
      <w:r>
        <w:rPr>
          <w:color w:val="000000"/>
          <w:spacing w:val="0"/>
          <w:w w:val="100"/>
          <w:position w:val="0"/>
        </w:rPr>
        <w:t>）、《关于实际控制人兼董 事长增持公司股份计划时间过半的进展公告》（公告编号：</w:t>
      </w:r>
      <w:r>
        <w:rPr>
          <w:rFonts w:ascii="Times New Roman" w:eastAsia="Times New Roman" w:hAnsi="Times New Roman" w:cs="Times New Roman"/>
          <w:color w:val="000000"/>
          <w:spacing w:val="0"/>
          <w:w w:val="100"/>
          <w:position w:val="0"/>
        </w:rPr>
        <w:t>2021-137</w:t>
      </w:r>
      <w:r>
        <w:rPr>
          <w:color w:val="000000"/>
          <w:spacing w:val="0"/>
          <w:w w:val="100"/>
          <w:position w:val="0"/>
        </w:rPr>
        <w:t>）、《关于实际控制人兼董事长增持公司股份计划实施 完成的公告》（公告编号：</w:t>
      </w:r>
      <w:r>
        <w:rPr>
          <w:rFonts w:ascii="Times New Roman" w:eastAsia="Times New Roman" w:hAnsi="Times New Roman" w:cs="Times New Roman"/>
          <w:color w:val="000000"/>
          <w:spacing w:val="0"/>
          <w:w w:val="100"/>
          <w:position w:val="0"/>
        </w:rPr>
        <w:t>2022-027</w:t>
      </w:r>
      <w:r>
        <w:rPr>
          <w:color w:val="000000"/>
          <w:spacing w:val="0"/>
          <w:w w:val="100"/>
          <w:position w:val="0"/>
        </w:rPr>
        <w:t>）。</w:t>
      </w:r>
    </w:p>
    <w:p>
      <w:pPr>
        <w:pStyle w:val="Style17"/>
        <w:keepNext w:val="0"/>
        <w:keepLines w:val="0"/>
        <w:widowControl w:val="0"/>
        <w:shd w:val="clear" w:color="auto" w:fill="auto"/>
        <w:tabs>
          <w:tab w:pos="861" w:val="left"/>
        </w:tabs>
        <w:bidi w:val="0"/>
        <w:spacing w:before="0" w:line="312" w:lineRule="exact"/>
        <w:ind w:left="0" w:right="0"/>
        <w:jc w:val="both"/>
      </w:pPr>
      <w:bookmarkStart w:id="664" w:name="bookmark664"/>
      <w:r>
        <w:rPr>
          <w:b/>
          <w:bCs/>
          <w:color w:val="000000"/>
          <w:spacing w:val="0"/>
          <w:w w:val="100"/>
          <w:position w:val="0"/>
        </w:rPr>
        <w:t>（</w:t>
      </w:r>
      <w:bookmarkEnd w:id="664"/>
      <w:r>
        <w:rPr>
          <w:b/>
          <w:bCs/>
          <w:color w:val="000000"/>
          <w:spacing w:val="0"/>
          <w:w w:val="100"/>
          <w:position w:val="0"/>
        </w:rPr>
        <w:t>八）</w:t>
        <w:tab/>
        <w:t>关于集中竞价交易方式回购部分社会公众股的说明</w:t>
      </w:r>
    </w:p>
    <w:p>
      <w:pPr>
        <w:pStyle w:val="Style17"/>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日召开第三届董事会第三次会议和第三届监事会第三次会议，分别审议通过了《关于以集中竞 </w:t>
      </w:r>
      <w:r>
        <w:rPr>
          <w:color w:val="000000"/>
          <w:spacing w:val="0"/>
          <w:w w:val="100"/>
          <w:position w:val="0"/>
        </w:rPr>
        <w:t>价方式回购公司股份方案的议案》，同意公司使用自有资金以集中竞价方式回购部分社会公众股份，全部用于员工持股计划 或者股权激励。本次回购资金总额不低于人民币</w:t>
      </w:r>
      <w:r>
        <w:rPr>
          <w:rFonts w:ascii="Times New Roman" w:eastAsia="Times New Roman" w:hAnsi="Times New Roman" w:cs="Times New Roman"/>
          <w:color w:val="000000"/>
          <w:spacing w:val="0"/>
          <w:w w:val="100"/>
          <w:position w:val="0"/>
        </w:rPr>
        <w:t>13,000</w:t>
      </w:r>
      <w:r>
        <w:rPr>
          <w:color w:val="000000"/>
          <w:spacing w:val="0"/>
          <w:w w:val="100"/>
          <w:position w:val="0"/>
        </w:rPr>
        <w:t>万元（含），且不超过人民币</w:t>
      </w:r>
      <w:r>
        <w:rPr>
          <w:rFonts w:ascii="Times New Roman" w:eastAsia="Times New Roman" w:hAnsi="Times New Roman" w:cs="Times New Roman"/>
          <w:color w:val="000000"/>
          <w:spacing w:val="0"/>
          <w:w w:val="100"/>
          <w:position w:val="0"/>
        </w:rPr>
        <w:t>26,000</w:t>
      </w:r>
      <w:r>
        <w:rPr>
          <w:color w:val="000000"/>
          <w:spacing w:val="0"/>
          <w:w w:val="100"/>
          <w:position w:val="0"/>
        </w:rPr>
        <w:t>万元（含），回购股份价格不超 过人民币</w:t>
      </w:r>
      <w:r>
        <w:rPr>
          <w:rFonts w:ascii="Times New Roman" w:eastAsia="Times New Roman" w:hAnsi="Times New Roman" w:cs="Times New Roman"/>
          <w:color w:val="000000"/>
          <w:spacing w:val="0"/>
          <w:w w:val="100"/>
          <w:position w:val="0"/>
        </w:rPr>
        <w:t>130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股，本次回购股份的实施期限为公司董事会审议通过本次回购股份方案之日起</w:t>
      </w:r>
      <w:r>
        <w:rPr>
          <w:rFonts w:ascii="Times New Roman" w:eastAsia="Times New Roman" w:hAnsi="Times New Roman" w:cs="Times New Roman"/>
          <w:color w:val="000000"/>
          <w:spacing w:val="0"/>
          <w:w w:val="100"/>
          <w:position w:val="0"/>
        </w:rPr>
        <w:t>12</w:t>
      </w:r>
      <w:r>
        <w:rPr>
          <w:color w:val="000000"/>
          <w:spacing w:val="0"/>
          <w:w w:val="100"/>
          <w:position w:val="0"/>
        </w:rPr>
        <w:t>个月内，具体回购股份数量 以回购期限届满或回购实施完成时实际回购的股份数量为准。回购方案具体内容详见公司分别于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披露的《关于以集中竞价方式回购公司股份方案的公告》（公告编号：</w:t>
      </w:r>
      <w:r>
        <w:rPr>
          <w:rFonts w:ascii="Times New Roman" w:eastAsia="Times New Roman" w:hAnsi="Times New Roman" w:cs="Times New Roman"/>
          <w:color w:val="000000"/>
          <w:spacing w:val="0"/>
          <w:w w:val="100"/>
          <w:position w:val="0"/>
        </w:rPr>
        <w:t xml:space="preserve">2021- </w:t>
      </w:r>
      <w:r>
        <w:rPr>
          <w:rFonts w:ascii="Times New Roman" w:eastAsia="Times New Roman" w:hAnsi="Times New Roman" w:cs="Times New Roman"/>
          <w:color w:val="000000"/>
          <w:spacing w:val="0"/>
          <w:w w:val="100"/>
          <w:position w:val="0"/>
        </w:rPr>
        <w:t>122</w:t>
      </w:r>
      <w:r>
        <w:rPr>
          <w:color w:val="000000"/>
          <w:spacing w:val="0"/>
          <w:w w:val="100"/>
          <w:position w:val="0"/>
        </w:rPr>
        <w:t>）、《关于以集中竞价方式回购公司股份的回购报告书》（公告编号：</w:t>
      </w:r>
      <w:r>
        <w:rPr>
          <w:rFonts w:ascii="Times New Roman" w:eastAsia="Times New Roman" w:hAnsi="Times New Roman" w:cs="Times New Roman"/>
          <w:color w:val="000000"/>
          <w:spacing w:val="0"/>
          <w:w w:val="100"/>
          <w:position w:val="0"/>
        </w:rPr>
        <w:t>2021-126</w:t>
      </w:r>
      <w:r>
        <w:rPr>
          <w:color w:val="000000"/>
          <w:spacing w:val="0"/>
          <w:w w:val="100"/>
          <w:position w:val="0"/>
        </w:rPr>
        <w:t>）</w:t>
      </w:r>
      <w:r>
        <w:rPr>
          <w:color w:val="000000"/>
          <w:spacing w:val="0"/>
          <w:w w:val="100"/>
          <w:position w:val="0"/>
        </w:rPr>
        <w:t>等相关公告。公司分别于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rFonts w:ascii="Times New Roman" w:eastAsia="Times New Roman" w:hAnsi="Times New Roman" w:cs="Times New Roman"/>
          <w:color w:val="000000"/>
          <w:spacing w:val="0"/>
          <w:w w:val="100"/>
          <w:position w:val="0"/>
        </w:rPr>
        <w:t xml:space="preserve"> </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日在巨潮资讯网披露了《关于回购公司股份的进展公告》（公告编号：</w:t>
      </w:r>
      <w:r>
        <w:rPr>
          <w:rFonts w:ascii="Times New Roman" w:eastAsia="Times New Roman" w:hAnsi="Times New Roman" w:cs="Times New Roman"/>
          <w:color w:val="000000"/>
          <w:spacing w:val="0"/>
          <w:w w:val="100"/>
          <w:position w:val="0"/>
        </w:rPr>
        <w:t>2021-127</w:t>
      </w:r>
      <w:r>
        <w:rPr>
          <w:color w:val="000000"/>
          <w:spacing w:val="0"/>
          <w:w w:val="100"/>
          <w:position w:val="0"/>
        </w:rPr>
        <w:t>）</w:t>
      </w:r>
      <w:r>
        <w:rPr>
          <w:color w:val="000000"/>
          <w:spacing w:val="0"/>
          <w:w w:val="100"/>
          <w:position w:val="0"/>
        </w:rPr>
        <w:t>、《关于 回购公司股份的进展公告》（公告编号：</w:t>
      </w:r>
      <w:r>
        <w:rPr>
          <w:rFonts w:ascii="Times New Roman" w:eastAsia="Times New Roman" w:hAnsi="Times New Roman" w:cs="Times New Roman"/>
          <w:color w:val="000000"/>
          <w:spacing w:val="0"/>
          <w:w w:val="100"/>
          <w:position w:val="0"/>
        </w:rPr>
        <w:t>2021-130</w:t>
      </w:r>
      <w:r>
        <w:rPr>
          <w:color w:val="000000"/>
          <w:spacing w:val="0"/>
          <w:w w:val="100"/>
          <w:position w:val="0"/>
        </w:rPr>
        <w:t>）</w:t>
      </w:r>
      <w:r>
        <w:rPr>
          <w:color w:val="000000"/>
          <w:spacing w:val="0"/>
          <w:w w:val="100"/>
          <w:position w:val="0"/>
        </w:rPr>
        <w:t>、《关于回购股份进展暨首次回购公司股份的公告》（公告编号：</w:t>
      </w:r>
      <w:r>
        <w:rPr>
          <w:rFonts w:ascii="Times New Roman" w:eastAsia="Times New Roman" w:hAnsi="Times New Roman" w:cs="Times New Roman"/>
          <w:color w:val="000000"/>
          <w:spacing w:val="0"/>
          <w:w w:val="100"/>
          <w:position w:val="0"/>
        </w:rPr>
        <w:t xml:space="preserve">2022- </w:t>
      </w:r>
      <w:r>
        <w:rPr>
          <w:rFonts w:ascii="Times New Roman" w:eastAsia="Times New Roman" w:hAnsi="Times New Roman" w:cs="Times New Roman"/>
          <w:color w:val="000000"/>
          <w:spacing w:val="0"/>
          <w:w w:val="100"/>
          <w:position w:val="0"/>
        </w:rPr>
        <w:t>001</w:t>
      </w:r>
      <w:r>
        <w:rPr>
          <w:color w:val="000000"/>
          <w:spacing w:val="0"/>
          <w:w w:val="100"/>
          <w:position w:val="0"/>
        </w:rPr>
        <w:t>）。</w:t>
      </w:r>
    </w:p>
    <w:p>
      <w:pPr>
        <w:pStyle w:val="Style17"/>
        <w:keepNext w:val="0"/>
        <w:keepLines w:val="0"/>
        <w:widowControl w:val="0"/>
        <w:shd w:val="clear" w:color="auto" w:fill="auto"/>
        <w:bidi w:val="0"/>
        <w:spacing w:before="0" w:after="120" w:line="311" w:lineRule="exact"/>
        <w:ind w:left="0" w:right="0"/>
        <w:jc w:val="both"/>
      </w:pPr>
      <w:bookmarkStart w:id="665" w:name="bookmark665"/>
      <w:r>
        <w:rPr>
          <w:rFonts w:ascii="Times New Roman" w:eastAsia="Times New Roman" w:hAnsi="Times New Roman" w:cs="Times New Roman"/>
          <w:color w:val="000000"/>
          <w:spacing w:val="0"/>
          <w:w w:val="100"/>
          <w:position w:val="0"/>
        </w:rPr>
        <w:t>2</w:t>
      </w:r>
      <w:bookmarkEnd w:id="665"/>
      <w:r>
        <w:rPr>
          <w:color w:val="000000"/>
          <w:spacing w:val="0"/>
          <w:w w:val="100"/>
          <w:position w:val="0"/>
        </w:rPr>
        <w:t>、 根据市场和公司实际情况，结合公司未来发展前景的信心和公司员工激励的需求，公司于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日召开第三届 董事会第五次会议和第三届监事会第五次会议，分别审议通过了《关于调整</w:t>
      </w:r>
      <w:r>
        <w:rPr>
          <w:rFonts w:ascii="Times New Roman" w:eastAsia="Times New Roman" w:hAnsi="Times New Roman" w:cs="Times New Roman"/>
          <w:color w:val="000000"/>
          <w:spacing w:val="0"/>
          <w:w w:val="100"/>
          <w:position w:val="0"/>
        </w:rPr>
        <w:t>2021</w:t>
      </w:r>
      <w:r>
        <w:rPr>
          <w:color w:val="000000"/>
          <w:spacing w:val="0"/>
          <w:w w:val="100"/>
          <w:position w:val="0"/>
        </w:rPr>
        <w:t>年以集中竞价方式回购公司股份方案的议 案》，同意对公司第三届董事会第三次会议审议通过的</w:t>
      </w:r>
      <w:r>
        <w:rPr>
          <w:rFonts w:ascii="Times New Roman" w:eastAsia="Times New Roman" w:hAnsi="Times New Roman" w:cs="Times New Roman"/>
          <w:color w:val="000000"/>
          <w:spacing w:val="0"/>
          <w:w w:val="100"/>
          <w:position w:val="0"/>
        </w:rPr>
        <w:t>2021</w:t>
      </w:r>
      <w:r>
        <w:rPr>
          <w:color w:val="000000"/>
          <w:spacing w:val="0"/>
          <w:w w:val="100"/>
          <w:position w:val="0"/>
        </w:rPr>
        <w:t>年以集中竞价方式回购公司股份方案进行调整。本次回购资金总 额由不低于人民币</w:t>
      </w:r>
      <w:r>
        <w:rPr>
          <w:rFonts w:ascii="Times New Roman" w:eastAsia="Times New Roman" w:hAnsi="Times New Roman" w:cs="Times New Roman"/>
          <w:color w:val="000000"/>
          <w:spacing w:val="0"/>
          <w:w w:val="100"/>
          <w:position w:val="0"/>
        </w:rPr>
        <w:t>13,000</w:t>
      </w:r>
      <w:r>
        <w:rPr>
          <w:color w:val="000000"/>
          <w:spacing w:val="0"/>
          <w:w w:val="100"/>
          <w:position w:val="0"/>
        </w:rPr>
        <w:t>万元（含）且不超过人民币</w:t>
      </w:r>
      <w:r>
        <w:rPr>
          <w:rFonts w:ascii="Times New Roman" w:eastAsia="Times New Roman" w:hAnsi="Times New Roman" w:cs="Times New Roman"/>
          <w:color w:val="000000"/>
          <w:spacing w:val="0"/>
          <w:w w:val="100"/>
          <w:position w:val="0"/>
        </w:rPr>
        <w:t>26,000</w:t>
      </w:r>
      <w:r>
        <w:rPr>
          <w:color w:val="000000"/>
          <w:spacing w:val="0"/>
          <w:w w:val="100"/>
          <w:position w:val="0"/>
        </w:rPr>
        <w:t>万元（含）调整为不低于人民币</w:t>
      </w:r>
      <w:r>
        <w:rPr>
          <w:rFonts w:ascii="Times New Roman" w:eastAsia="Times New Roman" w:hAnsi="Times New Roman" w:cs="Times New Roman"/>
          <w:color w:val="000000"/>
          <w:spacing w:val="0"/>
          <w:w w:val="100"/>
          <w:position w:val="0"/>
        </w:rPr>
        <w:t>26,000</w:t>
      </w:r>
      <w:r>
        <w:rPr>
          <w:color w:val="000000"/>
          <w:spacing w:val="0"/>
          <w:w w:val="100"/>
          <w:position w:val="0"/>
        </w:rPr>
        <w:t xml:space="preserve">万元（含）且不超过人民币 </w:t>
      </w:r>
      <w:r>
        <w:rPr>
          <w:rFonts w:ascii="Times New Roman" w:eastAsia="Times New Roman" w:hAnsi="Times New Roman" w:cs="Times New Roman"/>
          <w:color w:val="000000"/>
          <w:spacing w:val="0"/>
          <w:w w:val="100"/>
          <w:position w:val="0"/>
        </w:rPr>
        <w:t>52,000</w:t>
      </w:r>
      <w:r>
        <w:rPr>
          <w:color w:val="000000"/>
          <w:spacing w:val="0"/>
          <w:w w:val="100"/>
          <w:position w:val="0"/>
        </w:rPr>
        <w:t>万元（含）；回购股份价格上限保持不变，为不超过人民币</w:t>
      </w:r>
      <w:r>
        <w:rPr>
          <w:rFonts w:ascii="Times New Roman" w:eastAsia="Times New Roman" w:hAnsi="Times New Roman" w:cs="Times New Roman"/>
          <w:color w:val="000000"/>
          <w:spacing w:val="0"/>
          <w:w w:val="100"/>
          <w:position w:val="0"/>
        </w:rPr>
        <w:t>13 0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股，根据该回购价格上限相应调整回购股份数量。 除增加回购资金总额，同时依据回购价格上限相应调整回购股份数量外，公司</w:t>
      </w:r>
      <w:r>
        <w:rPr>
          <w:rFonts w:ascii="Times New Roman" w:eastAsia="Times New Roman" w:hAnsi="Times New Roman" w:cs="Times New Roman"/>
          <w:color w:val="000000"/>
          <w:spacing w:val="0"/>
          <w:w w:val="100"/>
          <w:position w:val="0"/>
        </w:rPr>
        <w:t>2021</w:t>
      </w:r>
      <w:r>
        <w:rPr>
          <w:color w:val="000000"/>
          <w:spacing w:val="0"/>
          <w:w w:val="100"/>
          <w:position w:val="0"/>
        </w:rPr>
        <w:t>年回购股份方案的其他内容未发生实质变 化。回购方案调整的具体内容详见公司于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披露的《关于调整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color w:val="000000"/>
          <w:spacing w:val="0"/>
          <w:w w:val="100"/>
          <w:position w:val="0"/>
        </w:rPr>
        <w:t xml:space="preserve"> 以集中竞价方式回购公司股份方案的公告》（公告编号：</w:t>
      </w:r>
      <w:r>
        <w:rPr>
          <w:rFonts w:ascii="Times New Roman" w:eastAsia="Times New Roman" w:hAnsi="Times New Roman" w:cs="Times New Roman"/>
          <w:color w:val="000000"/>
          <w:spacing w:val="0"/>
          <w:w w:val="100"/>
          <w:position w:val="0"/>
        </w:rPr>
        <w:t>2022-012</w:t>
      </w:r>
      <w:r>
        <w:rPr>
          <w:color w:val="000000"/>
          <w:spacing w:val="0"/>
          <w:w w:val="100"/>
          <w:position w:val="0"/>
        </w:rPr>
        <w:t>）</w:t>
      </w:r>
      <w:r>
        <w:rPr>
          <w:color w:val="000000"/>
          <w:spacing w:val="0"/>
          <w:w w:val="100"/>
          <w:position w:val="0"/>
        </w:rPr>
        <w:t>。公司分别于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日在巨潮资讯 网披露了《关于回购公司股份的进展公告》（公告编号：</w:t>
      </w:r>
      <w:r>
        <w:rPr>
          <w:rFonts w:ascii="Times New Roman" w:eastAsia="Times New Roman" w:hAnsi="Times New Roman" w:cs="Times New Roman"/>
          <w:color w:val="000000"/>
          <w:spacing w:val="0"/>
          <w:w w:val="100"/>
          <w:position w:val="0"/>
        </w:rPr>
        <w:t>2022-014</w:t>
      </w:r>
      <w:r>
        <w:rPr>
          <w:color w:val="000000"/>
          <w:spacing w:val="0"/>
          <w:w w:val="100"/>
          <w:position w:val="0"/>
        </w:rPr>
        <w:t>）</w:t>
      </w:r>
      <w:r>
        <w:rPr>
          <w:color w:val="000000"/>
          <w:spacing w:val="0"/>
          <w:w w:val="100"/>
          <w:position w:val="0"/>
        </w:rPr>
        <w:t>、《关于回购公司股份的进展公告》（公告编号：</w:t>
      </w:r>
      <w:r>
        <w:rPr>
          <w:rFonts w:ascii="Times New Roman" w:eastAsia="Times New Roman" w:hAnsi="Times New Roman" w:cs="Times New Roman"/>
          <w:color w:val="000000"/>
          <w:spacing w:val="0"/>
          <w:w w:val="100"/>
          <w:position w:val="0"/>
        </w:rPr>
        <w:t xml:space="preserve">2022- </w:t>
      </w:r>
      <w:r>
        <w:rPr>
          <w:rFonts w:ascii="Times New Roman" w:eastAsia="Times New Roman" w:hAnsi="Times New Roman" w:cs="Times New Roman"/>
          <w:color w:val="000000"/>
          <w:spacing w:val="0"/>
          <w:w w:val="100"/>
          <w:position w:val="0"/>
        </w:rPr>
        <w:t>024</w:t>
      </w:r>
      <w:r>
        <w:rPr>
          <w:color w:val="000000"/>
          <w:spacing w:val="0"/>
          <w:w w:val="100"/>
          <w:position w:val="0"/>
        </w:rPr>
        <w:t>）。</w:t>
      </w:r>
    </w:p>
    <w:p>
      <w:pPr>
        <w:pStyle w:val="Style17"/>
        <w:keepNext w:val="0"/>
        <w:keepLines w:val="0"/>
        <w:widowControl w:val="0"/>
        <w:shd w:val="clear" w:color="auto" w:fill="auto"/>
        <w:tabs>
          <w:tab w:pos="654" w:val="left"/>
        </w:tabs>
        <w:bidi w:val="0"/>
        <w:spacing w:before="0" w:after="360" w:line="313" w:lineRule="exact"/>
        <w:ind w:left="0" w:right="0"/>
        <w:jc w:val="both"/>
      </w:pPr>
      <w:bookmarkStart w:id="666" w:name="bookmark666"/>
      <w:r>
        <w:rPr>
          <w:rFonts w:ascii="Times New Roman" w:eastAsia="Times New Roman" w:hAnsi="Times New Roman" w:cs="Times New Roman"/>
          <w:color w:val="000000"/>
          <w:spacing w:val="0"/>
          <w:w w:val="100"/>
          <w:position w:val="0"/>
        </w:rPr>
        <w:t>3</w:t>
      </w:r>
      <w:bookmarkEnd w:id="666"/>
      <w:r>
        <w:rPr>
          <w:color w:val="000000"/>
          <w:spacing w:val="0"/>
          <w:w w:val="100"/>
          <w:position w:val="0"/>
        </w:rPr>
        <w:t>、</w:t>
        <w:tab/>
        <w:t>公司本次回购股份的实施期间为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日，公司通过回购专用证券账户以集中竞价交易方式累 计回购股份数量</w:t>
      </w:r>
      <w:r>
        <w:rPr>
          <w:rFonts w:ascii="Times New Roman" w:eastAsia="Times New Roman" w:hAnsi="Times New Roman" w:cs="Times New Roman"/>
          <w:color w:val="000000"/>
          <w:spacing w:val="0"/>
          <w:w w:val="100"/>
          <w:position w:val="0"/>
        </w:rPr>
        <w:t>4,000,099</w:t>
      </w:r>
      <w:r>
        <w:rPr>
          <w:color w:val="000000"/>
          <w:spacing w:val="0"/>
          <w:w w:val="100"/>
          <w:position w:val="0"/>
        </w:rPr>
        <w:t>股，占公司目前总股本</w:t>
      </w:r>
      <w:r>
        <w:rPr>
          <w:rFonts w:ascii="Times New Roman" w:eastAsia="Times New Roman" w:hAnsi="Times New Roman" w:cs="Times New Roman"/>
          <w:color w:val="000000"/>
          <w:spacing w:val="0"/>
          <w:w w:val="100"/>
          <w:position w:val="0"/>
        </w:rPr>
        <w:t>413,914,325</w:t>
      </w:r>
      <w:r>
        <w:rPr>
          <w:color w:val="000000"/>
          <w:spacing w:val="0"/>
          <w:w w:val="100"/>
          <w:position w:val="0"/>
        </w:rPr>
        <w:t>股的</w:t>
      </w:r>
      <w:r>
        <w:rPr>
          <w:rFonts w:ascii="Times New Roman" w:eastAsia="Times New Roman" w:hAnsi="Times New Roman" w:cs="Times New Roman"/>
          <w:color w:val="000000"/>
          <w:spacing w:val="0"/>
          <w:w w:val="100"/>
          <w:position w:val="0"/>
        </w:rPr>
        <w:t>0.9664%</w:t>
      </w:r>
      <w:r>
        <w:rPr>
          <w:color w:val="000000"/>
          <w:spacing w:val="0"/>
          <w:w w:val="100"/>
          <w:position w:val="0"/>
        </w:rPr>
        <w:t>。最高成交价为</w:t>
      </w:r>
      <w:r>
        <w:rPr>
          <w:rFonts w:ascii="Times New Roman" w:eastAsia="Times New Roman" w:hAnsi="Times New Roman" w:cs="Times New Roman"/>
          <w:color w:val="000000"/>
          <w:spacing w:val="0"/>
          <w:w w:val="100"/>
          <w:position w:val="0"/>
        </w:rPr>
        <w:t>90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74.45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支付的总金额为人民币</w:t>
      </w:r>
      <w:r>
        <w:rPr>
          <w:rFonts w:ascii="Times New Roman" w:eastAsia="Times New Roman" w:hAnsi="Times New Roman" w:cs="Times New Roman"/>
          <w:color w:val="000000"/>
          <w:spacing w:val="0"/>
          <w:w w:val="100"/>
          <w:position w:val="0"/>
        </w:rPr>
        <w:t>336,337,476.54</w:t>
      </w:r>
      <w:r>
        <w:rPr>
          <w:color w:val="000000"/>
          <w:spacing w:val="0"/>
          <w:w w:val="100"/>
          <w:position w:val="0"/>
        </w:rPr>
        <w:t>元（不含交易费用）。截至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日，公司本次回购方案已经实施完毕。本次回购 符合既定的回购股份方案及相关法律法规的要求。具体内容详见公司于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日在巨潮资讯网披露的《关于股份回购 实施完成暨股份变动公告》（公告编号：</w:t>
      </w:r>
      <w:r>
        <w:rPr>
          <w:rFonts w:ascii="Times New Roman" w:eastAsia="Times New Roman" w:hAnsi="Times New Roman" w:cs="Times New Roman"/>
          <w:color w:val="000000"/>
          <w:spacing w:val="0"/>
          <w:w w:val="100"/>
          <w:position w:val="0"/>
        </w:rPr>
        <w:t>2022-028</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both"/>
      </w:pPr>
      <w:bookmarkStart w:id="667" w:name="bookmark667"/>
      <w:bookmarkStart w:id="668" w:name="bookmark668"/>
      <w:bookmarkStart w:id="669" w:name="bookmark669"/>
      <w:r>
        <w:rPr>
          <w:color w:val="000000"/>
          <w:spacing w:val="0"/>
          <w:w w:val="100"/>
          <w:position w:val="0"/>
          <w:sz w:val="24"/>
          <w:szCs w:val="24"/>
        </w:rPr>
        <w:t>十七、公司子公司重大事项</w:t>
      </w:r>
      <w:bookmarkEnd w:id="667"/>
      <w:bookmarkEnd w:id="668"/>
      <w:bookmarkEnd w:id="669"/>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240" w:line="313" w:lineRule="exact"/>
        <w:ind w:left="0" w:right="0"/>
        <w:jc w:val="both"/>
      </w:pPr>
      <w:r>
        <w:rPr>
          <w:color w:val="000000"/>
          <w:spacing w:val="0"/>
          <w:w w:val="100"/>
          <w:position w:val="0"/>
        </w:rPr>
        <w:t>公司合并报表范围内的子公司廊坊吉比爱于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日以人民币</w:t>
      </w:r>
      <w:r>
        <w:rPr>
          <w:rFonts w:ascii="Times New Roman" w:eastAsia="Times New Roman" w:hAnsi="Times New Roman" w:cs="Times New Roman"/>
          <w:color w:val="000000"/>
          <w:spacing w:val="0"/>
          <w:w w:val="100"/>
          <w:position w:val="0"/>
        </w:rPr>
        <w:t>2,140</w:t>
      </w:r>
      <w:r>
        <w:rPr>
          <w:color w:val="000000"/>
          <w:spacing w:val="0"/>
          <w:w w:val="100"/>
          <w:position w:val="0"/>
        </w:rPr>
        <w:t>万元竞得廊坊市位于东纬一道北侧、幸福路东 侧的</w:t>
      </w:r>
      <w:r>
        <w:rPr>
          <w:rFonts w:ascii="Times New Roman" w:eastAsia="Times New Roman" w:hAnsi="Times New Roman" w:cs="Times New Roman"/>
          <w:color w:val="000000"/>
          <w:spacing w:val="0"/>
          <w:w w:val="100"/>
          <w:position w:val="0"/>
        </w:rPr>
        <w:t>50.4195</w:t>
      </w:r>
      <w:r>
        <w:rPr>
          <w:color w:val="000000"/>
          <w:spacing w:val="0"/>
          <w:w w:val="100"/>
          <w:position w:val="0"/>
        </w:rPr>
        <w:t>亩工业用地；截至本报告披露日，廊坊吉比爱与廊坊市国土资源局开发区分局就该宗地块签署了《国有建设用 地使用权出让合同》（合同编号：</w:t>
      </w:r>
      <w:r>
        <w:rPr>
          <w:rFonts w:ascii="Times New Roman" w:eastAsia="Times New Roman" w:hAnsi="Times New Roman" w:cs="Times New Roman"/>
          <w:color w:val="000000"/>
          <w:spacing w:val="0"/>
          <w:w w:val="100"/>
          <w:position w:val="0"/>
        </w:rPr>
        <w:t>C131000120210016</w:t>
      </w:r>
      <w:r>
        <w:rPr>
          <w:color w:val="000000"/>
          <w:spacing w:val="0"/>
          <w:w w:val="100"/>
          <w:position w:val="0"/>
        </w:rPr>
        <w:t>）</w:t>
      </w:r>
      <w:r>
        <w:rPr>
          <w:color w:val="000000"/>
          <w:spacing w:val="0"/>
          <w:w w:val="100"/>
          <w:position w:val="0"/>
        </w:rPr>
        <w:t xml:space="preserve">。该地块拟新建廊坊吉比爱体外诊断试剂及配套设备生产基地，建成 后有助于扩大产能规模，匹配子公司未来发展需求，符合公司整体战略规划以及经营发展的需要。具体情况详见公司分别于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日发布在巨潮资讯网的《关于子公司竞拍取得国有土地使用权的公告》（公告编号：</w:t>
      </w:r>
      <w:r>
        <w:rPr>
          <w:rFonts w:ascii="Times New Roman" w:eastAsia="Times New Roman" w:hAnsi="Times New Roman" w:cs="Times New Roman"/>
          <w:color w:val="000000"/>
          <w:spacing w:val="0"/>
          <w:w w:val="100"/>
          <w:position w:val="0"/>
        </w:rPr>
        <w:t>2021-101</w:t>
      </w:r>
      <w:r>
        <w:rPr>
          <w:color w:val="000000"/>
          <w:spacing w:val="0"/>
          <w:w w:val="100"/>
          <w:position w:val="0"/>
        </w:rPr>
        <w:t>）、 《关于子公司签署国有建设用地使用权出让合同的公告》（公告编号：</w:t>
      </w:r>
      <w:r>
        <w:rPr>
          <w:rFonts w:ascii="Times New Roman" w:eastAsia="Times New Roman" w:hAnsi="Times New Roman" w:cs="Times New Roman"/>
          <w:color w:val="000000"/>
          <w:spacing w:val="0"/>
          <w:w w:val="100"/>
          <w:position w:val="0"/>
        </w:rPr>
        <w:t>2021-106</w:t>
      </w:r>
      <w:r>
        <w:rPr>
          <w:color w:val="000000"/>
          <w:spacing w:val="0"/>
          <w:w w:val="100"/>
          <w:position w:val="0"/>
        </w:rPr>
        <w:t>）。</w:t>
      </w:r>
      <w:r>
        <w:br w:type="page"/>
      </w:r>
    </w:p>
    <w:p>
      <w:pPr>
        <w:pStyle w:val="Style10"/>
        <w:keepNext/>
        <w:keepLines/>
        <w:widowControl w:val="0"/>
        <w:shd w:val="clear" w:color="auto" w:fill="auto"/>
        <w:bidi w:val="0"/>
        <w:spacing w:before="0" w:after="540" w:line="240" w:lineRule="auto"/>
        <w:ind w:left="0" w:right="0" w:firstLine="0"/>
        <w:jc w:val="center"/>
      </w:pPr>
      <w:bookmarkStart w:id="670" w:name="bookmark670"/>
      <w:bookmarkStart w:id="671" w:name="bookmark671"/>
      <w:bookmarkStart w:id="672" w:name="bookmark672"/>
      <w:r>
        <w:rPr>
          <w:color w:val="000000"/>
          <w:spacing w:val="0"/>
          <w:w w:val="100"/>
          <w:position w:val="0"/>
        </w:rPr>
        <w:t>第七节股份变动及股东情况</w:t>
      </w:r>
      <w:bookmarkEnd w:id="670"/>
      <w:bookmarkEnd w:id="671"/>
      <w:bookmarkEnd w:id="672"/>
    </w:p>
    <w:p>
      <w:pPr>
        <w:pStyle w:val="Style24"/>
        <w:keepNext/>
        <w:keepLines/>
        <w:widowControl w:val="0"/>
        <w:shd w:val="clear" w:color="auto" w:fill="auto"/>
        <w:bidi w:val="0"/>
        <w:spacing w:before="0" w:after="360" w:line="240" w:lineRule="auto"/>
        <w:ind w:left="0" w:right="0" w:firstLine="0"/>
        <w:jc w:val="both"/>
      </w:pPr>
      <w:bookmarkStart w:id="673" w:name="bookmark673"/>
      <w:bookmarkStart w:id="674" w:name="bookmark674"/>
      <w:bookmarkStart w:id="675" w:name="bookmark675"/>
      <w:bookmarkStart w:id="676" w:name="bookmark676"/>
      <w:bookmarkStart w:id="677" w:name="bookmark677"/>
      <w:r>
        <w:rPr>
          <w:color w:val="000000"/>
          <w:spacing w:val="0"/>
          <w:w w:val="100"/>
          <w:position w:val="0"/>
          <w:sz w:val="24"/>
          <w:szCs w:val="24"/>
        </w:rPr>
        <w:t>一</w:t>
      </w:r>
      <w:bookmarkEnd w:id="676"/>
      <w:r>
        <w:rPr>
          <w:color w:val="000000"/>
          <w:spacing w:val="0"/>
          <w:w w:val="100"/>
          <w:position w:val="0"/>
          <w:sz w:val="24"/>
          <w:szCs w:val="24"/>
        </w:rPr>
        <w:t>、股份变动情况</w:t>
      </w:r>
      <w:bookmarkEnd w:id="674"/>
      <w:bookmarkEnd w:id="675"/>
      <w:bookmarkEnd w:id="677"/>
      <w:bookmarkEnd w:id="673"/>
    </w:p>
    <w:p>
      <w:pPr>
        <w:pStyle w:val="Style30"/>
        <w:keepNext/>
        <w:keepLines/>
        <w:widowControl w:val="0"/>
        <w:shd w:val="clear" w:color="auto" w:fill="auto"/>
        <w:bidi w:val="0"/>
        <w:spacing w:before="0" w:line="240" w:lineRule="auto"/>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color w:val="000000"/>
          <w:spacing w:val="0"/>
          <w:w w:val="100"/>
          <w:position w:val="0"/>
        </w:rPr>
        <w:t>、股份变动情况</w:t>
      </w:r>
      <w:bookmarkEnd w:id="678"/>
      <w:bookmarkEnd w:id="679"/>
      <w:bookmarkEnd w:id="6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066"/>
        <w:gridCol w:w="826"/>
        <w:gridCol w:w="946"/>
        <w:gridCol w:w="566"/>
        <w:gridCol w:w="710"/>
        <w:gridCol w:w="706"/>
        <w:gridCol w:w="994"/>
        <w:gridCol w:w="979"/>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151,775,993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-255,075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151,520,918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151,769,093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-248,175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151,520,918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其中：境内法人持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148,773,893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148,773,893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940"/>
              <w:jc w:val="left"/>
            </w:pPr>
            <w:r>
              <w:rPr>
                <w:color w:val="000000"/>
                <w:spacing w:val="0"/>
                <w:w w:val="100"/>
                <w:position w:val="0"/>
              </w:rPr>
              <w:t>境内自然人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-248,175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2,747,025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其中：境外法人持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940"/>
              <w:jc w:val="left"/>
            </w:pPr>
            <w:r>
              <w:rPr>
                <w:color w:val="000000"/>
                <w:spacing w:val="0"/>
                <w:w w:val="100"/>
                <w:position w:val="0"/>
              </w:rPr>
              <w:t>境外自然人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248,324,007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13,814,325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14,069,400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262,393,407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248,324,007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13,814,325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14,069,400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262,393,407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400,100,000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13,814,325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13,814,325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413,914,325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报告期末，公司无限售股份增加</w:t>
      </w:r>
      <w:r>
        <w:rPr>
          <w:rFonts w:ascii="Times New Roman" w:eastAsia="Times New Roman" w:hAnsi="Times New Roman" w:cs="Times New Roman"/>
          <w:color w:val="000000"/>
          <w:spacing w:val="0"/>
          <w:w w:val="100"/>
          <w:position w:val="0"/>
        </w:rPr>
        <w:t>14,069,400</w:t>
      </w:r>
      <w:r>
        <w:rPr>
          <w:color w:val="000000"/>
          <w:spacing w:val="0"/>
          <w:w w:val="100"/>
          <w:position w:val="0"/>
        </w:rPr>
        <w:t>股，具体说明如下：</w:t>
      </w:r>
    </w:p>
    <w:p>
      <w:pPr>
        <w:pStyle w:val="Style17"/>
        <w:keepNext w:val="0"/>
        <w:keepLines w:val="0"/>
        <w:widowControl w:val="0"/>
        <w:shd w:val="clear" w:color="auto" w:fill="auto"/>
        <w:bidi w:val="0"/>
        <w:spacing w:before="0" w:after="120" w:line="307" w:lineRule="exact"/>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、报告期内，公司向特定对象发行的股份于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日解除限售后上市流通，因此无限售条件股份增加</w:t>
      </w:r>
      <w:r>
        <w:rPr>
          <w:rFonts w:ascii="Times New Roman" w:eastAsia="Times New Roman" w:hAnsi="Times New Roman" w:cs="Times New Roman"/>
          <w:color w:val="000000"/>
          <w:spacing w:val="0"/>
          <w:w w:val="100"/>
          <w:position w:val="0"/>
        </w:rPr>
        <w:t>13,814,325</w:t>
      </w:r>
      <w:r>
        <w:rPr>
          <w:color w:val="000000"/>
          <w:spacing w:val="0"/>
          <w:w w:val="100"/>
          <w:position w:val="0"/>
        </w:rPr>
        <w:t>股。</w:t>
      </w:r>
    </w:p>
    <w:p>
      <w:pPr>
        <w:pStyle w:val="Style17"/>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 xml:space="preserve">经中国证券监督管理委员会《关于同意深圳华大基因股份有限公司向特定对象发行股票注册的批复》（证监许可 </w:t>
      </w:r>
      <w:r>
        <w:rPr>
          <w:rFonts w:ascii="Times New Roman" w:eastAsia="Times New Roman" w:hAnsi="Times New Roman" w:cs="Times New Roman"/>
          <w:color w:val="000000"/>
          <w:spacing w:val="0"/>
          <w:w w:val="100"/>
          <w:position w:val="0"/>
        </w:rPr>
        <w:t>[2020]3580</w:t>
      </w:r>
      <w:r>
        <w:rPr>
          <w:color w:val="000000"/>
          <w:spacing w:val="0"/>
          <w:w w:val="100"/>
          <w:position w:val="0"/>
        </w:rPr>
        <w:t>号）同意，公司向华泰证券股份有限公司等</w:t>
      </w:r>
      <w:r>
        <w:rPr>
          <w:rFonts w:ascii="Times New Roman" w:eastAsia="Times New Roman" w:hAnsi="Times New Roman" w:cs="Times New Roman"/>
          <w:color w:val="000000"/>
          <w:spacing w:val="0"/>
          <w:w w:val="100"/>
          <w:position w:val="0"/>
        </w:rPr>
        <w:t>4</w:t>
      </w:r>
      <w:r>
        <w:rPr>
          <w:color w:val="000000"/>
          <w:spacing w:val="0"/>
          <w:w w:val="100"/>
          <w:position w:val="0"/>
        </w:rPr>
        <w:t>名特定对象发行人民币普通股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股，新增股份于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日在深圳证券交易所上市，限售期为上市之日起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日解除限售后上市流通，故报告期内无限售 </w:t>
      </w:r>
      <w:r>
        <w:rPr>
          <w:color w:val="000000"/>
          <w:spacing w:val="0"/>
          <w:w w:val="100"/>
          <w:position w:val="0"/>
        </w:rPr>
        <w:t>条件股增加</w:t>
      </w:r>
      <w:r>
        <w:rPr>
          <w:rFonts w:ascii="Times New Roman" w:eastAsia="Times New Roman" w:hAnsi="Times New Roman" w:cs="Times New Roman"/>
          <w:color w:val="000000"/>
          <w:spacing w:val="0"/>
          <w:w w:val="100"/>
          <w:position w:val="0"/>
        </w:rPr>
        <w:t>13,814,325</w:t>
      </w:r>
      <w:r>
        <w:rPr>
          <w:color w:val="000000"/>
          <w:spacing w:val="0"/>
          <w:w w:val="100"/>
          <w:position w:val="0"/>
        </w:rPr>
        <w:t>股。本次发行完成后，公司总股本由</w:t>
      </w:r>
      <w:r>
        <w:rPr>
          <w:rFonts w:ascii="Times New Roman" w:eastAsia="Times New Roman" w:hAnsi="Times New Roman" w:cs="Times New Roman"/>
          <w:color w:val="000000"/>
          <w:spacing w:val="0"/>
          <w:w w:val="100"/>
          <w:position w:val="0"/>
        </w:rPr>
        <w:t>400,100,000</w:t>
      </w:r>
      <w:r>
        <w:rPr>
          <w:color w:val="000000"/>
          <w:spacing w:val="0"/>
          <w:w w:val="100"/>
          <w:position w:val="0"/>
        </w:rPr>
        <w:t>股增加至</w:t>
      </w:r>
      <w:r>
        <w:rPr>
          <w:rFonts w:ascii="Times New Roman" w:eastAsia="Times New Roman" w:hAnsi="Times New Roman" w:cs="Times New Roman"/>
          <w:color w:val="000000"/>
          <w:spacing w:val="0"/>
          <w:w w:val="100"/>
          <w:position w:val="0"/>
        </w:rPr>
        <w:t>413,914,325</w:t>
      </w:r>
      <w:r>
        <w:rPr>
          <w:color w:val="000000"/>
          <w:spacing w:val="0"/>
          <w:w w:val="100"/>
          <w:position w:val="0"/>
        </w:rPr>
        <w:t>股。具体内容详见公司于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日在巨潮资讯网披露的《向特定对象发行股票发行情况报告书》、《向特定对象发行股 票上市公告书》、《关于向特定对象发行股票限售股份上市流通的提示性公告》（公告编号：</w:t>
      </w:r>
      <w:r>
        <w:rPr>
          <w:rFonts w:ascii="Times New Roman" w:eastAsia="Times New Roman" w:hAnsi="Times New Roman" w:cs="Times New Roman"/>
          <w:color w:val="000000"/>
          <w:spacing w:val="0"/>
          <w:w w:val="100"/>
          <w:position w:val="0"/>
        </w:rPr>
        <w:t>2021-103</w:t>
      </w:r>
      <w:r>
        <w:rPr>
          <w:color w:val="000000"/>
          <w:spacing w:val="0"/>
          <w:w w:val="100"/>
          <w:position w:val="0"/>
        </w:rPr>
        <w:t>）。</w:t>
      </w:r>
    </w:p>
    <w:p>
      <w:pPr>
        <w:pStyle w:val="Style17"/>
        <w:keepNext w:val="0"/>
        <w:keepLines w:val="0"/>
        <w:widowControl w:val="0"/>
        <w:shd w:val="clear" w:color="auto" w:fill="auto"/>
        <w:bidi w:val="0"/>
        <w:spacing w:before="0" w:after="120" w:line="317"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、报告期内，公司高管增持股份、董监高任职变动产生的股份锁定和解锁，导致公司无限售条件股份合计增加</w:t>
      </w:r>
      <w:r>
        <w:rPr>
          <w:rFonts w:ascii="Times New Roman" w:eastAsia="Times New Roman" w:hAnsi="Times New Roman" w:cs="Times New Roman"/>
          <w:color w:val="000000"/>
          <w:spacing w:val="0"/>
          <w:w w:val="100"/>
          <w:position w:val="0"/>
        </w:rPr>
        <w:t xml:space="preserve">255,075 </w:t>
      </w:r>
      <w:r>
        <w:rPr>
          <w:color w:val="000000"/>
          <w:spacing w:val="0"/>
          <w:w w:val="100"/>
          <w:position w:val="0"/>
        </w:rPr>
        <w:t>股。</w:t>
      </w:r>
    </w:p>
    <w:p>
      <w:pPr>
        <w:pStyle w:val="Style17"/>
        <w:keepNext w:val="0"/>
        <w:keepLines w:val="0"/>
        <w:widowControl w:val="0"/>
        <w:shd w:val="clear" w:color="auto" w:fill="auto"/>
        <w:tabs>
          <w:tab w:pos="857" w:val="left"/>
        </w:tabs>
        <w:bidi w:val="0"/>
        <w:spacing w:before="0" w:after="120" w:line="298" w:lineRule="exact"/>
        <w:ind w:left="0" w:right="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w:t>
        <w:tab/>
        <w:t>报告期内，因公司董监高任职变动产生的股份锁定导致有限售条件股份增加</w:t>
      </w:r>
      <w:r>
        <w:rPr>
          <w:rFonts w:ascii="Times New Roman" w:eastAsia="Times New Roman" w:hAnsi="Times New Roman" w:cs="Times New Roman"/>
          <w:color w:val="000000"/>
          <w:spacing w:val="0"/>
          <w:w w:val="100"/>
          <w:position w:val="0"/>
        </w:rPr>
        <w:t>416,700</w:t>
      </w:r>
      <w:r>
        <w:rPr>
          <w:color w:val="000000"/>
          <w:spacing w:val="0"/>
          <w:w w:val="100"/>
          <w:position w:val="0"/>
        </w:rPr>
        <w:t xml:space="preserve">股，无限售条件股份相应减少 </w:t>
      </w:r>
      <w:r>
        <w:rPr>
          <w:rFonts w:ascii="Times New Roman" w:eastAsia="Times New Roman" w:hAnsi="Times New Roman" w:cs="Times New Roman"/>
          <w:color w:val="000000"/>
          <w:spacing w:val="0"/>
          <w:w w:val="100"/>
          <w:position w:val="0"/>
        </w:rPr>
        <w:t>416,700</w:t>
      </w:r>
      <w:r>
        <w:rPr>
          <w:color w:val="000000"/>
          <w:spacing w:val="0"/>
          <w:w w:val="100"/>
          <w:position w:val="0"/>
        </w:rPr>
        <w:t>股，具体如下：</w:t>
      </w:r>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报告期内，公司实际控制人、董事长汪建先生增持公司股份</w:t>
      </w:r>
      <w:r>
        <w:rPr>
          <w:rFonts w:ascii="Times New Roman" w:eastAsia="Times New Roman" w:hAnsi="Times New Roman" w:cs="Times New Roman"/>
          <w:color w:val="000000"/>
          <w:spacing w:val="0"/>
          <w:w w:val="100"/>
          <w:position w:val="0"/>
        </w:rPr>
        <w:t>301,100</w:t>
      </w:r>
      <w:r>
        <w:rPr>
          <w:color w:val="000000"/>
          <w:spacing w:val="0"/>
          <w:w w:val="100"/>
          <w:position w:val="0"/>
        </w:rPr>
        <w:t>股，根据高管任期内所持股份</w:t>
      </w:r>
      <w:r>
        <w:rPr>
          <w:rFonts w:ascii="Times New Roman" w:eastAsia="Times New Roman" w:hAnsi="Times New Roman" w:cs="Times New Roman"/>
          <w:color w:val="000000"/>
          <w:spacing w:val="0"/>
          <w:w w:val="100"/>
          <w:position w:val="0"/>
        </w:rPr>
        <w:t>75%</w:t>
      </w:r>
      <w:r>
        <w:rPr>
          <w:color w:val="000000"/>
          <w:spacing w:val="0"/>
          <w:w w:val="100"/>
          <w:position w:val="0"/>
        </w:rPr>
        <w:t>锁定的规定，因此 有限售条件股份增加</w:t>
      </w:r>
      <w:r>
        <w:rPr>
          <w:rFonts w:ascii="Times New Roman" w:eastAsia="Times New Roman" w:hAnsi="Times New Roman" w:cs="Times New Roman"/>
          <w:color w:val="000000"/>
          <w:spacing w:val="0"/>
          <w:w w:val="100"/>
          <w:position w:val="0"/>
        </w:rPr>
        <w:t>225,825</w:t>
      </w:r>
      <w:r>
        <w:rPr>
          <w:color w:val="000000"/>
          <w:spacing w:val="0"/>
          <w:w w:val="100"/>
          <w:position w:val="0"/>
        </w:rPr>
        <w:t>股；</w:t>
      </w:r>
    </w:p>
    <w:p>
      <w:pPr>
        <w:pStyle w:val="Style17"/>
        <w:keepNext w:val="0"/>
        <w:keepLines w:val="0"/>
        <w:widowControl w:val="0"/>
        <w:shd w:val="clear" w:color="auto" w:fill="auto"/>
        <w:bidi w:val="0"/>
        <w:spacing w:before="0" w:after="120" w:line="298" w:lineRule="exact"/>
        <w:ind w:left="0" w:right="0"/>
        <w:jc w:val="both"/>
      </w:pPr>
      <w:r>
        <w:rPr>
          <w:color w:val="000000"/>
          <w:spacing w:val="0"/>
          <w:w w:val="100"/>
          <w:position w:val="0"/>
        </w:rPr>
        <w:t>报告期内，赵立见先生被选举为公司董事及被聘任为高管、李宁先生被聘任为高管，两者持有的股票</w:t>
      </w:r>
      <w:r>
        <w:rPr>
          <w:rFonts w:ascii="Times New Roman" w:eastAsia="Times New Roman" w:hAnsi="Times New Roman" w:cs="Times New Roman"/>
          <w:color w:val="000000"/>
          <w:spacing w:val="0"/>
          <w:w w:val="100"/>
          <w:position w:val="0"/>
        </w:rPr>
        <w:t>208,900</w:t>
      </w:r>
      <w:r>
        <w:rPr>
          <w:color w:val="000000"/>
          <w:spacing w:val="0"/>
          <w:w w:val="100"/>
          <w:position w:val="0"/>
        </w:rPr>
        <w:t>股按照任 期内锁定</w:t>
      </w:r>
      <w:r>
        <w:rPr>
          <w:rFonts w:ascii="Times New Roman" w:eastAsia="Times New Roman" w:hAnsi="Times New Roman" w:cs="Times New Roman"/>
          <w:color w:val="000000"/>
          <w:spacing w:val="0"/>
          <w:w w:val="100"/>
          <w:position w:val="0"/>
        </w:rPr>
        <w:t>75%</w:t>
      </w:r>
      <w:r>
        <w:rPr>
          <w:color w:val="000000"/>
          <w:spacing w:val="0"/>
          <w:w w:val="100"/>
          <w:position w:val="0"/>
        </w:rPr>
        <w:t>的规定进行锁定，因此有限售条件股份增加</w:t>
      </w:r>
      <w:r>
        <w:rPr>
          <w:rFonts w:ascii="Times New Roman" w:eastAsia="Times New Roman" w:hAnsi="Times New Roman" w:cs="Times New Roman"/>
          <w:color w:val="000000"/>
          <w:spacing w:val="0"/>
          <w:w w:val="100"/>
          <w:position w:val="0"/>
        </w:rPr>
        <w:t>156,675</w:t>
      </w:r>
      <w:r>
        <w:rPr>
          <w:color w:val="000000"/>
          <w:spacing w:val="0"/>
          <w:w w:val="100"/>
          <w:position w:val="0"/>
        </w:rPr>
        <w:t>股。</w:t>
      </w:r>
    </w:p>
    <w:p>
      <w:pPr>
        <w:pStyle w:val="Style17"/>
        <w:keepNext w:val="0"/>
        <w:keepLines w:val="0"/>
        <w:widowControl w:val="0"/>
        <w:shd w:val="clear" w:color="auto" w:fill="auto"/>
        <w:bidi w:val="0"/>
        <w:spacing w:before="0" w:after="120" w:line="302" w:lineRule="exact"/>
        <w:ind w:left="0" w:right="0"/>
        <w:jc w:val="both"/>
      </w:pPr>
      <w:r>
        <w:rPr>
          <w:color w:val="000000"/>
          <w:spacing w:val="0"/>
          <w:w w:val="100"/>
          <w:position w:val="0"/>
        </w:rPr>
        <w:t>报告期内，公司高管刘娜女士增持公司股份</w:t>
      </w:r>
      <w:r>
        <w:rPr>
          <w:rFonts w:ascii="Times New Roman" w:eastAsia="Times New Roman" w:hAnsi="Times New Roman" w:cs="Times New Roman"/>
          <w:color w:val="000000"/>
          <w:spacing w:val="0"/>
          <w:w w:val="100"/>
          <w:position w:val="0"/>
        </w:rPr>
        <w:t>40,900</w:t>
      </w:r>
      <w:r>
        <w:rPr>
          <w:color w:val="000000"/>
          <w:spacing w:val="0"/>
          <w:w w:val="100"/>
          <w:position w:val="0"/>
        </w:rPr>
        <w:t>股，根据高管任期内所持股份</w:t>
      </w:r>
      <w:r>
        <w:rPr>
          <w:rFonts w:ascii="Times New Roman" w:eastAsia="Times New Roman" w:hAnsi="Times New Roman" w:cs="Times New Roman"/>
          <w:color w:val="000000"/>
          <w:spacing w:val="0"/>
          <w:w w:val="100"/>
          <w:position w:val="0"/>
        </w:rPr>
        <w:t>75%</w:t>
      </w:r>
      <w:r>
        <w:rPr>
          <w:color w:val="000000"/>
          <w:spacing w:val="0"/>
          <w:w w:val="100"/>
          <w:position w:val="0"/>
        </w:rPr>
        <w:t>锁定的规定，因此有限售条件股份 增加</w:t>
      </w:r>
      <w:r>
        <w:rPr>
          <w:rFonts w:ascii="Times New Roman" w:eastAsia="Times New Roman" w:hAnsi="Times New Roman" w:cs="Times New Roman"/>
          <w:color w:val="000000"/>
          <w:spacing w:val="0"/>
          <w:w w:val="100"/>
          <w:position w:val="0"/>
        </w:rPr>
        <w:t>30,675</w:t>
      </w:r>
      <w:r>
        <w:rPr>
          <w:color w:val="000000"/>
          <w:spacing w:val="0"/>
          <w:w w:val="100"/>
          <w:position w:val="0"/>
        </w:rPr>
        <w:t>股；</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日披露了副总经理陈轶青先生的辞任公告，陈轶青先生于任期内离任，自离任之日起六个月内，不得 转让其持有的公司股份，其持有的公司股份自离任之日起由</w:t>
      </w:r>
      <w:r>
        <w:rPr>
          <w:rFonts w:ascii="Times New Roman" w:eastAsia="Times New Roman" w:hAnsi="Times New Roman" w:cs="Times New Roman"/>
          <w:color w:val="000000"/>
          <w:spacing w:val="0"/>
          <w:w w:val="100"/>
          <w:position w:val="0"/>
        </w:rPr>
        <w:t>75%</w:t>
      </w:r>
      <w:r>
        <w:rPr>
          <w:color w:val="000000"/>
          <w:spacing w:val="0"/>
          <w:w w:val="100"/>
          <w:position w:val="0"/>
        </w:rPr>
        <w:t>锁定变更为</w:t>
      </w:r>
      <w:r>
        <w:rPr>
          <w:rFonts w:ascii="Times New Roman" w:eastAsia="Times New Roman" w:hAnsi="Times New Roman" w:cs="Times New Roman"/>
          <w:color w:val="000000"/>
          <w:spacing w:val="0"/>
          <w:w w:val="100"/>
          <w:position w:val="0"/>
        </w:rPr>
        <w:t>100%</w:t>
      </w:r>
      <w:r>
        <w:rPr>
          <w:color w:val="000000"/>
          <w:spacing w:val="0"/>
          <w:w w:val="100"/>
          <w:position w:val="0"/>
        </w:rPr>
        <w:t>锁定</w:t>
      </w:r>
      <w:r>
        <w:rPr>
          <w:rFonts w:ascii="Times New Roman" w:eastAsia="Times New Roman" w:hAnsi="Times New Roman" w:cs="Times New Roman"/>
          <w:color w:val="000000"/>
          <w:spacing w:val="0"/>
          <w:w w:val="100"/>
          <w:position w:val="0"/>
        </w:rPr>
        <w:t>6</w:t>
      </w:r>
      <w:r>
        <w:rPr>
          <w:color w:val="000000"/>
          <w:spacing w:val="0"/>
          <w:w w:val="100"/>
          <w:position w:val="0"/>
        </w:rPr>
        <w:t>个月，因此报告期末公司有限售条件 股份增加</w:t>
      </w:r>
      <w:r>
        <w:rPr>
          <w:rFonts w:ascii="Times New Roman" w:eastAsia="Times New Roman" w:hAnsi="Times New Roman" w:cs="Times New Roman"/>
          <w:color w:val="000000"/>
          <w:spacing w:val="0"/>
          <w:w w:val="100"/>
          <w:position w:val="0"/>
        </w:rPr>
        <w:t>3,525</w:t>
      </w:r>
      <w:r>
        <w:rPr>
          <w:color w:val="000000"/>
          <w:spacing w:val="0"/>
          <w:w w:val="100"/>
          <w:position w:val="0"/>
        </w:rPr>
        <w:t>股。</w:t>
      </w:r>
    </w:p>
    <w:p>
      <w:pPr>
        <w:pStyle w:val="Style17"/>
        <w:keepNext w:val="0"/>
        <w:keepLines w:val="0"/>
        <w:widowControl w:val="0"/>
        <w:shd w:val="clear" w:color="auto" w:fill="auto"/>
        <w:tabs>
          <w:tab w:pos="773" w:val="left"/>
        </w:tabs>
        <w:bidi w:val="0"/>
        <w:spacing w:before="0" w:after="120" w:line="310" w:lineRule="exact"/>
        <w:ind w:left="0" w:right="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2</w:t>
      </w:r>
      <w:r>
        <w:rPr>
          <w:color w:val="000000"/>
          <w:spacing w:val="0"/>
          <w:w w:val="100"/>
          <w:position w:val="0"/>
        </w:rPr>
        <w:t>）</w:t>
        <w:tab/>
        <w:t>报告期内因公司董监高任职变动产生的股份锁定和解锁导致无限售条件股份增加</w:t>
      </w:r>
      <w:r>
        <w:rPr>
          <w:rFonts w:ascii="Times New Roman" w:eastAsia="Times New Roman" w:hAnsi="Times New Roman" w:cs="Times New Roman"/>
          <w:color w:val="000000"/>
          <w:spacing w:val="0"/>
          <w:w w:val="100"/>
          <w:position w:val="0"/>
        </w:rPr>
        <w:t>671,775</w:t>
      </w:r>
      <w:r>
        <w:rPr>
          <w:color w:val="000000"/>
          <w:spacing w:val="0"/>
          <w:w w:val="100"/>
          <w:position w:val="0"/>
        </w:rPr>
        <w:t>股，具体如下：</w:t>
      </w:r>
    </w:p>
    <w:p>
      <w:pPr>
        <w:pStyle w:val="Style17"/>
        <w:keepNext w:val="0"/>
        <w:keepLines w:val="0"/>
        <w:widowControl w:val="0"/>
        <w:shd w:val="clear" w:color="auto" w:fill="auto"/>
        <w:bidi w:val="0"/>
        <w:spacing w:before="0" w:after="120" w:line="310" w:lineRule="exact"/>
        <w:ind w:left="0" w:right="0"/>
        <w:jc w:val="both"/>
      </w:pPr>
      <w:r>
        <w:rPr>
          <w:color w:val="000000"/>
          <w:spacing w:val="0"/>
          <w:w w:val="100"/>
          <w:position w:val="0"/>
        </w:rPr>
        <w:t>报告期内，公司第二届董事会、监事会、高级管理人员任期于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日届满。公司已于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日完成了董事 会、监事会的换届选举和高级管理人员的换届聘任。公司董事孙英俊先生，监事李松岗先生、高管李治平先生任期届满离任， 三者持有的</w:t>
      </w:r>
      <w:r>
        <w:rPr>
          <w:rFonts w:ascii="Times New Roman" w:eastAsia="Times New Roman" w:hAnsi="Times New Roman" w:cs="Times New Roman"/>
          <w:color w:val="000000"/>
          <w:spacing w:val="0"/>
          <w:w w:val="100"/>
          <w:position w:val="0"/>
        </w:rPr>
        <w:t>886,500</w:t>
      </w:r>
      <w:r>
        <w:rPr>
          <w:color w:val="000000"/>
          <w:spacing w:val="0"/>
          <w:w w:val="100"/>
          <w:position w:val="0"/>
        </w:rPr>
        <w:t>股由任期内锁定</w:t>
      </w:r>
      <w:r>
        <w:rPr>
          <w:rFonts w:ascii="Times New Roman" w:eastAsia="Times New Roman" w:hAnsi="Times New Roman" w:cs="Times New Roman"/>
          <w:color w:val="000000"/>
          <w:spacing w:val="0"/>
          <w:w w:val="100"/>
          <w:position w:val="0"/>
        </w:rPr>
        <w:t>75%</w:t>
      </w:r>
      <w:r>
        <w:rPr>
          <w:color w:val="000000"/>
          <w:spacing w:val="0"/>
          <w:w w:val="100"/>
          <w:position w:val="0"/>
        </w:rPr>
        <w:t>变为任期届满之日起</w:t>
      </w:r>
      <w:r>
        <w:rPr>
          <w:rFonts w:ascii="Times New Roman" w:eastAsia="Times New Roman" w:hAnsi="Times New Roman" w:cs="Times New Roman"/>
          <w:color w:val="000000"/>
          <w:spacing w:val="0"/>
          <w:w w:val="100"/>
          <w:position w:val="0"/>
        </w:rPr>
        <w:t>100%</w:t>
      </w:r>
      <w:r>
        <w:rPr>
          <w:color w:val="000000"/>
          <w:spacing w:val="0"/>
          <w:w w:val="100"/>
          <w:position w:val="0"/>
        </w:rPr>
        <w:t>锁定</w:t>
      </w:r>
      <w:r>
        <w:rPr>
          <w:rFonts w:ascii="Times New Roman" w:eastAsia="Times New Roman" w:hAnsi="Times New Roman" w:cs="Times New Roman"/>
          <w:color w:val="000000"/>
          <w:spacing w:val="0"/>
          <w:w w:val="100"/>
          <w:position w:val="0"/>
        </w:rPr>
        <w:t>6</w:t>
      </w:r>
      <w:r>
        <w:rPr>
          <w:color w:val="000000"/>
          <w:spacing w:val="0"/>
          <w:w w:val="100"/>
          <w:position w:val="0"/>
        </w:rPr>
        <w:t>个月，直至报告期末已</w:t>
      </w:r>
      <w:r>
        <w:rPr>
          <w:rFonts w:ascii="Times New Roman" w:eastAsia="Times New Roman" w:hAnsi="Times New Roman" w:cs="Times New Roman"/>
          <w:color w:val="000000"/>
          <w:spacing w:val="0"/>
          <w:w w:val="100"/>
          <w:position w:val="0"/>
        </w:rPr>
        <w:t>100%</w:t>
      </w:r>
      <w:r>
        <w:rPr>
          <w:color w:val="000000"/>
          <w:spacing w:val="0"/>
          <w:w w:val="100"/>
          <w:position w:val="0"/>
        </w:rPr>
        <w:t>解锁，因此报告期末公 司无限售条件股份增加</w:t>
      </w:r>
      <w:r>
        <w:rPr>
          <w:rFonts w:ascii="Times New Roman" w:eastAsia="Times New Roman" w:hAnsi="Times New Roman" w:cs="Times New Roman"/>
          <w:color w:val="000000"/>
          <w:spacing w:val="0"/>
          <w:w w:val="100"/>
          <w:position w:val="0"/>
        </w:rPr>
        <w:t>664,875</w:t>
      </w:r>
      <w:r>
        <w:rPr>
          <w:color w:val="000000"/>
          <w:spacing w:val="0"/>
          <w:w w:val="100"/>
          <w:position w:val="0"/>
        </w:rPr>
        <w:t>股。</w:t>
      </w:r>
    </w:p>
    <w:p>
      <w:pPr>
        <w:pStyle w:val="Style1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公司离任高管张凌先生原定任期于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日截止，其持有的公司股份自原定任期届满之后</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100%</w:t>
      </w:r>
      <w:r>
        <w:rPr>
          <w:color w:val="000000"/>
          <w:spacing w:val="0"/>
          <w:w w:val="100"/>
          <w:position w:val="0"/>
        </w:rPr>
        <w:t>解锁，因此报 告期末公司无限售条件股份增加</w:t>
      </w:r>
      <w:r>
        <w:rPr>
          <w:rFonts w:ascii="Times New Roman" w:eastAsia="Times New Roman" w:hAnsi="Times New Roman" w:cs="Times New Roman"/>
          <w:color w:val="000000"/>
          <w:spacing w:val="0"/>
          <w:w w:val="100"/>
          <w:position w:val="0"/>
        </w:rPr>
        <w:t>6,900</w:t>
      </w:r>
      <w:r>
        <w:rPr>
          <w:color w:val="000000"/>
          <w:spacing w:val="0"/>
          <w:w w:val="100"/>
          <w:position w:val="0"/>
        </w:rPr>
        <w:t>股。</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股份变动的批准情况</w:t>
      </w:r>
    </w:p>
    <w:p>
      <w:pPr>
        <w:pStyle w:val="Style1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400" w:line="311" w:lineRule="exact"/>
        <w:ind w:left="0" w:right="0"/>
        <w:jc w:val="both"/>
      </w:pPr>
      <w:r>
        <w:rPr>
          <w:color w:val="000000"/>
          <w:spacing w:val="0"/>
          <w:w w:val="100"/>
          <w:position w:val="0"/>
        </w:rPr>
        <w:t xml:space="preserve">经中国证券监督管理委员会《关于同意深圳华大基因股份有限公司向特定对象发行股票注册的批复》（证监许可 </w:t>
      </w:r>
      <w:r>
        <w:rPr>
          <w:rFonts w:ascii="Times New Roman" w:eastAsia="Times New Roman" w:hAnsi="Times New Roman" w:cs="Times New Roman"/>
          <w:color w:val="000000"/>
          <w:spacing w:val="0"/>
          <w:w w:val="100"/>
          <w:position w:val="0"/>
        </w:rPr>
        <w:t>[2020]3580</w:t>
      </w:r>
      <w:r>
        <w:rPr>
          <w:color w:val="000000"/>
          <w:spacing w:val="0"/>
          <w:w w:val="100"/>
          <w:position w:val="0"/>
        </w:rPr>
        <w:t>号）同意，公司向华泰证券股份有限公司等</w:t>
      </w:r>
      <w:r>
        <w:rPr>
          <w:rFonts w:ascii="Times New Roman" w:eastAsia="Times New Roman" w:hAnsi="Times New Roman" w:cs="Times New Roman"/>
          <w:color w:val="000000"/>
          <w:spacing w:val="0"/>
          <w:w w:val="100"/>
          <w:position w:val="0"/>
        </w:rPr>
        <w:t>4</w:t>
      </w:r>
      <w:r>
        <w:rPr>
          <w:color w:val="000000"/>
          <w:spacing w:val="0"/>
          <w:w w:val="100"/>
          <w:position w:val="0"/>
        </w:rPr>
        <w:t>名特定对象发行人民币普通股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股，新增股份于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日在深圳证券交易所上市。本次发行完成后，公司总股本由</w:t>
      </w:r>
      <w:r>
        <w:rPr>
          <w:rFonts w:ascii="Times New Roman" w:eastAsia="Times New Roman" w:hAnsi="Times New Roman" w:cs="Times New Roman"/>
          <w:color w:val="000000"/>
          <w:spacing w:val="0"/>
          <w:w w:val="100"/>
          <w:position w:val="0"/>
        </w:rPr>
        <w:t>400,100,000</w:t>
      </w:r>
      <w:r>
        <w:rPr>
          <w:color w:val="000000"/>
          <w:spacing w:val="0"/>
          <w:w w:val="100"/>
          <w:position w:val="0"/>
        </w:rPr>
        <w:t>股增加至</w:t>
      </w:r>
      <w:r>
        <w:rPr>
          <w:rFonts w:ascii="Times New Roman" w:eastAsia="Times New Roman" w:hAnsi="Times New Roman" w:cs="Times New Roman"/>
          <w:color w:val="000000"/>
          <w:spacing w:val="0"/>
          <w:w w:val="100"/>
          <w:position w:val="0"/>
        </w:rPr>
        <w:t>413,914,325</w:t>
      </w:r>
      <w:r>
        <w:rPr>
          <w:color w:val="000000"/>
          <w:spacing w:val="0"/>
          <w:w w:val="100"/>
          <w:position w:val="0"/>
        </w:rPr>
        <w:t>股。公司本次向特定对象 发行的新增股份</w:t>
      </w:r>
      <w:r>
        <w:rPr>
          <w:rFonts w:ascii="Times New Roman" w:eastAsia="Times New Roman" w:hAnsi="Times New Roman" w:cs="Times New Roman"/>
          <w:color w:val="000000"/>
          <w:spacing w:val="0"/>
          <w:w w:val="100"/>
          <w:position w:val="0"/>
        </w:rPr>
        <w:t>13,814,325</w:t>
      </w:r>
      <w:r>
        <w:rPr>
          <w:color w:val="000000"/>
          <w:spacing w:val="0"/>
          <w:w w:val="100"/>
          <w:position w:val="0"/>
        </w:rPr>
        <w:t>股全部为有限售条件流通股，新增股份于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日在深圳证券交易所上市，限售期</w:t>
      </w:r>
      <w:r>
        <w:rPr>
          <w:rFonts w:ascii="Times New Roman" w:eastAsia="Times New Roman" w:hAnsi="Times New Roman" w:cs="Times New Roman"/>
          <w:color w:val="000000"/>
          <w:spacing w:val="0"/>
          <w:w w:val="100"/>
          <w:position w:val="0"/>
        </w:rPr>
        <w:t>6</w:t>
      </w:r>
      <w:r>
        <w:rPr>
          <w:color w:val="000000"/>
          <w:spacing w:val="0"/>
          <w:w w:val="100"/>
          <w:position w:val="0"/>
        </w:rPr>
        <w:t>个月，已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日解除限售后上市流通。具体内容详见公司分别于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日在巨潮资讯网 披露的《向特定对象发行股票发行情况报告书》、《向特定对象发行股票上市公告书》、《关于向特定对象发行股票限售股 份上市流通的提示性公告》（公告编号：</w:t>
      </w:r>
      <w:r>
        <w:rPr>
          <w:rFonts w:ascii="Times New Roman" w:eastAsia="Times New Roman" w:hAnsi="Times New Roman" w:cs="Times New Roman"/>
          <w:color w:val="000000"/>
          <w:spacing w:val="0"/>
          <w:w w:val="100"/>
          <w:position w:val="0"/>
        </w:rPr>
        <w:t>2021-103</w:t>
      </w:r>
      <w:r>
        <w:rPr>
          <w:color w:val="000000"/>
          <w:spacing w:val="0"/>
          <w:w w:val="100"/>
          <w:position w:val="0"/>
        </w:rPr>
        <w:t>）。</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股份变动的过户情况</w:t>
      </w:r>
    </w:p>
    <w:p>
      <w:pPr>
        <w:pStyle w:val="Style17"/>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480" w:line="307" w:lineRule="exact"/>
        <w:ind w:left="0" w:right="0"/>
        <w:jc w:val="both"/>
      </w:pPr>
      <w:r>
        <w:rPr>
          <w:color w:val="000000"/>
          <w:spacing w:val="0"/>
          <w:w w:val="100"/>
          <w:position w:val="0"/>
        </w:rPr>
        <w:t xml:space="preserve">经中国证券监督管理委员会《关于同意深圳华大基因股份有限公司向特定对象发行股票注册的批复》（证监许可 </w:t>
      </w:r>
      <w:r>
        <w:rPr>
          <w:rFonts w:ascii="Times New Roman" w:eastAsia="Times New Roman" w:hAnsi="Times New Roman" w:cs="Times New Roman"/>
          <w:color w:val="000000"/>
          <w:spacing w:val="0"/>
          <w:w w:val="100"/>
          <w:position w:val="0"/>
        </w:rPr>
        <w:t>[2020]3580</w:t>
      </w:r>
      <w:r>
        <w:rPr>
          <w:color w:val="000000"/>
          <w:spacing w:val="0"/>
          <w:w w:val="100"/>
          <w:position w:val="0"/>
        </w:rPr>
        <w:t>号）同意，公司向华泰证券股份有限公司等</w:t>
      </w:r>
      <w:r>
        <w:rPr>
          <w:rFonts w:ascii="Times New Roman" w:eastAsia="Times New Roman" w:hAnsi="Times New Roman" w:cs="Times New Roman"/>
          <w:color w:val="000000"/>
          <w:spacing w:val="0"/>
          <w:w w:val="100"/>
          <w:position w:val="0"/>
        </w:rPr>
        <w:t>4</w:t>
      </w:r>
      <w:r>
        <w:rPr>
          <w:color w:val="000000"/>
          <w:spacing w:val="0"/>
          <w:w w:val="100"/>
          <w:position w:val="0"/>
        </w:rPr>
        <w:t>名特定对象发行人民币普通股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 xml:space="preserve">股，新增股份已于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日在深圳证券交易所上市，并于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日解除限售上市流通。</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r>
        <w:br w:type="page"/>
      </w:r>
    </w:p>
    <w:p>
      <w:pPr>
        <w:pStyle w:val="Style1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02" w:lineRule="exact"/>
        <w:ind w:left="0" w:right="0" w:firstLine="0"/>
        <w:jc w:val="distribute"/>
      </w:pPr>
      <w:r>
        <w:rPr>
          <w:color w:val="000000"/>
          <w:spacing w:val="0"/>
          <w:w w:val="100"/>
          <w:position w:val="0"/>
        </w:rPr>
        <w:t>报告期内，公司完成向特定对象发行人民币普通股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股。本次发行完成后，公司总股本由</w:t>
      </w:r>
      <w:r>
        <w:rPr>
          <w:rFonts w:ascii="Times New Roman" w:eastAsia="Times New Roman" w:hAnsi="Times New Roman" w:cs="Times New Roman"/>
          <w:color w:val="000000"/>
          <w:spacing w:val="0"/>
          <w:w w:val="100"/>
          <w:position w:val="0"/>
        </w:rPr>
        <w:t xml:space="preserve">400,100,000 </w:t>
      </w:r>
      <w:r>
        <w:rPr>
          <w:color w:val="000000"/>
          <w:spacing w:val="0"/>
          <w:w w:val="100"/>
          <w:position w:val="0"/>
        </w:rPr>
        <w:t>股增加至</w:t>
      </w:r>
      <w:r>
        <w:rPr>
          <w:rFonts w:ascii="Times New Roman" w:eastAsia="Times New Roman" w:hAnsi="Times New Roman" w:cs="Times New Roman"/>
          <w:color w:val="000000"/>
          <w:spacing w:val="0"/>
          <w:w w:val="100"/>
          <w:position w:val="0"/>
        </w:rPr>
        <w:t>413,914,325</w:t>
      </w:r>
      <w:r>
        <w:rPr>
          <w:color w:val="000000"/>
          <w:spacing w:val="0"/>
          <w:w w:val="100"/>
          <w:position w:val="0"/>
        </w:rPr>
        <w:t>股。本次股份变动对公司基本每股收益和稀释每股收益、归属于公司普通股股东的每股净资产等财务 指标具体影响如下：</w:t>
      </w:r>
    </w:p>
    <w:tbl>
      <w:tblPr>
        <w:tblOverlap w:val="never"/>
        <w:jc w:val="center"/>
        <w:tblLayout w:type="fixed"/>
      </w:tblPr>
      <w:tblGrid>
        <w:gridCol w:w="3408"/>
        <w:gridCol w:w="2976"/>
        <w:gridCol w:w="3130"/>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年（单位：人民币元）</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按原股本计算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按新股本计算</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3.5502</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w:t>
            </w:r>
          </w:p>
        </w:tc>
      </w:tr>
    </w:tbl>
    <w:p>
      <w:pPr>
        <w:widowControl w:val="0"/>
        <w:spacing w:after="3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、限售股份变动情况</w:t>
      </w:r>
      <w:bookmarkEnd w:id="684"/>
      <w:bookmarkEnd w:id="685"/>
      <w:bookmarkEnd w:id="687"/>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70"/>
        <w:gridCol w:w="1133"/>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148,773,893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148,773,893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招商证券股份有限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向特定对象发 行限售股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日解除限 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华泰证券股份有限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8,275,862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8,275,862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向特定对象发 行限售股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日解除限 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中央企业乡村产业 投资基金股份有限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1,379,310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1,379,310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向特定对象发 行限售股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日解除限 售</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天津礼仁投资管理 合伙企业（有限合 伙）一卓越长青私 募证券投资基金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3,469,498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3,469,498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向特定对象发 行限售股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日解除限 售</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任期内执行董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任期内执行董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任期内执行董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杜玉涛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任期内执行董</w:t>
            </w:r>
          </w:p>
        </w:tc>
      </w:tr>
    </w:tbl>
    <w:p>
      <w:pPr>
        <w:spacing w:lineRule="exact" w:line="1"/>
        <w:rPr>
          <w:sz w:val="2"/>
          <w:szCs w:val="2"/>
        </w:rPr>
      </w:pPr>
      <w:r>
        <w:br w:type="page"/>
      </w:r>
    </w:p>
    <w:tbl>
      <w:tblPr>
        <w:tblOverlap w:val="never"/>
        <w:jc w:val="center"/>
        <w:tblLayout w:type="fixed"/>
      </w:tblPr>
      <w:tblGrid>
        <w:gridCol w:w="1570"/>
        <w:gridCol w:w="1133"/>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李雯琪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任期内执行董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胡宇洁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任期内执行董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任期内执行董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任期内执行董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任期内执行董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监高限售规定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孙英俊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高管离任锁定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日解 除限售</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高管离任锁定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日解 除限售</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陈轶青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高管离任锁定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离职后半年内 锁定股份</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，离职半 年后至原定任 期届满（</w:t>
            </w: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日）后</w:t>
            </w:r>
            <w:r>
              <w:rPr>
                <w:rFonts w:ascii="Times New Roman" w:eastAsia="Times New Roman" w:hAnsi="Times New Roman" w:cs="Times New Roman"/>
                <w:color w:val="000000"/>
                <w:spacing w:val="0"/>
                <w:w w:val="100"/>
                <w:position w:val="0"/>
              </w:rPr>
              <w:t>6</w:t>
            </w:r>
            <w:r>
              <w:rPr>
                <w:color w:val="000000"/>
                <w:spacing w:val="0"/>
                <w:w w:val="100"/>
                <w:position w:val="0"/>
              </w:rPr>
              <w:t>个 月内执行高管 股份限售规定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李治平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高管离任锁定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日解 除限售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高管离任锁定 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日解 除限售</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151,775,993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14,452,650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14,707,725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151,520,918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317" w:right="0" w:firstLine="0"/>
        <w:jc w:val="left"/>
      </w:pPr>
      <w:r>
        <w:rPr>
          <w:color w:val="000000"/>
          <w:spacing w:val="0"/>
          <w:w w:val="100"/>
          <w:position w:val="0"/>
        </w:rPr>
        <w:t>注：中央企业乡村产业投资基金股份有限公司的曾用名为中央企业贫困地区产业投资基金股份有限公司。</w:t>
      </w:r>
    </w:p>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二</w:t>
      </w:r>
      <w:bookmarkEnd w:id="690"/>
      <w:r>
        <w:rPr>
          <w:color w:val="000000"/>
          <w:spacing w:val="0"/>
          <w:w w:val="100"/>
          <w:position w:val="0"/>
          <w:sz w:val="24"/>
          <w:szCs w:val="24"/>
        </w:rPr>
        <w:t>、证券发行与上市情况</w:t>
      </w:r>
      <w:bookmarkEnd w:id="688"/>
      <w:bookmarkEnd w:id="689"/>
      <w:bookmarkEnd w:id="691"/>
    </w:p>
    <w:p>
      <w:pPr>
        <w:pStyle w:val="Style30"/>
        <w:keepNext/>
        <w:keepLines/>
        <w:widowControl w:val="0"/>
        <w:shd w:val="clear" w:color="auto" w:fill="auto"/>
        <w:bidi w:val="0"/>
        <w:spacing w:before="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1</w:t>
      </w:r>
      <w:bookmarkEnd w:id="694"/>
      <w:r>
        <w:rPr>
          <w:color w:val="000000"/>
          <w:spacing w:val="0"/>
          <w:w w:val="100"/>
          <w:position w:val="0"/>
        </w:rPr>
        <w:t>、报告期内证券发行（不含优先股）情况</w:t>
      </w:r>
      <w:bookmarkEnd w:id="692"/>
      <w:bookmarkEnd w:id="693"/>
      <w:bookmarkEnd w:id="695"/>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070"/>
        <w:gridCol w:w="1061"/>
        <w:gridCol w:w="1066"/>
        <w:gridCol w:w="1061"/>
        <w:gridCol w:w="1066"/>
        <w:gridCol w:w="1061"/>
        <w:gridCol w:w="1066"/>
        <w:gridCol w:w="1066"/>
        <w:gridCol w:w="107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股票及其衍</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生证券名称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发行价格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获准上市交</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145.00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13,814,325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网：《深圳华 大基因股份 有限公司向 特定对象发 行股票上市 公告书》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32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深圳华大基 因股份有限 公司</w:t>
            </w:r>
            <w:r>
              <w:rPr>
                <w:rFonts w:ascii="Times New Roman" w:eastAsia="Times New Roman" w:hAnsi="Times New Roman" w:cs="Times New Roman"/>
                <w:color w:val="000000"/>
                <w:spacing w:val="0"/>
                <w:w w:val="100"/>
                <w:position w:val="0"/>
              </w:rPr>
              <w:t>2020</w:t>
            </w:r>
            <w:r>
              <w:rPr>
                <w:color w:val="000000"/>
                <w:spacing w:val="0"/>
                <w:w w:val="100"/>
                <w:position w:val="0"/>
              </w:rPr>
              <w:t>年 面向合格投 资者公开发 行公司债券</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（第一期） （品种一）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年面向合格 投资者公开 发行公司债 券（第一 期）在深圳 证券交易所 上市的公 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深圳华大基 因股份有限 公司</w:t>
            </w:r>
            <w:r>
              <w:rPr>
                <w:rFonts w:ascii="Times New Roman" w:eastAsia="Times New Roman" w:hAnsi="Times New Roman" w:cs="Times New Roman"/>
                <w:color w:val="000000"/>
                <w:spacing w:val="0"/>
                <w:w w:val="100"/>
                <w:position w:val="0"/>
              </w:rPr>
              <w:t>2020</w:t>
            </w:r>
            <w:r>
              <w:rPr>
                <w:color w:val="000000"/>
                <w:spacing w:val="0"/>
                <w:w w:val="100"/>
                <w:position w:val="0"/>
              </w:rPr>
              <w:t>年 面向合格投 资者公开发 行公司债券</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（第一期） （品种二）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巨潮资讯 网：《</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年面向合格 投资者公开 发行公司债 券（第一 期）在深圳 证券交易所 上市的公 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99" w:line="1" w:lineRule="exact"/>
      </w:pP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经中国证券监督管理委员会《关于同意深圳华大基因股份有限公司向特定对象发行股票注册的批复》（证监许可 </w:t>
      </w:r>
      <w:r>
        <w:rPr>
          <w:rFonts w:ascii="Times New Roman" w:eastAsia="Times New Roman" w:hAnsi="Times New Roman" w:cs="Times New Roman"/>
          <w:color w:val="000000"/>
          <w:spacing w:val="0"/>
          <w:w w:val="100"/>
          <w:position w:val="0"/>
        </w:rPr>
        <w:t>[2020]3580</w:t>
      </w:r>
      <w:r>
        <w:rPr>
          <w:color w:val="000000"/>
          <w:spacing w:val="0"/>
          <w:w w:val="100"/>
          <w:position w:val="0"/>
        </w:rPr>
        <w:t>号）同意，公司以</w:t>
      </w:r>
      <w:r>
        <w:rPr>
          <w:rFonts w:ascii="Times New Roman" w:eastAsia="Times New Roman" w:hAnsi="Times New Roman" w:cs="Times New Roman"/>
          <w:color w:val="000000"/>
          <w:spacing w:val="0"/>
          <w:w w:val="100"/>
          <w:position w:val="0"/>
        </w:rPr>
        <w:t>145.00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股的价格向特定对象发行了人民币普通股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股，本次发行对象为华泰 证券股份有限公司、招商证券股份有限公司、中央企业贫困地区产业投资基金股份有限公司、天津礼仁投资管理合伙企业 （有限合伙）</w:t>
      </w:r>
      <w:r>
        <w:rPr>
          <w:rFonts w:ascii="Times New Roman" w:eastAsia="Times New Roman" w:hAnsi="Times New Roman" w:cs="Times New Roman"/>
          <w:color w:val="000000"/>
          <w:spacing w:val="0"/>
          <w:w w:val="100"/>
          <w:position w:val="0"/>
        </w:rPr>
        <w:t>4</w:t>
      </w:r>
      <w:r>
        <w:rPr>
          <w:color w:val="000000"/>
          <w:spacing w:val="0"/>
          <w:w w:val="100"/>
          <w:position w:val="0"/>
        </w:rPr>
        <w:t>家企业，新增股份于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日在深交所上市，限售期为股票上市日起</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个月。本次募集资金总额为人民币 </w:t>
      </w:r>
      <w:r>
        <w:rPr>
          <w:rFonts w:ascii="Times New Roman" w:eastAsia="Times New Roman" w:hAnsi="Times New Roman" w:cs="Times New Roman"/>
          <w:color w:val="000000"/>
          <w:spacing w:val="0"/>
          <w:w w:val="100"/>
          <w:position w:val="0"/>
        </w:rPr>
        <w:t>2,003,077,125</w:t>
      </w:r>
      <w:r>
        <w:rPr>
          <w:color w:val="000000"/>
          <w:spacing w:val="0"/>
          <w:w w:val="100"/>
          <w:position w:val="0"/>
        </w:rPr>
        <w:t>元，扣减不含税发行费用人民币</w:t>
      </w:r>
      <w:r>
        <w:rPr>
          <w:rFonts w:ascii="Times New Roman" w:eastAsia="Times New Roman" w:hAnsi="Times New Roman" w:cs="Times New Roman"/>
          <w:color w:val="000000"/>
          <w:spacing w:val="0"/>
          <w:w w:val="100"/>
          <w:position w:val="0"/>
        </w:rPr>
        <w:t>26,432,391.37</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1,976,644,733.63</w:t>
      </w:r>
      <w:r>
        <w:rPr>
          <w:color w:val="000000"/>
          <w:spacing w:val="0"/>
          <w:w w:val="100"/>
          <w:position w:val="0"/>
        </w:rPr>
        <w:t>元。以上募集资金 到账情况已由安永华明会计师事务所（特殊普通合伙）于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日出具的安永华明</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）验字第</w:t>
      </w:r>
      <w:r>
        <w:rPr>
          <w:rFonts w:ascii="Times New Roman" w:eastAsia="Times New Roman" w:hAnsi="Times New Roman" w:cs="Times New Roman"/>
          <w:color w:val="000000"/>
          <w:spacing w:val="0"/>
          <w:w w:val="100"/>
          <w:position w:val="0"/>
        </w:rPr>
        <w:t>61098952_H0</w:t>
      </w:r>
      <w:r>
        <w:rPr>
          <w:rFonts w:ascii="Times New Roman" w:eastAsia="Times New Roman" w:hAnsi="Times New Roman" w:cs="Times New Roman"/>
          <w:color w:val="000000"/>
          <w:spacing w:val="0"/>
          <w:w w:val="100"/>
          <w:position w:val="0"/>
        </w:rPr>
        <w:t>2</w:t>
      </w:r>
      <w:r>
        <w:rPr>
          <w:color w:val="000000"/>
          <w:spacing w:val="0"/>
          <w:w w:val="100"/>
          <w:position w:val="0"/>
        </w:rPr>
        <w:t>号《验 资报告》验证确认。具体内容详见公司分别于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日在巨潮资讯网披露的《向特定对 象发行股票发行情况报告书》、《向特定对象发行股票上市公告书》、《关于向特定对象发行股票限售股份上市流通的提示 性公告》（公告编号：</w:t>
      </w:r>
      <w:r>
        <w:rPr>
          <w:rFonts w:ascii="Times New Roman" w:eastAsia="Times New Roman" w:hAnsi="Times New Roman" w:cs="Times New Roman"/>
          <w:color w:val="000000"/>
          <w:spacing w:val="0"/>
          <w:w w:val="100"/>
          <w:position w:val="0"/>
        </w:rPr>
        <w:t>2021-103</w:t>
      </w:r>
      <w:r>
        <w:rPr>
          <w:color w:val="000000"/>
          <w:spacing w:val="0"/>
          <w:w w:val="100"/>
          <w:position w:val="0"/>
        </w:rPr>
        <w:t>）。</w:t>
      </w:r>
    </w:p>
    <w:p>
      <w:pPr>
        <w:pStyle w:val="Style30"/>
        <w:keepNext/>
        <w:keepLines/>
        <w:widowControl w:val="0"/>
        <w:shd w:val="clear" w:color="auto" w:fill="auto"/>
        <w:tabs>
          <w:tab w:pos="378" w:val="left"/>
        </w:tabs>
        <w:bidi w:val="0"/>
        <w:spacing w:before="0" w:after="28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w:t>
        <w:tab/>
        <w:t>公司股份总数及股东结构的变动、公司资产和负债结构的变动情况说明</w:t>
      </w:r>
      <w:bookmarkEnd w:id="696"/>
      <w:bookmarkEnd w:id="697"/>
      <w:bookmarkEnd w:id="699"/>
    </w:p>
    <w:p>
      <w:pPr>
        <w:pStyle w:val="Style17"/>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09" w:lineRule="exact"/>
        <w:ind w:left="0" w:right="0"/>
        <w:jc w:val="left"/>
      </w:pPr>
      <w:r>
        <w:rPr>
          <w:color w:val="000000"/>
          <w:spacing w:val="0"/>
          <w:w w:val="100"/>
          <w:position w:val="0"/>
        </w:rPr>
        <w:t xml:space="preserve">经中国证券监督管理委员会《关于同意深圳华大基因股份有限公司向特定对象发行股票注册的批复》（证监许可 </w:t>
      </w:r>
      <w:r>
        <w:rPr>
          <w:rFonts w:ascii="Times New Roman" w:eastAsia="Times New Roman" w:hAnsi="Times New Roman" w:cs="Times New Roman"/>
          <w:color w:val="000000"/>
          <w:spacing w:val="0"/>
          <w:w w:val="100"/>
          <w:position w:val="0"/>
        </w:rPr>
        <w:t>[2020]3580</w:t>
      </w:r>
      <w:r>
        <w:rPr>
          <w:color w:val="000000"/>
          <w:spacing w:val="0"/>
          <w:w w:val="100"/>
          <w:position w:val="0"/>
        </w:rPr>
        <w:t>号）同意，公司以</w:t>
      </w:r>
      <w:r>
        <w:rPr>
          <w:rFonts w:ascii="Times New Roman" w:eastAsia="Times New Roman" w:hAnsi="Times New Roman" w:cs="Times New Roman"/>
          <w:color w:val="000000"/>
          <w:spacing w:val="0"/>
          <w:w w:val="100"/>
          <w:position w:val="0"/>
        </w:rPr>
        <w:t>145.00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股的价格向</w:t>
      </w:r>
      <w:r>
        <w:rPr>
          <w:rFonts w:ascii="Times New Roman" w:eastAsia="Times New Roman" w:hAnsi="Times New Roman" w:cs="Times New Roman"/>
          <w:color w:val="000000"/>
          <w:spacing w:val="0"/>
          <w:w w:val="100"/>
          <w:position w:val="0"/>
        </w:rPr>
        <w:t>4</w:t>
      </w:r>
      <w:r>
        <w:rPr>
          <w:color w:val="000000"/>
          <w:spacing w:val="0"/>
          <w:w w:val="100"/>
          <w:position w:val="0"/>
        </w:rPr>
        <w:t>名特定对象发行了人民币普通股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13,814,325</w:t>
      </w:r>
      <w:r>
        <w:rPr>
          <w:color w:val="000000"/>
          <w:spacing w:val="0"/>
          <w:w w:val="100"/>
          <w:position w:val="0"/>
        </w:rPr>
        <w:t>股，新增股份于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日在深交所上市，发行后公司总股本由</w:t>
      </w:r>
      <w:r>
        <w:rPr>
          <w:rFonts w:ascii="Times New Roman" w:eastAsia="Times New Roman" w:hAnsi="Times New Roman" w:cs="Times New Roman"/>
          <w:color w:val="000000"/>
          <w:spacing w:val="0"/>
          <w:w w:val="100"/>
          <w:position w:val="0"/>
        </w:rPr>
        <w:t>400,100,000</w:t>
      </w:r>
      <w:r>
        <w:rPr>
          <w:color w:val="000000"/>
          <w:spacing w:val="0"/>
          <w:w w:val="100"/>
          <w:position w:val="0"/>
        </w:rPr>
        <w:t>股增至</w:t>
      </w:r>
      <w:r>
        <w:rPr>
          <w:rFonts w:ascii="Times New Roman" w:eastAsia="Times New Roman" w:hAnsi="Times New Roman" w:cs="Times New Roman"/>
          <w:color w:val="000000"/>
          <w:spacing w:val="0"/>
          <w:w w:val="100"/>
          <w:position w:val="0"/>
        </w:rPr>
        <w:t>413,914,325</w:t>
      </w:r>
      <w:r>
        <w:rPr>
          <w:color w:val="000000"/>
          <w:spacing w:val="0"/>
          <w:w w:val="100"/>
          <w:position w:val="0"/>
        </w:rPr>
        <w:t>股。具体内容详见公司分别于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日在巨潮资讯网披露的《向特定对象发行股票发行情况报告书》《向特定对象发行股票上市公告书》。</w:t>
      </w:r>
    </w:p>
    <w:p>
      <w:pPr>
        <w:pStyle w:val="Style17"/>
        <w:keepNext w:val="0"/>
        <w:keepLines w:val="0"/>
        <w:widowControl w:val="0"/>
        <w:shd w:val="clear" w:color="auto" w:fill="auto"/>
        <w:bidi w:val="0"/>
        <w:spacing w:before="0" w:after="360" w:line="309" w:lineRule="exact"/>
        <w:ind w:left="0" w:right="0"/>
        <w:jc w:val="left"/>
      </w:pPr>
      <w:r>
        <w:rPr>
          <w:color w:val="000000"/>
          <w:spacing w:val="0"/>
          <w:w w:val="100"/>
          <w:position w:val="0"/>
        </w:rPr>
        <w:t>本次变动后，公司报告期末总资产、净资产较上年末大幅增加，报告期末资产负债率较上年末下降。</w:t>
      </w:r>
    </w:p>
    <w:p>
      <w:pPr>
        <w:pStyle w:val="Style30"/>
        <w:keepNext/>
        <w:keepLines/>
        <w:widowControl w:val="0"/>
        <w:shd w:val="clear" w:color="auto" w:fill="auto"/>
        <w:tabs>
          <w:tab w:pos="378" w:val="left"/>
        </w:tabs>
        <w:bidi w:val="0"/>
        <w:spacing w:before="0" w:after="2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3</w:t>
      </w:r>
      <w:bookmarkEnd w:id="702"/>
      <w:r>
        <w:rPr>
          <w:color w:val="000000"/>
          <w:spacing w:val="0"/>
          <w:w w:val="100"/>
          <w:position w:val="0"/>
        </w:rPr>
        <w:t>、</w:t>
        <w:tab/>
        <w:t>现存的内部职工股情况</w:t>
      </w:r>
      <w:bookmarkEnd w:id="700"/>
      <w:bookmarkEnd w:id="701"/>
      <w:bookmarkEnd w:id="703"/>
    </w:p>
    <w:p>
      <w:pPr>
        <w:pStyle w:val="Style17"/>
        <w:keepNext w:val="0"/>
        <w:keepLines w:val="0"/>
        <w:widowControl w:val="0"/>
        <w:shd w:val="clear" w:color="auto" w:fill="auto"/>
        <w:bidi w:val="0"/>
        <w:spacing w:before="0" w:after="360" w:line="30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三</w:t>
      </w:r>
      <w:bookmarkEnd w:id="706"/>
      <w:r>
        <w:rPr>
          <w:color w:val="000000"/>
          <w:spacing w:val="0"/>
          <w:w w:val="100"/>
          <w:position w:val="0"/>
          <w:sz w:val="24"/>
          <w:szCs w:val="24"/>
        </w:rPr>
        <w:t>、股东和实际控制人情况</w:t>
      </w:r>
      <w:bookmarkEnd w:id="704"/>
      <w:bookmarkEnd w:id="705"/>
      <w:bookmarkEnd w:id="707"/>
    </w:p>
    <w:p>
      <w:pPr>
        <w:pStyle w:val="Style30"/>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、公司股东数量及持股情况</w:t>
      </w:r>
      <w:bookmarkEnd w:id="708"/>
      <w:bookmarkEnd w:id="709"/>
      <w:bookmarkEnd w:id="7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830"/>
        <w:gridCol w:w="758"/>
        <w:gridCol w:w="965"/>
        <w:gridCol w:w="989"/>
        <w:gridCol w:w="1277"/>
        <w:gridCol w:w="1277"/>
        <w:gridCol w:w="850"/>
        <w:gridCol w:w="710"/>
        <w:gridCol w:w="787"/>
      </w:tblGrid>
      <w:tr>
        <w:trPr>
          <w:trHeight w:val="22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报告期末普</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通股股东总</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76,675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83,453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报告期末表 决权恢复的 优先股股东 总数（如 有）（参见 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持有特</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别表决</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权股份</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的股东</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总数</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（如</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报告期末持</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持有有限售条</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持有无限售条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件的股份数量</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深圳华大基 因科技有限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境内非国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148,773,893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148,773,893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79,657,600</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深圳前海华</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大基因投资</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企业（有限</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境内非国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34,470,455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-4,951,945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34,470,455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香港中央结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14,715,224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14,715,224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交通银行股 份有限公司 一万家行业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11,333,314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3,833,187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11,333,314</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830"/>
        <w:gridCol w:w="758"/>
        <w:gridCol w:w="965"/>
        <w:gridCol w:w="989"/>
        <w:gridCol w:w="1277"/>
        <w:gridCol w:w="1277"/>
        <w:gridCol w:w="850"/>
        <w:gridCol w:w="1498"/>
      </w:tblGrid>
      <w:tr>
        <w:trPr>
          <w:trHeight w:val="9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优选混合型 证券投资基 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深圳和玉高</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林股权投资</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合伙企业</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（有限合</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境内非国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7,037,666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-19,292,163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7,037,666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上海瓴仁私 募基金管理 合伙企业</w:t>
            </w:r>
          </w:p>
          <w:p>
            <w:pPr>
              <w:pStyle w:val="Style20"/>
              <w:keepNext w:val="0"/>
              <w:keepLines w:val="0"/>
              <w:widowControl w:val="0"/>
              <w:shd w:val="clear" w:color="auto" w:fill="auto"/>
              <w:bidi w:val="0"/>
              <w:spacing w:before="0" w:after="0" w:line="308" w:lineRule="exact"/>
              <w:ind w:left="0" w:right="0" w:firstLine="0"/>
              <w:jc w:val="left"/>
            </w:pPr>
            <w:r>
              <w:rPr>
                <w:color w:val="000000"/>
                <w:spacing w:val="0"/>
                <w:w w:val="100"/>
                <w:position w:val="0"/>
              </w:rPr>
              <w:t>（有限合 伙）一瓴仁 卓越长青私 募证券投资 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4,037,106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3,287,085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4,037,106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深圳华大三</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生园科技有</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境内非国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3,935,824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3,935,824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中国银行股 份有限公司 一招商国证 生物医药指 数分级证券 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3,032,867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3,032,867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何倩兴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境内自然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2,820,936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2,820,936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境内自然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上述股东中，汪建是深圳华大基因科技有限公司（以下简称华大控股）的控股股东，华大控股 是深圳华大三生园科技有限公司（以下简称华大三生园）的控股股东；华大控股的董事长兼总 经理汪建是华大三生园的董事。除此之外，公司未知上述其他股东之间是否存在关联关系，也 未知其是否属于《上市公司收购管理办法》规定的一致行动人。</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 表决权、放弃表决权情 况的说明</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973"/>
        <w:gridCol w:w="5266"/>
        <w:gridCol w:w="850"/>
        <w:gridCol w:w="1498"/>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专户的特别说明（如 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深圳前海华大基因投资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rFonts w:ascii="Times New Roman" w:eastAsia="Times New Roman" w:hAnsi="Times New Roman" w:cs="Times New Roman"/>
                <w:color w:val="000000"/>
                <w:spacing w:val="0"/>
                <w:w w:val="100"/>
                <w:position w:val="0"/>
              </w:rPr>
              <w:t>34,470,455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34,470,455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rFonts w:ascii="Times New Roman" w:eastAsia="Times New Roman" w:hAnsi="Times New Roman" w:cs="Times New Roman"/>
                <w:color w:val="000000"/>
                <w:spacing w:val="0"/>
                <w:w w:val="100"/>
                <w:position w:val="0"/>
              </w:rPr>
              <w:t>14,715,224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14,715,224</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交通银行股份有限公司 一万家行业优选混合型 证券投资基金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20" w:right="0" w:firstLine="0"/>
              <w:jc w:val="left"/>
            </w:pPr>
            <w:r>
              <w:rPr>
                <w:rFonts w:ascii="Times New Roman" w:eastAsia="Times New Roman" w:hAnsi="Times New Roman" w:cs="Times New Roman"/>
                <w:color w:val="000000"/>
                <w:spacing w:val="0"/>
                <w:w w:val="100"/>
                <w:position w:val="0"/>
              </w:rPr>
              <w:t>11,333,314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11,333,314</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深圳和玉高林股权投资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7,037,666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7,037,666</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上海瓴仁私募基金管理 合伙企业（有限合伙） 一瓴仁卓越长青私募证 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4,037,106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4,037,106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深圳华大三生园科技有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3,935,824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3,935,824</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中国银行股份有限公司 一招商国证生物医药指 数分级证券投资基金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3,032,867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3,032,867</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何倩兴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2,820,936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2,820,936</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中国银行股份有限公司 —华宝中证医疗交易型 开放式指数证券投资基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2,149,332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2,149,332</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深圳华大基因股份有限 公司一第一期员工持股 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2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人民币普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2,000,000</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上述前</w:t>
            </w:r>
            <w:r>
              <w:rPr>
                <w:rFonts w:ascii="Times New Roman" w:eastAsia="Times New Roman" w:hAnsi="Times New Roman" w:cs="Times New Roman"/>
                <w:color w:val="000000"/>
                <w:spacing w:val="0"/>
                <w:w w:val="100"/>
                <w:position w:val="0"/>
              </w:rPr>
              <w:t>10</w:t>
            </w:r>
            <w:r>
              <w:rPr>
                <w:color w:val="000000"/>
                <w:spacing w:val="0"/>
                <w:w w:val="100"/>
                <w:position w:val="0"/>
              </w:rPr>
              <w:t>名股东和前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名无限售流通股股东中，汪建是深圳华大基因科技有限公司（以下简 称华大控股）的控股股东，华大控股是深圳华大三生园科技有限公司（以下简称华大三生园） 的控股股东；华大控股的董事长兼总经理汪建是华大三生园的董事。除此之外，公司未知上述 其他股东之间是否存在关联关系，也未知其是否属于《上市公司收购管理办法》规定的一致行 动人。</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情况说明（如有）（参见</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名普通股股东中，深圳前海华大基因投资企业（有限合 伙）除通过普通证券账户持有</w:t>
            </w:r>
            <w:r>
              <w:rPr>
                <w:rFonts w:ascii="Times New Roman" w:eastAsia="Times New Roman" w:hAnsi="Times New Roman" w:cs="Times New Roman"/>
                <w:color w:val="000000"/>
                <w:spacing w:val="0"/>
                <w:w w:val="100"/>
                <w:position w:val="0"/>
              </w:rPr>
              <w:t>2,192,400</w:t>
            </w:r>
            <w:r>
              <w:rPr>
                <w:color w:val="000000"/>
                <w:spacing w:val="0"/>
                <w:w w:val="100"/>
                <w:position w:val="0"/>
              </w:rPr>
              <w:t>股外，还通过东吴证券股份有限公司客户信用交易担保 证券账户持有公司股票</w:t>
            </w:r>
            <w:r>
              <w:rPr>
                <w:rFonts w:ascii="Times New Roman" w:eastAsia="Times New Roman" w:hAnsi="Times New Roman" w:cs="Times New Roman"/>
                <w:color w:val="000000"/>
                <w:spacing w:val="0"/>
                <w:w w:val="100"/>
                <w:position w:val="0"/>
              </w:rPr>
              <w:t>32,278,055</w:t>
            </w:r>
            <w:r>
              <w:rPr>
                <w:color w:val="000000"/>
                <w:spacing w:val="0"/>
                <w:w w:val="100"/>
                <w:position w:val="0"/>
              </w:rPr>
              <w:t>股，实际合计持有</w:t>
            </w:r>
            <w:r>
              <w:rPr>
                <w:rFonts w:ascii="Times New Roman" w:eastAsia="Times New Roman" w:hAnsi="Times New Roman" w:cs="Times New Roman"/>
                <w:color w:val="000000"/>
                <w:spacing w:val="0"/>
                <w:w w:val="100"/>
                <w:position w:val="0"/>
              </w:rPr>
              <w:t>34,470,455</w:t>
            </w:r>
            <w:r>
              <w:rPr>
                <w:color w:val="000000"/>
                <w:spacing w:val="0"/>
                <w:w w:val="100"/>
                <w:position w:val="0"/>
              </w:rPr>
              <w:t>股。公司股东何倩兴通过光大</w:t>
            </w:r>
          </w:p>
        </w:tc>
      </w:tr>
    </w:tbl>
    <w:p>
      <w:pPr>
        <w:spacing w:lineRule="exact" w:line="1"/>
        <w:rPr>
          <w:sz w:val="2"/>
          <w:szCs w:val="2"/>
        </w:rPr>
      </w:pPr>
      <w:r>
        <w:br w:type="page"/>
      </w:r>
    </w:p>
    <w:tbl>
      <w:tblPr>
        <w:tblOverlap w:val="never"/>
        <w:jc w:val="center"/>
        <w:tblLayout w:type="fixed"/>
      </w:tblPr>
      <w:tblGrid>
        <w:gridCol w:w="1973"/>
        <w:gridCol w:w="761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证券股份有限公司客户信用交易担保证券账户持有公司股票</w:t>
            </w:r>
            <w:r>
              <w:rPr>
                <w:rFonts w:ascii="Times New Roman" w:eastAsia="Times New Roman" w:hAnsi="Times New Roman" w:cs="Times New Roman"/>
                <w:color w:val="000000"/>
                <w:spacing w:val="0"/>
                <w:w w:val="100"/>
                <w:position w:val="0"/>
              </w:rPr>
              <w:t>2,820,936</w:t>
            </w:r>
            <w:r>
              <w:rPr>
                <w:color w:val="000000"/>
                <w:spacing w:val="0"/>
                <w:w w:val="100"/>
                <w:position w:val="0"/>
              </w:rPr>
              <w:t>股。</w:t>
            </w:r>
          </w:p>
        </w:tc>
      </w:tr>
    </w:tbl>
    <w:p>
      <w:pPr>
        <w:pStyle w:val="Style17"/>
        <w:keepNext w:val="0"/>
        <w:keepLines w:val="0"/>
        <w:widowControl w:val="0"/>
        <w:shd w:val="clear" w:color="auto" w:fill="auto"/>
        <w:bidi w:val="0"/>
        <w:spacing w:before="0" w:after="40" w:line="307" w:lineRule="exact"/>
        <w:ind w:left="0" w:right="0"/>
        <w:jc w:val="left"/>
      </w:pPr>
      <w:r>
        <w:rPr>
          <w:color w:val="000000"/>
          <w:spacing w:val="0"/>
          <w:w w:val="100"/>
          <w:position w:val="0"/>
        </w:rPr>
        <w:t>注：公司股东深圳前海华大基因投资企业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日更名为深圳生华投资企业（有限合伙），具 体情况详见公司于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日披露的《关于持股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以上股东完成工商变更登记的公告》（公告编号：</w:t>
      </w:r>
      <w:r>
        <w:rPr>
          <w:rFonts w:ascii="Times New Roman" w:eastAsia="Times New Roman" w:hAnsi="Times New Roman" w:cs="Times New Roman"/>
          <w:color w:val="000000"/>
          <w:spacing w:val="0"/>
          <w:w w:val="100"/>
          <w:position w:val="0"/>
        </w:rPr>
        <w:t>2022-037</w:t>
      </w:r>
      <w:r>
        <w:rPr>
          <w:color w:val="000000"/>
          <w:spacing w:val="0"/>
          <w:w w:val="100"/>
          <w:position w:val="0"/>
        </w:rPr>
        <w:t>）。</w:t>
      </w:r>
    </w:p>
    <w:p>
      <w:pPr>
        <w:pStyle w:val="Style17"/>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公司是否具有表决权差异安排</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380" w:line="307" w:lineRule="exact"/>
        <w:ind w:left="0" w:right="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、公司控股股东情况</w:t>
      </w:r>
      <w:bookmarkEnd w:id="712"/>
      <w:bookmarkEnd w:id="713"/>
      <w:bookmarkEnd w:id="715"/>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136"/>
        <w:gridCol w:w="1272"/>
        <w:gridCol w:w="1560"/>
        <w:gridCol w:w="1843"/>
        <w:gridCol w:w="277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深圳华大基因科技有限公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91440300678591043R</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计算机软硬件及外围设备的技术研 发和销售</w:t>
            </w:r>
            <w:r>
              <w:rPr>
                <w:rFonts w:ascii="Times New Roman" w:eastAsia="Times New Roman" w:hAnsi="Times New Roman" w:cs="Times New Roman"/>
                <w:color w:val="000000"/>
                <w:spacing w:val="0"/>
                <w:w w:val="100"/>
                <w:position w:val="0"/>
              </w:rPr>
              <w:t>;</w:t>
            </w:r>
            <w:r>
              <w:rPr>
                <w:color w:val="000000"/>
                <w:spacing w:val="0"/>
                <w:w w:val="100"/>
                <w:position w:val="0"/>
              </w:rPr>
              <w:t>货物及技术进出口业务</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投资兴办实业</w:t>
            </w:r>
            <w:r>
              <w:rPr>
                <w:rFonts w:ascii="Times New Roman" w:eastAsia="Times New Roman" w:hAnsi="Times New Roman" w:cs="Times New Roman"/>
                <w:color w:val="000000"/>
                <w:spacing w:val="0"/>
                <w:w w:val="100"/>
                <w:position w:val="0"/>
              </w:rPr>
              <w:t>（</w:t>
            </w:r>
            <w:r>
              <w:rPr>
                <w:color w:val="000000"/>
                <w:spacing w:val="0"/>
                <w:w w:val="100"/>
                <w:position w:val="0"/>
              </w:rPr>
              <w:t>具体项目另行申报</w:t>
            </w:r>
            <w:r>
              <w:rPr>
                <w:rFonts w:ascii="Times New Roman" w:eastAsia="Times New Roman" w:hAnsi="Times New Roman" w:cs="Times New Roman"/>
                <w:color w:val="000000"/>
                <w:spacing w:val="0"/>
                <w:w w:val="100"/>
                <w:position w:val="0"/>
              </w:rPr>
              <w:t xml:space="preserve">）; </w:t>
            </w:r>
            <w:r>
              <w:rPr>
                <w:color w:val="000000"/>
                <w:spacing w:val="0"/>
                <w:w w:val="100"/>
                <w:position w:val="0"/>
              </w:rPr>
              <w:t>水产品养殖和销售</w:t>
            </w:r>
            <w:r>
              <w:rPr>
                <w:rFonts w:ascii="Times New Roman" w:eastAsia="Times New Roman" w:hAnsi="Times New Roman" w:cs="Times New Roman"/>
                <w:color w:val="000000"/>
                <w:spacing w:val="0"/>
                <w:w w:val="100"/>
                <w:position w:val="0"/>
              </w:rPr>
              <w:t>;</w:t>
            </w:r>
            <w:r>
              <w:rPr>
                <w:color w:val="000000"/>
                <w:spacing w:val="0"/>
                <w:w w:val="100"/>
                <w:position w:val="0"/>
              </w:rPr>
              <w:t>生物技术的研 发、转让与咨询服务。教育教学检 测和评价活动</w:t>
            </w:r>
            <w:r>
              <w:rPr>
                <w:rFonts w:ascii="Times New Roman" w:eastAsia="Times New Roman" w:hAnsi="Times New Roman" w:cs="Times New Roman"/>
                <w:color w:val="000000"/>
                <w:spacing w:val="0"/>
                <w:w w:val="100"/>
                <w:position w:val="0"/>
              </w:rPr>
              <w:t>;</w:t>
            </w:r>
            <w:r>
              <w:rPr>
                <w:color w:val="000000"/>
                <w:spacing w:val="0"/>
                <w:w w:val="100"/>
                <w:position w:val="0"/>
              </w:rPr>
              <w:t>以自有资金从事投 资活动。</w:t>
            </w:r>
            <w:r>
              <w:rPr>
                <w:color w:val="000000"/>
                <w:spacing w:val="0"/>
                <w:w w:val="100"/>
                <w:position w:val="0"/>
              </w:rPr>
              <w:t>（</w:t>
            </w:r>
            <w:r>
              <w:rPr>
                <w:color w:val="000000"/>
                <w:spacing w:val="0"/>
                <w:w w:val="100"/>
                <w:position w:val="0"/>
              </w:rPr>
              <w:t>除依法须经批准的项目 外</w:t>
            </w:r>
            <w:r>
              <w:rPr>
                <w:color w:val="000000"/>
                <w:spacing w:val="0"/>
                <w:w w:val="100"/>
                <w:position w:val="0"/>
              </w:rPr>
              <w:t>，</w:t>
            </w:r>
            <w:r>
              <w:rPr>
                <w:color w:val="000000"/>
                <w:spacing w:val="0"/>
                <w:w w:val="100"/>
                <w:position w:val="0"/>
              </w:rPr>
              <w:t>凭营业执照依法自主开展经营 活动</w:t>
            </w: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80" w:line="240" w:lineRule="auto"/>
        <w:ind w:left="0" w:right="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3</w:t>
      </w:r>
      <w:bookmarkEnd w:id="718"/>
      <w:r>
        <w:rPr>
          <w:color w:val="000000"/>
          <w:spacing w:val="0"/>
          <w:w w:val="100"/>
          <w:position w:val="0"/>
        </w:rPr>
        <w:t>、公司实际控制人及其一致行动人</w:t>
      </w:r>
      <w:bookmarkEnd w:id="716"/>
      <w:bookmarkEnd w:id="717"/>
      <w:bookmarkEnd w:id="719"/>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汪建先生现任华大基因董事长，华大控股董事长、总经理，深圳华大智造控股有限公司执 行董事、总经理，深圳华大智造科技股份有限公司董事长。</w:t>
            </w:r>
          </w:p>
        </w:tc>
      </w:tr>
    </w:tbl>
    <w:p>
      <w:pPr>
        <w:spacing w:lineRule="exact" w:line="1"/>
        <w:rPr>
          <w:sz w:val="2"/>
          <w:szCs w:val="2"/>
        </w:rPr>
      </w:pPr>
      <w:r>
        <w:br w:type="page"/>
      </w:r>
    </w:p>
    <w:tbl>
      <w:tblPr>
        <w:tblOverlap w:val="never"/>
        <w:jc w:val="center"/>
        <w:tblLayout w:type="fixed"/>
      </w:tblPr>
      <w:tblGrid>
        <w:gridCol w:w="2458"/>
        <w:gridCol w:w="724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实际控制人报告期内变更</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jc w:val="left"/>
      </w:pPr>
      <w:r>
        <w:rPr>
          <w:color w:val="000000"/>
          <w:spacing w:val="0"/>
          <w:w w:val="100"/>
          <w:position w:val="0"/>
        </w:rPr>
        <w:t>公司报告期实际控制人未发生变更。</w:t>
      </w:r>
    </w:p>
    <w:p>
      <w:pPr>
        <w:pStyle w:val="Style17"/>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060065" cy="232283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060065" cy="2322830"/>
                    </a:xfrm>
                    <a:prstGeom prst="rect"/>
                  </pic:spPr>
                </pic:pic>
              </a:graphicData>
            </a:graphic>
          </wp:inline>
        </w:drawing>
      </w:r>
    </w:p>
    <w:p>
      <w:pPr>
        <w:widowControl w:val="0"/>
        <w:spacing w:after="279" w:line="1" w:lineRule="exact"/>
      </w:pP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实际控制人通过信托或其他资产管理方式控制公司</w:t>
      </w:r>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4</w:t>
      </w:r>
      <w:bookmarkEnd w:id="722"/>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20"/>
      <w:bookmarkEnd w:id="721"/>
      <w:bookmarkEnd w:id="723"/>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5</w:t>
      </w:r>
      <w:bookmarkEnd w:id="72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24"/>
      <w:bookmarkEnd w:id="725"/>
      <w:bookmarkEnd w:id="727"/>
    </w:p>
    <w:p>
      <w:pPr>
        <w:pStyle w:val="Style17"/>
        <w:keepNext w:val="0"/>
        <w:keepLines w:val="0"/>
        <w:widowControl w:val="0"/>
        <w:numPr>
          <w:ilvl w:val="0"/>
          <w:numId w:val="27"/>
        </w:numPr>
        <w:shd w:val="clear" w:color="auto" w:fill="auto"/>
        <w:tabs>
          <w:tab w:pos="282" w:val="left"/>
        </w:tabs>
        <w:bidi w:val="0"/>
        <w:spacing w:before="0" w:after="360" w:line="240" w:lineRule="auto"/>
        <w:ind w:left="0" w:right="0" w:firstLine="0"/>
        <w:jc w:val="both"/>
      </w:pPr>
      <w:bookmarkStart w:id="728" w:name="bookmark728"/>
      <w:bookmarkEnd w:id="72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6</w:t>
      </w:r>
      <w:bookmarkEnd w:id="731"/>
      <w:r>
        <w:rPr>
          <w:color w:val="000000"/>
          <w:spacing w:val="0"/>
          <w:w w:val="100"/>
          <w:position w:val="0"/>
        </w:rPr>
        <w:t>、</w:t>
        <w:tab/>
        <w:t>控股股东、实际控制人、重组方及其他承诺主体股份限制减持情况</w:t>
      </w:r>
      <w:bookmarkEnd w:id="729"/>
      <w:bookmarkEnd w:id="730"/>
      <w:bookmarkEnd w:id="732"/>
    </w:p>
    <w:p>
      <w:pPr>
        <w:pStyle w:val="Style17"/>
        <w:keepNext w:val="0"/>
        <w:keepLines w:val="0"/>
        <w:widowControl w:val="0"/>
        <w:numPr>
          <w:ilvl w:val="0"/>
          <w:numId w:val="27"/>
        </w:numPr>
        <w:shd w:val="clear" w:color="auto" w:fill="auto"/>
        <w:tabs>
          <w:tab w:pos="282" w:val="left"/>
        </w:tabs>
        <w:bidi w:val="0"/>
        <w:spacing w:before="0" w:after="360" w:line="240" w:lineRule="auto"/>
        <w:ind w:left="0" w:right="0" w:firstLine="0"/>
        <w:jc w:val="both"/>
      </w:pPr>
      <w:bookmarkStart w:id="733" w:name="bookmark733"/>
      <w:bookmarkEnd w:id="73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734" w:name="bookmark734"/>
      <w:bookmarkStart w:id="735" w:name="bookmark735"/>
      <w:bookmarkStart w:id="736" w:name="bookmark736"/>
      <w:bookmarkStart w:id="737" w:name="bookmark737"/>
      <w:r>
        <w:rPr>
          <w:color w:val="000000"/>
          <w:spacing w:val="0"/>
          <w:w w:val="100"/>
          <w:position w:val="0"/>
          <w:sz w:val="24"/>
          <w:szCs w:val="24"/>
        </w:rPr>
        <w:t>四</w:t>
      </w:r>
      <w:bookmarkEnd w:id="736"/>
      <w:r>
        <w:rPr>
          <w:color w:val="000000"/>
          <w:spacing w:val="0"/>
          <w:w w:val="100"/>
          <w:position w:val="0"/>
          <w:sz w:val="24"/>
          <w:szCs w:val="24"/>
        </w:rPr>
        <w:t>、股份回购在报告期的具体实施情况</w:t>
      </w:r>
      <w:bookmarkEnd w:id="734"/>
      <w:bookmarkEnd w:id="735"/>
      <w:bookmarkEnd w:id="737"/>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股份回购的实施进展情况</w:t>
      </w:r>
    </w:p>
    <w:p>
      <w:pPr>
        <w:pStyle w:val="Style1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859"/>
        <w:gridCol w:w="2126"/>
        <w:gridCol w:w="1416"/>
        <w:gridCol w:w="1560"/>
        <w:gridCol w:w="850"/>
        <w:gridCol w:w="710"/>
        <w:gridCol w:w="859"/>
        <w:gridCol w:w="1205"/>
      </w:tblGrid>
      <w:tr>
        <w:trPr>
          <w:trHeight w:val="166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方案披露 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拟回购股份数量（股）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占总股本的比例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拟回购金额（万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拟回购期 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回购用 途</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已回购数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量（股）</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已回购数量占 股权激励计划 所涉及的标的 股票的比例 （如有）</w:t>
            </w:r>
          </w:p>
        </w:tc>
      </w:tr>
    </w:tbl>
    <w:p>
      <w:pPr>
        <w:spacing w:lineRule="exact" w:line="1"/>
        <w:rPr>
          <w:sz w:val="2"/>
          <w:szCs w:val="2"/>
        </w:rPr>
      </w:pPr>
      <w:r>
        <w:br w:type="page"/>
      </w:r>
    </w:p>
    <w:tbl>
      <w:tblPr>
        <w:tblOverlap w:val="never"/>
        <w:jc w:val="center"/>
        <w:tblLayout w:type="fixed"/>
      </w:tblPr>
      <w:tblGrid>
        <w:gridCol w:w="859"/>
        <w:gridCol w:w="2126"/>
        <w:gridCol w:w="1416"/>
        <w:gridCol w:w="1560"/>
        <w:gridCol w:w="850"/>
        <w:gridCol w:w="710"/>
        <w:gridCol w:w="859"/>
        <w:gridCol w:w="1205"/>
      </w:tblGrid>
      <w:tr>
        <w:trPr>
          <w:trHeight w:val="97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69"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 司召开第三届董事会第三 次会议审议通过了《关于 以集中竞价方式回购公司 股份方案的议案》。在本次 回购价格上限</w:t>
            </w:r>
            <w:r>
              <w:rPr>
                <w:rFonts w:ascii="Times New Roman" w:eastAsia="Times New Roman" w:hAnsi="Times New Roman" w:cs="Times New Roman"/>
                <w:color w:val="000000"/>
                <w:spacing w:val="0"/>
                <w:w w:val="100"/>
                <w:position w:val="0"/>
              </w:rPr>
              <w:t>130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（含）的条件下，按照本 次回购资金总额上限 </w:t>
            </w:r>
            <w:r>
              <w:rPr>
                <w:rFonts w:ascii="Times New Roman" w:eastAsia="Times New Roman" w:hAnsi="Times New Roman" w:cs="Times New Roman"/>
                <w:color w:val="000000"/>
                <w:spacing w:val="0"/>
                <w:w w:val="100"/>
                <w:position w:val="0"/>
              </w:rPr>
              <w:t>26,000</w:t>
            </w:r>
            <w:r>
              <w:rPr>
                <w:color w:val="000000"/>
                <w:spacing w:val="0"/>
                <w:w w:val="100"/>
                <w:position w:val="0"/>
              </w:rPr>
              <w:t xml:space="preserve">万元（含）测算， 预计可回购股份总数为 </w:t>
            </w:r>
            <w:r>
              <w:rPr>
                <w:rFonts w:ascii="Times New Roman" w:eastAsia="Times New Roman" w:hAnsi="Times New Roman" w:cs="Times New Roman"/>
                <w:color w:val="000000"/>
                <w:spacing w:val="0"/>
                <w:w w:val="100"/>
                <w:position w:val="0"/>
              </w:rPr>
              <w:t>200</w:t>
            </w:r>
            <w:r>
              <w:rPr>
                <w:color w:val="000000"/>
                <w:spacing w:val="0"/>
                <w:w w:val="100"/>
                <w:position w:val="0"/>
              </w:rPr>
              <w:t>万股；按照本次回购 资金总额下限</w:t>
            </w:r>
            <w:r>
              <w:rPr>
                <w:rFonts w:ascii="Times New Roman" w:eastAsia="Times New Roman" w:hAnsi="Times New Roman" w:cs="Times New Roman"/>
                <w:color w:val="000000"/>
                <w:spacing w:val="0"/>
                <w:w w:val="100"/>
                <w:position w:val="0"/>
              </w:rPr>
              <w:t>13,000</w:t>
            </w:r>
            <w:r>
              <w:rPr>
                <w:color w:val="000000"/>
                <w:spacing w:val="0"/>
                <w:w w:val="100"/>
                <w:position w:val="0"/>
              </w:rPr>
              <w:t>万元</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（含）测算，预计可回购 股份总数为</w:t>
            </w:r>
            <w:r>
              <w:rPr>
                <w:rFonts w:ascii="Times New Roman" w:eastAsia="Times New Roman" w:hAnsi="Times New Roman" w:cs="Times New Roman"/>
                <w:color w:val="000000"/>
                <w:spacing w:val="0"/>
                <w:w w:val="100"/>
                <w:position w:val="0"/>
              </w:rPr>
              <w:t>100</w:t>
            </w:r>
            <w:r>
              <w:rPr>
                <w:color w:val="000000"/>
                <w:spacing w:val="0"/>
                <w:w w:val="100"/>
                <w:position w:val="0"/>
              </w:rPr>
              <w:t>万股；</w:t>
            </w:r>
          </w:p>
          <w:p>
            <w:pPr>
              <w:pStyle w:val="Style20"/>
              <w:keepNext w:val="0"/>
              <w:keepLines w:val="0"/>
              <w:widowControl w:val="0"/>
              <w:shd w:val="clear" w:color="auto" w:fill="auto"/>
              <w:tabs>
                <w:tab w:pos="274"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日召开 第三届董事会第五次会议 审议通过了《关于调整 </w:t>
            </w:r>
            <w:r>
              <w:rPr>
                <w:rFonts w:ascii="Times New Roman" w:eastAsia="Times New Roman" w:hAnsi="Times New Roman" w:cs="Times New Roman"/>
                <w:color w:val="000000"/>
                <w:spacing w:val="0"/>
                <w:w w:val="100"/>
                <w:position w:val="0"/>
              </w:rPr>
              <w:t>2021</w:t>
            </w:r>
            <w:r>
              <w:rPr>
                <w:color w:val="000000"/>
                <w:spacing w:val="0"/>
                <w:w w:val="100"/>
                <w:position w:val="0"/>
              </w:rPr>
              <w:t>年以集中竞价方式回 购公司股份方案的议案》， 在本次回购价格上限</w:t>
            </w:r>
            <w:r>
              <w:rPr>
                <w:rFonts w:ascii="Times New Roman" w:eastAsia="Times New Roman" w:hAnsi="Times New Roman" w:cs="Times New Roman"/>
                <w:color w:val="000000"/>
                <w:spacing w:val="0"/>
                <w:w w:val="100"/>
                <w:position w:val="0"/>
              </w:rPr>
              <w:t xml:space="preserve">130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股（含）的条件下，按 照本次回购资金总额上限 </w:t>
            </w:r>
            <w:r>
              <w:rPr>
                <w:rFonts w:ascii="Times New Roman" w:eastAsia="Times New Roman" w:hAnsi="Times New Roman" w:cs="Times New Roman"/>
                <w:color w:val="000000"/>
                <w:spacing w:val="0"/>
                <w:w w:val="100"/>
                <w:position w:val="0"/>
              </w:rPr>
              <w:t>52,000</w:t>
            </w:r>
            <w:r>
              <w:rPr>
                <w:color w:val="000000"/>
                <w:spacing w:val="0"/>
                <w:w w:val="100"/>
                <w:position w:val="0"/>
              </w:rPr>
              <w:t xml:space="preserve">万元（含）测算， 预计可回购股份总数为 </w:t>
            </w:r>
            <w:r>
              <w:rPr>
                <w:rFonts w:ascii="Times New Roman" w:eastAsia="Times New Roman" w:hAnsi="Times New Roman" w:cs="Times New Roman"/>
                <w:color w:val="000000"/>
                <w:spacing w:val="0"/>
                <w:w w:val="100"/>
                <w:position w:val="0"/>
              </w:rPr>
              <w:t>400</w:t>
            </w:r>
            <w:r>
              <w:rPr>
                <w:color w:val="000000"/>
                <w:spacing w:val="0"/>
                <w:w w:val="100"/>
                <w:position w:val="0"/>
              </w:rPr>
              <w:t>万股；按照本次回购 资金总额下限</w:t>
            </w:r>
            <w:r>
              <w:rPr>
                <w:rFonts w:ascii="Times New Roman" w:eastAsia="Times New Roman" w:hAnsi="Times New Roman" w:cs="Times New Roman"/>
                <w:color w:val="000000"/>
                <w:spacing w:val="0"/>
                <w:w w:val="100"/>
                <w:position w:val="0"/>
              </w:rPr>
              <w:t>26,000</w:t>
            </w:r>
            <w:r>
              <w:rPr>
                <w:color w:val="000000"/>
                <w:spacing w:val="0"/>
                <w:w w:val="100"/>
                <w:position w:val="0"/>
              </w:rPr>
              <w:t>万元</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（含）测算，预计可回购 股份总数为</w:t>
            </w:r>
            <w:r>
              <w:rPr>
                <w:rFonts w:ascii="Times New Roman" w:eastAsia="Times New Roman" w:hAnsi="Times New Roman" w:cs="Times New Roman"/>
                <w:color w:val="000000"/>
                <w:spacing w:val="0"/>
                <w:w w:val="100"/>
                <w:position w:val="0"/>
              </w:rPr>
              <w:t>200</w:t>
            </w:r>
            <w:r>
              <w:rPr>
                <w:color w:val="000000"/>
                <w:spacing w:val="0"/>
                <w:w w:val="100"/>
                <w:position w:val="0"/>
              </w:rPr>
              <w:t>万股。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日公司召开第 三届董事会第三 次会议审议通过 了《关于以集中 竞价方式回购公 司股份方案的议 案》。在本次回购 价格上限</w:t>
            </w:r>
            <w:r>
              <w:rPr>
                <w:rFonts w:ascii="Times New Roman" w:eastAsia="Times New Roman" w:hAnsi="Times New Roman" w:cs="Times New Roman"/>
                <w:color w:val="000000"/>
                <w:spacing w:val="0"/>
                <w:w w:val="100"/>
                <w:position w:val="0"/>
              </w:rPr>
              <w:t>130</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股（含）的条件 下，预计可回购 股份数量占总股 本的比例为 </w:t>
            </w:r>
            <w:r>
              <w:rPr>
                <w:rFonts w:ascii="Times New Roman" w:eastAsia="Times New Roman" w:hAnsi="Times New Roman" w:cs="Times New Roman"/>
                <w:color w:val="000000"/>
                <w:spacing w:val="0"/>
                <w:w w:val="100"/>
                <w:position w:val="0"/>
              </w:rPr>
              <w:t xml:space="preserve">0.2416% </w:t>
            </w:r>
            <w:r>
              <w:rPr>
                <w:color w:val="000000"/>
                <w:spacing w:val="0"/>
                <w:w w:val="100"/>
                <w:position w:val="0"/>
              </w:rPr>
              <w:t>至</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0.4832% </w:t>
            </w:r>
            <w:r>
              <w:rPr>
                <w:color w:val="000000"/>
                <w:spacing w:val="0"/>
                <w:w w:val="100"/>
                <w:position w:val="0"/>
              </w:rPr>
              <w:t>；</w:t>
            </w:r>
          </w:p>
          <w:p>
            <w:pPr>
              <w:pStyle w:val="Style20"/>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日召开第三届 董事会第五次会 议审议通过了</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《关于调整</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年以集中竞价方 式回购公司股份 方案的议案》，在 本次回购价格上 限</w:t>
            </w:r>
            <w:r>
              <w:rPr>
                <w:rFonts w:ascii="Times New Roman" w:eastAsia="Times New Roman" w:hAnsi="Times New Roman" w:cs="Times New Roman"/>
                <w:color w:val="000000"/>
                <w:spacing w:val="0"/>
                <w:w w:val="100"/>
                <w:position w:val="0"/>
              </w:rPr>
              <w:t>130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（含）的条件 下，预计可回购 股份数量占总股 本的比例为 </w:t>
            </w:r>
            <w:r>
              <w:rPr>
                <w:rFonts w:ascii="Times New Roman" w:eastAsia="Times New Roman" w:hAnsi="Times New Roman" w:cs="Times New Roman"/>
                <w:color w:val="000000"/>
                <w:spacing w:val="0"/>
                <w:w w:val="100"/>
                <w:position w:val="0"/>
              </w:rPr>
              <w:t xml:space="preserve">0.4832%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0.9664%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5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日公司召开第三 届董事会第三次会 议审议通过了《关 于以集中竞价方式 回购公司股份方案 的议案》。本次拟 回购的资金总额不 低于人民币</w:t>
            </w:r>
            <w:r>
              <w:rPr>
                <w:rFonts w:ascii="Times New Roman" w:eastAsia="Times New Roman" w:hAnsi="Times New Roman" w:cs="Times New Roman"/>
                <w:color w:val="000000"/>
                <w:spacing w:val="0"/>
                <w:w w:val="100"/>
                <w:position w:val="0"/>
              </w:rPr>
              <w:t xml:space="preserve">13,000 </w:t>
            </w:r>
            <w:r>
              <w:rPr>
                <w:color w:val="000000"/>
                <w:spacing w:val="0"/>
                <w:w w:val="100"/>
                <w:position w:val="0"/>
              </w:rPr>
              <w:t>万元（含）且不超 过人民币</w:t>
            </w:r>
            <w:r>
              <w:rPr>
                <w:rFonts w:ascii="Times New Roman" w:eastAsia="Times New Roman" w:hAnsi="Times New Roman" w:cs="Times New Roman"/>
                <w:color w:val="000000"/>
                <w:spacing w:val="0"/>
                <w:w w:val="100"/>
                <w:position w:val="0"/>
              </w:rPr>
              <w:t>26,000</w:t>
            </w:r>
            <w:r>
              <w:rPr>
                <w:color w:val="000000"/>
                <w:spacing w:val="0"/>
                <w:w w:val="100"/>
                <w:position w:val="0"/>
              </w:rPr>
              <w:t>万 元（含）；</w:t>
            </w:r>
          </w:p>
          <w:p>
            <w:pPr>
              <w:pStyle w:val="Style20"/>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 xml:space="preserve">日召开第三届董事 会第五次会议审议 通过了《关于调整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年以集中竞价 方式回购公司股份 方案的议案》，本 次回购资金总额由 不低于人民币 </w:t>
            </w:r>
            <w:r>
              <w:rPr>
                <w:rFonts w:ascii="Times New Roman" w:eastAsia="Times New Roman" w:hAnsi="Times New Roman" w:cs="Times New Roman"/>
                <w:color w:val="000000"/>
                <w:spacing w:val="0"/>
                <w:w w:val="100"/>
                <w:position w:val="0"/>
              </w:rPr>
              <w:t>13,000</w:t>
            </w:r>
            <w:r>
              <w:rPr>
                <w:color w:val="000000"/>
                <w:spacing w:val="0"/>
                <w:w w:val="100"/>
                <w:position w:val="0"/>
              </w:rPr>
              <w:t xml:space="preserve">万元（含） 且不超过人民币 </w:t>
            </w:r>
            <w:r>
              <w:rPr>
                <w:rFonts w:ascii="Times New Roman" w:eastAsia="Times New Roman" w:hAnsi="Times New Roman" w:cs="Times New Roman"/>
                <w:color w:val="000000"/>
                <w:spacing w:val="0"/>
                <w:w w:val="100"/>
                <w:position w:val="0"/>
              </w:rPr>
              <w:t>26,000</w:t>
            </w:r>
            <w:r>
              <w:rPr>
                <w:color w:val="000000"/>
                <w:spacing w:val="0"/>
                <w:w w:val="100"/>
                <w:position w:val="0"/>
              </w:rPr>
              <w:t>万元（含） 调整为不低于人民 币</w:t>
            </w:r>
            <w:r>
              <w:rPr>
                <w:rFonts w:ascii="Times New Roman" w:eastAsia="Times New Roman" w:hAnsi="Times New Roman" w:cs="Times New Roman"/>
                <w:color w:val="000000"/>
                <w:spacing w:val="0"/>
                <w:w w:val="100"/>
                <w:position w:val="0"/>
              </w:rPr>
              <w:t>26,000</w:t>
            </w:r>
            <w:r>
              <w:rPr>
                <w:color w:val="000000"/>
                <w:spacing w:val="0"/>
                <w:w w:val="100"/>
                <w:position w:val="0"/>
              </w:rPr>
              <w:t>万元</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（含）且不超过人 民币</w:t>
            </w:r>
            <w:r>
              <w:rPr>
                <w:rFonts w:ascii="Times New Roman" w:eastAsia="Times New Roman" w:hAnsi="Times New Roman" w:cs="Times New Roman"/>
                <w:color w:val="000000"/>
                <w:spacing w:val="0"/>
                <w:w w:val="100"/>
                <w:position w:val="0"/>
              </w:rPr>
              <w:t>52,000</w:t>
            </w:r>
            <w:r>
              <w:rPr>
                <w:color w:val="000000"/>
                <w:spacing w:val="0"/>
                <w:w w:val="100"/>
                <w:position w:val="0"/>
              </w:rPr>
              <w:t>万元</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自公司第 三届董事 会第三次 会议审议 通过回购 股份方案 之日起</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个月内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全部用 于实施 员工持 股计划 或者股 权激励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17"/>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154" w:right="1060" w:bottom="1387"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738" w:name="bookmark738"/>
      <w:bookmarkStart w:id="739" w:name="bookmark739"/>
      <w:bookmarkStart w:id="740" w:name="bookmark740"/>
      <w:r>
        <w:rPr>
          <w:color w:val="000000"/>
          <w:spacing w:val="0"/>
          <w:w w:val="100"/>
          <w:position w:val="0"/>
        </w:rPr>
        <w:t>第八节优先股相关情况</w:t>
      </w:r>
      <w:bookmarkEnd w:id="738"/>
      <w:bookmarkEnd w:id="739"/>
      <w:bookmarkEnd w:id="740"/>
    </w:p>
    <w:p>
      <w:pPr>
        <w:pStyle w:val="Style17"/>
        <w:keepNext w:val="0"/>
        <w:keepLines w:val="0"/>
        <w:widowControl w:val="0"/>
        <w:shd w:val="clear" w:color="auto" w:fill="auto"/>
        <w:bidi w:val="0"/>
        <w:spacing w:before="0" w:after="120" w:line="240" w:lineRule="auto"/>
        <w:ind w:left="0" w:right="0" w:firstLine="0"/>
        <w:jc w:val="left"/>
      </w:pPr>
      <w:bookmarkStart w:id="741" w:name="bookmark74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741"/>
    </w:p>
    <w:p>
      <w:pPr>
        <w:pStyle w:val="Style17"/>
        <w:keepNext w:val="0"/>
        <w:keepLines w:val="0"/>
        <w:widowControl w:val="0"/>
        <w:shd w:val="clear" w:color="auto" w:fill="auto"/>
        <w:bidi w:val="0"/>
        <w:spacing w:before="0" w:after="340" w:line="240" w:lineRule="auto"/>
        <w:ind w:left="0" w:right="0" w:firstLine="360"/>
        <w:jc w:val="left"/>
        <w:sectPr>
          <w:footnotePr>
            <w:pos w:val="pageBottom"/>
            <w:numFmt w:val="decimal"/>
            <w:numRestart w:val="continuous"/>
          </w:footnotePr>
          <w:pgSz w:w="11900" w:h="16840"/>
          <w:pgMar w:top="1930" w:right="1200" w:bottom="1930" w:left="111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40" w:after="560" w:line="240" w:lineRule="auto"/>
        <w:ind w:left="0" w:right="0" w:firstLine="0"/>
        <w:jc w:val="center"/>
      </w:pPr>
      <w:bookmarkStart w:id="742" w:name="bookmark742"/>
      <w:bookmarkStart w:id="743" w:name="bookmark743"/>
      <w:bookmarkStart w:id="744" w:name="bookmark744"/>
      <w:r>
        <w:rPr>
          <w:color w:val="000000"/>
          <w:spacing w:val="0"/>
          <w:w w:val="100"/>
          <w:position w:val="0"/>
        </w:rPr>
        <w:t>第九节债券相关情况</w:t>
      </w:r>
      <w:bookmarkEnd w:id="742"/>
      <w:bookmarkEnd w:id="743"/>
      <w:bookmarkEnd w:id="744"/>
    </w:p>
    <w:p>
      <w:pPr>
        <w:pStyle w:val="Style17"/>
        <w:keepNext w:val="0"/>
        <w:keepLines w:val="0"/>
        <w:widowControl w:val="0"/>
        <w:shd w:val="clear" w:color="auto" w:fill="auto"/>
        <w:bidi w:val="0"/>
        <w:spacing w:before="0" w:after="360" w:line="240" w:lineRule="auto"/>
        <w:ind w:left="0" w:right="0" w:firstLine="0"/>
        <w:jc w:val="left"/>
      </w:pPr>
      <w:bookmarkStart w:id="745" w:name="bookmark745"/>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45"/>
    </w:p>
    <w:p>
      <w:pPr>
        <w:pStyle w:val="Style24"/>
        <w:keepNext/>
        <w:keepLines/>
        <w:widowControl w:val="0"/>
        <w:shd w:val="clear" w:color="auto" w:fill="auto"/>
        <w:tabs>
          <w:tab w:pos="517" w:val="left"/>
        </w:tabs>
        <w:bidi w:val="0"/>
        <w:spacing w:before="0" w:after="36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sz w:val="24"/>
          <w:szCs w:val="24"/>
        </w:rPr>
        <w:t>一</w:t>
      </w:r>
      <w:bookmarkEnd w:id="748"/>
      <w:r>
        <w:rPr>
          <w:color w:val="000000"/>
          <w:spacing w:val="0"/>
          <w:w w:val="100"/>
          <w:position w:val="0"/>
          <w:sz w:val="24"/>
          <w:szCs w:val="24"/>
        </w:rPr>
        <w:t>、</w:t>
        <w:tab/>
        <w:t>企业债券</w:t>
      </w:r>
      <w:bookmarkEnd w:id="746"/>
      <w:bookmarkEnd w:id="747"/>
      <w:bookmarkEnd w:id="749"/>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报告期公司不存在企业债券。</w:t>
      </w:r>
    </w:p>
    <w:p>
      <w:pPr>
        <w:pStyle w:val="Style24"/>
        <w:keepNext/>
        <w:keepLines/>
        <w:widowControl w:val="0"/>
        <w:shd w:val="clear" w:color="auto" w:fill="auto"/>
        <w:tabs>
          <w:tab w:pos="517" w:val="left"/>
        </w:tabs>
        <w:bidi w:val="0"/>
        <w:spacing w:before="0" w:after="360" w:line="240" w:lineRule="auto"/>
        <w:ind w:left="0" w:right="0" w:firstLine="0"/>
        <w:jc w:val="both"/>
      </w:pPr>
      <w:bookmarkStart w:id="750" w:name="bookmark750"/>
      <w:bookmarkStart w:id="751" w:name="bookmark751"/>
      <w:bookmarkStart w:id="752" w:name="bookmark752"/>
      <w:bookmarkStart w:id="753" w:name="bookmark753"/>
      <w:r>
        <w:rPr>
          <w:color w:val="000000"/>
          <w:spacing w:val="0"/>
          <w:w w:val="100"/>
          <w:position w:val="0"/>
          <w:sz w:val="24"/>
          <w:szCs w:val="24"/>
        </w:rPr>
        <w:t>二</w:t>
      </w:r>
      <w:bookmarkEnd w:id="752"/>
      <w:r>
        <w:rPr>
          <w:color w:val="000000"/>
          <w:spacing w:val="0"/>
          <w:w w:val="100"/>
          <w:position w:val="0"/>
          <w:sz w:val="24"/>
          <w:szCs w:val="24"/>
        </w:rPr>
        <w:t>、</w:t>
        <w:tab/>
        <w:t>公司债券</w:t>
      </w:r>
      <w:bookmarkEnd w:id="750"/>
      <w:bookmarkEnd w:id="751"/>
      <w:bookmarkEnd w:id="753"/>
    </w:p>
    <w:p>
      <w:pPr>
        <w:pStyle w:val="Style1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color w:val="000000"/>
          <w:spacing w:val="0"/>
          <w:w w:val="100"/>
          <w:position w:val="0"/>
        </w:rPr>
        <w:t>、公司债券基本信息</w:t>
      </w:r>
      <w:bookmarkEnd w:id="754"/>
      <w:bookmarkEnd w:id="755"/>
      <w:bookmarkEnd w:id="7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850"/>
        <w:gridCol w:w="893"/>
        <w:gridCol w:w="811"/>
        <w:gridCol w:w="850"/>
        <w:gridCol w:w="850"/>
        <w:gridCol w:w="1315"/>
        <w:gridCol w:w="667"/>
        <w:gridCol w:w="1243"/>
        <w:gridCol w:w="96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债券简称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交易场所</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深圳华大基 因股份有限 公司</w:t>
            </w:r>
            <w:r>
              <w:rPr>
                <w:rFonts w:ascii="Times New Roman" w:eastAsia="Times New Roman" w:hAnsi="Times New Roman" w:cs="Times New Roman"/>
                <w:color w:val="000000"/>
                <w:spacing w:val="0"/>
                <w:w w:val="100"/>
                <w:position w:val="0"/>
              </w:rPr>
              <w:t>2020</w:t>
            </w:r>
            <w:r>
              <w:rPr>
                <w:color w:val="000000"/>
                <w:spacing w:val="0"/>
                <w:w w:val="100"/>
                <w:position w:val="0"/>
              </w:rPr>
              <w:t>年 面向合格投 资者公开发 行公司债券</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（第一期） （品种一）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华大</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本期债券采用 单利按年计 息，不计复 利。每年付息 一次，到期一 次还本，最后 一期利息随本 金的兑付一起 支付。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深圳证券交 易所</w:t>
            </w:r>
          </w:p>
        </w:tc>
      </w:tr>
      <w:tr>
        <w:trPr>
          <w:trHeight w:val="28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深圳华大基 因股份有限 公司</w:t>
            </w:r>
            <w:r>
              <w:rPr>
                <w:rFonts w:ascii="Times New Roman" w:eastAsia="Times New Roman" w:hAnsi="Times New Roman" w:cs="Times New Roman"/>
                <w:color w:val="000000"/>
                <w:spacing w:val="0"/>
                <w:w w:val="100"/>
                <w:position w:val="0"/>
              </w:rPr>
              <w:t>2020</w:t>
            </w:r>
            <w:r>
              <w:rPr>
                <w:color w:val="000000"/>
                <w:spacing w:val="0"/>
                <w:w w:val="100"/>
                <w:position w:val="0"/>
              </w:rPr>
              <w:t>年 面向合格投 资者公开发 行公司债券</w:t>
            </w:r>
          </w:p>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（第一期） （品种二）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华大</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本期债券采用 单利按年计 息，不计复 利。每年付息 一次，到期一 次还本，最后 一期利息随本 金的兑付一起 支付。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深圳证券交 易所</w:t>
            </w:r>
          </w:p>
        </w:tc>
      </w:tr>
      <w:tr>
        <w:trPr>
          <w:trHeight w:val="1027"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投资者适当性安排（如有）</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本期债券发行对象为符合《公司债券发行与交易管理办法》规定的持有中国证券登 记结算有限责任公司深圳分公司</w:t>
            </w:r>
            <w:r>
              <w:rPr>
                <w:rFonts w:ascii="Times New Roman" w:eastAsia="Times New Roman" w:hAnsi="Times New Roman" w:cs="Times New Roman"/>
                <w:color w:val="000000"/>
                <w:spacing w:val="0"/>
                <w:w w:val="100"/>
                <w:position w:val="0"/>
              </w:rPr>
              <w:t>A</w:t>
            </w:r>
            <w:r>
              <w:rPr>
                <w:color w:val="000000"/>
                <w:spacing w:val="0"/>
                <w:w w:val="100"/>
                <w:position w:val="0"/>
              </w:rPr>
              <w:t>股证券账户的合格投资者（法律、法规禁止购买 者除外）。</w:t>
            </w:r>
          </w:p>
        </w:tc>
      </w:tr>
      <w:tr>
        <w:trPr>
          <w:trHeight w:val="403"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深圳证券交易所集中竞价系统和综合协议交易平台双边挂牌交易</w:t>
            </w:r>
          </w:p>
        </w:tc>
      </w:tr>
      <w:tr>
        <w:trPr>
          <w:trHeight w:val="413"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是否存在终止上市交易的风险（如</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885"/>
        <w:gridCol w:w="6701"/>
      </w:tblGrid>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有）和应对措施</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逾期未偿还债券</w:t>
      </w:r>
    </w:p>
    <w:p>
      <w:pPr>
        <w:pStyle w:val="Style17"/>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2</w:t>
      </w:r>
      <w:bookmarkEnd w:id="760"/>
      <w:r>
        <w:rPr>
          <w:color w:val="000000"/>
          <w:spacing w:val="0"/>
          <w:w w:val="100"/>
          <w:position w:val="0"/>
        </w:rPr>
        <w:t>、发行人或投资者选择权条款、投资者保护条款的触发和执行情况</w:t>
      </w:r>
      <w:bookmarkEnd w:id="758"/>
      <w:bookmarkEnd w:id="759"/>
      <w:bookmarkEnd w:id="761"/>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本期债券品种一、品种二为</w:t>
      </w:r>
      <w:r>
        <w:rPr>
          <w:rFonts w:ascii="Times New Roman" w:eastAsia="Times New Roman" w:hAnsi="Times New Roman" w:cs="Times New Roman"/>
          <w:color w:val="000000"/>
          <w:spacing w:val="0"/>
          <w:w w:val="100"/>
          <w:position w:val="0"/>
        </w:rPr>
        <w:t>3</w:t>
      </w:r>
      <w:r>
        <w:rPr>
          <w:color w:val="000000"/>
          <w:spacing w:val="0"/>
          <w:w w:val="100"/>
          <w:position w:val="0"/>
        </w:rPr>
        <w:t>年期，附第</w:t>
      </w:r>
      <w:r>
        <w:rPr>
          <w:rFonts w:ascii="Times New Roman" w:eastAsia="Times New Roman" w:hAnsi="Times New Roman" w:cs="Times New Roman"/>
          <w:color w:val="000000"/>
          <w:spacing w:val="0"/>
          <w:w w:val="100"/>
          <w:position w:val="0"/>
        </w:rPr>
        <w:t>2</w:t>
      </w:r>
      <w:r>
        <w:rPr>
          <w:color w:val="000000"/>
          <w:spacing w:val="0"/>
          <w:w w:val="100"/>
          <w:position w:val="0"/>
        </w:rPr>
        <w:t>年末发行人调整票面利率选择权、赎回选择权和投资者回售选择权。报告期 内，尚未触发和执行上述条款。</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FFFFFF"/>
        </w:rPr>
        <w:t>根据公司实际情况及当前的市场环境，公司决定对品种一、品种二债券行使发行人赎回选择权，对赎回登记日</w:t>
      </w:r>
      <w:r>
        <w:rPr>
          <w:rFonts w:ascii="Times New Roman" w:eastAsia="Times New Roman" w:hAnsi="Times New Roman" w:cs="Times New Roman"/>
          <w:color w:val="000000"/>
          <w:spacing w:val="0"/>
          <w:w w:val="100"/>
          <w:position w:val="0"/>
          <w:shd w:val="clear" w:color="auto" w:fill="FFFFFF"/>
        </w:rPr>
        <w:t>2022</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 xml:space="preserve">4 </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26</w:t>
      </w:r>
      <w:r>
        <w:rPr>
          <w:color w:val="000000"/>
          <w:spacing w:val="0"/>
          <w:w w:val="100"/>
          <w:position w:val="0"/>
          <w:shd w:val="clear" w:color="auto" w:fill="FFFFFF"/>
        </w:rPr>
        <w:t>日登记在册的债券全部赎回，赎回价格为人民币</w:t>
      </w:r>
      <w:r>
        <w:rPr>
          <w:rFonts w:ascii="Times New Roman" w:eastAsia="Times New Roman" w:hAnsi="Times New Roman" w:cs="Times New Roman"/>
          <w:color w:val="000000"/>
          <w:spacing w:val="0"/>
          <w:w w:val="100"/>
          <w:position w:val="0"/>
          <w:shd w:val="clear" w:color="auto" w:fill="FFFFFF"/>
        </w:rPr>
        <w:t>103.50</w:t>
      </w:r>
      <w:r>
        <w:rPr>
          <w:color w:val="000000"/>
          <w:spacing w:val="0"/>
          <w:w w:val="100"/>
          <w:position w:val="0"/>
          <w:shd w:val="clear" w:color="auto" w:fill="FFFFFF"/>
        </w:rPr>
        <w:t>元</w:t>
      </w:r>
      <w:r>
        <w:rPr>
          <w:rFonts w:ascii="Times New Roman" w:eastAsia="Times New Roman" w:hAnsi="Times New Roman" w:cs="Times New Roman"/>
          <w:color w:val="000000"/>
          <w:spacing w:val="0"/>
          <w:w w:val="100"/>
          <w:position w:val="0"/>
          <w:shd w:val="clear" w:color="auto" w:fill="FFFFFF"/>
        </w:rPr>
        <w:t>/</w:t>
      </w:r>
      <w:r>
        <w:rPr>
          <w:color w:val="000000"/>
          <w:spacing w:val="0"/>
          <w:w w:val="100"/>
          <w:position w:val="0"/>
          <w:shd w:val="clear" w:color="auto" w:fill="FFFFFF"/>
        </w:rPr>
        <w:t>张，赎回金额为人民币</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亿元。赎回登记日次一交易日起品种</w:t>
      </w:r>
    </w:p>
    <w:p>
      <w:pPr>
        <w:pStyle w:val="Style17"/>
        <w:keepNext w:val="0"/>
        <w:keepLines w:val="0"/>
        <w:widowControl w:val="0"/>
        <w:shd w:val="clear" w:color="auto" w:fill="auto"/>
        <w:bidi w:val="0"/>
        <w:spacing w:before="0" w:after="0" w:line="312" w:lineRule="exact"/>
        <w:ind w:left="0" w:right="0" w:firstLine="0"/>
        <w:jc w:val="left"/>
      </w:pPr>
      <w:bookmarkStart w:id="762" w:name="bookmark762"/>
      <w:r>
        <w:rPr>
          <w:color w:val="000000"/>
          <w:spacing w:val="0"/>
          <w:w w:val="100"/>
          <w:position w:val="0"/>
        </w:rPr>
        <w:t>一</w:t>
      </w:r>
      <w:bookmarkEnd w:id="762"/>
      <w:r>
        <w:rPr>
          <w:color w:val="000000"/>
          <w:spacing w:val="0"/>
          <w:w w:val="100"/>
          <w:position w:val="0"/>
        </w:rPr>
        <w:t>、品种二债券将停止交易；本期债券赎回完成后品种一、品种二将在深圳证券交易所摘牌。具体内容详见公司在巨潮资 讯网于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日发布的《关于行使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发行人赎回选择权的第一次提示性公告》（公告编号：</w:t>
      </w:r>
      <w:r>
        <w:rPr>
          <w:rFonts w:ascii="Times New Roman" w:eastAsia="Times New Roman" w:hAnsi="Times New Roman" w:cs="Times New Roman"/>
          <w:color w:val="000000"/>
          <w:spacing w:val="0"/>
          <w:w w:val="100"/>
          <w:position w:val="0"/>
        </w:rPr>
        <w:t>2022-030</w:t>
      </w:r>
      <w:r>
        <w:rPr>
          <w:color w:val="000000"/>
          <w:spacing w:val="0"/>
          <w:w w:val="100"/>
          <w:position w:val="0"/>
        </w:rPr>
        <w:t>）、</w:t>
      </w:r>
    </w:p>
    <w:p>
      <w:pPr>
        <w:pStyle w:val="Style17"/>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《关于行使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发行人赎回选择权的第一次提示性公告》（公告编号：</w:t>
      </w:r>
      <w:r>
        <w:rPr>
          <w:rFonts w:ascii="Times New Roman" w:eastAsia="Times New Roman" w:hAnsi="Times New Roman" w:cs="Times New Roman"/>
          <w:color w:val="000000"/>
          <w:spacing w:val="0"/>
          <w:w w:val="100"/>
          <w:position w:val="0"/>
        </w:rPr>
        <w:t>2022-031</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日发布的《关于 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发行人赎回选择权的第二次提示性公告》（公告编号：</w:t>
      </w:r>
      <w:r>
        <w:rPr>
          <w:rFonts w:ascii="Times New Roman" w:eastAsia="Times New Roman" w:hAnsi="Times New Roman" w:cs="Times New Roman"/>
          <w:color w:val="000000"/>
          <w:spacing w:val="0"/>
          <w:w w:val="100"/>
          <w:position w:val="0"/>
        </w:rPr>
        <w:t>2022-032</w:t>
      </w:r>
      <w:r>
        <w:rPr>
          <w:color w:val="000000"/>
          <w:spacing w:val="0"/>
          <w:w w:val="100"/>
          <w:position w:val="0"/>
        </w:rPr>
        <w:t>）</w:t>
      </w:r>
      <w:r>
        <w:rPr>
          <w:color w:val="000000"/>
          <w:spacing w:val="0"/>
          <w:w w:val="100"/>
          <w:position w:val="0"/>
        </w:rPr>
        <w:t>、《关于行使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发行人赎回选 择权的第二次提示性公告》（公告编号：</w:t>
      </w:r>
      <w:r>
        <w:rPr>
          <w:rFonts w:ascii="Times New Roman" w:eastAsia="Times New Roman" w:hAnsi="Times New Roman" w:cs="Times New Roman"/>
          <w:color w:val="000000"/>
          <w:spacing w:val="0"/>
          <w:w w:val="100"/>
          <w:position w:val="0"/>
        </w:rPr>
        <w:t>2022-033</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日发布的《关于行使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发行人赎回选择权的 第三次提示性公告》（公告编号：</w:t>
      </w:r>
      <w:r>
        <w:rPr>
          <w:rFonts w:ascii="Times New Roman" w:eastAsia="Times New Roman" w:hAnsi="Times New Roman" w:cs="Times New Roman"/>
          <w:color w:val="000000"/>
          <w:spacing w:val="0"/>
          <w:w w:val="100"/>
          <w:position w:val="0"/>
        </w:rPr>
        <w:t>2022-035</w:t>
      </w:r>
      <w:r>
        <w:rPr>
          <w:color w:val="000000"/>
          <w:spacing w:val="0"/>
          <w:w w:val="100"/>
          <w:position w:val="0"/>
        </w:rPr>
        <w:t>）</w:t>
      </w:r>
      <w:r>
        <w:rPr>
          <w:color w:val="000000"/>
          <w:spacing w:val="0"/>
          <w:w w:val="100"/>
          <w:position w:val="0"/>
        </w:rPr>
        <w:t>、《关于行使</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发行人赎回选择权的第三次提示性公告》（公告编 号：</w:t>
      </w:r>
      <w:r>
        <w:rPr>
          <w:rFonts w:ascii="Times New Roman" w:eastAsia="Times New Roman" w:hAnsi="Times New Roman" w:cs="Times New Roman"/>
          <w:color w:val="000000"/>
          <w:spacing w:val="0"/>
          <w:w w:val="100"/>
          <w:position w:val="0"/>
        </w:rPr>
        <w:t>2022-036</w:t>
      </w:r>
      <w:r>
        <w:rPr>
          <w:color w:val="000000"/>
          <w:spacing w:val="0"/>
          <w:w w:val="100"/>
          <w:position w:val="0"/>
        </w:rPr>
        <w:t>）。</w:t>
      </w:r>
    </w:p>
    <w:p>
      <w:pPr>
        <w:pStyle w:val="Style30"/>
        <w:keepNext/>
        <w:keepLines/>
        <w:widowControl w:val="0"/>
        <w:shd w:val="clear" w:color="auto" w:fill="auto"/>
        <w:bidi w:val="0"/>
        <w:spacing w:before="0" w:after="32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3</w:t>
      </w:r>
      <w:bookmarkEnd w:id="765"/>
      <w:r>
        <w:rPr>
          <w:color w:val="000000"/>
          <w:spacing w:val="0"/>
          <w:w w:val="100"/>
          <w:position w:val="0"/>
        </w:rPr>
        <w:t>、中介机构的情况</w:t>
      </w:r>
      <w:bookmarkEnd w:id="763"/>
      <w:bookmarkEnd w:id="764"/>
      <w:bookmarkEnd w:id="766"/>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签字会计师姓名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中介机构联系人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联系电话</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深圳华大基因股份 有限公司</w:t>
            </w:r>
            <w:r>
              <w:rPr>
                <w:rFonts w:ascii="Times New Roman" w:eastAsia="Times New Roman" w:hAnsi="Times New Roman" w:cs="Times New Roman"/>
                <w:color w:val="000000"/>
                <w:spacing w:val="0"/>
                <w:w w:val="100"/>
                <w:position w:val="0"/>
              </w:rPr>
              <w:t>2020</w:t>
            </w:r>
            <w:r>
              <w:rPr>
                <w:color w:val="000000"/>
                <w:spacing w:val="0"/>
                <w:w w:val="100"/>
                <w:position w:val="0"/>
              </w:rPr>
              <w:t>年面 向合格投资者公开 发行公司债券（第 一期）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广东省深圳市福田 区中心三路</w:t>
            </w:r>
            <w:r>
              <w:rPr>
                <w:rFonts w:ascii="Times New Roman" w:eastAsia="Times New Roman" w:hAnsi="Times New Roman" w:cs="Times New Roman"/>
                <w:color w:val="000000"/>
                <w:spacing w:val="0"/>
                <w:w w:val="100"/>
                <w:position w:val="0"/>
              </w:rPr>
              <w:t>8</w:t>
            </w:r>
            <w:r>
              <w:rPr>
                <w:color w:val="000000"/>
                <w:spacing w:val="0"/>
                <w:w w:val="100"/>
                <w:position w:val="0"/>
              </w:rPr>
              <w:t>号卓 越时代广场（二 期）北座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潘绍明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0755-23835065</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深圳华大基因股份 有限公司</w:t>
            </w:r>
            <w:r>
              <w:rPr>
                <w:rFonts w:ascii="Times New Roman" w:eastAsia="Times New Roman" w:hAnsi="Times New Roman" w:cs="Times New Roman"/>
                <w:color w:val="000000"/>
                <w:spacing w:val="0"/>
                <w:w w:val="100"/>
                <w:position w:val="0"/>
              </w:rPr>
              <w:t>2020</w:t>
            </w:r>
            <w:r>
              <w:rPr>
                <w:color w:val="000000"/>
                <w:spacing w:val="0"/>
                <w:w w:val="100"/>
                <w:position w:val="0"/>
              </w:rPr>
              <w:t>年面 向合格投资者公开 发行公司债券（第 一期）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联合资信评估股份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北京市朝阳区建国 门外大街</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 xml:space="preserve">PICC </w:t>
            </w:r>
            <w:r>
              <w:rPr>
                <w:color w:val="000000"/>
                <w:spacing w:val="0"/>
                <w:w w:val="100"/>
                <w:position w:val="0"/>
              </w:rPr>
              <w:t>大厦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8610-85679696</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深圳华大基因股份 有限公司</w:t>
            </w:r>
            <w:r>
              <w:rPr>
                <w:rFonts w:ascii="Times New Roman" w:eastAsia="Times New Roman" w:hAnsi="Times New Roman" w:cs="Times New Roman"/>
                <w:color w:val="000000"/>
                <w:spacing w:val="0"/>
                <w:w w:val="100"/>
                <w:position w:val="0"/>
              </w:rPr>
              <w:t>2020</w:t>
            </w:r>
            <w:r>
              <w:rPr>
                <w:color w:val="000000"/>
                <w:spacing w:val="0"/>
                <w:w w:val="100"/>
                <w:position w:val="0"/>
              </w:rPr>
              <w:t>年面 向合格投资者公开 发行公司债券（第 一期）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安永华明会计师事 务所（特殊普通合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北京市东城区长安 街</w:t>
            </w:r>
            <w:r>
              <w:rPr>
                <w:rFonts w:ascii="Times New Roman" w:eastAsia="Times New Roman" w:hAnsi="Times New Roman" w:cs="Times New Roman"/>
                <w:color w:val="000000"/>
                <w:spacing w:val="0"/>
                <w:w w:val="100"/>
                <w:position w:val="0"/>
              </w:rPr>
              <w:t>1</w:t>
            </w:r>
            <w:r>
              <w:rPr>
                <w:color w:val="000000"/>
                <w:spacing w:val="0"/>
                <w:w w:val="100"/>
                <w:position w:val="0"/>
              </w:rPr>
              <w:t xml:space="preserve">号东方广场东 方经贸城安永大楼 </w:t>
            </w:r>
            <w:r>
              <w:rPr>
                <w:rFonts w:ascii="Times New Roman" w:eastAsia="Times New Roman" w:hAnsi="Times New Roman" w:cs="Times New Roman"/>
                <w:color w:val="000000"/>
                <w:spacing w:val="0"/>
                <w:w w:val="100"/>
                <w:position w:val="0"/>
              </w:rPr>
              <w:t>16</w:t>
            </w:r>
            <w:r>
              <w:rPr>
                <w:color w:val="000000"/>
                <w:spacing w:val="0"/>
                <w:w w:val="100"/>
                <w:position w:val="0"/>
              </w:rPr>
              <w:t>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李剑光、邓冬梅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李剑光、邓冬梅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010-58153000</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深圳华大基因股份 有限公司</w:t>
            </w:r>
            <w:r>
              <w:rPr>
                <w:rFonts w:ascii="Times New Roman" w:eastAsia="Times New Roman" w:hAnsi="Times New Roman" w:cs="Times New Roman"/>
                <w:color w:val="000000"/>
                <w:spacing w:val="0"/>
                <w:w w:val="100"/>
                <w:position w:val="0"/>
              </w:rPr>
              <w:t>2020</w:t>
            </w:r>
            <w:r>
              <w:rPr>
                <w:color w:val="000000"/>
                <w:spacing w:val="0"/>
                <w:w w:val="100"/>
                <w:position w:val="0"/>
              </w:rPr>
              <w:t>年面 向合格投资者公开 发行公司债券（第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国浩律师（深圳） 事务所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深圳市深南大道</w:t>
            </w:r>
          </w:p>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6008</w:t>
            </w:r>
            <w:r>
              <w:rPr>
                <w:color w:val="000000"/>
                <w:spacing w:val="0"/>
                <w:w w:val="100"/>
                <w:position w:val="0"/>
              </w:rPr>
              <w:t>号特区报业大 厦</w:t>
            </w:r>
            <w:r>
              <w:rPr>
                <w:rFonts w:ascii="Times New Roman" w:eastAsia="Times New Roman" w:hAnsi="Times New Roman" w:cs="Times New Roman"/>
                <w:color w:val="000000"/>
                <w:spacing w:val="0"/>
                <w:w w:val="100"/>
                <w:position w:val="0"/>
              </w:rPr>
              <w:t>24</w:t>
            </w:r>
            <w:r>
              <w:rPr>
                <w:color w:val="000000"/>
                <w:spacing w:val="0"/>
                <w:w w:val="100"/>
                <w:position w:val="0"/>
              </w:rPr>
              <w:t xml:space="preserve">、 </w:t>
            </w:r>
            <w:r>
              <w:rPr>
                <w:rFonts w:ascii="Times New Roman" w:eastAsia="Times New Roman" w:hAnsi="Times New Roman" w:cs="Times New Roman"/>
                <w:color w:val="000000"/>
                <w:spacing w:val="0"/>
                <w:w w:val="100"/>
                <w:position w:val="0"/>
              </w:rPr>
              <w:t>31</w:t>
            </w:r>
            <w:r>
              <w:rPr>
                <w:color w:val="000000"/>
                <w:spacing w:val="0"/>
                <w:w w:val="100"/>
                <w:position w:val="0"/>
              </w:rPr>
              <w:t xml:space="preserve">、 </w:t>
            </w:r>
            <w:r>
              <w:rPr>
                <w:rFonts w:ascii="Times New Roman" w:eastAsia="Times New Roman" w:hAnsi="Times New Roman" w:cs="Times New Roman"/>
                <w:color w:val="000000"/>
                <w:spacing w:val="0"/>
                <w:w w:val="100"/>
                <w:position w:val="0"/>
              </w:rPr>
              <w:t>41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42 </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0755-83515666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报告期内上述机构是否发生变化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4</w:t>
      </w:r>
      <w:bookmarkEnd w:id="769"/>
      <w:r>
        <w:rPr>
          <w:color w:val="000000"/>
          <w:spacing w:val="0"/>
          <w:w w:val="100"/>
          <w:position w:val="0"/>
        </w:rPr>
        <w:t>、募集资金使用情况</w:t>
      </w:r>
      <w:bookmarkEnd w:id="767"/>
      <w:bookmarkEnd w:id="768"/>
      <w:bookmarkEnd w:id="7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142"/>
        <w:gridCol w:w="1589"/>
        <w:gridCol w:w="1368"/>
        <w:gridCol w:w="1378"/>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已使用金额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未使用金额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募集资金专项账户 运作情况（如有）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募集资金违规使 用的整改情况 （如有）</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是否与募集说明 书承诺的用途、</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使用计划及其他 约定一致</w:t>
            </w:r>
          </w:p>
        </w:tc>
      </w:tr>
      <w:tr>
        <w:trPr>
          <w:trHeight w:val="28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深圳华大基因股 份有限公司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年面向合格投资 者公开发行公司 债券（第一期）</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（品种一）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299,705,938.13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294,061.87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公司根据相关法律 法规的规定指定募 集资金专项账户， 用于本次公司债券 募集资金的接收、 存储、划转与本息 偿付。报告期内， 募集资金专项账户 运作正常。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深圳华大基因股 份有限公司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年面向合格投资 者公开发行公司 债券（第一期）</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（品种二）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196,250,000.00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196,243,893.38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公司根据相关法律 法规的规定指定募 集资金专项账户， 用于本次公司债券 募集资金的接收、 存储、划转与本息 偿付。报告期内， 募集资金专项账户 运作正常。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7"/>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募集资金用于建设项目</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公司报告期内变更上述债券募集资金用途</w:t>
      </w:r>
    </w:p>
    <w:p>
      <w:pPr>
        <w:pStyle w:val="Style17"/>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5</w:t>
      </w:r>
      <w:bookmarkEnd w:id="773"/>
      <w:r>
        <w:rPr>
          <w:color w:val="000000"/>
          <w:spacing w:val="0"/>
          <w:w w:val="100"/>
          <w:position w:val="0"/>
        </w:rPr>
        <w:t>、报告期内信用评级结果调整情况</w:t>
      </w:r>
      <w:bookmarkEnd w:id="771"/>
      <w:bookmarkEnd w:id="772"/>
      <w:bookmarkEnd w:id="774"/>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320" w:line="319"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日联合资信评估股份有限公司出具了《深圳华大基因股份有限公司公开发行公司债券</w:t>
      </w:r>
      <w:r>
        <w:rPr>
          <w:rFonts w:ascii="Times New Roman" w:eastAsia="Times New Roman" w:hAnsi="Times New Roman" w:cs="Times New Roman"/>
          <w:color w:val="000000"/>
          <w:spacing w:val="0"/>
          <w:w w:val="100"/>
          <w:position w:val="0"/>
        </w:rPr>
        <w:t>2021</w:t>
      </w:r>
      <w:r>
        <w:rPr>
          <w:color w:val="000000"/>
          <w:spacing w:val="0"/>
          <w:w w:val="100"/>
          <w:position w:val="0"/>
        </w:rPr>
        <w:t>年跟踪评级报 告》（联合〔</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4965</w:t>
      </w:r>
      <w:r>
        <w:rPr>
          <w:color w:val="000000"/>
          <w:spacing w:val="0"/>
          <w:w w:val="100"/>
          <w:position w:val="0"/>
        </w:rPr>
        <w:t>号），公司主体长期信用等级为</w:t>
      </w:r>
      <w:r>
        <w:rPr>
          <w:rFonts w:ascii="Times New Roman" w:eastAsia="Times New Roman" w:hAnsi="Times New Roman" w:cs="Times New Roman"/>
          <w:color w:val="000000"/>
          <w:spacing w:val="0"/>
          <w:w w:val="100"/>
          <w:position w:val="0"/>
        </w:rPr>
        <w:t>AA,“2</w:t>
      </w:r>
      <w:r>
        <w:rPr>
          <w:rFonts w:ascii="Times New Roman" w:eastAsia="Times New Roman" w:hAnsi="Times New Roman" w:cs="Times New Roman"/>
          <w:color w:val="000000"/>
          <w:spacing w:val="0"/>
          <w:w w:val="100"/>
          <w:position w:val="0"/>
        </w:rPr>
        <w:t>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信用等级为</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 定</w:t>
      </w:r>
      <w:r>
        <w:rPr>
          <w:rFonts w:ascii="Times New Roman" w:eastAsia="Times New Roman" w:hAnsi="Times New Roman" w:cs="Times New Roman"/>
          <w:color w:val="000000"/>
          <w:spacing w:val="0"/>
          <w:w w:val="100"/>
          <w:position w:val="0"/>
        </w:rPr>
        <w:t>”</w:t>
      </w:r>
      <w:r>
        <w:rPr>
          <w:color w:val="000000"/>
          <w:spacing w:val="0"/>
          <w:w w:val="100"/>
          <w:position w:val="0"/>
        </w:rPr>
        <w:t>。报告期内资信评级机构对公司及公司债券的评级未发生调整。</w:t>
      </w:r>
    </w:p>
    <w:p>
      <w:pPr>
        <w:pStyle w:val="Style30"/>
        <w:keepNext/>
        <w:keepLines/>
        <w:widowControl w:val="0"/>
        <w:shd w:val="clear" w:color="auto" w:fill="auto"/>
        <w:bidi w:val="0"/>
        <w:spacing w:before="0" w:after="260" w:line="331" w:lineRule="exact"/>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、担保情况、偿债计划及其他偿债保障措施在报告期内的执行情况和变化情况及对债券投资者权益的影 响</w:t>
      </w:r>
      <w:bookmarkEnd w:id="775"/>
      <w:bookmarkEnd w:id="776"/>
      <w:bookmarkEnd w:id="778"/>
    </w:p>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本期债券通过保证担保方式增信，本期债券分为两个品种，品种一债券代码</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，发行金额</w:t>
      </w:r>
      <w:r>
        <w:rPr>
          <w:rFonts w:ascii="Times New Roman" w:eastAsia="Times New Roman" w:hAnsi="Times New Roman" w:cs="Times New Roman"/>
          <w:color w:val="000000"/>
          <w:spacing w:val="0"/>
          <w:w w:val="100"/>
          <w:position w:val="0"/>
        </w:rPr>
        <w:t>3</w:t>
      </w:r>
      <w:r>
        <w:rPr>
          <w:color w:val="000000"/>
          <w:spacing w:val="0"/>
          <w:w w:val="100"/>
          <w:position w:val="0"/>
        </w:rPr>
        <w:t>亿元，由深圳市高 新投融资担保有限公司提供连带责任保证担保；品种二债券代码</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，发行金额</w:t>
      </w:r>
      <w:r>
        <w:rPr>
          <w:rFonts w:ascii="Times New Roman" w:eastAsia="Times New Roman" w:hAnsi="Times New Roman" w:cs="Times New Roman"/>
          <w:color w:val="000000"/>
          <w:spacing w:val="0"/>
          <w:w w:val="100"/>
          <w:position w:val="0"/>
        </w:rPr>
        <w:t>2</w:t>
      </w:r>
      <w:r>
        <w:rPr>
          <w:color w:val="000000"/>
          <w:spacing w:val="0"/>
          <w:w w:val="100"/>
          <w:position w:val="0"/>
        </w:rPr>
        <w:t>亿元，由深圳担保集团有限公司提 供连带责任保证担保。</w:t>
      </w:r>
    </w:p>
    <w:p>
      <w:pPr>
        <w:pStyle w:val="Style17"/>
        <w:keepNext w:val="0"/>
        <w:keepLines w:val="0"/>
        <w:widowControl w:val="0"/>
        <w:shd w:val="clear" w:color="auto" w:fill="auto"/>
        <w:bidi w:val="0"/>
        <w:spacing w:before="0" w:after="360" w:line="317" w:lineRule="exact"/>
        <w:ind w:left="0" w:right="0"/>
        <w:jc w:val="both"/>
      </w:pPr>
      <w:r>
        <w:rPr>
          <w:color w:val="000000"/>
          <w:spacing w:val="0"/>
          <w:w w:val="100"/>
          <w:position w:val="0"/>
        </w:rPr>
        <w:t>报告期内，公司债券增信机制、偿债计划及其他偿债保障措施未发生变更，详见公司于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日在巨潮资讯网披 露的《</w:t>
      </w:r>
      <w:r>
        <w:rPr>
          <w:rFonts w:ascii="Times New Roman" w:eastAsia="Times New Roman" w:hAnsi="Times New Roman" w:cs="Times New Roman"/>
          <w:color w:val="000000"/>
          <w:spacing w:val="0"/>
          <w:w w:val="100"/>
          <w:position w:val="0"/>
        </w:rPr>
        <w:t>2020</w:t>
      </w:r>
      <w:r>
        <w:rPr>
          <w:color w:val="000000"/>
          <w:spacing w:val="0"/>
          <w:w w:val="100"/>
          <w:position w:val="0"/>
        </w:rPr>
        <w:t>年面向合格投资者公开发行公司债券</w:t>
      </w:r>
      <w:r>
        <w:rPr>
          <w:rFonts w:ascii="Times New Roman" w:eastAsia="Times New Roman" w:hAnsi="Times New Roman" w:cs="Times New Roman"/>
          <w:color w:val="000000"/>
          <w:spacing w:val="0"/>
          <w:w w:val="100"/>
          <w:position w:val="0"/>
        </w:rPr>
        <w:t>（</w:t>
      </w:r>
      <w:r>
        <w:rPr>
          <w:color w:val="000000"/>
          <w:spacing w:val="0"/>
          <w:w w:val="100"/>
          <w:position w:val="0"/>
        </w:rPr>
        <w:t>第一期</w:t>
      </w:r>
      <w:r>
        <w:rPr>
          <w:rFonts w:ascii="Times New Roman" w:eastAsia="Times New Roman" w:hAnsi="Times New Roman" w:cs="Times New Roman"/>
          <w:color w:val="000000"/>
          <w:spacing w:val="0"/>
          <w:w w:val="100"/>
          <w:position w:val="0"/>
        </w:rPr>
        <w:t>）</w:t>
      </w:r>
      <w:r>
        <w:rPr>
          <w:color w:val="000000"/>
          <w:spacing w:val="0"/>
          <w:w w:val="100"/>
          <w:position w:val="0"/>
        </w:rPr>
        <w:t>募集说明书》之</w:t>
      </w:r>
      <w:r>
        <w:rPr>
          <w:rFonts w:ascii="Times New Roman" w:eastAsia="Times New Roman" w:hAnsi="Times New Roman" w:cs="Times New Roman"/>
          <w:color w:val="000000"/>
          <w:spacing w:val="0"/>
          <w:w w:val="100"/>
          <w:position w:val="0"/>
        </w:rPr>
        <w:t>“</w:t>
      </w:r>
      <w:r>
        <w:rPr>
          <w:color w:val="000000"/>
          <w:spacing w:val="0"/>
          <w:w w:val="100"/>
          <w:position w:val="0"/>
        </w:rPr>
        <w:t>第四节增信机制、偿债计划及其他保障措施</w:t>
      </w:r>
      <w:r>
        <w:rPr>
          <w:rFonts w:ascii="Times New Roman" w:eastAsia="Times New Roman" w:hAnsi="Times New Roman" w:cs="Times New Roman"/>
          <w:color w:val="000000"/>
          <w:spacing w:val="0"/>
          <w:w w:val="100"/>
          <w:position w:val="0"/>
        </w:rPr>
        <w:t>”</w:t>
      </w:r>
      <w:r>
        <w:rPr>
          <w:color w:val="000000"/>
          <w:spacing w:val="0"/>
          <w:w w:val="100"/>
          <w:position w:val="0"/>
        </w:rPr>
        <w:t>相 关内容。</w:t>
      </w:r>
    </w:p>
    <w:p>
      <w:pPr>
        <w:pStyle w:val="Style24"/>
        <w:keepNext/>
        <w:keepLines/>
        <w:widowControl w:val="0"/>
        <w:shd w:val="clear" w:color="auto" w:fill="auto"/>
        <w:tabs>
          <w:tab w:pos="522" w:val="left"/>
        </w:tabs>
        <w:bidi w:val="0"/>
        <w:spacing w:before="0" w:after="260" w:line="240" w:lineRule="auto"/>
        <w:ind w:left="0" w:right="0" w:firstLine="0"/>
        <w:jc w:val="both"/>
      </w:pPr>
      <w:bookmarkStart w:id="779" w:name="bookmark779"/>
      <w:bookmarkStart w:id="780" w:name="bookmark780"/>
      <w:bookmarkStart w:id="781" w:name="bookmark781"/>
      <w:bookmarkStart w:id="782" w:name="bookmark782"/>
      <w:r>
        <w:rPr>
          <w:color w:val="000000"/>
          <w:spacing w:val="0"/>
          <w:w w:val="100"/>
          <w:position w:val="0"/>
          <w:sz w:val="24"/>
          <w:szCs w:val="24"/>
        </w:rPr>
        <w:t>三</w:t>
      </w:r>
      <w:bookmarkEnd w:id="781"/>
      <w:r>
        <w:rPr>
          <w:color w:val="000000"/>
          <w:spacing w:val="0"/>
          <w:w w:val="100"/>
          <w:position w:val="0"/>
          <w:sz w:val="24"/>
          <w:szCs w:val="24"/>
        </w:rPr>
        <w:t>、</w:t>
        <w:tab/>
        <w:t>非金融企业债务融资工具</w:t>
      </w:r>
      <w:bookmarkEnd w:id="779"/>
      <w:bookmarkEnd w:id="780"/>
      <w:bookmarkEnd w:id="782"/>
    </w:p>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317" w:lineRule="exact"/>
        <w:ind w:left="0" w:right="0"/>
        <w:jc w:val="left"/>
      </w:pPr>
      <w:r>
        <w:rPr>
          <w:color w:val="000000"/>
          <w:spacing w:val="0"/>
          <w:w w:val="100"/>
          <w:position w:val="0"/>
        </w:rPr>
        <w:t>报告期公司不存在非金融企业债务融资工具。</w:t>
      </w:r>
    </w:p>
    <w:p>
      <w:pPr>
        <w:pStyle w:val="Style24"/>
        <w:keepNext/>
        <w:keepLines/>
        <w:widowControl w:val="0"/>
        <w:shd w:val="clear" w:color="auto" w:fill="auto"/>
        <w:tabs>
          <w:tab w:pos="522"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sz w:val="24"/>
          <w:szCs w:val="24"/>
        </w:rPr>
        <w:t>四</w:t>
      </w:r>
      <w:bookmarkEnd w:id="785"/>
      <w:r>
        <w:rPr>
          <w:color w:val="000000"/>
          <w:spacing w:val="0"/>
          <w:w w:val="100"/>
          <w:position w:val="0"/>
          <w:sz w:val="24"/>
          <w:szCs w:val="24"/>
        </w:rPr>
        <w:t>、</w:t>
        <w:tab/>
        <w:t>可转换公司债券</w:t>
      </w:r>
      <w:bookmarkEnd w:id="783"/>
      <w:bookmarkEnd w:id="784"/>
      <w:bookmarkEnd w:id="786"/>
    </w:p>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360" w:line="317" w:lineRule="exact"/>
        <w:ind w:left="0" w:right="0"/>
        <w:jc w:val="both"/>
      </w:pPr>
      <w:r>
        <w:rPr>
          <w:color w:val="000000"/>
          <w:spacing w:val="0"/>
          <w:w w:val="100"/>
          <w:position w:val="0"/>
        </w:rPr>
        <w:t>报告期公司不存在可转换公司债券。</w:t>
      </w:r>
    </w:p>
    <w:p>
      <w:pPr>
        <w:pStyle w:val="Style24"/>
        <w:keepNext/>
        <w:keepLines/>
        <w:widowControl w:val="0"/>
        <w:shd w:val="clear" w:color="auto" w:fill="auto"/>
        <w:tabs>
          <w:tab w:pos="522" w:val="left"/>
        </w:tabs>
        <w:bidi w:val="0"/>
        <w:spacing w:before="0" w:after="36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sz w:val="24"/>
          <w:szCs w:val="24"/>
        </w:rPr>
        <w:t>五</w:t>
      </w:r>
      <w:bookmarkEnd w:id="789"/>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87"/>
      <w:bookmarkEnd w:id="788"/>
      <w:bookmarkEnd w:id="790"/>
    </w:p>
    <w:p>
      <w:pPr>
        <w:pStyle w:val="Style17"/>
        <w:keepNext w:val="0"/>
        <w:keepLines w:val="0"/>
        <w:widowControl w:val="0"/>
        <w:numPr>
          <w:ilvl w:val="0"/>
          <w:numId w:val="27"/>
        </w:numPr>
        <w:shd w:val="clear" w:color="auto" w:fill="auto"/>
        <w:tabs>
          <w:tab w:pos="282" w:val="left"/>
        </w:tabs>
        <w:bidi w:val="0"/>
        <w:spacing w:before="0" w:after="260"/>
        <w:ind w:left="0" w:right="0" w:firstLine="0"/>
        <w:jc w:val="left"/>
      </w:pPr>
      <w:bookmarkStart w:id="791" w:name="bookmark791"/>
      <w:bookmarkEnd w:id="79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792" w:name="bookmark792"/>
      <w:bookmarkStart w:id="793" w:name="bookmark793"/>
      <w:bookmarkStart w:id="794" w:name="bookmark794"/>
      <w:bookmarkStart w:id="795" w:name="bookmark795"/>
      <w:r>
        <w:rPr>
          <w:color w:val="000000"/>
          <w:spacing w:val="0"/>
          <w:w w:val="100"/>
          <w:position w:val="0"/>
          <w:sz w:val="24"/>
          <w:szCs w:val="24"/>
        </w:rPr>
        <w:t>六</w:t>
      </w:r>
      <w:bookmarkEnd w:id="794"/>
      <w:r>
        <w:rPr>
          <w:color w:val="000000"/>
          <w:spacing w:val="0"/>
          <w:w w:val="100"/>
          <w:position w:val="0"/>
          <w:sz w:val="24"/>
          <w:szCs w:val="24"/>
        </w:rPr>
        <w:t>、</w:t>
        <w:tab/>
        <w:t>报告期末除债券外的有息债务逾期情况</w:t>
      </w:r>
      <w:bookmarkEnd w:id="792"/>
      <w:bookmarkEnd w:id="793"/>
      <w:bookmarkEnd w:id="795"/>
    </w:p>
    <w:p>
      <w:pPr>
        <w:pStyle w:val="Style17"/>
        <w:keepNext w:val="0"/>
        <w:keepLines w:val="0"/>
        <w:widowControl w:val="0"/>
        <w:numPr>
          <w:ilvl w:val="0"/>
          <w:numId w:val="27"/>
        </w:numPr>
        <w:shd w:val="clear" w:color="auto" w:fill="auto"/>
        <w:tabs>
          <w:tab w:pos="282" w:val="left"/>
        </w:tabs>
        <w:bidi w:val="0"/>
        <w:spacing w:before="0" w:after="260"/>
        <w:ind w:left="0" w:right="0" w:firstLine="0"/>
        <w:jc w:val="left"/>
      </w:pPr>
      <w:bookmarkStart w:id="796" w:name="bookmark796"/>
      <w:bookmarkEnd w:id="79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tabs>
          <w:tab w:pos="522"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sz w:val="24"/>
          <w:szCs w:val="24"/>
        </w:rPr>
        <w:t>七</w:t>
      </w:r>
      <w:bookmarkEnd w:id="799"/>
      <w:r>
        <w:rPr>
          <w:color w:val="000000"/>
          <w:spacing w:val="0"/>
          <w:w w:val="100"/>
          <w:position w:val="0"/>
          <w:sz w:val="24"/>
          <w:szCs w:val="24"/>
        </w:rPr>
        <w:t>、</w:t>
        <w:tab/>
        <w:t>报告期内是否有违反规章制度的情况</w:t>
      </w:r>
      <w:bookmarkEnd w:id="797"/>
      <w:bookmarkEnd w:id="798"/>
      <w:bookmarkEnd w:id="800"/>
    </w:p>
    <w:p>
      <w:pPr>
        <w:pStyle w:val="Style1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22" w:val="left"/>
        </w:tabs>
        <w:bidi w:val="0"/>
        <w:spacing w:before="0" w:after="36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sz w:val="24"/>
          <w:szCs w:val="24"/>
        </w:rPr>
        <w:t>八</w:t>
      </w:r>
      <w:bookmarkEnd w:id="803"/>
      <w:r>
        <w:rPr>
          <w:color w:val="000000"/>
          <w:spacing w:val="0"/>
          <w:w w:val="100"/>
          <w:position w:val="0"/>
          <w:sz w:val="24"/>
          <w:szCs w:val="24"/>
        </w:rPr>
        <w:t>、</w:t>
        <w:tab/>
        <w:t>截至报告期末公司近两年的主要会计数据和财务指标</w:t>
      </w:r>
      <w:bookmarkEnd w:id="801"/>
      <w:bookmarkEnd w:id="802"/>
      <w:bookmarkEnd w:id="8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135,834.25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204,904.51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83.35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ectPr>
          <w:footnotePr>
            <w:pos w:val="pageBottom"/>
            <w:numFmt w:val="decimal"/>
            <w:numRestart w:val="continuous"/>
          </w:footnotePr>
          <w:pgSz w:w="11900" w:h="16840"/>
          <w:pgMar w:top="1388" w:right="1110" w:bottom="1594" w:left="1104" w:header="0" w:footer="3" w:gutter="0"/>
          <w:cols w:space="720"/>
          <w:noEndnote/>
          <w:rtlGutter w:val="0"/>
          <w:docGrid w:linePitch="360"/>
        </w:sectPr>
      </w:pPr>
    </w:p>
    <w:p>
      <w:pPr>
        <w:pStyle w:val="Style10"/>
        <w:keepNext/>
        <w:keepLines/>
        <w:widowControl w:val="0"/>
        <w:shd w:val="clear" w:color="auto" w:fill="auto"/>
        <w:bidi w:val="0"/>
        <w:spacing w:before="0" w:after="520" w:line="240" w:lineRule="auto"/>
        <w:ind w:left="0" w:right="0" w:firstLine="0"/>
        <w:jc w:val="center"/>
      </w:pPr>
      <w:bookmarkStart w:id="805" w:name="bookmark805"/>
      <w:bookmarkStart w:id="806" w:name="bookmark806"/>
      <w:bookmarkStart w:id="807" w:name="bookmark807"/>
      <w:r>
        <w:rPr>
          <w:color w:val="000000"/>
          <w:spacing w:val="0"/>
          <w:w w:val="100"/>
          <w:position w:val="0"/>
        </w:rPr>
        <w:t>第十节财务报告</w:t>
      </w:r>
      <w:bookmarkEnd w:id="805"/>
      <w:bookmarkEnd w:id="806"/>
      <w:bookmarkEnd w:id="807"/>
    </w:p>
    <w:p>
      <w:pPr>
        <w:pStyle w:val="Style24"/>
        <w:keepNext/>
        <w:keepLines/>
        <w:widowControl w:val="0"/>
        <w:shd w:val="clear" w:color="auto" w:fill="auto"/>
        <w:bidi w:val="0"/>
        <w:spacing w:before="0" w:after="300" w:line="240" w:lineRule="auto"/>
        <w:ind w:left="0" w:right="0" w:firstLine="0"/>
        <w:jc w:val="both"/>
      </w:pPr>
      <w:bookmarkStart w:id="808" w:name="bookmark808"/>
      <w:bookmarkStart w:id="809" w:name="bookmark809"/>
      <w:bookmarkStart w:id="810" w:name="bookmark810"/>
      <w:bookmarkStart w:id="811" w:name="bookmark811"/>
      <w:bookmarkStart w:id="812" w:name="bookmark812"/>
      <w:r>
        <w:rPr>
          <w:color w:val="000000"/>
          <w:spacing w:val="0"/>
          <w:w w:val="100"/>
          <w:position w:val="0"/>
          <w:sz w:val="24"/>
          <w:szCs w:val="24"/>
        </w:rPr>
        <w:t>一</w:t>
      </w:r>
      <w:bookmarkEnd w:id="811"/>
      <w:r>
        <w:rPr>
          <w:color w:val="000000"/>
          <w:spacing w:val="0"/>
          <w:w w:val="100"/>
          <w:position w:val="0"/>
          <w:sz w:val="24"/>
          <w:szCs w:val="24"/>
        </w:rPr>
        <w:t>、审计报告</w:t>
      </w:r>
      <w:bookmarkEnd w:id="809"/>
      <w:bookmarkEnd w:id="810"/>
      <w:bookmarkEnd w:id="812"/>
      <w:bookmarkEnd w:id="80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w:t>
            </w:r>
            <w:r>
              <w:rPr>
                <w:rFonts w:ascii="Times New Roman" w:eastAsia="Times New Roman" w:hAnsi="Times New Roman" w:cs="Times New Roman"/>
                <w:color w:val="000000"/>
                <w:spacing w:val="0"/>
                <w:w w:val="100"/>
                <w:position w:val="0"/>
              </w:rPr>
              <w:t>2022</w:t>
            </w:r>
            <w:r>
              <w:rPr>
                <w:color w:val="000000"/>
                <w:spacing w:val="0"/>
                <w:w w:val="100"/>
                <w:position w:val="0"/>
              </w:rPr>
              <w:t>）审字第</w:t>
            </w:r>
            <w:r>
              <w:rPr>
                <w:rFonts w:ascii="Times New Roman" w:eastAsia="Times New Roman" w:hAnsi="Times New Roman" w:cs="Times New Roman"/>
                <w:color w:val="000000"/>
                <w:spacing w:val="0"/>
                <w:w w:val="100"/>
                <w:position w:val="0"/>
              </w:rPr>
              <w:t>61098952_H01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王士杰、黄寅</w:t>
            </w:r>
          </w:p>
        </w:tc>
      </w:tr>
    </w:tbl>
    <w:p>
      <w:pPr>
        <w:pStyle w:val="Style26"/>
        <w:keepNext w:val="0"/>
        <w:keepLines w:val="0"/>
        <w:widowControl w:val="0"/>
        <w:shd w:val="clear" w:color="auto" w:fill="auto"/>
        <w:bidi w:val="0"/>
        <w:spacing w:before="0" w:after="0" w:line="240" w:lineRule="auto"/>
        <w:ind w:left="4243" w:right="0" w:firstLine="0"/>
        <w:jc w:val="left"/>
      </w:pPr>
      <w:r>
        <w:rPr>
          <w:color w:val="000000"/>
          <w:spacing w:val="0"/>
          <w:w w:val="100"/>
          <w:position w:val="0"/>
        </w:rPr>
        <w:t>审计报告正文</w:t>
      </w:r>
    </w:p>
    <w:p>
      <w:pPr>
        <w:widowControl w:val="0"/>
        <w:spacing w:after="119" w:line="1" w:lineRule="exact"/>
      </w:pPr>
    </w:p>
    <w:p>
      <w:pPr>
        <w:pStyle w:val="Style73"/>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7"/>
        <w:keepNext w:val="0"/>
        <w:keepLines w:val="0"/>
        <w:widowControl w:val="0"/>
        <w:shd w:val="clear" w:color="auto" w:fill="auto"/>
        <w:bidi w:val="0"/>
        <w:spacing w:before="0" w:after="300" w:line="326" w:lineRule="exact"/>
        <w:ind w:left="6340" w:right="0" w:firstLine="0"/>
        <w:jc w:val="right"/>
      </w:pPr>
      <w:r>
        <w:rPr>
          <w:color w:val="000000"/>
          <w:spacing w:val="0"/>
          <w:w w:val="100"/>
          <w:position w:val="0"/>
        </w:rPr>
        <w:t>安永华明（</w:t>
      </w:r>
      <w:r>
        <w:rPr>
          <w:rFonts w:ascii="Times New Roman" w:eastAsia="Times New Roman" w:hAnsi="Times New Roman" w:cs="Times New Roman"/>
          <w:color w:val="000000"/>
          <w:spacing w:val="0"/>
          <w:w w:val="100"/>
          <w:position w:val="0"/>
        </w:rPr>
        <w:t>2022</w:t>
      </w:r>
      <w:r>
        <w:rPr>
          <w:color w:val="000000"/>
          <w:spacing w:val="0"/>
          <w:w w:val="100"/>
          <w:position w:val="0"/>
        </w:rPr>
        <w:t>）审字第</w:t>
      </w:r>
      <w:r>
        <w:rPr>
          <w:rFonts w:ascii="Times New Roman" w:eastAsia="Times New Roman" w:hAnsi="Times New Roman" w:cs="Times New Roman"/>
          <w:color w:val="000000"/>
          <w:spacing w:val="0"/>
          <w:w w:val="100"/>
          <w:position w:val="0"/>
        </w:rPr>
        <w:t>61098952_H0</w:t>
      </w:r>
      <w:r>
        <w:rPr>
          <w:rFonts w:ascii="Times New Roman" w:eastAsia="Times New Roman" w:hAnsi="Times New Roman" w:cs="Times New Roman"/>
          <w:color w:val="000000"/>
          <w:spacing w:val="0"/>
          <w:w w:val="100"/>
          <w:position w:val="0"/>
        </w:rPr>
        <w:t>1</w:t>
      </w:r>
      <w:r>
        <w:rPr>
          <w:color w:val="000000"/>
          <w:spacing w:val="0"/>
          <w:w w:val="100"/>
          <w:position w:val="0"/>
        </w:rPr>
        <w:t>号 深圳华大基因股份有限公司</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深圳华大基因股份有限公司全体股东：</w:t>
      </w:r>
    </w:p>
    <w:p>
      <w:pPr>
        <w:pStyle w:val="Style17"/>
        <w:keepNext w:val="0"/>
        <w:keepLines w:val="0"/>
        <w:widowControl w:val="0"/>
        <w:shd w:val="clear" w:color="auto" w:fill="auto"/>
        <w:tabs>
          <w:tab w:pos="435" w:val="left"/>
        </w:tabs>
        <w:bidi w:val="0"/>
        <w:spacing w:before="0" w:after="0" w:line="322" w:lineRule="exact"/>
        <w:ind w:left="0" w:right="0" w:firstLine="0"/>
        <w:jc w:val="both"/>
      </w:pPr>
      <w:bookmarkStart w:id="813" w:name="bookmark813"/>
      <w:r>
        <w:rPr>
          <w:b/>
          <w:bCs/>
          <w:color w:val="000000"/>
          <w:spacing w:val="0"/>
          <w:w w:val="100"/>
          <w:position w:val="0"/>
        </w:rPr>
        <w:t>一</w:t>
      </w:r>
      <w:bookmarkEnd w:id="813"/>
      <w:r>
        <w:rPr>
          <w:b/>
          <w:bCs/>
          <w:color w:val="000000"/>
          <w:spacing w:val="0"/>
          <w:w w:val="100"/>
          <w:position w:val="0"/>
        </w:rPr>
        <w:t>、</w:t>
        <w:tab/>
        <w:t>审计意见</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我们审计了深圳华大基因股份有限公司的财务报表，包括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 公司利润表、股东权益变动表和现金流量表以及相关财务报表附注。</w:t>
      </w:r>
    </w:p>
    <w:p>
      <w:pPr>
        <w:pStyle w:val="Style17"/>
        <w:keepNext w:val="0"/>
        <w:keepLines w:val="0"/>
        <w:widowControl w:val="0"/>
        <w:shd w:val="clear" w:color="auto" w:fill="auto"/>
        <w:bidi w:val="0"/>
        <w:spacing w:before="0" w:after="300" w:line="298" w:lineRule="exact"/>
        <w:ind w:left="0" w:right="0"/>
        <w:jc w:val="both"/>
      </w:pPr>
      <w:r>
        <w:rPr>
          <w:color w:val="000000"/>
          <w:spacing w:val="0"/>
          <w:w w:val="100"/>
          <w:position w:val="0"/>
        </w:rPr>
        <w:t>我们认为，后附的深圳华大基因股份有限公司的财务报表在所有重大方面按照企业会计准则的规定编制，公允反映了深 圳华大基因股份有限公司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年度的合并及公司经营成果和现金流量。</w:t>
      </w:r>
    </w:p>
    <w:p>
      <w:pPr>
        <w:pStyle w:val="Style17"/>
        <w:keepNext w:val="0"/>
        <w:keepLines w:val="0"/>
        <w:widowControl w:val="0"/>
        <w:shd w:val="clear" w:color="auto" w:fill="auto"/>
        <w:tabs>
          <w:tab w:pos="435" w:val="left"/>
        </w:tabs>
        <w:bidi w:val="0"/>
        <w:spacing w:before="0" w:after="0" w:line="310" w:lineRule="exact"/>
        <w:ind w:left="0" w:right="0" w:firstLine="0"/>
        <w:jc w:val="both"/>
      </w:pPr>
      <w:bookmarkStart w:id="814" w:name="bookmark814"/>
      <w:r>
        <w:rPr>
          <w:b/>
          <w:bCs/>
          <w:color w:val="000000"/>
          <w:spacing w:val="0"/>
          <w:w w:val="100"/>
          <w:position w:val="0"/>
        </w:rPr>
        <w:t>二</w:t>
      </w:r>
      <w:bookmarkEnd w:id="814"/>
      <w:r>
        <w:rPr>
          <w:b/>
          <w:bCs/>
          <w:color w:val="000000"/>
          <w:spacing w:val="0"/>
          <w:w w:val="100"/>
          <w:position w:val="0"/>
        </w:rPr>
        <w:t>、</w:t>
        <w:tab/>
        <w:t>形成审计意见的基础</w:t>
      </w:r>
    </w:p>
    <w:p>
      <w:pPr>
        <w:pStyle w:val="Style17"/>
        <w:keepNext w:val="0"/>
        <w:keepLines w:val="0"/>
        <w:widowControl w:val="0"/>
        <w:shd w:val="clear" w:color="auto" w:fill="auto"/>
        <w:bidi w:val="0"/>
        <w:spacing w:before="0" w:after="300" w:line="310"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阐述了我们在这些准则下的责任。按照中国注册会计师职业道德守则，我们独立于深圳华大基因股份有限公司，并履行了职 业道德方面的其他责任。我们相信，我们获取的审计证据是充分、适当的，为发表审计意见提供了基础。</w:t>
      </w:r>
    </w:p>
    <w:p>
      <w:pPr>
        <w:pStyle w:val="Style17"/>
        <w:keepNext w:val="0"/>
        <w:keepLines w:val="0"/>
        <w:widowControl w:val="0"/>
        <w:shd w:val="clear" w:color="auto" w:fill="auto"/>
        <w:tabs>
          <w:tab w:pos="440" w:val="left"/>
        </w:tabs>
        <w:bidi w:val="0"/>
        <w:spacing w:before="0" w:after="0" w:line="312" w:lineRule="exact"/>
        <w:ind w:left="0" w:right="0" w:firstLine="0"/>
        <w:jc w:val="both"/>
      </w:pPr>
      <w:bookmarkStart w:id="815" w:name="bookmark815"/>
      <w:r>
        <w:rPr>
          <w:b/>
          <w:bCs/>
          <w:color w:val="000000"/>
          <w:spacing w:val="0"/>
          <w:w w:val="100"/>
          <w:position w:val="0"/>
        </w:rPr>
        <w:t>三</w:t>
      </w:r>
      <w:bookmarkEnd w:id="815"/>
      <w:r>
        <w:rPr>
          <w:b/>
          <w:bCs/>
          <w:color w:val="000000"/>
          <w:spacing w:val="0"/>
          <w:w w:val="100"/>
          <w:position w:val="0"/>
        </w:rPr>
        <w:t>、</w:t>
        <w:tab/>
        <w:t>关键审计事项</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审计并形成审计意见为背景，我们不对这些事项单独发表意见。我们对下述每一事项在审计中是如何应对的描述也以此为背</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景</w:t>
      </w:r>
      <w:r>
        <w:rPr>
          <w:color w:val="000000"/>
          <w:spacing w:val="0"/>
          <w:w w:val="100"/>
          <w:position w:val="0"/>
          <w:sz w:val="18"/>
          <w:szCs w:val="18"/>
        </w:rPr>
        <w:t>0</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我们已经履行了本报告</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部分阐述的责任，包括与这些关键审计事项相关的责任。相 应地，我们的审计工作包括执行为应对评估的财务报表重大错报风险而设计的审计程序。我们执行审计程序的结果，包括应 对下述关键审计事项所执行的程序，为财务报表整体发表审计意见提供了基础。</w:t>
      </w:r>
    </w:p>
    <w:tbl>
      <w:tblPr>
        <w:tblOverlap w:val="never"/>
        <w:jc w:val="center"/>
        <w:tblLayout w:type="fixed"/>
      </w:tblPr>
      <w:tblGrid>
        <w:gridCol w:w="4258"/>
        <w:gridCol w:w="5400"/>
      </w:tblGrid>
      <w:tr>
        <w:trPr>
          <w:trHeight w:val="350" w:hRule="exact"/>
        </w:trPr>
        <w:tc>
          <w:tcPr>
            <w:tcBorders>
              <w:top w:val="single" w:sz="4"/>
              <w:left w:val="single" w:sz="4"/>
            </w:tcBorders>
            <w:shd w:val="clear" w:color="auto" w:fill="999999"/>
            <w:vAlign w:val="center"/>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18"/>
                <w:szCs w:val="18"/>
              </w:rPr>
              <w:t>关键审计事项</w:t>
            </w:r>
            <w:r>
              <w:rPr>
                <w:b/>
                <w:bCs/>
                <w:color w:val="000000"/>
                <w:spacing w:val="0"/>
                <w:w w:val="100"/>
                <w:position w:val="0"/>
                <w:sz w:val="19"/>
                <w:szCs w:val="19"/>
              </w:rPr>
              <w:t>：</w:t>
            </w:r>
          </w:p>
        </w:tc>
        <w:tc>
          <w:tcPr>
            <w:tcBorders>
              <w:top w:val="single" w:sz="4"/>
              <w:left w:val="single" w:sz="4"/>
              <w:right w:val="single" w:sz="4"/>
            </w:tcBorders>
            <w:shd w:val="clear" w:color="auto" w:fill="999999"/>
            <w:vAlign w:val="center"/>
          </w:tcPr>
          <w:p>
            <w:pPr>
              <w:pStyle w:val="Style20"/>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18"/>
                <w:szCs w:val="18"/>
              </w:rPr>
              <w:t>该事项在审计中是如何应对</w:t>
            </w:r>
            <w:r>
              <w:rPr>
                <w:b/>
                <w:bCs/>
                <w:color w:val="000000"/>
                <w:spacing w:val="0"/>
                <w:w w:val="100"/>
                <w:position w:val="0"/>
                <w:sz w:val="19"/>
                <w:szCs w:val="19"/>
              </w:rPr>
              <w:t>：</w:t>
            </w:r>
          </w:p>
        </w:tc>
      </w:tr>
      <w:tr>
        <w:trPr>
          <w:trHeight w:val="350"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应收账款的预期信用损失</w:t>
            </w:r>
          </w:p>
        </w:tc>
      </w:tr>
      <w:tr>
        <w:trPr>
          <w:trHeight w:val="67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360"/>
              <w:jc w:val="left"/>
            </w:pPr>
            <w:r>
              <w:rPr>
                <w:color w:val="000000"/>
                <w:spacing w:val="0"/>
                <w:w w:val="100"/>
                <w:position w:val="0"/>
              </w:rPr>
              <w:t>深圳华大基因股份有限公司及其子公司（以下简 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）应收账款金额重大。于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我们在审计过程中对应收账款的预期信用损失执行了以下工</w:t>
            </w:r>
          </w:p>
        </w:tc>
      </w:tr>
    </w:tbl>
    <w:p>
      <w:pPr>
        <w:sectPr>
          <w:footnotePr>
            <w:pos w:val="pageBottom"/>
            <w:numFmt w:val="decimal"/>
            <w:numRestart w:val="continuous"/>
          </w:footnotePr>
          <w:pgSz w:w="11900" w:h="16840"/>
          <w:pgMar w:top="1930" w:right="1104" w:bottom="1508" w:left="1104"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收账款在合并财务报表的账面余额为人民币作:</w:t>
      </w:r>
    </w:p>
    <w:p>
      <w:pPr>
        <w:widowControl w:val="0"/>
        <w:spacing w:line="1" w:lineRule="exact"/>
        <w:sectPr>
          <w:footnotePr>
            <w:pos w:val="pageBottom"/>
            <w:numFmt w:val="decimal"/>
            <w:numRestart w:val="continuous"/>
          </w:footnotePr>
          <w:pgSz w:w="11900" w:h="16840"/>
          <w:pgMar w:top="1508" w:right="1023" w:bottom="1628" w:left="1104" w:header="0" w:footer="3" w:gutter="0"/>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734695</wp:posOffset>
                </wp:positionH>
                <wp:positionV relativeFrom="paragraph">
                  <wp:posOffset>0</wp:posOffset>
                </wp:positionV>
                <wp:extent cx="2700655" cy="3181985"/>
                <wp:wrapTopAndBottom/>
                <wp:docPr id="3" name="Shape 3"/>
                <a:graphic xmlns:a="http://schemas.openxmlformats.org/drawingml/2006/main">
                  <a:graphicData uri="http://schemas.microsoft.com/office/word/2010/wordprocessingShape">
                    <wps:wsp>
                      <wps:cNvSpPr txBox="1"/>
                      <wps:spPr>
                        <a:xfrm>
                          <a:ext cx="2700655" cy="3181985"/>
                        </a:xfrm>
                        <a:prstGeom prst="rect"/>
                        <a:noFill/>
                      </wps:spPr>
                      <wps:txbx>
                        <w:txbxContent>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1,860,564,843.57</w:t>
                            </w:r>
                            <w:r>
                              <w:rPr>
                                <w:rFonts w:ascii="SimSun" w:eastAsia="SimSun" w:hAnsi="SimSun" w:cs="SimSun"/>
                                <w:color w:val="000000"/>
                                <w:spacing w:val="0"/>
                                <w:w w:val="100"/>
                                <w:position w:val="0"/>
                              </w:rPr>
                              <w:t xml:space="preserve">元，坏账准备的余额为人民币 </w:t>
                            </w:r>
                            <w:r>
                              <w:rPr>
                                <w:color w:val="000000"/>
                                <w:spacing w:val="0"/>
                                <w:w w:val="100"/>
                                <w:position w:val="0"/>
                              </w:rPr>
                              <w:t>645,712,989.05</w:t>
                            </w:r>
                            <w:r>
                              <w:rPr>
                                <w:rFonts w:ascii="SimSun" w:eastAsia="SimSun" w:hAnsi="SimSun" w:cs="SimSun"/>
                                <w:color w:val="000000"/>
                                <w:spacing w:val="0"/>
                                <w:w w:val="100"/>
                                <w:position w:val="0"/>
                              </w:rPr>
                              <w:t>元，账面价值占流动资产和资产总额的 比例分别为</w:t>
                            </w:r>
                            <w:r>
                              <w:rPr>
                                <w:color w:val="000000"/>
                                <w:spacing w:val="0"/>
                                <w:w w:val="100"/>
                                <w:position w:val="0"/>
                              </w:rPr>
                              <w:t>11.01%</w:t>
                            </w:r>
                            <w:r>
                              <w:rPr>
                                <w:rFonts w:ascii="SimSun" w:eastAsia="SimSun" w:hAnsi="SimSun" w:cs="SimSun"/>
                                <w:color w:val="000000"/>
                                <w:spacing w:val="0"/>
                                <w:w w:val="100"/>
                                <w:position w:val="0"/>
                              </w:rPr>
                              <w:t>和</w:t>
                            </w:r>
                            <w:r>
                              <w:rPr>
                                <w:color w:val="000000"/>
                                <w:spacing w:val="0"/>
                                <w:w w:val="100"/>
                                <w:position w:val="0"/>
                              </w:rPr>
                              <w:t>8.52%</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应收账款的主要对象是医院、政府机构、海外公 司、科研机构、大专院校和代理商。根据《企业会计准 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号——金融工具确认和计量》，公司以预期信用 损失模型对应收账款进行减值测试。管理层基于历史 违约率、前瞻性信息以及其他具体因素估计预期信用 损失。评估时，公司考虑了包括客户类型、期末余额的 账龄、历史回款、迁移率、是否与客户存在争端、预期 宏观经济环境等信息。</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该会计政策、重大会计判断和估计以及相关财务 报表披露参见第十节财务报告附注五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 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“32</w:t>
                            </w:r>
                            <w:r>
                              <w:rPr>
                                <w:color w:val="000000"/>
                                <w:spacing w:val="0"/>
                                <w:w w:val="100"/>
                                <w:position w:val="0"/>
                              </w:rPr>
                              <w:t>、重要会计政策和会 计估计变更</w:t>
                            </w:r>
                            <w:r>
                              <w:rPr>
                                <w:rFonts w:ascii="Times New Roman" w:eastAsia="Times New Roman" w:hAnsi="Times New Roman" w:cs="Times New Roman"/>
                                <w:color w:val="000000"/>
                                <w:spacing w:val="0"/>
                                <w:w w:val="100"/>
                                <w:position w:val="0"/>
                              </w:rPr>
                              <w:t>”</w:t>
                            </w:r>
                            <w:r>
                              <w:rPr>
                                <w:color w:val="000000"/>
                                <w:spacing w:val="0"/>
                                <w:w w:val="100"/>
                                <w:position w:val="0"/>
                              </w:rPr>
                              <w:t>以及附注七</w:t>
                            </w:r>
                            <w:r>
                              <w:rPr>
                                <w:rFonts w:ascii="Times New Roman" w:eastAsia="Times New Roman" w:hAnsi="Times New Roman" w:cs="Times New Roman"/>
                                <w:color w:val="000000"/>
                                <w:spacing w:val="0"/>
                                <w:w w:val="100"/>
                                <w:position w:val="0"/>
                              </w:rPr>
                              <w:t>“</w:t>
                            </w:r>
                            <w:r>
                              <w:rPr>
                                <w:color w:val="000000"/>
                                <w:spacing w:val="0"/>
                                <w:w w:val="100"/>
                                <w:position w:val="0"/>
                              </w:rPr>
                              <w:t>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rPr>
                              <w:t>“4</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7.850000000000001pt;margin-top:0;width:212.65000000000001pt;height:250.55000000000001pt;z-index:-125829375;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311" w:lineRule="exact"/>
                        <w:ind w:left="0" w:right="0" w:firstLine="0"/>
                        <w:jc w:val="both"/>
                      </w:pPr>
                      <w:r>
                        <w:rPr>
                          <w:color w:val="000000"/>
                          <w:spacing w:val="0"/>
                          <w:w w:val="100"/>
                          <w:position w:val="0"/>
                        </w:rPr>
                        <w:t>1,860,564,843.57</w:t>
                      </w:r>
                      <w:r>
                        <w:rPr>
                          <w:rFonts w:ascii="SimSun" w:eastAsia="SimSun" w:hAnsi="SimSun" w:cs="SimSun"/>
                          <w:color w:val="000000"/>
                          <w:spacing w:val="0"/>
                          <w:w w:val="100"/>
                          <w:position w:val="0"/>
                        </w:rPr>
                        <w:t xml:space="preserve">元，坏账准备的余额为人民币 </w:t>
                      </w:r>
                      <w:r>
                        <w:rPr>
                          <w:color w:val="000000"/>
                          <w:spacing w:val="0"/>
                          <w:w w:val="100"/>
                          <w:position w:val="0"/>
                        </w:rPr>
                        <w:t>645,712,989.05</w:t>
                      </w:r>
                      <w:r>
                        <w:rPr>
                          <w:rFonts w:ascii="SimSun" w:eastAsia="SimSun" w:hAnsi="SimSun" w:cs="SimSun"/>
                          <w:color w:val="000000"/>
                          <w:spacing w:val="0"/>
                          <w:w w:val="100"/>
                          <w:position w:val="0"/>
                        </w:rPr>
                        <w:t>元，账面价值占流动资产和资产总额的 比例分别为</w:t>
                      </w:r>
                      <w:r>
                        <w:rPr>
                          <w:color w:val="000000"/>
                          <w:spacing w:val="0"/>
                          <w:w w:val="100"/>
                          <w:position w:val="0"/>
                        </w:rPr>
                        <w:t>11.01%</w:t>
                      </w:r>
                      <w:r>
                        <w:rPr>
                          <w:rFonts w:ascii="SimSun" w:eastAsia="SimSun" w:hAnsi="SimSun" w:cs="SimSun"/>
                          <w:color w:val="000000"/>
                          <w:spacing w:val="0"/>
                          <w:w w:val="100"/>
                          <w:position w:val="0"/>
                        </w:rPr>
                        <w:t>和</w:t>
                      </w:r>
                      <w:r>
                        <w:rPr>
                          <w:color w:val="000000"/>
                          <w:spacing w:val="0"/>
                          <w:w w:val="100"/>
                          <w:position w:val="0"/>
                        </w:rPr>
                        <w:t>8.52%</w:t>
                      </w:r>
                      <w:r>
                        <w:rPr>
                          <w:rFonts w:ascii="SimSun" w:eastAsia="SimSun" w:hAnsi="SimSun" w:cs="SimSun"/>
                          <w:color w:val="000000"/>
                          <w:spacing w:val="0"/>
                          <w:w w:val="100"/>
                          <w:position w:val="0"/>
                        </w:rPr>
                        <w:t>。</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应收账款的主要对象是医院、政府机构、海外公 司、科研机构、大专院校和代理商。根据《企业会计准 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号——金融工具确认和计量》，公司以预期信用 损失模型对应收账款进行减值测试。管理层基于历史 违约率、前瞻性信息以及其他具体因素估计预期信用 损失。评估时，公司考虑了包括客户类型、期末余额的 账龄、历史回款、迁移率、是否与客户存在争端、预期 宏观经济环境等信息。</w:t>
                      </w:r>
                    </w:p>
                    <w:p>
                      <w:pPr>
                        <w:pStyle w:val="Style1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该会计政策、重大会计判断和估计以及相关财务 报表披露参见第十节财务报告附注五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 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“32</w:t>
                      </w:r>
                      <w:r>
                        <w:rPr>
                          <w:color w:val="000000"/>
                          <w:spacing w:val="0"/>
                          <w:w w:val="100"/>
                          <w:position w:val="0"/>
                        </w:rPr>
                        <w:t>、重要会计政策和会 计估计变更</w:t>
                      </w:r>
                      <w:r>
                        <w:rPr>
                          <w:rFonts w:ascii="Times New Roman" w:eastAsia="Times New Roman" w:hAnsi="Times New Roman" w:cs="Times New Roman"/>
                          <w:color w:val="000000"/>
                          <w:spacing w:val="0"/>
                          <w:w w:val="100"/>
                          <w:position w:val="0"/>
                        </w:rPr>
                        <w:t>”</w:t>
                      </w:r>
                      <w:r>
                        <w:rPr>
                          <w:color w:val="000000"/>
                          <w:spacing w:val="0"/>
                          <w:w w:val="100"/>
                          <w:position w:val="0"/>
                        </w:rPr>
                        <w:t>以及附注七</w:t>
                      </w:r>
                      <w:r>
                        <w:rPr>
                          <w:rFonts w:ascii="Times New Roman" w:eastAsia="Times New Roman" w:hAnsi="Times New Roman" w:cs="Times New Roman"/>
                          <w:color w:val="000000"/>
                          <w:spacing w:val="0"/>
                          <w:w w:val="100"/>
                          <w:position w:val="0"/>
                        </w:rPr>
                        <w:t>“</w:t>
                      </w:r>
                      <w:r>
                        <w:rPr>
                          <w:color w:val="000000"/>
                          <w:spacing w:val="0"/>
                          <w:w w:val="100"/>
                          <w:position w:val="0"/>
                        </w:rPr>
                        <w:t>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 xml:space="preserve">的 </w:t>
                      </w:r>
                      <w:r>
                        <w:rPr>
                          <w:rFonts w:ascii="Times New Roman" w:eastAsia="Times New Roman" w:hAnsi="Times New Roman" w:cs="Times New Roman"/>
                          <w:color w:val="000000"/>
                          <w:spacing w:val="0"/>
                          <w:w w:val="100"/>
                          <w:position w:val="0"/>
                        </w:rPr>
                        <w:t>“4</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w:t>
                      </w:r>
                    </w:p>
                  </w:txbxContent>
                </v:textbox>
                <w10:wrap type="topAndBottom" anchorx="page"/>
              </v:shape>
            </w:pict>
          </mc:Fallback>
        </mc:AlternateContent>
      </w:r>
      <w:r>
        <mc:AlternateContent>
          <mc:Choice Requires="wps">
            <w:drawing>
              <wp:anchor distT="115570" distB="100965" distL="0" distR="0" simplePos="0" relativeHeight="125829380" behindDoc="0" locked="0" layoutInCell="1" allowOverlap="1">
                <wp:simplePos x="0" y="0"/>
                <wp:positionH relativeFrom="page">
                  <wp:posOffset>3645535</wp:posOffset>
                </wp:positionH>
                <wp:positionV relativeFrom="paragraph">
                  <wp:posOffset>115570</wp:posOffset>
                </wp:positionV>
                <wp:extent cx="3115310" cy="2965450"/>
                <wp:wrapTopAndBottom/>
                <wp:docPr id="5" name="Shape 5"/>
                <a:graphic xmlns:a="http://schemas.openxmlformats.org/drawingml/2006/main">
                  <a:graphicData uri="http://schemas.microsoft.com/office/word/2010/wordprocessingShape">
                    <wps:wsp>
                      <wps:cNvSpPr txBox="1"/>
                      <wps:spPr>
                        <a:xfrm>
                          <a:ext cx="3115310" cy="2965450"/>
                        </a:xfrm>
                        <a:prstGeom prst="rect"/>
                        <a:noFill/>
                      </wps:spPr>
                      <wps:txbx>
                        <w:txbxContent>
                          <w:p>
                            <w:pPr>
                              <w:pStyle w:val="Style17"/>
                              <w:keepNext w:val="0"/>
                              <w:keepLines w:val="0"/>
                              <w:widowControl w:val="0"/>
                              <w:shd w:val="clear" w:color="auto" w:fill="auto"/>
                              <w:bidi w:val="0"/>
                              <w:spacing w:before="0" w:after="200" w:line="311" w:lineRule="exact"/>
                              <w:ind w:left="0" w:right="0" w:firstLine="0"/>
                              <w:jc w:val="both"/>
                            </w:pPr>
                            <w:r>
                              <w:rPr>
                                <w:color w:val="000000"/>
                                <w:spacing w:val="0"/>
                                <w:w w:val="100"/>
                                <w:position w:val="0"/>
                              </w:rPr>
                              <w:t>了解、评价并测试应收账款减值相关的内部控制；</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针对单项计提坏账准备的应收账款，我们了解客户背景及信用 评价，检查表明应收账款发生减值或减值已经恢复的客观证 据，评价管理层对客户信用历史，未来经营情况和还款能力估 计的适当性，检查资产负债表日至报告日的款项回收情况；</w:t>
                            </w:r>
                          </w:p>
                          <w:p>
                            <w:pPr>
                              <w:pStyle w:val="Style17"/>
                              <w:keepNext w:val="0"/>
                              <w:keepLines w:val="0"/>
                              <w:widowControl w:val="0"/>
                              <w:shd w:val="clear" w:color="auto" w:fill="auto"/>
                              <w:bidi w:val="0"/>
                              <w:spacing w:before="0" w:after="200" w:line="311" w:lineRule="exact"/>
                              <w:ind w:left="0" w:right="0" w:firstLine="0"/>
                              <w:jc w:val="both"/>
                            </w:pPr>
                            <w:r>
                              <w:rPr>
                                <w:color w:val="000000"/>
                                <w:spacing w:val="0"/>
                                <w:w w:val="100"/>
                                <w:position w:val="0"/>
                              </w:rPr>
                              <w:t>针对按信用风险特征组合计提坏账准备的应收账款，我们采用 抽样的方法，检查了管理层编制应收账款账龄表的准确性；结 合客户回款情况和市场条件等因素，评估管理层将应收账款划 分若干组合方法的适当性；检查历史回款和坏账数据，评估历 史损失率估计的适当性；结合前瞻性信息，评估管理层利用预 期信用损失模型计提应收账款坏账准备的合理性；检查资产负 债表日至报告日的款项回收情况；</w:t>
                            </w:r>
                          </w:p>
                          <w:p>
                            <w:pPr>
                              <w:pStyle w:val="Style17"/>
                              <w:keepNext w:val="0"/>
                              <w:keepLines w:val="0"/>
                              <w:widowControl w:val="0"/>
                              <w:shd w:val="clear" w:color="auto" w:fill="auto"/>
                              <w:bidi w:val="0"/>
                              <w:spacing w:before="0" w:after="200" w:line="311" w:lineRule="exact"/>
                              <w:ind w:left="0" w:right="0" w:firstLine="0"/>
                              <w:jc w:val="both"/>
                            </w:pPr>
                            <w:r>
                              <w:rPr>
                                <w:color w:val="000000"/>
                                <w:spacing w:val="0"/>
                                <w:w w:val="100"/>
                                <w:position w:val="0"/>
                              </w:rPr>
                              <w:t>复核财务报表附注中相关披露的充分性和完整性。</w:t>
                            </w:r>
                          </w:p>
                        </w:txbxContent>
                      </wps:txbx>
                      <wps:bodyPr lIns="0" tIns="0" rIns="0" bIns="0">
                        <a:noAutoFit/>
                      </wps:bodyPr>
                    </wps:wsp>
                  </a:graphicData>
                </a:graphic>
              </wp:anchor>
            </w:drawing>
          </mc:Choice>
          <mc:Fallback>
            <w:pict>
              <v:shape id="_x0000_s1031" type="#_x0000_t202" style="position:absolute;margin-left:287.05000000000001pt;margin-top:9.0999999999999996pt;width:245.30000000000001pt;height:233.5pt;z-index:-125829373;mso-wrap-distance-left:0;mso-wrap-distance-top:9.0999999999999996pt;mso-wrap-distance-right:0;mso-wrap-distance-bottom:7.9500000000000002pt;mso-position-horizontal-relative:page" filled="f" stroked="f">
                <v:textbox inset="0,0,0,0">
                  <w:txbxContent>
                    <w:p>
                      <w:pPr>
                        <w:pStyle w:val="Style17"/>
                        <w:keepNext w:val="0"/>
                        <w:keepLines w:val="0"/>
                        <w:widowControl w:val="0"/>
                        <w:shd w:val="clear" w:color="auto" w:fill="auto"/>
                        <w:bidi w:val="0"/>
                        <w:spacing w:before="0" w:after="200" w:line="311" w:lineRule="exact"/>
                        <w:ind w:left="0" w:right="0" w:firstLine="0"/>
                        <w:jc w:val="both"/>
                      </w:pPr>
                      <w:r>
                        <w:rPr>
                          <w:color w:val="000000"/>
                          <w:spacing w:val="0"/>
                          <w:w w:val="100"/>
                          <w:position w:val="0"/>
                        </w:rPr>
                        <w:t>了解、评价并测试应收账款减值相关的内部控制；</w:t>
                      </w:r>
                    </w:p>
                    <w:p>
                      <w:pPr>
                        <w:pStyle w:val="Style17"/>
                        <w:keepNext w:val="0"/>
                        <w:keepLines w:val="0"/>
                        <w:widowControl w:val="0"/>
                        <w:shd w:val="clear" w:color="auto" w:fill="auto"/>
                        <w:bidi w:val="0"/>
                        <w:spacing w:before="0" w:after="200" w:line="310" w:lineRule="exact"/>
                        <w:ind w:left="0" w:right="0" w:firstLine="0"/>
                        <w:jc w:val="both"/>
                      </w:pPr>
                      <w:r>
                        <w:rPr>
                          <w:color w:val="000000"/>
                          <w:spacing w:val="0"/>
                          <w:w w:val="100"/>
                          <w:position w:val="0"/>
                        </w:rPr>
                        <w:t>针对单项计提坏账准备的应收账款，我们了解客户背景及信用 评价，检查表明应收账款发生减值或减值已经恢复的客观证 据，评价管理层对客户信用历史，未来经营情况和还款能力估 计的适当性，检查资产负债表日至报告日的款项回收情况；</w:t>
                      </w:r>
                    </w:p>
                    <w:p>
                      <w:pPr>
                        <w:pStyle w:val="Style17"/>
                        <w:keepNext w:val="0"/>
                        <w:keepLines w:val="0"/>
                        <w:widowControl w:val="0"/>
                        <w:shd w:val="clear" w:color="auto" w:fill="auto"/>
                        <w:bidi w:val="0"/>
                        <w:spacing w:before="0" w:after="200" w:line="311" w:lineRule="exact"/>
                        <w:ind w:left="0" w:right="0" w:firstLine="0"/>
                        <w:jc w:val="both"/>
                      </w:pPr>
                      <w:r>
                        <w:rPr>
                          <w:color w:val="000000"/>
                          <w:spacing w:val="0"/>
                          <w:w w:val="100"/>
                          <w:position w:val="0"/>
                        </w:rPr>
                        <w:t>针对按信用风险特征组合计提坏账准备的应收账款，我们采用 抽样的方法，检查了管理层编制应收账款账龄表的准确性；结 合客户回款情况和市场条件等因素，评估管理层将应收账款划 分若干组合方法的适当性；检查历史回款和坏账数据，评估历 史损失率估计的适当性；结合前瞻性信息，评估管理层利用预 期信用损失模型计提应收账款坏账准备的合理性；检查资产负 债表日至报告日的款项回收情况；</w:t>
                      </w:r>
                    </w:p>
                    <w:p>
                      <w:pPr>
                        <w:pStyle w:val="Style17"/>
                        <w:keepNext w:val="0"/>
                        <w:keepLines w:val="0"/>
                        <w:widowControl w:val="0"/>
                        <w:shd w:val="clear" w:color="auto" w:fill="auto"/>
                        <w:bidi w:val="0"/>
                        <w:spacing w:before="0" w:after="200" w:line="311" w:lineRule="exact"/>
                        <w:ind w:left="0" w:right="0" w:firstLine="0"/>
                        <w:jc w:val="both"/>
                      </w:pPr>
                      <w:r>
                        <w:rPr>
                          <w:color w:val="000000"/>
                          <w:spacing w:val="0"/>
                          <w:w w:val="100"/>
                          <w:position w:val="0"/>
                        </w:rPr>
                        <w:t>复核财务报表附注中相关披露的充分性和完整性。</w:t>
                      </w:r>
                    </w:p>
                  </w:txbxContent>
                </v:textbox>
                <w10:wrap type="topAndBottom" anchorx="page"/>
              </v:shape>
            </w:pict>
          </mc:Fallback>
        </mc:AlternateConten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388" w:right="0" w:bottom="1436" w:left="0" w:header="0" w:footer="3" w:gutter="0"/>
          <w:cols w:space="720"/>
          <w:noEndnote/>
          <w:rtlGutter w:val="0"/>
          <w:docGrid w:linePitch="360"/>
        </w:sectPr>
      </w:pPr>
    </w:p>
    <w:p>
      <w:pPr>
        <w:pStyle w:val="Style17"/>
        <w:keepNext w:val="0"/>
        <w:keepLines w:val="0"/>
        <w:widowControl w:val="0"/>
        <w:shd w:val="clear" w:color="auto" w:fill="auto"/>
        <w:tabs>
          <w:tab w:pos="416" w:val="left"/>
        </w:tabs>
        <w:bidi w:val="0"/>
        <w:spacing w:before="0" w:after="0" w:line="315" w:lineRule="exact"/>
        <w:ind w:left="0" w:right="0" w:firstLine="0"/>
        <w:jc w:val="both"/>
      </w:pPr>
      <w:bookmarkStart w:id="816" w:name="bookmark816"/>
      <w:r>
        <w:rPr>
          <w:b/>
          <w:bCs/>
          <w:color w:val="000000"/>
          <w:spacing w:val="0"/>
          <w:w w:val="100"/>
          <w:position w:val="0"/>
        </w:rPr>
        <w:t>四</w:t>
      </w:r>
      <w:bookmarkEnd w:id="816"/>
      <w:r>
        <w:rPr>
          <w:b/>
          <w:bCs/>
          <w:color w:val="000000"/>
          <w:spacing w:val="0"/>
          <w:w w:val="100"/>
          <w:position w:val="0"/>
        </w:rPr>
        <w:t>、</w:t>
        <w:tab/>
        <w:t>其他信息</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深圳华大基因股份有限公司管理层对其他信息负责。其他信息包括年度报告中涵盖的信息，但不包括财务报表和我们的 审计报告。</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7"/>
        <w:keepNext w:val="0"/>
        <w:keepLines w:val="0"/>
        <w:widowControl w:val="0"/>
        <w:shd w:val="clear" w:color="auto" w:fill="auto"/>
        <w:bidi w:val="0"/>
        <w:spacing w:before="0" w:after="300" w:line="31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7"/>
        <w:keepNext w:val="0"/>
        <w:keepLines w:val="0"/>
        <w:widowControl w:val="0"/>
        <w:shd w:val="clear" w:color="auto" w:fill="auto"/>
        <w:tabs>
          <w:tab w:pos="431" w:val="left"/>
        </w:tabs>
        <w:bidi w:val="0"/>
        <w:spacing w:before="0" w:after="0" w:line="312" w:lineRule="exact"/>
        <w:ind w:left="0" w:right="0" w:firstLine="0"/>
        <w:jc w:val="left"/>
      </w:pPr>
      <w:bookmarkStart w:id="817" w:name="bookmark817"/>
      <w:r>
        <w:rPr>
          <w:b/>
          <w:bCs/>
          <w:color w:val="000000"/>
          <w:spacing w:val="0"/>
          <w:w w:val="100"/>
          <w:position w:val="0"/>
        </w:rPr>
        <w:t>五</w:t>
      </w:r>
      <w:bookmarkEnd w:id="817"/>
      <w:r>
        <w:rPr>
          <w:b/>
          <w:bCs/>
          <w:color w:val="000000"/>
          <w:spacing w:val="0"/>
          <w:w w:val="100"/>
          <w:position w:val="0"/>
        </w:rPr>
        <w:t>、</w:t>
        <w:tab/>
        <w:t>管理层和治理层对财务报表的责任</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在编制财务报表时，管理层负责评估深圳华大基因股份有限公司的持续经营能力，披露与持续经营相关的事项（如适 用），并运用持续经营假设，除非计划进行清算、终止运营或别无其他现实的选择。</w:t>
      </w:r>
    </w:p>
    <w:p>
      <w:pPr>
        <w:pStyle w:val="Style17"/>
        <w:keepNext w:val="0"/>
        <w:keepLines w:val="0"/>
        <w:widowControl w:val="0"/>
        <w:shd w:val="clear" w:color="auto" w:fill="auto"/>
        <w:bidi w:val="0"/>
        <w:spacing w:before="0" w:after="300" w:line="312" w:lineRule="exact"/>
        <w:ind w:left="0" w:right="0"/>
        <w:jc w:val="both"/>
      </w:pPr>
      <w:r>
        <w:rPr>
          <w:color w:val="000000"/>
          <w:spacing w:val="0"/>
          <w:w w:val="100"/>
          <w:position w:val="0"/>
        </w:rPr>
        <w:t>治理层负责监督深圳华大基因股份有限公司的财务报告过程。</w:t>
      </w:r>
    </w:p>
    <w:p>
      <w:pPr>
        <w:pStyle w:val="Style17"/>
        <w:keepNext w:val="0"/>
        <w:keepLines w:val="0"/>
        <w:widowControl w:val="0"/>
        <w:shd w:val="clear" w:color="auto" w:fill="auto"/>
        <w:tabs>
          <w:tab w:pos="436" w:val="left"/>
        </w:tabs>
        <w:bidi w:val="0"/>
        <w:spacing w:before="0" w:after="0" w:line="312" w:lineRule="exact"/>
        <w:ind w:left="0" w:right="0" w:firstLine="0"/>
        <w:jc w:val="left"/>
      </w:pPr>
      <w:bookmarkStart w:id="818" w:name="bookmark818"/>
      <w:r>
        <w:rPr>
          <w:b/>
          <w:bCs/>
          <w:color w:val="000000"/>
          <w:spacing w:val="0"/>
          <w:w w:val="100"/>
          <w:position w:val="0"/>
        </w:rPr>
        <w:t>六</w:t>
      </w:r>
      <w:bookmarkEnd w:id="818"/>
      <w:r>
        <w:rPr>
          <w:b/>
          <w:bCs/>
          <w:color w:val="000000"/>
          <w:spacing w:val="0"/>
          <w:w w:val="100"/>
          <w:position w:val="0"/>
        </w:rPr>
        <w:t>、</w:t>
        <w:tab/>
        <w:t>注册会计师对财务报表审计的责任</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7"/>
        <w:keepNext w:val="0"/>
        <w:keepLines w:val="0"/>
        <w:widowControl w:val="0"/>
        <w:shd w:val="clear" w:color="auto" w:fill="auto"/>
        <w:tabs>
          <w:tab w:pos="896" w:val="left"/>
        </w:tabs>
        <w:bidi w:val="0"/>
        <w:spacing w:before="0" w:after="0" w:line="312" w:lineRule="exact"/>
        <w:ind w:left="0" w:right="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7"/>
        <w:keepNext w:val="0"/>
        <w:keepLines w:val="0"/>
        <w:widowControl w:val="0"/>
        <w:shd w:val="clear" w:color="auto" w:fill="auto"/>
        <w:tabs>
          <w:tab w:pos="820" w:val="left"/>
        </w:tabs>
        <w:bidi w:val="0"/>
        <w:spacing w:before="0" w:after="140" w:line="312" w:lineRule="exact"/>
        <w:ind w:left="0" w:right="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17"/>
        <w:keepNext w:val="0"/>
        <w:keepLines w:val="0"/>
        <w:widowControl w:val="0"/>
        <w:shd w:val="clear" w:color="auto" w:fill="auto"/>
        <w:tabs>
          <w:tab w:pos="825" w:val="left"/>
        </w:tabs>
        <w:bidi w:val="0"/>
        <w:spacing w:before="0" w:after="0" w:line="314" w:lineRule="exact"/>
        <w:ind w:left="0" w:right="0"/>
        <w:jc w:val="both"/>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7"/>
        <w:keepNext w:val="0"/>
        <w:keepLines w:val="0"/>
        <w:widowControl w:val="0"/>
        <w:shd w:val="clear" w:color="auto" w:fill="auto"/>
        <w:bidi w:val="0"/>
        <w:spacing w:before="0" w:after="0" w:line="314" w:lineRule="exact"/>
        <w:ind w:left="0" w:right="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4</w:t>
      </w:r>
      <w:r>
        <w:rPr>
          <w:color w:val="000000"/>
          <w:spacing w:val="0"/>
          <w:w w:val="100"/>
          <w:position w:val="0"/>
        </w:rPr>
        <w:t>） 对管理层使用持续经营假设的恰当性得出结论。同时，根据获取的审计证据，就可能导致对深圳华大基因股份有 限公司持续经营能力产生重大疑虑的事项或情况是否存在重大不确定性得出结论。如果我们得出结论认为存在重大不确定 性，审计准则要求我们在审计报告中提请报表使用者注意财务报表中的相关披露；如果披露不充分，我们应当发表非无保留 意见。我们的结论基于截至审计报告日可获得的信息。然而，未来的事项或情况可能导致深圳华大基因股份有限公司不能持 续经营。</w:t>
      </w:r>
    </w:p>
    <w:p>
      <w:pPr>
        <w:pStyle w:val="Style17"/>
        <w:keepNext w:val="0"/>
        <w:keepLines w:val="0"/>
        <w:widowControl w:val="0"/>
        <w:shd w:val="clear" w:color="auto" w:fill="auto"/>
        <w:tabs>
          <w:tab w:pos="825" w:val="left"/>
        </w:tabs>
        <w:bidi w:val="0"/>
        <w:spacing w:before="0" w:after="0" w:line="314" w:lineRule="exact"/>
        <w:ind w:left="0" w:right="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评价财务报表的总体列报（包括披露）、结构和内容，并评价财务报表是否公允反映相关交易和事项。</w:t>
      </w:r>
    </w:p>
    <w:p>
      <w:pPr>
        <w:pStyle w:val="Style17"/>
        <w:keepNext w:val="0"/>
        <w:keepLines w:val="0"/>
        <w:widowControl w:val="0"/>
        <w:shd w:val="clear" w:color="auto" w:fill="auto"/>
        <w:tabs>
          <w:tab w:pos="896" w:val="left"/>
        </w:tabs>
        <w:bidi w:val="0"/>
        <w:spacing w:before="0" w:after="0" w:line="314" w:lineRule="exact"/>
        <w:ind w:left="0" w:right="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6</w:t>
      </w:r>
      <w:r>
        <w:rPr>
          <w:color w:val="000000"/>
          <w:spacing w:val="0"/>
          <w:w w:val="100"/>
          <w:position w:val="0"/>
        </w:rPr>
        <w:t>）</w:t>
        <w:tab/>
        <w:t>就深圳华大基因股份有限公司中实体或业务活动的财务信息获取充分、适当的审计证据，以对财务报表发表审计 意见。我们负责指导、监督和执行集团审计，并对审计意见承担全部责任。</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7"/>
        <w:keepNext w:val="0"/>
        <w:keepLines w:val="0"/>
        <w:widowControl w:val="0"/>
        <w:shd w:val="clear" w:color="auto" w:fill="auto"/>
        <w:bidi w:val="0"/>
        <w:spacing w:before="0" w:after="320" w:line="314"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7"/>
        <w:keepNext w:val="0"/>
        <w:keepLines w:val="0"/>
        <w:widowControl w:val="0"/>
        <w:shd w:val="clear" w:color="auto" w:fill="auto"/>
        <w:tabs>
          <w:tab w:pos="4675" w:val="left"/>
        </w:tabs>
        <w:bidi w:val="0"/>
        <w:spacing w:before="0" w:after="0" w:line="314" w:lineRule="exact"/>
        <w:ind w:left="0" w:right="0" w:firstLine="0"/>
        <w:jc w:val="both"/>
      </w:pPr>
      <w:r>
        <w:rPr>
          <w:color w:val="000000"/>
          <w:spacing w:val="0"/>
          <w:w w:val="100"/>
          <w:position w:val="0"/>
        </w:rPr>
        <w:t>安永华明会计师事务所（特殊普通合伙）</w:t>
        <w:tab/>
        <w:t>中国注册会计师：王士杰</w:t>
      </w:r>
    </w:p>
    <w:p>
      <w:pPr>
        <w:pStyle w:val="Style17"/>
        <w:keepNext w:val="0"/>
        <w:keepLines w:val="0"/>
        <w:widowControl w:val="0"/>
        <w:shd w:val="clear" w:color="auto" w:fill="auto"/>
        <w:bidi w:val="0"/>
        <w:spacing w:before="0" w:after="720" w:line="314" w:lineRule="exact"/>
        <w:ind w:left="4720" w:right="0" w:firstLine="0"/>
        <w:jc w:val="both"/>
      </w:pPr>
      <w:r>
        <w:rPr>
          <w:color w:val="000000"/>
          <w:spacing w:val="0"/>
          <w:w w:val="100"/>
          <w:position w:val="0"/>
        </w:rPr>
        <w:t>（项目合伙人）</w:t>
      </w:r>
    </w:p>
    <w:p>
      <w:pPr>
        <w:pStyle w:val="Style17"/>
        <w:keepNext w:val="0"/>
        <w:keepLines w:val="0"/>
        <w:widowControl w:val="0"/>
        <w:shd w:val="clear" w:color="auto" w:fill="auto"/>
        <w:bidi w:val="0"/>
        <w:spacing w:before="0" w:after="720" w:line="240" w:lineRule="auto"/>
        <w:ind w:left="4720" w:right="0" w:firstLine="0"/>
        <w:jc w:val="both"/>
      </w:pPr>
      <w:r>
        <w:rPr>
          <w:color w:val="000000"/>
          <w:spacing w:val="0"/>
          <w:w w:val="100"/>
          <w:position w:val="0"/>
        </w:rPr>
        <w:t>中国注册会计师：黄寅</w:t>
      </w:r>
    </w:p>
    <w:p>
      <w:pPr>
        <w:pStyle w:val="Style17"/>
        <w:keepNext w:val="0"/>
        <w:keepLines w:val="0"/>
        <w:widowControl w:val="0"/>
        <w:shd w:val="clear" w:color="auto" w:fill="auto"/>
        <w:tabs>
          <w:tab w:pos="5210" w:val="left"/>
        </w:tabs>
        <w:bidi w:val="0"/>
        <w:spacing w:before="0" w:after="720" w:line="240" w:lineRule="auto"/>
        <w:ind w:left="1120" w:right="0" w:firstLine="0"/>
        <w:jc w:val="both"/>
      </w:pPr>
      <w:r>
        <w:rPr>
          <w:color w:val="000000"/>
          <w:spacing w:val="0"/>
          <w:w w:val="100"/>
          <w:position w:val="0"/>
        </w:rPr>
        <w:t>中国北京</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24"/>
        <w:keepNext/>
        <w:keepLines/>
        <w:widowControl w:val="0"/>
        <w:shd w:val="clear" w:color="auto" w:fill="auto"/>
        <w:bidi w:val="0"/>
        <w:spacing w:before="0" w:after="360" w:line="240" w:lineRule="auto"/>
        <w:ind w:left="0" w:right="0" w:firstLine="0"/>
        <w:jc w:val="both"/>
      </w:pPr>
      <w:bookmarkStart w:id="825" w:name="bookmark825"/>
      <w:bookmarkStart w:id="826" w:name="bookmark826"/>
      <w:bookmarkStart w:id="827" w:name="bookmark827"/>
      <w:bookmarkStart w:id="828" w:name="bookmark828"/>
      <w:r>
        <w:rPr>
          <w:color w:val="000000"/>
          <w:spacing w:val="0"/>
          <w:w w:val="100"/>
          <w:position w:val="0"/>
          <w:sz w:val="24"/>
          <w:szCs w:val="24"/>
        </w:rPr>
        <w:t>二</w:t>
      </w:r>
      <w:bookmarkEnd w:id="827"/>
      <w:r>
        <w:rPr>
          <w:color w:val="000000"/>
          <w:spacing w:val="0"/>
          <w:w w:val="100"/>
          <w:position w:val="0"/>
          <w:sz w:val="24"/>
          <w:szCs w:val="24"/>
        </w:rPr>
        <w:t>、财务报表</w:t>
      </w:r>
      <w:bookmarkEnd w:id="825"/>
      <w:bookmarkEnd w:id="826"/>
      <w:bookmarkEnd w:id="828"/>
    </w:p>
    <w:p>
      <w:pPr>
        <w:pStyle w:val="Style17"/>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财务附注中报表的单位为：元</w:t>
      </w:r>
    </w:p>
    <w:p>
      <w:pPr>
        <w:pStyle w:val="Style30"/>
        <w:keepNext/>
        <w:keepLines/>
        <w:widowControl w:val="0"/>
        <w:shd w:val="clear" w:color="auto" w:fill="auto"/>
        <w:bidi w:val="0"/>
        <w:spacing w:before="0" w:line="240"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color w:val="000000"/>
          <w:spacing w:val="0"/>
          <w:w w:val="100"/>
          <w:position w:val="0"/>
        </w:rPr>
        <w:t>、合并资产负债表</w:t>
      </w:r>
      <w:bookmarkEnd w:id="829"/>
      <w:bookmarkEnd w:id="830"/>
      <w:bookmarkEnd w:id="832"/>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编制单位：深圳华大基因股份有限公司</w:t>
      </w:r>
    </w:p>
    <w:p>
      <w:pPr>
        <w:pStyle w:val="Style3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6,590,287,309.23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5,430,072,369.01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2,049,069,513.70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9,376,694.70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1,214,851,854.52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1,559,813,896.50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19,944,742.50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79,748,902.30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120,648,157.15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49,742,899.87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117,006,884.72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877,718,867.64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1,009,819,242.27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144,018,893.86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163,659,106.21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11,034,759,678.32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8,416,942,799.86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10,785,610.95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65,780,402.74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52,821,620.55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192,364,214.50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211,490,887.11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241,381,563.03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227,434,198.19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453,679,461.55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300,021,953.11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1,167,095,216.51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1,233,992,295.39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38,498,106.13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194,102,083.43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245,456,250.87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146,760,803.37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77,755,165.65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32,608,259.29</w:t>
            </w: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47,109,401.10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99,898,439.98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63,279,636.27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200,286,243.45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162,055,460.60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185,077,791.72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236,759,898.35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3,219,269,951.61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2,778,097,735.73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14,254,029,629.93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11,195,040,535.59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5,005,576.39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563,296,000.00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345,560,375.00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459,761,379.22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873,230,959.48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1,409,524,891.35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840,881,739.91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223,430,139.59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620,792,017.00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233,365,860.78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296,577,671.20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536,219,283.41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490,437,489.77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148,761,716.52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81,307,028.86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21,832,703.25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35,598,505.03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3,383,516,687.12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3,802,121,411.25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144,922,995.97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168,500,000.00</w:t>
            </w: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487,039,153.03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489,502,871.98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84,440,855.81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671,571,748.12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658,594,430.07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36,073,757.09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49,101,450.43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5,191,273.00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1,479,429.71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1,429,239,783.02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1,367,178,182.19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4,812,756,470.14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5,169,299,593.44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413,914,325.00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4,657,218,518.05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2,604,989,712.72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87,946,378.00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175,887,716.00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-152,566,474.29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-78,609,772.68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169,089,869.31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139,035,269.90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4,318,697,766.05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3,020,477,559.59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9,318,407,626.12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5,910,105,053.53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122,865,533.67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115,635,888.62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9,441,273,159.79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6,025,740,942.15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14,254,029,629.93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11,195,040,535.59</w:t>
            </w:r>
          </w:p>
        </w:tc>
      </w:tr>
    </w:tbl>
    <w:p>
      <w:pPr>
        <w:pStyle w:val="Style30"/>
        <w:keepNext/>
        <w:keepLines/>
        <w:widowControl w:val="0"/>
        <w:shd w:val="clear" w:color="auto" w:fill="auto"/>
        <w:bidi w:val="0"/>
        <w:spacing w:before="0" w:line="240" w:lineRule="auto"/>
        <w:ind w:left="0" w:right="0" w:firstLine="0"/>
        <w:jc w:val="left"/>
      </w:pPr>
      <w:r>
        <mc:AlternateContent>
          <mc:Choice Requires="wps">
            <w:drawing>
              <wp:anchor distT="152400" distB="3175" distL="114300" distR="5146675" simplePos="0" relativeHeight="125829382" behindDoc="0" locked="0" layoutInCell="1" allowOverlap="1">
                <wp:simplePos x="0" y="0"/>
                <wp:positionH relativeFrom="page">
                  <wp:posOffset>708660</wp:posOffset>
                </wp:positionH>
                <wp:positionV relativeFrom="margin">
                  <wp:posOffset>7406640</wp:posOffset>
                </wp:positionV>
                <wp:extent cx="1054735" cy="149225"/>
                <wp:wrapTopAndBottom/>
                <wp:docPr id="7" name="Shape 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法定代表人：赵立见</w:t>
                            </w:r>
                          </w:p>
                        </w:txbxContent>
                      </wps:txbx>
                      <wps:bodyPr wrap="none" lIns="0" tIns="0" rIns="0" bIns="0">
                        <a:noAutoFit/>
                      </wps:bodyPr>
                    </wps:wsp>
                  </a:graphicData>
                </a:graphic>
              </wp:anchor>
            </w:drawing>
          </mc:Choice>
          <mc:Fallback>
            <w:pict>
              <v:shape id="_x0000_s1033" type="#_x0000_t202" style="position:absolute;margin-left:55.800000000000004pt;margin-top:583.20000000000005pt;width:83.049999999999997pt;height:11.75pt;z-index:-125829371;mso-wrap-distance-left:9.pt;mso-wrap-distance-top:12.pt;mso-wrap-distance-right:405.25pt;mso-wrap-distance-bottom:0.2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法定代表人：赵立见</w:t>
                      </w:r>
                    </w:p>
                  </w:txbxContent>
                </v:textbox>
                <w10:wrap type="topAndBottom" anchorx="page" anchory="margin"/>
              </v:shape>
            </w:pict>
          </mc:Fallback>
        </mc:AlternateContent>
      </w:r>
      <w:r>
        <mc:AlternateContent>
          <mc:Choice Requires="wps">
            <w:drawing>
              <wp:anchor distT="152400" distB="6350" distL="2345690" distR="2458085" simplePos="0" relativeHeight="125829384" behindDoc="0" locked="0" layoutInCell="1" allowOverlap="1">
                <wp:simplePos x="0" y="0"/>
                <wp:positionH relativeFrom="page">
                  <wp:posOffset>2940050</wp:posOffset>
                </wp:positionH>
                <wp:positionV relativeFrom="margin">
                  <wp:posOffset>7406640</wp:posOffset>
                </wp:positionV>
                <wp:extent cx="1511935" cy="146050"/>
                <wp:wrapTopAndBottom/>
                <wp:docPr id="9" name="Shape 9"/>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主管会计工作负责人：王玉珏</w:t>
                            </w:r>
                          </w:p>
                        </w:txbxContent>
                      </wps:txbx>
                      <wps:bodyPr wrap="none" lIns="0" tIns="0" rIns="0" bIns="0">
                        <a:noAutoFit/>
                      </wps:bodyPr>
                    </wps:wsp>
                  </a:graphicData>
                </a:graphic>
              </wp:anchor>
            </w:drawing>
          </mc:Choice>
          <mc:Fallback>
            <w:pict>
              <v:shape id="_x0000_s1035" type="#_x0000_t202" style="position:absolute;margin-left:231.5pt;margin-top:583.20000000000005pt;width:119.05pt;height:11.5pt;z-index:-125829369;mso-wrap-distance-left:184.70000000000002pt;mso-wrap-distance-top:12.pt;mso-wrap-distance-right:193.55000000000001pt;mso-wrap-distance-bottom:0.5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主管会计工作负责人：王玉珏</w:t>
                      </w:r>
                    </w:p>
                  </w:txbxContent>
                </v:textbox>
                <w10:wrap type="topAndBottom" anchorx="page" anchory="margin"/>
              </v:shape>
            </w:pict>
          </mc:Fallback>
        </mc:AlternateContent>
      </w:r>
      <w:r>
        <mc:AlternateContent>
          <mc:Choice Requires="wps">
            <w:drawing>
              <wp:anchor distT="152400" distB="0" distL="5033645" distR="114935" simplePos="0" relativeHeight="125829386" behindDoc="0" locked="0" layoutInCell="1" allowOverlap="1">
                <wp:simplePos x="0" y="0"/>
                <wp:positionH relativeFrom="page">
                  <wp:posOffset>5628005</wp:posOffset>
                </wp:positionH>
                <wp:positionV relativeFrom="margin">
                  <wp:posOffset>7406640</wp:posOffset>
                </wp:positionV>
                <wp:extent cx="1167130" cy="152400"/>
                <wp:wrapTopAndBottom/>
                <wp:docPr id="11" name="Shape 11"/>
                <a:graphic xmlns:a="http://schemas.openxmlformats.org/drawingml/2006/main">
                  <a:graphicData uri="http://schemas.microsoft.com/office/word/2010/wordprocessingShape">
                    <wps:wsp>
                      <wps:cNvSpPr txBox="1"/>
                      <wps:spPr>
                        <a:xfrm>
                          <a:ext cx="1167130" cy="15240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会计机构负责人：柳慧</w:t>
                            </w:r>
                          </w:p>
                        </w:txbxContent>
                      </wps:txbx>
                      <wps:bodyPr wrap="none" lIns="0" tIns="0" rIns="0" bIns="0">
                        <a:noAutoFit/>
                      </wps:bodyPr>
                    </wps:wsp>
                  </a:graphicData>
                </a:graphic>
              </wp:anchor>
            </w:drawing>
          </mc:Choice>
          <mc:Fallback>
            <w:pict>
              <v:shape id="_x0000_s1037" type="#_x0000_t202" style="position:absolute;margin-left:443.15000000000003pt;margin-top:583.20000000000005pt;width:91.900000000000006pt;height:12.pt;z-index:-125829367;mso-wrap-distance-left:396.35000000000002pt;mso-wrap-distance-top:12.pt;mso-wrap-distance-right:9.0500000000000007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会计机构负责人：柳慧</w:t>
                      </w:r>
                    </w:p>
                  </w:txbxContent>
                </v:textbox>
                <w10:wrap type="topAndBottom" anchorx="page" anchory="margin"/>
              </v:shape>
            </w:pict>
          </mc:Fallback>
        </mc:AlternateContent>
      </w: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color w:val="000000"/>
          <w:spacing w:val="0"/>
          <w:w w:val="100"/>
          <w:position w:val="0"/>
        </w:rPr>
        <w:t>、母公司资产负债表</w:t>
      </w:r>
      <w:bookmarkEnd w:id="833"/>
      <w:bookmarkEnd w:id="834"/>
      <w:bookmarkEnd w:id="8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2,231,056,522.92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382,064,831.06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900,925,438.35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13,401,664.80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7,371,273.51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10,925,014.00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5,114,951.32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703,766,371.10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2,169,152,385.06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562,171.23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36,282.37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37,166,192.44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253,465.09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3,897,803,374.84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2,563,993,188.41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10,785,610.95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103,305,635.22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728,445,339.08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5,733,062,846.54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3,268,074,752.09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237,072,017.45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213,213,500.15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449,162,221.55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293,457,473.11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6,956,102.22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13,827,653.69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1,600,752.40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14,495,660.46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82,213,870.71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98,732,422.72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5,553,596.44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2,511,368.59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2,016,755.08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38,038,233.46</w:t>
            </w: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2,811,150.00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6,647,435,466.62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4,668,269,106.25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10,545,238,841.46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7,232,262,294.66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330,996,000.00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245,560,375.00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16,411,835.54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15,798,036.72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17,539,617.53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18,231,288.13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53,670,087.99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61,869,171.70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9,763,929.45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46,966,772.52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1,557,324,548.82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534,428,524.39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25,332,962.64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5,799,765.98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1,925,603,356.97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1,014,089,559.44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12,824,267.22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487,039,153.03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489,502,871.98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9,511,728.74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231,759,814.12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218,124,542.55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2,894,606.35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1,376,258.38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40,200,000.00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11,632,383.50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784,229,569.46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735,836,056.41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2,709,832,926.43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1,749,925,615.85</w:t>
            </w: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413,914,325.00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400,100,000.00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6,483,552,568.94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4,423,228,910.72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87,946,378.00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175,887,716.00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74,871,645.12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39,557,725.14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169,089,869.31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139,035,269.90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781,923,884.66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656,302,489.05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7,835,405,915.03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5,482,336,678.81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10,545,238,841.46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7,232,262,294.66</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3</w:t>
      </w:r>
      <w:bookmarkEnd w:id="839"/>
      <w:r>
        <w:rPr>
          <w:color w:val="000000"/>
          <w:spacing w:val="0"/>
          <w:w w:val="100"/>
          <w:position w:val="0"/>
        </w:rPr>
        <w:t>、合并利润表</w:t>
      </w:r>
      <w:bookmarkEnd w:id="837"/>
      <w:bookmarkEnd w:id="838"/>
      <w:bookmarkEnd w:id="8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6,766,137,315.11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8,397,230,002.83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6,766,137,315.11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8,397,230,002.83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5,076,202,941.38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5,848,783,553.00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2,835,422,580.60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3,353,046,363.96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24,362,122.86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41,710,867.78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1,238,310,798.94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1,078,444,108.59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386,697,353.30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543,150,553.44</w:t>
            </w: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487,147,967.73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619,642,359.34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104,262,117.95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212,789,299.89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104,716,372.37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89,042,161.73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44,344,892.89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18,099,044.29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53,422,657.89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51,941,942.45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173,818,484.94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101,119,287.64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111,684,497.63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100,383,704.19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86,411,750.20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52,203,638.42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-104,474,627.98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-141,914,417.43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-72,393,847.96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-109,391,967.29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-3,883,987.14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-4,231,402.18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1,822,834,803.68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2,498,173,531.44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3,983,568.17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267,547.39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80,924,937.38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56,147,173.09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1,745,893,434.47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2,442,293,905.74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268,194,830.90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340,241,550.68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1,477,698,603.57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2,102,052,355.06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1,477,698,603.57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2,102,052,355.06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1,461,536,272.38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2,090,285,273.48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16,162,331.19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11,767,081.58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-66,959,039.82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-131,891,165.97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-65,862,831.96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-128,585,604.62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37,104,623.10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16,324,275.21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37,104,623.10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16,324,275.21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-102,967,455.06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-144,909,879.83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-10,860.88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-25,449.31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-102,956,594.18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-144,884,430.52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-1,096,207.86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-3,305,561.35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1,410,739,563.75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1,970,161,189.09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1,395,673,440.42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1,961,699,668.86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15,066,123.33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8,461,520.23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17"/>
        <w:keepNext w:val="0"/>
        <w:keepLines w:val="0"/>
        <w:widowControl w:val="0"/>
        <w:shd w:val="clear" w:color="auto" w:fill="auto"/>
        <w:tabs>
          <w:tab w:pos="3509" w:val="left"/>
          <w:tab w:pos="7742" w:val="left"/>
        </w:tabs>
        <w:bidi w:val="0"/>
        <w:spacing w:before="0" w:after="380" w:line="240" w:lineRule="auto"/>
        <w:ind w:left="0" w:right="0" w:firstLine="0"/>
        <w:jc w:val="left"/>
      </w:pPr>
      <w:r>
        <w:rPr>
          <w:color w:val="000000"/>
          <w:spacing w:val="0"/>
          <w:w w:val="100"/>
          <w:position w:val="0"/>
        </w:rPr>
        <w:t>法定代表人：赵立见</w:t>
        <w:tab/>
        <w:t>主管会计工作负责人：王玉珏</w:t>
        <w:tab/>
        <w:t>会计机构负责人：柳慧</w:t>
      </w:r>
    </w:p>
    <w:p>
      <w:pPr>
        <w:pStyle w:val="Style30"/>
        <w:keepNext/>
        <w:keepLines/>
        <w:widowControl w:val="0"/>
        <w:shd w:val="clear" w:color="auto" w:fill="auto"/>
        <w:bidi w:val="0"/>
        <w:spacing w:before="0" w:after="3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4</w:t>
      </w:r>
      <w:bookmarkEnd w:id="843"/>
      <w:r>
        <w:rPr>
          <w:color w:val="000000"/>
          <w:spacing w:val="0"/>
          <w:w w:val="100"/>
          <w:position w:val="0"/>
        </w:rPr>
        <w:t>、母公司利润表</w:t>
      </w:r>
      <w:bookmarkEnd w:id="841"/>
      <w:bookmarkEnd w:id="842"/>
      <w:bookmarkEnd w:id="8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1,027,390,977.61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1,362,204,055.09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32,473,451.90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15,558,149.74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2,275,871.60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2,617,426.99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355,806,872.04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300,759,960.03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184,985,833.44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229,469,644.73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101,240,276.32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163,279,088.56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26,886,360.91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19,290,545.22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49,383,824.43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48,300,921.25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22,236,158.60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26,131,485.13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2,590,449.98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5,128,324.01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9,718,996.17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9,356,254.06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1,508,917.98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1,135,544.15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410"/>
        <w:gridCol w:w="220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45,675,629.49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47,127,414.87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386,776.75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-1,103,317.38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19,231.42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382,094,163.79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691,757,146.80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70,927.70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114,554.54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26,798,679.64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25,578,708.67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355,366,411.85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666,292,992.67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64,959,710.08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97,203,720.62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290,406,701.77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569,089,272.05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290,406,701.77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569,089,272.05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45,580,839.71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18,533,531.04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45,580,839.71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18,533,531.04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45,580,839.71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18,533,531.04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335,987,541.48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587,622,803.09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1.4224</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5</w:t>
      </w:r>
      <w:bookmarkEnd w:id="847"/>
      <w:r>
        <w:rPr>
          <w:color w:val="000000"/>
          <w:spacing w:val="0"/>
          <w:w w:val="100"/>
          <w:position w:val="0"/>
        </w:rPr>
        <w:t>、合并现金流量表</w:t>
      </w:r>
      <w:bookmarkEnd w:id="845"/>
      <w:bookmarkEnd w:id="846"/>
      <w:bookmarkEnd w:id="8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7,703,945,797.98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8,496,880,021.96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70,281,646.98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52,230,653.07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224,295,461.36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140,617,156.84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7,998,522,906.32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8,689,727,831.87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2,291,637,243.82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2,566,795,851.08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1,634,793,486.37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1,260,013,846.33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490,106,197.73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543,103,119.78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1,105,853,594.50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717,122,483.38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5,522,390,522.42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5,087,035,300.57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2,476,132,383.90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3,602,692,531.30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2,129,414,526.35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4,369,244,071.46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173,788,976.21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62,270,811.31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708,986.72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4,038,711.77</w:t>
            </w: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989,308,390.17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29,191,714.14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3,299,125,879.45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4,464,745,308.68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383,519,758.31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301,153,012.45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4,198,000,033.38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3,938,237,697.81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1,009,656,288.01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31,379,040.00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5,591,176,079.70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4,270,769,750.26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-2,292,050,200.25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193,975,558.42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2,003,101,625.00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190,850,000.00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190,850,000.00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1,288,677,992.87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61,759,512.00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338,382,676.00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2,069,861,137.00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1,817,910,668.87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586,996,000.00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25,265,069.86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177,780,866.85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62,288,242.55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267,777,722.80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579,929,074.13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1,032,554,589.65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667,482,386.54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1,037,306,547.35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1,150,428,282.33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-139,908,808.26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-262,515,486.99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1,081,479,922.74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4,684,580,885.06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5,410,064,406.51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725,483,521.45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6,491,544,329.25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5,410,064,406.51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6</w:t>
      </w:r>
      <w:bookmarkEnd w:id="851"/>
      <w:r>
        <w:rPr>
          <w:color w:val="000000"/>
          <w:spacing w:val="0"/>
          <w:w w:val="100"/>
          <w:position w:val="0"/>
        </w:rPr>
        <w:t>、母公司现金流量表</w:t>
      </w:r>
      <w:bookmarkEnd w:id="849"/>
      <w:bookmarkEnd w:id="850"/>
      <w:bookmarkEnd w:id="8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410"/>
        <w:gridCol w:w="22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1,020,819,332.58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200,136,068.98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570,874.02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2,772,533,288.90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270,493,142.29</w:t>
            </w:r>
          </w:p>
        </w:tc>
      </w:tr>
    </w:tbl>
    <w:p>
      <w:pPr>
        <w:widowControl w:val="0"/>
        <w:spacing w:line="1" w:lineRule="exact"/>
      </w:pPr>
      <w:r>
        <w:br w:type="page"/>
      </w:r>
    </w:p>
    <w:tbl>
      <w:tblPr>
        <w:tblOverlap w:val="never"/>
        <w:jc w:val="center"/>
        <w:tblLayout w:type="fixed"/>
      </w:tblPr>
      <w:tblGrid>
        <w:gridCol w:w="4968"/>
        <w:gridCol w:w="2410"/>
        <w:gridCol w:w="220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3,793,352,621.48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471,200,085.29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160,623,679.94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121,370,120.15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160,437,784.60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328,896,916.30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56,610,372.22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136,599,647.89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666,554,192.00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519,247,703.35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1,044,226,028.76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1,106,114,387.69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2,749,126,592.72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-634,914,302.40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803,662,526.35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6,385,202.26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9,101,704.59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74,424.53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65,803,594.00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875,851,322.61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2,847,176,129.12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4,932,431.01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23,820,966.34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3,101,973,500.00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2,453,670,000.00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118,029,605.99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3,224,935,537.00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2,477,490,966.34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-2,349,084,214.39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369,685,162.78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2,003,077,125.00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858,928,000.00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338,382,676.00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2,003,077,125.00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1,197,310,676.00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333,396,000.00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165,603,770.10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42,897,859.91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105,026,144.19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544,802,739.44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604,025,914.29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590,100,599.35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1,399,051,210.71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607,210,076.65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2,258,930.78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1,801,352,519.82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341,980,937.03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380,556,612.32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38,575,675.29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2,181,909,132.14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380,556,612.32</w:t>
            </w:r>
          </w:p>
        </w:tc>
      </w:tr>
    </w:tbl>
    <w:p>
      <w:pPr>
        <w:sectPr>
          <w:footnotePr>
            <w:pos w:val="pageBottom"/>
            <w:numFmt w:val="decimal"/>
            <w:numRestart w:val="continuous"/>
          </w:footnotePr>
          <w:type w:val="continuous"/>
          <w:pgSz w:w="11900" w:h="16840"/>
          <w:pgMar w:top="1388" w:right="1060" w:bottom="1436" w:left="1068" w:header="0" w:footer="3" w:gutter="0"/>
          <w:cols w:space="720"/>
          <w:noEndnote/>
          <w:rtlGutter w:val="0"/>
          <w:docGrid w:linePitch="360"/>
        </w:sectPr>
      </w:pPr>
    </w:p>
    <w:p>
      <w:pPr>
        <w:pStyle w:val="Style30"/>
        <w:keepNext/>
        <w:keepLines/>
        <w:widowControl w:val="0"/>
        <w:shd w:val="clear" w:color="auto" w:fill="auto"/>
        <w:bidi w:val="0"/>
        <w:spacing w:before="0" w:after="3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7</w:t>
      </w:r>
      <w:bookmarkEnd w:id="855"/>
      <w:r>
        <w:rPr>
          <w:color w:val="000000"/>
          <w:spacing w:val="0"/>
          <w:w w:val="100"/>
          <w:position w:val="0"/>
        </w:rPr>
        <w:t>、合并所有者权益变动表</w:t>
      </w:r>
      <w:bookmarkEnd w:id="853"/>
      <w:bookmarkEnd w:id="854"/>
      <w:bookmarkEnd w:id="85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315"/>
        <w:gridCol w:w="1181"/>
        <w:gridCol w:w="235"/>
        <w:gridCol w:w="235"/>
        <w:gridCol w:w="235"/>
        <w:gridCol w:w="1320"/>
        <w:gridCol w:w="1181"/>
        <w:gridCol w:w="1181"/>
        <w:gridCol w:w="235"/>
        <w:gridCol w:w="1181"/>
        <w:gridCol w:w="235"/>
        <w:gridCol w:w="1315"/>
        <w:gridCol w:w="293"/>
        <w:gridCol w:w="1315"/>
        <w:gridCol w:w="1181"/>
        <w:gridCol w:w="13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优</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先</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永</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续</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2,604,989,712.72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-78,609,772.68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139,035,269.90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3,020,477,559.59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5,910,105,053.53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115,635,888.62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6,025,740,942.15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2,604,989,712.72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-78,609,772.68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139,035,269.90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3,020,477,559.59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5,910,105,053.53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115,635,888.62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6,025,740,942.15</w:t>
            </w:r>
          </w:p>
        </w:tc>
      </w:tr>
      <w:tr>
        <w:trPr>
          <w:trHeight w:val="9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13,814,325.00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2,052,228,805.33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-87,941,338.00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-73,956,701.61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30,054,599.41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1,298,220,206.46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3,408,302,572.59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7,229,645.05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3,415,532,217.64</w:t>
            </w:r>
          </w:p>
        </w:tc>
      </w:tr>
    </w:tbl>
    <w:p>
      <w:pPr>
        <w:spacing w:lineRule="exact" w:line="1"/>
        <w:rPr>
          <w:sz w:val="2"/>
          <w:szCs w:val="2"/>
        </w:rPr>
      </w:pPr>
      <w:r>
        <w:br w:type="page"/>
      </w:r>
    </w:p>
    <w:tbl>
      <w:tblPr>
        <w:tblOverlap w:val="never"/>
        <w:jc w:val="center"/>
        <w:tblLayout w:type="fixed"/>
      </w:tblPr>
      <w:tblGrid>
        <w:gridCol w:w="1315"/>
        <w:gridCol w:w="1181"/>
        <w:gridCol w:w="235"/>
        <w:gridCol w:w="235"/>
        <w:gridCol w:w="235"/>
        <w:gridCol w:w="1320"/>
        <w:gridCol w:w="1181"/>
        <w:gridCol w:w="1181"/>
        <w:gridCol w:w="235"/>
        <w:gridCol w:w="1181"/>
        <w:gridCol w:w="235"/>
        <w:gridCol w:w="1315"/>
        <w:gridCol w:w="293"/>
        <w:gridCol w:w="1315"/>
        <w:gridCol w:w="1181"/>
        <w:gridCol w:w="1330"/>
      </w:tblGrid>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-65,862,831.96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1,461,536,272.38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1,395,673,440.42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15,066,123.33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1,410,739,563.75</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13,814,325.00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2,052,228,805.33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-87,941,338.00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-8,093,869.65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1,013,929.23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10,594,603.31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2,157,499,131.22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-7,836,478.28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2,149,662,652.94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13,814,325.00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1,962,830,408.63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1,976,644,733.63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1,976,669,233.63</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92,717,688.15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92,717,688.15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1,171,538.49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93,889,226.64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-3,319,291.45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-87,941,338.00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-8,093,869.65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1,013,929.23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10,594,603.31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88,136,709.44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-9,032,516.77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79,104,192.67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29,040,670.18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-173,910,669.23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-144,869,999.05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-144,869,999.05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29,040,670.18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-29,040,670.18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-144,869,999.05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-144,869,999.05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-144,869,999.05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（四）所有者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1181"/>
        <w:gridCol w:w="235"/>
        <w:gridCol w:w="235"/>
        <w:gridCol w:w="235"/>
        <w:gridCol w:w="1320"/>
        <w:gridCol w:w="1181"/>
        <w:gridCol w:w="1181"/>
        <w:gridCol w:w="235"/>
        <w:gridCol w:w="1181"/>
        <w:gridCol w:w="235"/>
        <w:gridCol w:w="1315"/>
        <w:gridCol w:w="293"/>
        <w:gridCol w:w="1315"/>
        <w:gridCol w:w="1181"/>
        <w:gridCol w:w="1330"/>
      </w:tblGrid>
      <w:tr>
        <w:trPr>
          <w:trHeight w:val="10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413,914,325.00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4,657,218,518.05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87,946,378.00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152,566,474.29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169,089,869.31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4,318,697,766.05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9,318,407,626.12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122,865,533.67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9,441,273,159.79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272"/>
        <w:gridCol w:w="10186"/>
        <w:gridCol w:w="1181"/>
        <w:gridCol w:w="13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bl>
    <w:p>
      <w:pPr>
        <w:spacing w:lineRule="exact" w:line="1"/>
        <w:rPr>
          <w:sz w:val="2"/>
          <w:szCs w:val="2"/>
        </w:rPr>
      </w:pPr>
      <w:r>
        <w:br w:type="page"/>
      </w:r>
    </w:p>
    <w:tbl>
      <w:tblPr>
        <w:tblOverlap w:val="never"/>
        <w:jc w:val="center"/>
        <w:tblLayout w:type="fixed"/>
      </w:tblPr>
      <w:tblGrid>
        <w:gridCol w:w="1272"/>
        <w:gridCol w:w="1181"/>
        <w:gridCol w:w="235"/>
        <w:gridCol w:w="235"/>
        <w:gridCol w:w="235"/>
        <w:gridCol w:w="1315"/>
        <w:gridCol w:w="1181"/>
        <w:gridCol w:w="1186"/>
        <w:gridCol w:w="235"/>
        <w:gridCol w:w="1181"/>
        <w:gridCol w:w="250"/>
        <w:gridCol w:w="1315"/>
        <w:gridCol w:w="322"/>
        <w:gridCol w:w="1315"/>
        <w:gridCol w:w="1181"/>
        <w:gridCol w:w="1330"/>
      </w:tblGrid>
      <w:tr>
        <w:trPr>
          <w:trHeight w:val="749"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top"/>
          </w:tcPr>
          <w:p>
            <w:pPr>
              <w:widowControl w:val="0"/>
              <w:rPr>
                <w:sz w:val="10"/>
                <w:szCs w:val="10"/>
              </w:rPr>
            </w:pPr>
          </w:p>
        </w:tc>
      </w:tr>
      <w:tr>
        <w:trPr>
          <w:trHeight w:val="124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优</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先</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永</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续</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2,807,649,855.05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49,975,831.94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974,196,660.64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4,314,048,690.33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86,990,256.79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4,401,038,947.12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52,914,366.35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52,914,366.35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4,098,548.28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57,012,914.63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2,807,649,855.05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49,975,831.94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1,027,111,026.99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4,366,963,056.68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91,088,805.07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4,458,051,861.75</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128,585,604.62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1,993,366,532.60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1,543,141,996.85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24,547,083.55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1,567,689,080.40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128,585,604.62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2,090,285,273.48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1,961,699,668.86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8,461,520.23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1,970,161,189.09</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-378,547,858.33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16,085,563.32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-362,462,295.01</w:t>
            </w:r>
          </w:p>
        </w:tc>
      </w:tr>
    </w:tbl>
    <w:p>
      <w:pPr>
        <w:spacing w:lineRule="exact" w:line="1"/>
        <w:rPr>
          <w:sz w:val="2"/>
          <w:szCs w:val="2"/>
        </w:rPr>
      </w:pPr>
      <w:r>
        <w:br w:type="page"/>
      </w:r>
    </w:p>
    <w:tbl>
      <w:tblPr>
        <w:tblOverlap w:val="never"/>
        <w:jc w:val="center"/>
        <w:tblLayout w:type="fixed"/>
      </w:tblPr>
      <w:tblGrid>
        <w:gridCol w:w="1272"/>
        <w:gridCol w:w="1181"/>
        <w:gridCol w:w="235"/>
        <w:gridCol w:w="235"/>
        <w:gridCol w:w="235"/>
        <w:gridCol w:w="1315"/>
        <w:gridCol w:w="1181"/>
        <w:gridCol w:w="1186"/>
        <w:gridCol w:w="235"/>
        <w:gridCol w:w="1181"/>
        <w:gridCol w:w="250"/>
        <w:gridCol w:w="1315"/>
        <w:gridCol w:w="322"/>
        <w:gridCol w:w="1315"/>
        <w:gridCol w:w="1181"/>
        <w:gridCol w:w="1330"/>
      </w:tblGrid>
      <w:tr>
        <w:trPr>
          <w:trHeight w:val="7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216,025,728.81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216,025,728.81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129,009,834.53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345,035,563.34</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-202,660,142.33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-216,025,728.81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-391,913,444.81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112,924,271.21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-504,837,716.02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-96,918,740.88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-40,009,813.68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-40,009,813.68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-40,009,813.68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-40,009,813.68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-40,009,813.68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（四）所有者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81"/>
        <w:gridCol w:w="235"/>
        <w:gridCol w:w="235"/>
        <w:gridCol w:w="235"/>
        <w:gridCol w:w="1315"/>
        <w:gridCol w:w="1181"/>
        <w:gridCol w:w="1186"/>
        <w:gridCol w:w="235"/>
        <w:gridCol w:w="1181"/>
        <w:gridCol w:w="250"/>
        <w:gridCol w:w="1315"/>
        <w:gridCol w:w="322"/>
        <w:gridCol w:w="1315"/>
        <w:gridCol w:w="1181"/>
        <w:gridCol w:w="1330"/>
      </w:tblGrid>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2,604,989,712.72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-78,609,772.68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139,035,269.90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3,020,477,559.59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5,910,105,053.53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115,635,888.62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6,025,740,942.15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8</w:t>
      </w:r>
      <w:bookmarkEnd w:id="859"/>
      <w:r>
        <w:rPr>
          <w:color w:val="000000"/>
          <w:spacing w:val="0"/>
          <w:w w:val="100"/>
          <w:position w:val="0"/>
        </w:rPr>
        <w:t>、母公司所有者权益变动表</w:t>
      </w:r>
      <w:bookmarkEnd w:id="857"/>
      <w:bookmarkEnd w:id="858"/>
      <w:bookmarkEnd w:id="860"/>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723"/>
        <w:gridCol w:w="1181"/>
        <w:gridCol w:w="691"/>
        <w:gridCol w:w="691"/>
        <w:gridCol w:w="691"/>
        <w:gridCol w:w="1315"/>
        <w:gridCol w:w="1181"/>
        <w:gridCol w:w="1090"/>
        <w:gridCol w:w="869"/>
        <w:gridCol w:w="1181"/>
        <w:gridCol w:w="1181"/>
        <w:gridCol w:w="845"/>
        <w:gridCol w:w="13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4,423,228,910.72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175,887,716.00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39,557,725.14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139,035,269.90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656,302,489.05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5,482,336,678.81</w:t>
            </w:r>
          </w:p>
        </w:tc>
      </w:tr>
    </w:tbl>
    <w:p>
      <w:pPr>
        <w:spacing w:lineRule="exact" w:line="1"/>
        <w:rPr>
          <w:sz w:val="2"/>
          <w:szCs w:val="2"/>
        </w:rPr>
      </w:pPr>
      <w:r>
        <w:br w:type="page"/>
      </w:r>
    </w:p>
    <w:tbl>
      <w:tblPr>
        <w:tblOverlap w:val="never"/>
        <w:jc w:val="center"/>
        <w:tblLayout w:type="fixed"/>
      </w:tblPr>
      <w:tblGrid>
        <w:gridCol w:w="1723"/>
        <w:gridCol w:w="1181"/>
        <w:gridCol w:w="691"/>
        <w:gridCol w:w="691"/>
        <w:gridCol w:w="691"/>
        <w:gridCol w:w="1315"/>
        <w:gridCol w:w="1181"/>
        <w:gridCol w:w="1090"/>
        <w:gridCol w:w="869"/>
        <w:gridCol w:w="1181"/>
        <w:gridCol w:w="1181"/>
        <w:gridCol w:w="845"/>
        <w:gridCol w:w="1330"/>
      </w:tblGrid>
      <w:tr>
        <w:trPr>
          <w:trHeight w:val="7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4,423,228,910.72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39,557,725.14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139,035,269.90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656,302,489.05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5,482,336,678.81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13,814,325.00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2,060,323,658.22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-87,941,338.00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35,313,919.98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30,054,599.41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125,621,395.61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2,353,069,236.22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45,580,839.71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290,406,701.77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335,987,541.48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13,814,325.00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2,060,323,658.22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-87,941,338.00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10,266,919.73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1,013,929.23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9,125,363.07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2,161,951,693.79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13,814,325.00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1,962,830,408.63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1,976,644,733.63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92,717,688.15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92,717,688.15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4,775,561.44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-87,941,338.00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10,266,919.73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1,013,929.23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9,125,363.07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92,589,272.01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29,040,670.18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173,910,669.23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-144,869,999.05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29,040,670.18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-29,040,670.18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144,869,999.05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-144,869,999.05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3"/>
        <w:gridCol w:w="1181"/>
        <w:gridCol w:w="691"/>
        <w:gridCol w:w="691"/>
        <w:gridCol w:w="691"/>
        <w:gridCol w:w="1315"/>
        <w:gridCol w:w="1181"/>
        <w:gridCol w:w="1090"/>
        <w:gridCol w:w="869"/>
        <w:gridCol w:w="1181"/>
        <w:gridCol w:w="1181"/>
        <w:gridCol w:w="845"/>
        <w:gridCol w:w="1330"/>
      </w:tblGrid>
      <w:tr>
        <w:trPr>
          <w:trHeight w:val="7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413,914,325.00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6,483,552,568.94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87,946,378.00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74,871,645.12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169,089,869.31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781,923,884.66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7,835,405,915.03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618"/>
        <w:gridCol w:w="1181"/>
        <w:gridCol w:w="653"/>
        <w:gridCol w:w="653"/>
        <w:gridCol w:w="653"/>
        <w:gridCol w:w="1315"/>
        <w:gridCol w:w="1181"/>
        <w:gridCol w:w="1090"/>
        <w:gridCol w:w="955"/>
        <w:gridCol w:w="1181"/>
        <w:gridCol w:w="1186"/>
        <w:gridCol w:w="974"/>
        <w:gridCol w:w="13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4,625,889,053.05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21,024,194.10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184,131,957.88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5,313,271,547.73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18"/>
        <w:gridCol w:w="1181"/>
        <w:gridCol w:w="653"/>
        <w:gridCol w:w="653"/>
        <w:gridCol w:w="653"/>
        <w:gridCol w:w="1315"/>
        <w:gridCol w:w="1181"/>
        <w:gridCol w:w="1090"/>
        <w:gridCol w:w="955"/>
        <w:gridCol w:w="1181"/>
        <w:gridCol w:w="1186"/>
        <w:gridCol w:w="974"/>
        <w:gridCol w:w="1330"/>
      </w:tblGrid>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4,625,889,053.05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21,024,194.10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82,126,342.70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184,131,957.88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5,313,271,547.73</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18,533,531.04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472,170,531.17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169,065,131.08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18,533,531.04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587,622,803.09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-378,547,858.33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-202,660,142.33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-202,660,142.33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-175,887,716.00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-96,918,740.88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-40,009,813.68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-56,908,927.20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-40,009,813.68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-40,009,813.68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18"/>
        <w:gridCol w:w="1181"/>
        <w:gridCol w:w="653"/>
        <w:gridCol w:w="653"/>
        <w:gridCol w:w="653"/>
        <w:gridCol w:w="1315"/>
        <w:gridCol w:w="1181"/>
        <w:gridCol w:w="1090"/>
        <w:gridCol w:w="955"/>
        <w:gridCol w:w="1181"/>
        <w:gridCol w:w="1186"/>
        <w:gridCol w:w="974"/>
        <w:gridCol w:w="1330"/>
      </w:tblGrid>
      <w:tr>
        <w:trPr>
          <w:trHeight w:val="7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4,423,228,910.72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39,557,725.14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139,035,269.90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656,302,489.05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5,482,336,678.81</w:t>
            </w:r>
          </w:p>
        </w:tc>
      </w:tr>
    </w:tbl>
    <w:p>
      <w:pPr>
        <w:sectPr>
          <w:footnotePr>
            <w:pos w:val="pageBottom"/>
            <w:numFmt w:val="decimal"/>
            <w:numRestart w:val="continuous"/>
          </w:footnotePr>
          <w:pgSz w:w="16840" w:h="11900" w:orient="landscape"/>
          <w:pgMar w:top="1102" w:right="1417" w:bottom="1202" w:left="1422" w:header="0" w:footer="3" w:gutter="0"/>
          <w:cols w:space="720"/>
          <w:noEndnote/>
          <w:rtlGutter w:val="0"/>
          <w:docGrid w:linePitch="360"/>
        </w:sectPr>
      </w:pPr>
    </w:p>
    <w:p>
      <w:pPr>
        <w:pStyle w:val="Style24"/>
        <w:keepNext/>
        <w:keepLines/>
        <w:widowControl w:val="0"/>
        <w:shd w:val="clear" w:color="auto" w:fill="auto"/>
        <w:bidi w:val="0"/>
        <w:spacing w:before="80" w:after="26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sz w:val="24"/>
          <w:szCs w:val="24"/>
        </w:rPr>
        <w:t>三</w:t>
      </w:r>
      <w:bookmarkEnd w:id="863"/>
      <w:r>
        <w:rPr>
          <w:color w:val="000000"/>
          <w:spacing w:val="0"/>
          <w:w w:val="100"/>
          <w:position w:val="0"/>
          <w:sz w:val="24"/>
          <w:szCs w:val="24"/>
        </w:rPr>
        <w:t>、公司基本情况</w:t>
      </w:r>
      <w:bookmarkEnd w:id="861"/>
      <w:bookmarkEnd w:id="862"/>
      <w:bookmarkEnd w:id="864"/>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深圳华大基因股份有限公司（以下简称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华大基因</w:t>
      </w:r>
      <w:r>
        <w:rPr>
          <w:rFonts w:ascii="Times New Roman" w:eastAsia="Times New Roman" w:hAnsi="Times New Roman" w:cs="Times New Roman"/>
          <w:color w:val="000000"/>
          <w:spacing w:val="0"/>
          <w:w w:val="100"/>
          <w:position w:val="0"/>
        </w:rPr>
        <w:t>”</w:t>
      </w:r>
      <w:r>
        <w:rPr>
          <w:color w:val="000000"/>
          <w:spacing w:val="0"/>
          <w:w w:val="100"/>
          <w:position w:val="0"/>
        </w:rPr>
        <w:t>），原注册名称为深圳华大基因健康科技有限公司，成立 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日，注册地为深圳市盐田区北山工业区综合楼科技创业园</w:t>
      </w:r>
      <w:r>
        <w:rPr>
          <w:rFonts w:ascii="Times New Roman" w:eastAsia="Times New Roman" w:hAnsi="Times New Roman" w:cs="Times New Roman"/>
          <w:color w:val="000000"/>
          <w:spacing w:val="0"/>
          <w:w w:val="100"/>
          <w:position w:val="0"/>
        </w:rPr>
        <w:t>9F-7</w:t>
      </w:r>
      <w:r>
        <w:rPr>
          <w:color w:val="000000"/>
          <w:spacing w:val="0"/>
          <w:w w:val="100"/>
          <w:position w:val="0"/>
        </w:rPr>
        <w:t>,</w:t>
      </w:r>
      <w:r>
        <w:rPr>
          <w:color w:val="000000"/>
          <w:spacing w:val="0"/>
          <w:w w:val="100"/>
          <w:position w:val="0"/>
        </w:rPr>
        <w:t>注册号为</w:t>
      </w:r>
      <w:r>
        <w:rPr>
          <w:rFonts w:ascii="Times New Roman" w:eastAsia="Times New Roman" w:hAnsi="Times New Roman" w:cs="Times New Roman"/>
          <w:color w:val="000000"/>
          <w:spacing w:val="0"/>
          <w:w w:val="100"/>
          <w:position w:val="0"/>
        </w:rPr>
        <w:t>440301104800923</w:t>
      </w:r>
      <w:r>
        <w:rPr>
          <w:color w:val="000000"/>
          <w:spacing w:val="0"/>
          <w:w w:val="100"/>
          <w:position w:val="0"/>
        </w:rPr>
        <w:t>，注册资本为人民 币</w:t>
      </w:r>
      <w:r>
        <w:rPr>
          <w:rFonts w:ascii="Times New Roman" w:eastAsia="Times New Roman" w:hAnsi="Times New Roman" w:cs="Times New Roman"/>
          <w:color w:val="000000"/>
          <w:spacing w:val="0"/>
          <w:w w:val="100"/>
          <w:position w:val="0"/>
        </w:rPr>
        <w:t>1,000</w:t>
      </w:r>
      <w:r>
        <w:rPr>
          <w:color w:val="000000"/>
          <w:spacing w:val="0"/>
          <w:w w:val="100"/>
          <w:position w:val="0"/>
        </w:rPr>
        <w:t>万元，实收资本为人民币</w:t>
      </w:r>
      <w:r>
        <w:rPr>
          <w:rFonts w:ascii="Times New Roman" w:eastAsia="Times New Roman" w:hAnsi="Times New Roman" w:cs="Times New Roman"/>
          <w:color w:val="000000"/>
          <w:spacing w:val="0"/>
          <w:w w:val="100"/>
          <w:position w:val="0"/>
        </w:rPr>
        <w:t>200</w:t>
      </w:r>
      <w:r>
        <w:rPr>
          <w:color w:val="000000"/>
          <w:spacing w:val="0"/>
          <w:w w:val="100"/>
          <w:position w:val="0"/>
        </w:rPr>
        <w:t>万元。其中，深圳华大基因科技有限公司（</w:t>
      </w:r>
      <w:r>
        <w:rPr>
          <w:rFonts w:ascii="Times New Roman" w:eastAsia="Times New Roman" w:hAnsi="Times New Roman" w:cs="Times New Roman"/>
          <w:color w:val="000000"/>
          <w:spacing w:val="0"/>
          <w:w w:val="100"/>
          <w:position w:val="0"/>
        </w:rPr>
        <w:t>“</w:t>
      </w:r>
      <w:r>
        <w:rPr>
          <w:color w:val="000000"/>
          <w:spacing w:val="0"/>
          <w:w w:val="100"/>
          <w:position w:val="0"/>
        </w:rPr>
        <w:t>华大控股</w:t>
      </w:r>
      <w:r>
        <w:rPr>
          <w:rFonts w:ascii="Times New Roman" w:eastAsia="Times New Roman" w:hAnsi="Times New Roman" w:cs="Times New Roman"/>
          <w:color w:val="000000"/>
          <w:spacing w:val="0"/>
          <w:w w:val="100"/>
          <w:position w:val="0"/>
        </w:rPr>
        <w:t>”</w:t>
      </w:r>
      <w:r>
        <w:rPr>
          <w:color w:val="000000"/>
          <w:spacing w:val="0"/>
          <w:w w:val="100"/>
          <w:position w:val="0"/>
        </w:rPr>
        <w:t>）出资人民币</w:t>
      </w:r>
      <w:r>
        <w:rPr>
          <w:rFonts w:ascii="Times New Roman" w:eastAsia="Times New Roman" w:hAnsi="Times New Roman" w:cs="Times New Roman"/>
          <w:color w:val="000000"/>
          <w:spacing w:val="0"/>
          <w:w w:val="100"/>
          <w:position w:val="0"/>
        </w:rPr>
        <w:t>190</w:t>
      </w:r>
      <w:r>
        <w:rPr>
          <w:color w:val="000000"/>
          <w:spacing w:val="0"/>
          <w:w w:val="100"/>
          <w:position w:val="0"/>
        </w:rPr>
        <w:t>万元，出资比例 为</w:t>
      </w:r>
      <w:r>
        <w:rPr>
          <w:rFonts w:ascii="Times New Roman" w:eastAsia="Times New Roman" w:hAnsi="Times New Roman" w:cs="Times New Roman"/>
          <w:color w:val="000000"/>
          <w:spacing w:val="0"/>
          <w:w w:val="100"/>
          <w:position w:val="0"/>
        </w:rPr>
        <w:t>95%</w:t>
      </w:r>
      <w:r>
        <w:rPr>
          <w:color w:val="000000"/>
          <w:spacing w:val="0"/>
          <w:w w:val="100"/>
          <w:position w:val="0"/>
        </w:rPr>
        <w:t>，深圳华大三生园科技有限公司（</w:t>
      </w:r>
      <w:r>
        <w:rPr>
          <w:rFonts w:ascii="Times New Roman" w:eastAsia="Times New Roman" w:hAnsi="Times New Roman" w:cs="Times New Roman"/>
          <w:color w:val="000000"/>
          <w:spacing w:val="0"/>
          <w:w w:val="100"/>
          <w:position w:val="0"/>
        </w:rPr>
        <w:t>“</w:t>
      </w:r>
      <w:r>
        <w:rPr>
          <w:color w:val="000000"/>
          <w:spacing w:val="0"/>
          <w:w w:val="100"/>
          <w:position w:val="0"/>
        </w:rPr>
        <w:t>华大三生园</w:t>
      </w:r>
      <w:r>
        <w:rPr>
          <w:rFonts w:ascii="Times New Roman" w:eastAsia="Times New Roman" w:hAnsi="Times New Roman" w:cs="Times New Roman"/>
          <w:color w:val="000000"/>
          <w:spacing w:val="0"/>
          <w:w w:val="100"/>
          <w:position w:val="0"/>
        </w:rPr>
        <w:t>”</w:t>
      </w:r>
      <w:r>
        <w:rPr>
          <w:color w:val="000000"/>
          <w:spacing w:val="0"/>
          <w:w w:val="100"/>
          <w:position w:val="0"/>
        </w:rPr>
        <w:t>）出资人民币</w:t>
      </w:r>
      <w:r>
        <w:rPr>
          <w:rFonts w:ascii="Times New Roman" w:eastAsia="Times New Roman" w:hAnsi="Times New Roman" w:cs="Times New Roman"/>
          <w:color w:val="000000"/>
          <w:spacing w:val="0"/>
          <w:w w:val="100"/>
          <w:position w:val="0"/>
        </w:rPr>
        <w:t>10</w:t>
      </w:r>
      <w:r>
        <w:rPr>
          <w:color w:val="000000"/>
          <w:spacing w:val="0"/>
          <w:w w:val="100"/>
          <w:position w:val="0"/>
        </w:rPr>
        <w:t>万元，出资比例为</w:t>
      </w:r>
      <w:r>
        <w:rPr>
          <w:rFonts w:ascii="Times New Roman" w:eastAsia="Times New Roman" w:hAnsi="Times New Roman" w:cs="Times New Roman"/>
          <w:color w:val="000000"/>
          <w:spacing w:val="0"/>
          <w:w w:val="100"/>
          <w:position w:val="0"/>
        </w:rPr>
        <w:t>5%</w:t>
      </w:r>
      <w:r>
        <w:rPr>
          <w:color w:val="000000"/>
          <w:spacing w:val="0"/>
          <w:w w:val="100"/>
          <w:position w:val="0"/>
        </w:rPr>
        <w:t>，华大三生园名称变更前为深圳 华大农业与循环经济科技有限公司。</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日，华大控股增加实收资本人民币</w:t>
      </w:r>
      <w:r>
        <w:rPr>
          <w:rFonts w:ascii="Times New Roman" w:eastAsia="Times New Roman" w:hAnsi="Times New Roman" w:cs="Times New Roman"/>
          <w:color w:val="000000"/>
          <w:spacing w:val="0"/>
          <w:w w:val="100"/>
          <w:position w:val="0"/>
        </w:rPr>
        <w:t>760</w:t>
      </w:r>
      <w:r>
        <w:rPr>
          <w:color w:val="000000"/>
          <w:spacing w:val="0"/>
          <w:w w:val="100"/>
          <w:position w:val="0"/>
        </w:rPr>
        <w:t>万元，华大三生园增加实收资本人民币</w:t>
      </w:r>
      <w:r>
        <w:rPr>
          <w:rFonts w:ascii="Times New Roman" w:eastAsia="Times New Roman" w:hAnsi="Times New Roman" w:cs="Times New Roman"/>
          <w:color w:val="000000"/>
          <w:spacing w:val="0"/>
          <w:w w:val="100"/>
          <w:position w:val="0"/>
        </w:rPr>
        <w:t>40</w:t>
      </w:r>
      <w:r>
        <w:rPr>
          <w:color w:val="000000"/>
          <w:spacing w:val="0"/>
          <w:w w:val="100"/>
          <w:position w:val="0"/>
        </w:rPr>
        <w:t>万元，出资完毕。</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日，本公司注册资本变更为人民币</w:t>
      </w:r>
      <w:r>
        <w:rPr>
          <w:rFonts w:ascii="Times New Roman" w:eastAsia="Times New Roman" w:hAnsi="Times New Roman" w:cs="Times New Roman"/>
          <w:color w:val="000000"/>
          <w:spacing w:val="0"/>
          <w:w w:val="100"/>
          <w:position w:val="0"/>
        </w:rPr>
        <w:t>6,000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日，华大控股增加实收资本人民币</w:t>
      </w:r>
      <w:r>
        <w:rPr>
          <w:rFonts w:ascii="Times New Roman" w:eastAsia="Times New Roman" w:hAnsi="Times New Roman" w:cs="Times New Roman"/>
          <w:color w:val="000000"/>
          <w:spacing w:val="0"/>
          <w:w w:val="100"/>
          <w:position w:val="0"/>
        </w:rPr>
        <w:t>950</w:t>
      </w:r>
      <w:r>
        <w:rPr>
          <w:color w:val="000000"/>
          <w:spacing w:val="0"/>
          <w:w w:val="100"/>
          <w:position w:val="0"/>
        </w:rPr>
        <w:t>万元，华 大三生园增加实收资本人民币</w:t>
      </w:r>
      <w:r>
        <w:rPr>
          <w:rFonts w:ascii="Times New Roman" w:eastAsia="Times New Roman" w:hAnsi="Times New Roman" w:cs="Times New Roman"/>
          <w:color w:val="000000"/>
          <w:spacing w:val="0"/>
          <w:w w:val="100"/>
          <w:position w:val="0"/>
        </w:rPr>
        <w:t>50</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日，华大控股增加实收资本人民币</w:t>
      </w:r>
      <w:r>
        <w:rPr>
          <w:rFonts w:ascii="Times New Roman" w:eastAsia="Times New Roman" w:hAnsi="Times New Roman" w:cs="Times New Roman"/>
          <w:color w:val="000000"/>
          <w:spacing w:val="0"/>
          <w:w w:val="100"/>
          <w:position w:val="0"/>
        </w:rPr>
        <w:t>2,375</w:t>
      </w:r>
      <w:r>
        <w:rPr>
          <w:color w:val="000000"/>
          <w:spacing w:val="0"/>
          <w:w w:val="100"/>
          <w:position w:val="0"/>
        </w:rPr>
        <w:t>万元，华大三生园增加实收资本 人民币</w:t>
      </w:r>
      <w:r>
        <w:rPr>
          <w:rFonts w:ascii="Times New Roman" w:eastAsia="Times New Roman" w:hAnsi="Times New Roman" w:cs="Times New Roman"/>
          <w:color w:val="000000"/>
          <w:spacing w:val="0"/>
          <w:w w:val="100"/>
          <w:position w:val="0"/>
        </w:rPr>
        <w:t>125</w:t>
      </w:r>
      <w:r>
        <w:rPr>
          <w:color w:val="000000"/>
          <w:spacing w:val="0"/>
          <w:w w:val="100"/>
          <w:position w:val="0"/>
        </w:rPr>
        <w:t>万元。至此，华大控股已认缴出资人民币</w:t>
      </w:r>
      <w:r>
        <w:rPr>
          <w:rFonts w:ascii="Times New Roman" w:eastAsia="Times New Roman" w:hAnsi="Times New Roman" w:cs="Times New Roman"/>
          <w:color w:val="000000"/>
          <w:spacing w:val="0"/>
          <w:w w:val="100"/>
          <w:position w:val="0"/>
        </w:rPr>
        <w:t>4,275</w:t>
      </w:r>
      <w:r>
        <w:rPr>
          <w:color w:val="000000"/>
          <w:spacing w:val="0"/>
          <w:w w:val="100"/>
          <w:position w:val="0"/>
        </w:rPr>
        <w:t>万元，出资比例为</w:t>
      </w:r>
      <w:r>
        <w:rPr>
          <w:rFonts w:ascii="Times New Roman" w:eastAsia="Times New Roman" w:hAnsi="Times New Roman" w:cs="Times New Roman"/>
          <w:color w:val="000000"/>
          <w:spacing w:val="0"/>
          <w:w w:val="100"/>
          <w:position w:val="0"/>
        </w:rPr>
        <w:t>95%</w:t>
      </w:r>
      <w:r>
        <w:rPr>
          <w:color w:val="000000"/>
          <w:spacing w:val="0"/>
          <w:w w:val="100"/>
          <w:position w:val="0"/>
        </w:rPr>
        <w:t>，华大三生园已认缴出资人民币</w:t>
      </w:r>
      <w:r>
        <w:rPr>
          <w:rFonts w:ascii="Times New Roman" w:eastAsia="Times New Roman" w:hAnsi="Times New Roman" w:cs="Times New Roman"/>
          <w:color w:val="000000"/>
          <w:spacing w:val="0"/>
          <w:w w:val="100"/>
          <w:position w:val="0"/>
        </w:rPr>
        <w:t>225</w:t>
      </w:r>
      <w:r>
        <w:rPr>
          <w:color w:val="000000"/>
          <w:spacing w:val="0"/>
          <w:w w:val="100"/>
          <w:position w:val="0"/>
        </w:rPr>
        <w:t>万元，出 资比例为</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日，深圳市市场监督管理局批复本公司名称变更申请，本公司名称由</w:t>
      </w:r>
      <w:r>
        <w:rPr>
          <w:rFonts w:ascii="Times New Roman" w:eastAsia="Times New Roman" w:hAnsi="Times New Roman" w:cs="Times New Roman"/>
          <w:color w:val="000000"/>
          <w:spacing w:val="0"/>
          <w:w w:val="100"/>
          <w:position w:val="0"/>
        </w:rPr>
        <w:t>“</w:t>
      </w:r>
      <w:r>
        <w:rPr>
          <w:color w:val="000000"/>
          <w:spacing w:val="0"/>
          <w:w w:val="100"/>
          <w:position w:val="0"/>
        </w:rPr>
        <w:t>深圳华大基因健康科技有限公司</w:t>
      </w:r>
      <w:r>
        <w:rPr>
          <w:rFonts w:ascii="Times New Roman" w:eastAsia="Times New Roman" w:hAnsi="Times New Roman" w:cs="Times New Roman"/>
          <w:color w:val="000000"/>
          <w:spacing w:val="0"/>
          <w:w w:val="100"/>
          <w:position w:val="0"/>
        </w:rPr>
        <w:t>”</w:t>
      </w:r>
      <w:r>
        <w:rPr>
          <w:color w:val="000000"/>
          <w:spacing w:val="0"/>
          <w:w w:val="100"/>
          <w:position w:val="0"/>
        </w:rPr>
        <w:t>变 更为</w:t>
      </w:r>
      <w:r>
        <w:rPr>
          <w:rFonts w:ascii="Times New Roman" w:eastAsia="Times New Roman" w:hAnsi="Times New Roman" w:cs="Times New Roman"/>
          <w:color w:val="000000"/>
          <w:spacing w:val="0"/>
          <w:w w:val="100"/>
          <w:position w:val="0"/>
        </w:rPr>
        <w:t>“</w:t>
      </w:r>
      <w:r>
        <w:rPr>
          <w:color w:val="000000"/>
          <w:spacing w:val="0"/>
          <w:w w:val="100"/>
          <w:position w:val="0"/>
        </w:rPr>
        <w:t>深圳华大基因医学有限公司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日，华大三生园将其持有的本公司</w:t>
      </w:r>
      <w:r>
        <w:rPr>
          <w:rFonts w:ascii="Times New Roman" w:eastAsia="Times New Roman" w:hAnsi="Times New Roman" w:cs="Times New Roman"/>
          <w:color w:val="000000"/>
          <w:spacing w:val="0"/>
          <w:w w:val="100"/>
          <w:position w:val="0"/>
        </w:rPr>
        <w:t>5%</w:t>
      </w:r>
      <w:r>
        <w:rPr>
          <w:color w:val="000000"/>
          <w:spacing w:val="0"/>
          <w:w w:val="100"/>
          <w:position w:val="0"/>
        </w:rPr>
        <w:t>股份以人民币</w:t>
      </w:r>
      <w:r>
        <w:rPr>
          <w:rFonts w:ascii="Times New Roman" w:eastAsia="Times New Roman" w:hAnsi="Times New Roman" w:cs="Times New Roman"/>
          <w:color w:val="000000"/>
          <w:spacing w:val="0"/>
          <w:w w:val="100"/>
          <w:position w:val="0"/>
        </w:rPr>
        <w:t>626.169256</w:t>
      </w:r>
      <w:r>
        <w:rPr>
          <w:color w:val="000000"/>
          <w:spacing w:val="0"/>
          <w:w w:val="100"/>
          <w:position w:val="0"/>
        </w:rPr>
        <w:t>万元的价格转让予华大控股。该股权转让后， 华大控股持有本公司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日，华大控股增加实收资本人民币</w:t>
      </w:r>
      <w:r>
        <w:rPr>
          <w:rFonts w:ascii="Times New Roman" w:eastAsia="Times New Roman" w:hAnsi="Times New Roman" w:cs="Times New Roman"/>
          <w:color w:val="000000"/>
          <w:spacing w:val="0"/>
          <w:w w:val="100"/>
          <w:position w:val="0"/>
        </w:rPr>
        <w:t>1,500</w:t>
      </w:r>
      <w:r>
        <w:rPr>
          <w:color w:val="000000"/>
          <w:spacing w:val="0"/>
          <w:w w:val="100"/>
          <w:position w:val="0"/>
        </w:rPr>
        <w:t>万元，至此本公司注册资本为人民币</w:t>
      </w:r>
      <w:r>
        <w:rPr>
          <w:rFonts w:ascii="Times New Roman" w:eastAsia="Times New Roman" w:hAnsi="Times New Roman" w:cs="Times New Roman"/>
          <w:color w:val="000000"/>
          <w:spacing w:val="0"/>
          <w:w w:val="100"/>
          <w:position w:val="0"/>
        </w:rPr>
        <w:t>6,000</w:t>
      </w:r>
      <w:r>
        <w:rPr>
          <w:color w:val="000000"/>
          <w:spacing w:val="0"/>
          <w:w w:val="100"/>
          <w:position w:val="0"/>
        </w:rPr>
        <w:t xml:space="preserve">万元，实收资本为人民币 </w:t>
      </w:r>
      <w:r>
        <w:rPr>
          <w:rFonts w:ascii="Times New Roman" w:eastAsia="Times New Roman" w:hAnsi="Times New Roman" w:cs="Times New Roman"/>
          <w:color w:val="000000"/>
          <w:spacing w:val="0"/>
          <w:w w:val="100"/>
          <w:position w:val="0"/>
        </w:rPr>
        <w:t>6,000</w:t>
      </w:r>
      <w:r>
        <w:rPr>
          <w:color w:val="000000"/>
          <w:spacing w:val="0"/>
          <w:w w:val="100"/>
          <w:position w:val="0"/>
        </w:rPr>
        <w:t>万元。</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日，华大控股与深圳前海华大基因投资企业（有限合伙）（</w:t>
      </w:r>
      <w:r>
        <w:rPr>
          <w:rFonts w:ascii="Times New Roman" w:eastAsia="Times New Roman" w:hAnsi="Times New Roman" w:cs="Times New Roman"/>
          <w:color w:val="000000"/>
          <w:spacing w:val="0"/>
          <w:w w:val="100"/>
          <w:position w:val="0"/>
        </w:rPr>
        <w:t>“</w:t>
      </w:r>
      <w:r>
        <w:rPr>
          <w:color w:val="000000"/>
          <w:spacing w:val="0"/>
          <w:w w:val="100"/>
          <w:position w:val="0"/>
        </w:rPr>
        <w:t>华大投资</w:t>
      </w:r>
      <w:r>
        <w:rPr>
          <w:rFonts w:ascii="Times New Roman" w:eastAsia="Times New Roman" w:hAnsi="Times New Roman" w:cs="Times New Roman"/>
          <w:color w:val="000000"/>
          <w:spacing w:val="0"/>
          <w:w w:val="100"/>
          <w:position w:val="0"/>
        </w:rPr>
        <w:t>”</w:t>
      </w:r>
      <w:r>
        <w:rPr>
          <w:color w:val="000000"/>
          <w:spacing w:val="0"/>
          <w:w w:val="100"/>
          <w:position w:val="0"/>
        </w:rPr>
        <w:t>）签署股权转让协议，华大控股以人 民币</w:t>
      </w:r>
      <w:r>
        <w:rPr>
          <w:rFonts w:ascii="Times New Roman" w:eastAsia="Times New Roman" w:hAnsi="Times New Roman" w:cs="Times New Roman"/>
          <w:color w:val="000000"/>
          <w:spacing w:val="0"/>
          <w:w w:val="100"/>
          <w:position w:val="0"/>
        </w:rPr>
        <w:t>4,480</w:t>
      </w:r>
      <w:r>
        <w:rPr>
          <w:color w:val="000000"/>
          <w:spacing w:val="0"/>
          <w:w w:val="100"/>
          <w:position w:val="0"/>
        </w:rPr>
        <w:t>万元的对价出让其持有的本公司</w:t>
      </w:r>
      <w:r>
        <w:rPr>
          <w:rFonts w:ascii="Times New Roman" w:eastAsia="Times New Roman" w:hAnsi="Times New Roman" w:cs="Times New Roman"/>
          <w:color w:val="000000"/>
          <w:spacing w:val="0"/>
          <w:w w:val="100"/>
          <w:position w:val="0"/>
        </w:rPr>
        <w:t>32%</w:t>
      </w:r>
      <w:r>
        <w:rPr>
          <w:color w:val="000000"/>
          <w:spacing w:val="0"/>
          <w:w w:val="100"/>
          <w:position w:val="0"/>
        </w:rPr>
        <w:t>股份予华大投资，上述股份变更于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日完成工商变更。该股权转让 完成后，华大投资持有本公司</w:t>
      </w:r>
      <w:r>
        <w:rPr>
          <w:rFonts w:ascii="Times New Roman" w:eastAsia="Times New Roman" w:hAnsi="Times New Roman" w:cs="Times New Roman"/>
          <w:color w:val="000000"/>
          <w:spacing w:val="0"/>
          <w:w w:val="100"/>
          <w:position w:val="0"/>
        </w:rPr>
        <w:t>32%</w:t>
      </w:r>
      <w:r>
        <w:rPr>
          <w:color w:val="000000"/>
          <w:spacing w:val="0"/>
          <w:w w:val="100"/>
          <w:position w:val="0"/>
        </w:rPr>
        <w:t>股份。</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日及</w:t>
      </w:r>
      <w:r>
        <w:rPr>
          <w:rFonts w:ascii="Times New Roman" w:eastAsia="Times New Roman" w:hAnsi="Times New Roman" w:cs="Times New Roman"/>
          <w:color w:val="000000"/>
          <w:spacing w:val="0"/>
          <w:w w:val="100"/>
          <w:position w:val="0"/>
        </w:rPr>
        <w:t>15</w:t>
      </w:r>
      <w:r>
        <w:rPr>
          <w:color w:val="000000"/>
          <w:spacing w:val="0"/>
          <w:w w:val="100"/>
          <w:position w:val="0"/>
        </w:rPr>
        <w:t>日，本公司股东大会决议通过，引进</w:t>
      </w:r>
      <w:r>
        <w:rPr>
          <w:rFonts w:ascii="Times New Roman" w:eastAsia="Times New Roman" w:hAnsi="Times New Roman" w:cs="Times New Roman"/>
          <w:color w:val="000000"/>
          <w:spacing w:val="0"/>
          <w:w w:val="100"/>
          <w:position w:val="0"/>
        </w:rPr>
        <w:t>12</w:t>
      </w:r>
      <w:r>
        <w:rPr>
          <w:color w:val="000000"/>
          <w:spacing w:val="0"/>
          <w:w w:val="100"/>
          <w:position w:val="0"/>
        </w:rPr>
        <w:t>位非关联方股东，分别为上海腾希投资合伙企业（有限合伙） （</w:t>
      </w:r>
      <w:r>
        <w:rPr>
          <w:rFonts w:ascii="Times New Roman" w:eastAsia="Times New Roman" w:hAnsi="Times New Roman" w:cs="Times New Roman"/>
          <w:color w:val="000000"/>
          <w:spacing w:val="0"/>
          <w:w w:val="100"/>
          <w:position w:val="0"/>
        </w:rPr>
        <w:t>“</w:t>
      </w:r>
      <w:r>
        <w:rPr>
          <w:color w:val="000000"/>
          <w:spacing w:val="0"/>
          <w:w w:val="100"/>
          <w:position w:val="0"/>
        </w:rPr>
        <w:t>上海腾希</w:t>
      </w:r>
      <w:r>
        <w:rPr>
          <w:rFonts w:ascii="Times New Roman" w:eastAsia="Times New Roman" w:hAnsi="Times New Roman" w:cs="Times New Roman"/>
          <w:color w:val="000000"/>
          <w:spacing w:val="0"/>
          <w:w w:val="100"/>
          <w:position w:val="0"/>
        </w:rPr>
        <w:t>”</w:t>
      </w:r>
      <w:r>
        <w:rPr>
          <w:color w:val="000000"/>
          <w:spacing w:val="0"/>
          <w:w w:val="100"/>
          <w:position w:val="0"/>
        </w:rPr>
        <w:t>）、深圳市华弘资本管理有限公司（</w:t>
      </w:r>
      <w:r>
        <w:rPr>
          <w:rFonts w:ascii="Times New Roman" w:eastAsia="Times New Roman" w:hAnsi="Times New Roman" w:cs="Times New Roman"/>
          <w:color w:val="000000"/>
          <w:spacing w:val="0"/>
          <w:w w:val="100"/>
          <w:position w:val="0"/>
        </w:rPr>
        <w:t>“</w:t>
      </w:r>
      <w:r>
        <w:rPr>
          <w:color w:val="000000"/>
          <w:spacing w:val="0"/>
          <w:w w:val="100"/>
          <w:position w:val="0"/>
        </w:rPr>
        <w:t>华弘资本</w:t>
      </w:r>
      <w:r>
        <w:rPr>
          <w:rFonts w:ascii="Times New Roman" w:eastAsia="Times New Roman" w:hAnsi="Times New Roman" w:cs="Times New Roman"/>
          <w:color w:val="000000"/>
          <w:spacing w:val="0"/>
          <w:w w:val="100"/>
          <w:position w:val="0"/>
        </w:rPr>
        <w:t>”</w:t>
      </w:r>
      <w:r>
        <w:rPr>
          <w:color w:val="000000"/>
          <w:spacing w:val="0"/>
          <w:w w:val="100"/>
          <w:position w:val="0"/>
        </w:rPr>
        <w:t>）、中金佳成（天津）医疗投资中心（有限合伙）、深圳市南 海成长创赢投资合伙企业（有限合伙）（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南海成长</w:t>
      </w:r>
      <w:r>
        <w:rPr>
          <w:rFonts w:ascii="Times New Roman" w:eastAsia="Times New Roman" w:hAnsi="Times New Roman" w:cs="Times New Roman"/>
          <w:color w:val="000000"/>
          <w:spacing w:val="0"/>
          <w:w w:val="100"/>
          <w:position w:val="0"/>
        </w:rPr>
        <w:t>”</w:t>
      </w:r>
      <w:r>
        <w:rPr>
          <w:color w:val="000000"/>
          <w:spacing w:val="0"/>
          <w:w w:val="100"/>
          <w:position w:val="0"/>
        </w:rPr>
        <w:t>）、苏州软银天维创业投资合伙企业（有限合伙）、上海国和现代服务 业股权投资基金合伙企业（有限合伙）、上海景林景麒投资中心（有限合伙）（</w:t>
      </w:r>
      <w:r>
        <w:rPr>
          <w:rFonts w:ascii="Times New Roman" w:eastAsia="Times New Roman" w:hAnsi="Times New Roman" w:cs="Times New Roman"/>
          <w:color w:val="000000"/>
          <w:spacing w:val="0"/>
          <w:w w:val="100"/>
          <w:position w:val="0"/>
        </w:rPr>
        <w:t>“</w:t>
      </w:r>
      <w:r>
        <w:rPr>
          <w:color w:val="000000"/>
          <w:spacing w:val="0"/>
          <w:w w:val="100"/>
          <w:position w:val="0"/>
        </w:rPr>
        <w:t>上海景林</w:t>
      </w:r>
      <w:r>
        <w:rPr>
          <w:rFonts w:ascii="Times New Roman" w:eastAsia="Times New Roman" w:hAnsi="Times New Roman" w:cs="Times New Roman"/>
          <w:color w:val="000000"/>
          <w:spacing w:val="0"/>
          <w:w w:val="100"/>
          <w:position w:val="0"/>
        </w:rPr>
        <w:t>”</w:t>
      </w:r>
      <w:r>
        <w:rPr>
          <w:color w:val="000000"/>
          <w:spacing w:val="0"/>
          <w:w w:val="100"/>
          <w:position w:val="0"/>
        </w:rPr>
        <w:t>）、深圳市盛桥新领域投资合伙 企业（有限合伙）、北京荣之联科技股份有限公司、深圳市红土生物创业投资有限公司（</w:t>
      </w:r>
      <w:r>
        <w:rPr>
          <w:rFonts w:ascii="Times New Roman" w:eastAsia="Times New Roman" w:hAnsi="Times New Roman" w:cs="Times New Roman"/>
          <w:color w:val="000000"/>
          <w:spacing w:val="0"/>
          <w:w w:val="100"/>
          <w:position w:val="0"/>
        </w:rPr>
        <w:t>“</w:t>
      </w:r>
      <w:r>
        <w:rPr>
          <w:color w:val="000000"/>
          <w:spacing w:val="0"/>
          <w:w w:val="100"/>
          <w:position w:val="0"/>
        </w:rPr>
        <w:t>深圳红土</w:t>
      </w:r>
      <w:r>
        <w:rPr>
          <w:rFonts w:ascii="Times New Roman" w:eastAsia="Times New Roman" w:hAnsi="Times New Roman" w:cs="Times New Roman"/>
          <w:color w:val="000000"/>
          <w:spacing w:val="0"/>
          <w:w w:val="100"/>
          <w:position w:val="0"/>
        </w:rPr>
        <w:t>”</w:t>
      </w:r>
      <w:r>
        <w:rPr>
          <w:color w:val="000000"/>
          <w:spacing w:val="0"/>
          <w:w w:val="100"/>
          <w:position w:val="0"/>
        </w:rPr>
        <w:t>）、深圳市创新投资集 团有限公司、成都光控西部创业投资有限公司（“成都光控</w:t>
      </w:r>
      <w:r>
        <w:rPr>
          <w:rFonts w:ascii="Times New Roman" w:eastAsia="Times New Roman" w:hAnsi="Times New Roman" w:cs="Times New Roman"/>
          <w:color w:val="000000"/>
          <w:spacing w:val="0"/>
          <w:w w:val="100"/>
          <w:position w:val="0"/>
        </w:rPr>
        <w:t>”</w:t>
      </w:r>
      <w:r>
        <w:rPr>
          <w:color w:val="000000"/>
          <w:spacing w:val="0"/>
          <w:w w:val="100"/>
          <w:position w:val="0"/>
        </w:rPr>
        <w:t>）。上述少数股东持有本公司股权比例分别为：</w:t>
      </w:r>
      <w:r>
        <w:rPr>
          <w:rFonts w:ascii="Times New Roman" w:eastAsia="Times New Roman" w:hAnsi="Times New Roman" w:cs="Times New Roman"/>
          <w:color w:val="000000"/>
          <w:spacing w:val="0"/>
          <w:w w:val="100"/>
          <w:position w:val="0"/>
        </w:rPr>
        <w:t>0.1887%</w:t>
      </w:r>
      <w:r>
        <w:rPr>
          <w:color w:val="000000"/>
          <w:spacing w:val="0"/>
          <w:w w:val="100"/>
          <w:position w:val="0"/>
        </w:rPr>
        <w:t>、</w:t>
      </w:r>
      <w:r>
        <w:rPr>
          <w:rFonts w:ascii="Times New Roman" w:eastAsia="Times New Roman" w:hAnsi="Times New Roman" w:cs="Times New Roman"/>
          <w:color w:val="000000"/>
          <w:spacing w:val="0"/>
          <w:w w:val="100"/>
          <w:position w:val="0"/>
        </w:rPr>
        <w:t>0.4717%</w:t>
      </w:r>
      <w:r>
        <w:rPr>
          <w:color w:val="000000"/>
          <w:spacing w:val="0"/>
          <w:w w:val="100"/>
          <w:position w:val="0"/>
        </w:rPr>
        <w:t xml:space="preserve">、 </w:t>
      </w:r>
      <w:r>
        <w:rPr>
          <w:rFonts w:ascii="Times New Roman" w:eastAsia="Times New Roman" w:hAnsi="Times New Roman" w:cs="Times New Roman"/>
          <w:color w:val="000000"/>
          <w:spacing w:val="0"/>
          <w:w w:val="100"/>
          <w:position w:val="0"/>
        </w:rPr>
        <w:t>0.8491%</w:t>
      </w:r>
      <w:r>
        <w:rPr>
          <w:color w:val="000000"/>
          <w:spacing w:val="0"/>
          <w:w w:val="100"/>
          <w:position w:val="0"/>
        </w:rPr>
        <w:t>、</w:t>
      </w:r>
      <w:r>
        <w:rPr>
          <w:rFonts w:ascii="Times New Roman" w:eastAsia="Times New Roman" w:hAnsi="Times New Roman" w:cs="Times New Roman"/>
          <w:color w:val="000000"/>
          <w:spacing w:val="0"/>
          <w:w w:val="100"/>
          <w:position w:val="0"/>
        </w:rPr>
        <w:t>0.8491%</w:t>
      </w:r>
      <w:r>
        <w:rPr>
          <w:color w:val="000000"/>
          <w:spacing w:val="0"/>
          <w:w w:val="100"/>
          <w:position w:val="0"/>
        </w:rPr>
        <w:t>、</w:t>
      </w:r>
      <w:r>
        <w:rPr>
          <w:rFonts w:ascii="Times New Roman" w:eastAsia="Times New Roman" w:hAnsi="Times New Roman" w:cs="Times New Roman"/>
          <w:color w:val="000000"/>
          <w:spacing w:val="0"/>
          <w:w w:val="100"/>
          <w:position w:val="0"/>
        </w:rPr>
        <w:t>0.2209%</w:t>
      </w:r>
      <w:r>
        <w:rPr>
          <w:color w:val="000000"/>
          <w:spacing w:val="0"/>
          <w:w w:val="100"/>
          <w:position w:val="0"/>
        </w:rPr>
        <w:t>、</w:t>
      </w:r>
      <w:r>
        <w:rPr>
          <w:rFonts w:ascii="Times New Roman" w:eastAsia="Times New Roman" w:hAnsi="Times New Roman" w:cs="Times New Roman"/>
          <w:color w:val="000000"/>
          <w:spacing w:val="0"/>
          <w:w w:val="100"/>
          <w:position w:val="0"/>
        </w:rPr>
        <w:t>0.4969%</w:t>
      </w:r>
      <w:r>
        <w:rPr>
          <w:color w:val="000000"/>
          <w:spacing w:val="0"/>
          <w:w w:val="100"/>
          <w:position w:val="0"/>
        </w:rPr>
        <w:t>、</w:t>
      </w:r>
      <w:r>
        <w:rPr>
          <w:rFonts w:ascii="Times New Roman" w:eastAsia="Times New Roman" w:hAnsi="Times New Roman" w:cs="Times New Roman"/>
          <w:color w:val="000000"/>
          <w:spacing w:val="0"/>
          <w:w w:val="100"/>
          <w:position w:val="0"/>
        </w:rPr>
        <w:t>0.4969%</w:t>
      </w:r>
      <w:r>
        <w:rPr>
          <w:color w:val="000000"/>
          <w:spacing w:val="0"/>
          <w:w w:val="100"/>
          <w:position w:val="0"/>
        </w:rPr>
        <w:t>、</w:t>
      </w:r>
      <w:r>
        <w:rPr>
          <w:rFonts w:ascii="Times New Roman" w:eastAsia="Times New Roman" w:hAnsi="Times New Roman" w:cs="Times New Roman"/>
          <w:color w:val="000000"/>
          <w:spacing w:val="0"/>
          <w:w w:val="100"/>
          <w:position w:val="0"/>
        </w:rPr>
        <w:t>1.5760%</w:t>
      </w:r>
      <w:r>
        <w:rPr>
          <w:color w:val="000000"/>
          <w:spacing w:val="0"/>
          <w:w w:val="100"/>
          <w:position w:val="0"/>
        </w:rPr>
        <w:t>、</w:t>
      </w:r>
      <w:r>
        <w:rPr>
          <w:rFonts w:ascii="Times New Roman" w:eastAsia="Times New Roman" w:hAnsi="Times New Roman" w:cs="Times New Roman"/>
          <w:color w:val="000000"/>
          <w:spacing w:val="0"/>
          <w:w w:val="100"/>
          <w:position w:val="0"/>
        </w:rPr>
        <w:t>0.2128%</w:t>
      </w:r>
      <w:r>
        <w:rPr>
          <w:color w:val="000000"/>
          <w:spacing w:val="0"/>
          <w:w w:val="100"/>
          <w:position w:val="0"/>
        </w:rPr>
        <w:t>、</w:t>
      </w:r>
      <w:r>
        <w:rPr>
          <w:rFonts w:ascii="Times New Roman" w:eastAsia="Times New Roman" w:hAnsi="Times New Roman" w:cs="Times New Roman"/>
          <w:color w:val="000000"/>
          <w:spacing w:val="0"/>
          <w:w w:val="100"/>
          <w:position w:val="0"/>
        </w:rPr>
        <w:t>0.1104%</w:t>
      </w:r>
      <w:r>
        <w:rPr>
          <w:color w:val="000000"/>
          <w:spacing w:val="0"/>
          <w:w w:val="100"/>
          <w:position w:val="0"/>
        </w:rPr>
        <w:t>、</w:t>
      </w:r>
      <w:r>
        <w:rPr>
          <w:rFonts w:ascii="Times New Roman" w:eastAsia="Times New Roman" w:hAnsi="Times New Roman" w:cs="Times New Roman"/>
          <w:color w:val="000000"/>
          <w:spacing w:val="0"/>
          <w:w w:val="100"/>
          <w:position w:val="0"/>
        </w:rPr>
        <w:t>0.1104%</w:t>
      </w:r>
      <w:r>
        <w:rPr>
          <w:color w:val="000000"/>
          <w:spacing w:val="0"/>
          <w:w w:val="100"/>
          <w:position w:val="0"/>
        </w:rPr>
        <w:t>、</w:t>
      </w:r>
      <w:r>
        <w:rPr>
          <w:rFonts w:ascii="Times New Roman" w:eastAsia="Times New Roman" w:hAnsi="Times New Roman" w:cs="Times New Roman"/>
          <w:color w:val="000000"/>
          <w:spacing w:val="0"/>
          <w:w w:val="100"/>
          <w:position w:val="0"/>
        </w:rPr>
        <w:t>0.5521%</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日，根 据《股权转让协议》，经过双方协商确定的股权转让价格，成都光控将其持有的本公司</w:t>
      </w:r>
      <w:r>
        <w:rPr>
          <w:rFonts w:ascii="Times New Roman" w:eastAsia="Times New Roman" w:hAnsi="Times New Roman" w:cs="Times New Roman"/>
          <w:color w:val="000000"/>
          <w:spacing w:val="0"/>
          <w:w w:val="100"/>
          <w:position w:val="0"/>
        </w:rPr>
        <w:t>0.5521%</w:t>
      </w:r>
      <w:r>
        <w:rPr>
          <w:color w:val="000000"/>
          <w:spacing w:val="0"/>
          <w:w w:val="100"/>
          <w:position w:val="0"/>
        </w:rPr>
        <w:t>股权以</w:t>
      </w:r>
      <w:r>
        <w:rPr>
          <w:rFonts w:ascii="Times New Roman" w:eastAsia="Times New Roman" w:hAnsi="Times New Roman" w:cs="Times New Roman"/>
          <w:color w:val="000000"/>
          <w:spacing w:val="0"/>
          <w:w w:val="100"/>
          <w:position w:val="0"/>
        </w:rPr>
        <w:t>1</w:t>
      </w:r>
      <w:r>
        <w:rPr>
          <w:color w:val="000000"/>
          <w:spacing w:val="0"/>
          <w:w w:val="100"/>
          <w:position w:val="0"/>
        </w:rPr>
        <w:t>元的价格转让给华大 控股。成都光控自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日认缴出资额人民币</w:t>
      </w:r>
      <w:r>
        <w:rPr>
          <w:rFonts w:ascii="Times New Roman" w:eastAsia="Times New Roman" w:hAnsi="Times New Roman" w:cs="Times New Roman"/>
          <w:color w:val="000000"/>
          <w:spacing w:val="0"/>
          <w:w w:val="100"/>
          <w:position w:val="0"/>
        </w:rPr>
        <w:t>352,941</w:t>
      </w:r>
      <w:r>
        <w:rPr>
          <w:color w:val="000000"/>
          <w:spacing w:val="0"/>
          <w:w w:val="100"/>
          <w:position w:val="0"/>
        </w:rPr>
        <w:t>元至本次股权转让之日，未实缴出资额，故本次股权转让以象征 性的价格作为对价，成都光控的认缴出资额由华大控股实缴出资。上述股东合计对本公司投资人民币</w:t>
      </w:r>
      <w:r>
        <w:rPr>
          <w:rFonts w:ascii="Times New Roman" w:eastAsia="Times New Roman" w:hAnsi="Times New Roman" w:cs="Times New Roman"/>
          <w:color w:val="000000"/>
          <w:spacing w:val="0"/>
          <w:w w:val="100"/>
          <w:position w:val="0"/>
        </w:rPr>
        <w:t>5.5</w:t>
      </w:r>
      <w:r>
        <w:rPr>
          <w:color w:val="000000"/>
          <w:spacing w:val="0"/>
          <w:w w:val="100"/>
          <w:position w:val="0"/>
        </w:rPr>
        <w:t>亿元；另外，华大控 股新增对本公司投资人民币</w:t>
      </w:r>
      <w:r>
        <w:rPr>
          <w:rFonts w:ascii="Times New Roman" w:eastAsia="Times New Roman" w:hAnsi="Times New Roman" w:cs="Times New Roman"/>
          <w:color w:val="000000"/>
          <w:spacing w:val="0"/>
          <w:w w:val="100"/>
          <w:position w:val="0"/>
        </w:rPr>
        <w:t>5,000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0.4717%</w:t>
      </w:r>
      <w:r>
        <w:rPr>
          <w:color w:val="000000"/>
          <w:spacing w:val="0"/>
          <w:w w:val="100"/>
          <w:position w:val="0"/>
        </w:rPr>
        <w:t>，并于同年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日将该等</w:t>
      </w:r>
      <w:r>
        <w:rPr>
          <w:rFonts w:ascii="Times New Roman" w:eastAsia="Times New Roman" w:hAnsi="Times New Roman" w:cs="Times New Roman"/>
          <w:color w:val="000000"/>
          <w:spacing w:val="0"/>
          <w:w w:val="100"/>
          <w:position w:val="0"/>
        </w:rPr>
        <w:t>0.4717%</w:t>
      </w:r>
      <w:r>
        <w:rPr>
          <w:color w:val="000000"/>
          <w:spacing w:val="0"/>
          <w:w w:val="100"/>
          <w:position w:val="0"/>
        </w:rPr>
        <w:t>的股权作价人民币</w:t>
      </w:r>
      <w:r>
        <w:rPr>
          <w:rFonts w:ascii="Times New Roman" w:eastAsia="Times New Roman" w:hAnsi="Times New Roman" w:cs="Times New Roman"/>
          <w:color w:val="000000"/>
          <w:spacing w:val="0"/>
          <w:w w:val="100"/>
          <w:position w:val="0"/>
        </w:rPr>
        <w:t>5,000</w:t>
      </w:r>
      <w:r>
        <w:rPr>
          <w:color w:val="000000"/>
          <w:spacing w:val="0"/>
          <w:w w:val="100"/>
          <w:position w:val="0"/>
        </w:rPr>
        <w:t>万元 转让予上海腾希及华弘资本，合计新增对本公司投资人民币</w:t>
      </w:r>
      <w:r>
        <w:rPr>
          <w:rFonts w:ascii="Times New Roman" w:eastAsia="Times New Roman" w:hAnsi="Times New Roman" w:cs="Times New Roman"/>
          <w:color w:val="000000"/>
          <w:spacing w:val="0"/>
          <w:w w:val="100"/>
          <w:position w:val="0"/>
        </w:rPr>
        <w:t>6</w:t>
      </w:r>
      <w:r>
        <w:rPr>
          <w:color w:val="000000"/>
          <w:spacing w:val="0"/>
          <w:w w:val="100"/>
          <w:position w:val="0"/>
        </w:rPr>
        <w:t>亿元。本公司注册资本由人民币</w:t>
      </w:r>
      <w:r>
        <w:rPr>
          <w:rFonts w:ascii="Times New Roman" w:eastAsia="Times New Roman" w:hAnsi="Times New Roman" w:cs="Times New Roman"/>
          <w:color w:val="000000"/>
          <w:spacing w:val="0"/>
          <w:w w:val="100"/>
          <w:position w:val="0"/>
        </w:rPr>
        <w:t>6,000</w:t>
      </w:r>
      <w:r>
        <w:rPr>
          <w:color w:val="000000"/>
          <w:spacing w:val="0"/>
          <w:w w:val="100"/>
          <w:position w:val="0"/>
        </w:rPr>
        <w:t xml:space="preserve">万元增加到人民币 </w:t>
      </w:r>
      <w:r>
        <w:rPr>
          <w:rFonts w:ascii="Times New Roman" w:eastAsia="Times New Roman" w:hAnsi="Times New Roman" w:cs="Times New Roman"/>
          <w:color w:val="000000"/>
          <w:spacing w:val="0"/>
          <w:w w:val="100"/>
          <w:position w:val="0"/>
        </w:rPr>
        <w:t>6,392.1607</w:t>
      </w:r>
      <w:r>
        <w:rPr>
          <w:color w:val="000000"/>
          <w:spacing w:val="0"/>
          <w:w w:val="100"/>
          <w:position w:val="0"/>
        </w:rPr>
        <w:t>万元，资本公积增加人民币</w:t>
      </w:r>
      <w:r>
        <w:rPr>
          <w:rFonts w:ascii="Times New Roman" w:eastAsia="Times New Roman" w:hAnsi="Times New Roman" w:cs="Times New Roman"/>
          <w:color w:val="000000"/>
          <w:spacing w:val="0"/>
          <w:w w:val="100"/>
          <w:position w:val="0"/>
        </w:rPr>
        <w:t>59,607.8393</w:t>
      </w:r>
      <w:r>
        <w:rPr>
          <w:color w:val="000000"/>
          <w:spacing w:val="0"/>
          <w:w w:val="100"/>
          <w:position w:val="0"/>
        </w:rPr>
        <w:t>万元。</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日，本公司股东大会决议通过，华大控股将其持有的本公司</w:t>
      </w:r>
      <w:r>
        <w:rPr>
          <w:rFonts w:ascii="Times New Roman" w:eastAsia="Times New Roman" w:hAnsi="Times New Roman" w:cs="Times New Roman"/>
          <w:color w:val="000000"/>
          <w:spacing w:val="0"/>
          <w:w w:val="100"/>
          <w:position w:val="0"/>
        </w:rPr>
        <w:t>13.2076%</w:t>
      </w:r>
      <w:r>
        <w:rPr>
          <w:color w:val="000000"/>
          <w:spacing w:val="0"/>
          <w:w w:val="100"/>
          <w:position w:val="0"/>
        </w:rPr>
        <w:t>股份作价人民币</w:t>
      </w:r>
      <w:r>
        <w:rPr>
          <w:rFonts w:ascii="Times New Roman" w:eastAsia="Times New Roman" w:hAnsi="Times New Roman" w:cs="Times New Roman"/>
          <w:color w:val="000000"/>
          <w:spacing w:val="0"/>
          <w:w w:val="100"/>
          <w:position w:val="0"/>
        </w:rPr>
        <w:t>14</w:t>
      </w:r>
      <w:r>
        <w:rPr>
          <w:color w:val="000000"/>
          <w:spacing w:val="0"/>
          <w:w w:val="100"/>
          <w:position w:val="0"/>
        </w:rPr>
        <w:t xml:space="preserve">亿元，转让给另外 </w:t>
      </w:r>
      <w:r>
        <w:rPr>
          <w:rFonts w:ascii="Times New Roman" w:eastAsia="Times New Roman" w:hAnsi="Times New Roman" w:cs="Times New Roman"/>
          <w:color w:val="000000"/>
          <w:spacing w:val="0"/>
          <w:w w:val="100"/>
          <w:position w:val="0"/>
        </w:rPr>
        <w:t>10</w:t>
      </w:r>
      <w:r>
        <w:rPr>
          <w:color w:val="000000"/>
          <w:spacing w:val="0"/>
          <w:w w:val="100"/>
          <w:position w:val="0"/>
        </w:rPr>
        <w:t>个非关联方股东，分别为深圳市创新投资集团有限公司、深圳红土、上海腾希、苏州松禾成长二号创业投资中心（有限合 伙）、北京国投协力华大股权投资中心（有限合伙）、青岛金石灏汭投资有限公司、深圳乐华源城投资有限公司、深圳市金 翼汇顺健康产业投资合伙企业（有限合伙）、深圳国华腾飞创新投资基金企业（有限合伙）、深圳市有孚创业投资企业（有 限合伙），转让的股份比例分别为</w:t>
      </w:r>
      <w:r>
        <w:rPr>
          <w:rFonts w:ascii="Times New Roman" w:eastAsia="Times New Roman" w:hAnsi="Times New Roman" w:cs="Times New Roman"/>
          <w:color w:val="000000"/>
          <w:spacing w:val="0"/>
          <w:w w:val="100"/>
          <w:position w:val="0"/>
        </w:rPr>
        <w:t>0.3774%</w:t>
      </w:r>
      <w:r>
        <w:rPr>
          <w:color w:val="000000"/>
          <w:spacing w:val="0"/>
          <w:w w:val="100"/>
          <w:position w:val="0"/>
        </w:rPr>
        <w:t>、</w:t>
      </w:r>
      <w:r>
        <w:rPr>
          <w:rFonts w:ascii="Times New Roman" w:eastAsia="Times New Roman" w:hAnsi="Times New Roman" w:cs="Times New Roman"/>
          <w:color w:val="000000"/>
          <w:spacing w:val="0"/>
          <w:w w:val="100"/>
          <w:position w:val="0"/>
        </w:rPr>
        <w:t>0.3774%</w:t>
      </w:r>
      <w:r>
        <w:rPr>
          <w:color w:val="000000"/>
          <w:spacing w:val="0"/>
          <w:w w:val="100"/>
          <w:position w:val="0"/>
        </w:rPr>
        <w:t>、</w:t>
      </w:r>
      <w:r>
        <w:rPr>
          <w:rFonts w:ascii="Times New Roman" w:eastAsia="Times New Roman" w:hAnsi="Times New Roman" w:cs="Times New Roman"/>
          <w:color w:val="000000"/>
          <w:spacing w:val="0"/>
          <w:w w:val="100"/>
          <w:position w:val="0"/>
        </w:rPr>
        <w:t>0.3774%</w:t>
      </w:r>
      <w:r>
        <w:rPr>
          <w:color w:val="000000"/>
          <w:spacing w:val="0"/>
          <w:w w:val="100"/>
          <w:position w:val="0"/>
        </w:rPr>
        <w:t>、</w:t>
      </w:r>
      <w:r>
        <w:rPr>
          <w:rFonts w:ascii="Times New Roman" w:eastAsia="Times New Roman" w:hAnsi="Times New Roman" w:cs="Times New Roman"/>
          <w:color w:val="000000"/>
          <w:spacing w:val="0"/>
          <w:w w:val="100"/>
          <w:position w:val="0"/>
        </w:rPr>
        <w:t>0.9434%</w:t>
      </w:r>
      <w:r>
        <w:rPr>
          <w:color w:val="000000"/>
          <w:spacing w:val="0"/>
          <w:w w:val="100"/>
          <w:position w:val="0"/>
        </w:rPr>
        <w:t>、</w:t>
      </w:r>
      <w:r>
        <w:rPr>
          <w:rFonts w:ascii="Times New Roman" w:eastAsia="Times New Roman" w:hAnsi="Times New Roman" w:cs="Times New Roman"/>
          <w:color w:val="000000"/>
          <w:spacing w:val="0"/>
          <w:w w:val="100"/>
          <w:position w:val="0"/>
        </w:rPr>
        <w:t>1.6981%</w:t>
      </w:r>
      <w:r>
        <w:rPr>
          <w:color w:val="000000"/>
          <w:spacing w:val="0"/>
          <w:w w:val="100"/>
          <w:position w:val="0"/>
        </w:rPr>
        <w:t>、</w:t>
      </w:r>
      <w:r>
        <w:rPr>
          <w:rFonts w:ascii="Times New Roman" w:eastAsia="Times New Roman" w:hAnsi="Times New Roman" w:cs="Times New Roman"/>
          <w:color w:val="000000"/>
          <w:spacing w:val="0"/>
          <w:w w:val="100"/>
          <w:position w:val="0"/>
        </w:rPr>
        <w:t>1.8868%</w:t>
      </w:r>
      <w:r>
        <w:rPr>
          <w:color w:val="000000"/>
          <w:spacing w:val="0"/>
          <w:w w:val="100"/>
          <w:position w:val="0"/>
        </w:rPr>
        <w:t>、</w:t>
      </w:r>
      <w:r>
        <w:rPr>
          <w:rFonts w:ascii="Times New Roman" w:eastAsia="Times New Roman" w:hAnsi="Times New Roman" w:cs="Times New Roman"/>
          <w:color w:val="000000"/>
          <w:spacing w:val="0"/>
          <w:w w:val="100"/>
          <w:position w:val="0"/>
        </w:rPr>
        <w:t>1.8868%</w:t>
      </w:r>
      <w:r>
        <w:rPr>
          <w:color w:val="000000"/>
          <w:spacing w:val="0"/>
          <w:w w:val="100"/>
          <w:position w:val="0"/>
        </w:rPr>
        <w:t>、</w:t>
      </w:r>
      <w:r>
        <w:rPr>
          <w:rFonts w:ascii="Times New Roman" w:eastAsia="Times New Roman" w:hAnsi="Times New Roman" w:cs="Times New Roman"/>
          <w:color w:val="000000"/>
          <w:spacing w:val="0"/>
          <w:w w:val="100"/>
          <w:position w:val="0"/>
        </w:rPr>
        <w:t>1.8868%</w:t>
      </w:r>
      <w:r>
        <w:rPr>
          <w:color w:val="000000"/>
          <w:spacing w:val="0"/>
          <w:w w:val="100"/>
          <w:position w:val="0"/>
        </w:rPr>
        <w:t>、</w:t>
      </w:r>
      <w:r>
        <w:rPr>
          <w:rFonts w:ascii="Times New Roman" w:eastAsia="Times New Roman" w:hAnsi="Times New Roman" w:cs="Times New Roman"/>
          <w:color w:val="000000"/>
          <w:spacing w:val="0"/>
          <w:w w:val="100"/>
          <w:position w:val="0"/>
        </w:rPr>
        <w:t>1.8868%</w:t>
      </w:r>
      <w:r>
        <w:rPr>
          <w:color w:val="000000"/>
          <w:spacing w:val="0"/>
          <w:w w:val="100"/>
          <w:position w:val="0"/>
        </w:rPr>
        <w:t xml:space="preserve">、 </w:t>
      </w:r>
      <w:r>
        <w:rPr>
          <w:rFonts w:ascii="Times New Roman" w:eastAsia="Times New Roman" w:hAnsi="Times New Roman" w:cs="Times New Roman"/>
          <w:color w:val="000000"/>
          <w:spacing w:val="0"/>
          <w:w w:val="100"/>
          <w:position w:val="0"/>
        </w:rPr>
        <w:t>1.8868%</w:t>
      </w:r>
      <w:r>
        <w:rPr>
          <w:color w:val="000000"/>
          <w:spacing w:val="0"/>
          <w:w w:val="100"/>
          <w:position w:val="0"/>
        </w:rPr>
        <w:t>。</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日，根据签订的《关于深圳华大基因医学有限公司之股权转让协议》，经各方协商确定的股权转让价格， 华大控股将其持有本公司</w:t>
      </w:r>
      <w:r>
        <w:rPr>
          <w:rFonts w:ascii="Times New Roman" w:eastAsia="Times New Roman" w:hAnsi="Times New Roman" w:cs="Times New Roman"/>
          <w:color w:val="000000"/>
          <w:spacing w:val="0"/>
          <w:w w:val="100"/>
          <w:position w:val="0"/>
        </w:rPr>
        <w:t>0.1887%</w:t>
      </w:r>
      <w:r>
        <w:rPr>
          <w:color w:val="000000"/>
          <w:spacing w:val="0"/>
          <w:w w:val="100"/>
          <w:position w:val="0"/>
        </w:rPr>
        <w:t>的股权以人民币</w:t>
      </w:r>
      <w:r>
        <w:rPr>
          <w:rFonts w:ascii="Times New Roman" w:eastAsia="Times New Roman" w:hAnsi="Times New Roman" w:cs="Times New Roman"/>
          <w:color w:val="000000"/>
          <w:spacing w:val="0"/>
          <w:w w:val="100"/>
          <w:position w:val="0"/>
        </w:rPr>
        <w:t>2,000</w:t>
      </w:r>
      <w:r>
        <w:rPr>
          <w:color w:val="000000"/>
          <w:spacing w:val="0"/>
          <w:w w:val="100"/>
          <w:position w:val="0"/>
        </w:rPr>
        <w:t>万元的价格转让给上海腾希、将其持有的本公司</w:t>
      </w:r>
      <w:r>
        <w:rPr>
          <w:rFonts w:ascii="Times New Roman" w:eastAsia="Times New Roman" w:hAnsi="Times New Roman" w:cs="Times New Roman"/>
          <w:color w:val="000000"/>
          <w:spacing w:val="0"/>
          <w:w w:val="100"/>
          <w:position w:val="0"/>
        </w:rPr>
        <w:t>0.2830%</w:t>
      </w:r>
      <w:r>
        <w:rPr>
          <w:color w:val="000000"/>
          <w:spacing w:val="0"/>
          <w:w w:val="100"/>
          <w:position w:val="0"/>
        </w:rPr>
        <w:t>的股权以人 民币</w:t>
      </w:r>
      <w:r>
        <w:rPr>
          <w:rFonts w:ascii="Times New Roman" w:eastAsia="Times New Roman" w:hAnsi="Times New Roman" w:cs="Times New Roman"/>
          <w:color w:val="000000"/>
          <w:spacing w:val="0"/>
          <w:w w:val="100"/>
          <w:position w:val="0"/>
        </w:rPr>
        <w:t>3,000</w:t>
      </w:r>
      <w:r>
        <w:rPr>
          <w:color w:val="000000"/>
          <w:spacing w:val="0"/>
          <w:w w:val="100"/>
          <w:position w:val="0"/>
        </w:rPr>
        <w:t>万元的价格转让给华弘资本。该股权转让完成后，华大控股持有本公司的股份下降为</w:t>
      </w:r>
      <w:r>
        <w:rPr>
          <w:rFonts w:ascii="Times New Roman" w:eastAsia="Times New Roman" w:hAnsi="Times New Roman" w:cs="Times New Roman"/>
          <w:color w:val="000000"/>
          <w:spacing w:val="0"/>
          <w:w w:val="100"/>
          <w:position w:val="0"/>
        </w:rPr>
        <w:t>50.7010%</w:t>
      </w:r>
      <w:r>
        <w:rPr>
          <w:color w:val="000000"/>
          <w:spacing w:val="0"/>
          <w:w w:val="100"/>
          <w:position w:val="0"/>
        </w:rPr>
        <w:t>。</w:t>
      </w:r>
    </w:p>
    <w:p>
      <w:pPr>
        <w:pStyle w:val="Style17"/>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日，公司股东会会议作出决议，同意华大控股以人民币</w:t>
      </w:r>
      <w:r>
        <w:rPr>
          <w:rFonts w:ascii="Times New Roman" w:eastAsia="Times New Roman" w:hAnsi="Times New Roman" w:cs="Times New Roman"/>
          <w:color w:val="000000"/>
          <w:spacing w:val="0"/>
          <w:w w:val="100"/>
          <w:position w:val="0"/>
        </w:rPr>
        <w:t>70,603,738.65</w:t>
      </w:r>
      <w:r>
        <w:rPr>
          <w:color w:val="000000"/>
          <w:spacing w:val="0"/>
          <w:w w:val="100"/>
          <w:position w:val="0"/>
        </w:rPr>
        <w:t xml:space="preserve">元向本公司进行现金增资，将本公司 </w:t>
      </w:r>
      <w:r>
        <w:rPr>
          <w:color w:val="000000"/>
          <w:spacing w:val="0"/>
          <w:w w:val="100"/>
          <w:position w:val="0"/>
        </w:rPr>
        <w:t>注册资本由人民币</w:t>
      </w:r>
      <w:r>
        <w:rPr>
          <w:rFonts w:ascii="Times New Roman" w:eastAsia="Times New Roman" w:hAnsi="Times New Roman" w:cs="Times New Roman"/>
          <w:color w:val="000000"/>
          <w:spacing w:val="0"/>
          <w:w w:val="100"/>
          <w:position w:val="0"/>
        </w:rPr>
        <w:t>6,392.1607</w:t>
      </w:r>
      <w:r>
        <w:rPr>
          <w:color w:val="000000"/>
          <w:spacing w:val="0"/>
          <w:w w:val="100"/>
          <w:position w:val="0"/>
        </w:rPr>
        <w:t>万元增加至人民币</w:t>
      </w:r>
      <w:r>
        <w:rPr>
          <w:rFonts w:ascii="Times New Roman" w:eastAsia="Times New Roman" w:hAnsi="Times New Roman" w:cs="Times New Roman"/>
          <w:color w:val="000000"/>
          <w:spacing w:val="0"/>
          <w:w w:val="100"/>
          <w:position w:val="0"/>
        </w:rPr>
        <w:t>6,995.1947</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日，公司股东会会议作出决议，同意华大控股、 华大三生园以其持有的深圳华大基因科技服务有限公司（</w:t>
      </w:r>
      <w:r>
        <w:rPr>
          <w:rFonts w:ascii="Times New Roman" w:eastAsia="Times New Roman" w:hAnsi="Times New Roman" w:cs="Times New Roman"/>
          <w:color w:val="000000"/>
          <w:spacing w:val="0"/>
          <w:w w:val="100"/>
          <w:position w:val="0"/>
        </w:rPr>
        <w:t>“</w:t>
      </w:r>
      <w:r>
        <w:rPr>
          <w:color w:val="000000"/>
          <w:spacing w:val="0"/>
          <w:w w:val="100"/>
          <w:position w:val="0"/>
        </w:rPr>
        <w:t>华大科技</w:t>
      </w:r>
      <w:r>
        <w:rPr>
          <w:rFonts w:ascii="Times New Roman" w:eastAsia="Times New Roman" w:hAnsi="Times New Roman" w:cs="Times New Roman"/>
          <w:color w:val="000000"/>
          <w:spacing w:val="0"/>
          <w:w w:val="100"/>
          <w:position w:val="0"/>
        </w:rPr>
        <w:t>”</w:t>
      </w:r>
      <w:r>
        <w:rPr>
          <w:color w:val="000000"/>
          <w:spacing w:val="0"/>
          <w:w w:val="100"/>
          <w:position w:val="0"/>
        </w:rPr>
        <w:t>）共计</w:t>
      </w:r>
      <w:r>
        <w:rPr>
          <w:rFonts w:ascii="Times New Roman" w:eastAsia="Times New Roman" w:hAnsi="Times New Roman" w:cs="Times New Roman"/>
          <w:color w:val="000000"/>
          <w:spacing w:val="0"/>
          <w:w w:val="100"/>
          <w:position w:val="0"/>
        </w:rPr>
        <w:t>57.6225%</w:t>
      </w:r>
      <w:r>
        <w:rPr>
          <w:color w:val="000000"/>
          <w:spacing w:val="0"/>
          <w:w w:val="100"/>
          <w:position w:val="0"/>
        </w:rPr>
        <w:t>的股权对本公司进行增资，将本公司注 册资本由人民币</w:t>
      </w:r>
      <w:r>
        <w:rPr>
          <w:rFonts w:ascii="Times New Roman" w:eastAsia="Times New Roman" w:hAnsi="Times New Roman" w:cs="Times New Roman"/>
          <w:color w:val="000000"/>
          <w:spacing w:val="0"/>
          <w:w w:val="100"/>
          <w:position w:val="0"/>
        </w:rPr>
        <w:t>6,995.1947</w:t>
      </w:r>
      <w:r>
        <w:rPr>
          <w:color w:val="000000"/>
          <w:spacing w:val="0"/>
          <w:w w:val="100"/>
          <w:position w:val="0"/>
        </w:rPr>
        <w:t>万元增加至人民币</w:t>
      </w:r>
      <w:r>
        <w:rPr>
          <w:rFonts w:ascii="Times New Roman" w:eastAsia="Times New Roman" w:hAnsi="Times New Roman" w:cs="Times New Roman"/>
          <w:color w:val="000000"/>
          <w:spacing w:val="0"/>
          <w:w w:val="100"/>
          <w:position w:val="0"/>
        </w:rPr>
        <w:t>8,585.8836</w:t>
      </w:r>
      <w:r>
        <w:rPr>
          <w:color w:val="000000"/>
          <w:spacing w:val="0"/>
          <w:w w:val="100"/>
          <w:position w:val="0"/>
        </w:rPr>
        <w:t>万元。至此，华大控股和华大三生园分别持有本公司</w:t>
      </w:r>
      <w:r>
        <w:rPr>
          <w:rFonts w:ascii="Times New Roman" w:eastAsia="Times New Roman" w:hAnsi="Times New Roman" w:cs="Times New Roman"/>
          <w:color w:val="000000"/>
          <w:spacing w:val="0"/>
          <w:w w:val="100"/>
          <w:position w:val="0"/>
        </w:rPr>
        <w:t>61.9818%</w:t>
      </w:r>
      <w:r>
        <w:rPr>
          <w:color w:val="000000"/>
          <w:spacing w:val="0"/>
          <w:w w:val="100"/>
          <w:position w:val="0"/>
        </w:rPr>
        <w:t xml:space="preserve">和 </w:t>
      </w:r>
      <w:r>
        <w:rPr>
          <w:rFonts w:ascii="Times New Roman" w:eastAsia="Times New Roman" w:hAnsi="Times New Roman" w:cs="Times New Roman"/>
          <w:color w:val="000000"/>
          <w:spacing w:val="0"/>
          <w:w w:val="100"/>
          <w:position w:val="0"/>
        </w:rPr>
        <w:t>1.3153%</w:t>
      </w:r>
      <w:r>
        <w:rPr>
          <w:color w:val="000000"/>
          <w:spacing w:val="0"/>
          <w:w w:val="100"/>
          <w:position w:val="0"/>
        </w:rPr>
        <w:t>的股份。</w:t>
      </w:r>
    </w:p>
    <w:p>
      <w:pPr>
        <w:pStyle w:val="Style1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日，根据签订的《关于深圳华大基因医学有限公司之股权转让协议》，经各方协商确定的股权转让价格， 上海景林将其所持的</w:t>
      </w:r>
      <w:r>
        <w:rPr>
          <w:rFonts w:ascii="Times New Roman" w:eastAsia="Times New Roman" w:hAnsi="Times New Roman" w:cs="Times New Roman"/>
          <w:color w:val="000000"/>
          <w:spacing w:val="0"/>
          <w:w w:val="100"/>
          <w:position w:val="0"/>
        </w:rPr>
        <w:t>0.2056%</w:t>
      </w:r>
      <w:r>
        <w:rPr>
          <w:color w:val="000000"/>
          <w:spacing w:val="0"/>
          <w:w w:val="100"/>
          <w:position w:val="0"/>
        </w:rPr>
        <w:t>股权作价人民币</w:t>
      </w:r>
      <w:r>
        <w:rPr>
          <w:rFonts w:ascii="Times New Roman" w:eastAsia="Times New Roman" w:hAnsi="Times New Roman" w:cs="Times New Roman"/>
          <w:color w:val="000000"/>
          <w:spacing w:val="0"/>
          <w:w w:val="100"/>
          <w:position w:val="0"/>
        </w:rPr>
        <w:t>2,628.0822</w:t>
      </w:r>
      <w:r>
        <w:rPr>
          <w:color w:val="000000"/>
          <w:spacing w:val="0"/>
          <w:w w:val="100"/>
          <w:position w:val="0"/>
        </w:rPr>
        <w:t>万元的价格转让给南海成长、将其所持的</w:t>
      </w:r>
      <w:r>
        <w:rPr>
          <w:rFonts w:ascii="Times New Roman" w:eastAsia="Times New Roman" w:hAnsi="Times New Roman" w:cs="Times New Roman"/>
          <w:color w:val="000000"/>
          <w:spacing w:val="0"/>
          <w:w w:val="100"/>
          <w:position w:val="0"/>
        </w:rPr>
        <w:t>0.1644%</w:t>
      </w:r>
      <w:r>
        <w:rPr>
          <w:color w:val="000000"/>
          <w:spacing w:val="0"/>
          <w:w w:val="100"/>
          <w:position w:val="0"/>
        </w:rPr>
        <w:t xml:space="preserve">股权作价人民币 </w:t>
      </w:r>
      <w:r>
        <w:rPr>
          <w:rFonts w:ascii="Times New Roman" w:eastAsia="Times New Roman" w:hAnsi="Times New Roman" w:cs="Times New Roman"/>
          <w:color w:val="000000"/>
          <w:spacing w:val="0"/>
          <w:w w:val="100"/>
          <w:position w:val="0"/>
        </w:rPr>
        <w:t>2,102.4658</w:t>
      </w:r>
      <w:r>
        <w:rPr>
          <w:color w:val="000000"/>
          <w:spacing w:val="0"/>
          <w:w w:val="100"/>
          <w:position w:val="0"/>
        </w:rPr>
        <w:t>万元的价格转让给华弘资本。</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日的董事会决议，本公司与华大控股、深圳和玉高林股权投资合伙企业（有限合伙）（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和玉高林</w:t>
      </w:r>
      <w:r>
        <w:rPr>
          <w:rFonts w:ascii="Times New Roman" w:eastAsia="Times New Roman" w:hAnsi="Times New Roman" w:cs="Times New Roman"/>
          <w:color w:val="000000"/>
          <w:spacing w:val="0"/>
          <w:w w:val="100"/>
          <w:position w:val="0"/>
        </w:rPr>
        <w:t>”</w:t>
      </w:r>
      <w:r>
        <w:rPr>
          <w:color w:val="000000"/>
          <w:spacing w:val="0"/>
          <w:w w:val="100"/>
          <w:position w:val="0"/>
        </w:rPr>
        <w:t>） 签订投资协议，和玉高林对本公司投资人民币</w:t>
      </w:r>
      <w:r>
        <w:rPr>
          <w:rFonts w:ascii="Times New Roman" w:eastAsia="Times New Roman" w:hAnsi="Times New Roman" w:cs="Times New Roman"/>
          <w:color w:val="000000"/>
          <w:spacing w:val="0"/>
          <w:w w:val="100"/>
          <w:position w:val="0"/>
        </w:rPr>
        <w:t>15</w:t>
      </w:r>
      <w:r>
        <w:rPr>
          <w:color w:val="000000"/>
          <w:spacing w:val="0"/>
          <w:w w:val="100"/>
          <w:position w:val="0"/>
        </w:rPr>
        <w:t>亿元，将公司注册资本由人民币</w:t>
      </w:r>
      <w:r>
        <w:rPr>
          <w:rFonts w:ascii="Times New Roman" w:eastAsia="Times New Roman" w:hAnsi="Times New Roman" w:cs="Times New Roman"/>
          <w:color w:val="000000"/>
          <w:spacing w:val="0"/>
          <w:w w:val="100"/>
          <w:position w:val="0"/>
        </w:rPr>
        <w:t>8,585.8836</w:t>
      </w:r>
      <w:r>
        <w:rPr>
          <w:color w:val="000000"/>
          <w:spacing w:val="0"/>
          <w:w w:val="100"/>
          <w:position w:val="0"/>
        </w:rPr>
        <w:t>万元增加至人民币</w:t>
      </w:r>
      <w:r>
        <w:rPr>
          <w:rFonts w:ascii="Times New Roman" w:eastAsia="Times New Roman" w:hAnsi="Times New Roman" w:cs="Times New Roman"/>
          <w:color w:val="000000"/>
          <w:spacing w:val="0"/>
          <w:w w:val="100"/>
          <w:position w:val="0"/>
        </w:rPr>
        <w:t>9,353.8864</w:t>
      </w:r>
      <w:r>
        <w:rPr>
          <w:color w:val="000000"/>
          <w:spacing w:val="0"/>
          <w:w w:val="100"/>
          <w:position w:val="0"/>
        </w:rPr>
        <w:t>万元， 持有本公司</w:t>
      </w:r>
      <w:r>
        <w:rPr>
          <w:rFonts w:ascii="Times New Roman" w:eastAsia="Times New Roman" w:hAnsi="Times New Roman" w:cs="Times New Roman"/>
          <w:color w:val="000000"/>
          <w:spacing w:val="0"/>
          <w:w w:val="100"/>
          <w:position w:val="0"/>
        </w:rPr>
        <w:t>8.2105%</w:t>
      </w:r>
      <w:r>
        <w:rPr>
          <w:color w:val="000000"/>
          <w:spacing w:val="0"/>
          <w:w w:val="100"/>
          <w:position w:val="0"/>
        </w:rPr>
        <w:t>股份。至此，华大控股持有本公司的股权被稀释为</w:t>
      </w:r>
      <w:r>
        <w:rPr>
          <w:rFonts w:ascii="Times New Roman" w:eastAsia="Times New Roman" w:hAnsi="Times New Roman" w:cs="Times New Roman"/>
          <w:color w:val="000000"/>
          <w:spacing w:val="0"/>
          <w:w w:val="100"/>
          <w:position w:val="0"/>
        </w:rPr>
        <w:t>56.8928%</w:t>
      </w:r>
      <w:r>
        <w:rPr>
          <w:color w:val="000000"/>
          <w:spacing w:val="0"/>
          <w:w w:val="100"/>
          <w:position w:val="0"/>
        </w:rPr>
        <w:t>。</w:t>
      </w:r>
    </w:p>
    <w:p>
      <w:pPr>
        <w:pStyle w:val="Style1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日，根据签订的《关于深圳华大基因医学有限公司之股权转让协议》，经双方协商确定的股权转让价格， 华大控股将其所持的</w:t>
      </w:r>
      <w:r>
        <w:rPr>
          <w:rFonts w:ascii="Times New Roman" w:eastAsia="Times New Roman" w:hAnsi="Times New Roman" w:cs="Times New Roman"/>
          <w:color w:val="000000"/>
          <w:spacing w:val="0"/>
          <w:w w:val="100"/>
          <w:position w:val="0"/>
        </w:rPr>
        <w:t>2.7368%</w:t>
      </w:r>
      <w:r>
        <w:rPr>
          <w:color w:val="000000"/>
          <w:spacing w:val="0"/>
          <w:w w:val="100"/>
          <w:position w:val="0"/>
        </w:rPr>
        <w:t>股权以人民币</w:t>
      </w:r>
      <w:r>
        <w:rPr>
          <w:rFonts w:ascii="Times New Roman" w:eastAsia="Times New Roman" w:hAnsi="Times New Roman" w:cs="Times New Roman"/>
          <w:color w:val="000000"/>
          <w:spacing w:val="0"/>
          <w:w w:val="100"/>
          <w:position w:val="0"/>
        </w:rPr>
        <w:t>50,000</w:t>
      </w:r>
      <w:r>
        <w:rPr>
          <w:color w:val="000000"/>
          <w:spacing w:val="0"/>
          <w:w w:val="100"/>
          <w:position w:val="0"/>
        </w:rPr>
        <w:t>万元的价格转让给和玉高林。</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日的董事会决议，根据相关股权转让协议，华大控股向</w:t>
      </w:r>
      <w:r>
        <w:rPr>
          <w:rFonts w:ascii="Times New Roman" w:eastAsia="Times New Roman" w:hAnsi="Times New Roman" w:cs="Times New Roman"/>
          <w:color w:val="000000"/>
          <w:spacing w:val="0"/>
          <w:w w:val="100"/>
          <w:position w:val="0"/>
        </w:rPr>
        <w:t>7</w:t>
      </w:r>
      <w:r>
        <w:rPr>
          <w:color w:val="000000"/>
          <w:spacing w:val="0"/>
          <w:w w:val="100"/>
          <w:position w:val="0"/>
        </w:rPr>
        <w:t>个投资者转让本公司</w:t>
      </w:r>
      <w:r>
        <w:rPr>
          <w:rFonts w:ascii="Times New Roman" w:eastAsia="Times New Roman" w:hAnsi="Times New Roman" w:cs="Times New Roman"/>
          <w:color w:val="000000"/>
          <w:spacing w:val="0"/>
          <w:w w:val="100"/>
          <w:position w:val="0"/>
        </w:rPr>
        <w:t xml:space="preserve">8.2104% </w:t>
      </w:r>
      <w:r>
        <w:rPr>
          <w:color w:val="000000"/>
          <w:spacing w:val="0"/>
          <w:w w:val="100"/>
          <w:position w:val="0"/>
        </w:rPr>
        <w:t>的股权，</w:t>
      </w:r>
      <w:r>
        <w:rPr>
          <w:rFonts w:ascii="Times New Roman" w:eastAsia="Times New Roman" w:hAnsi="Times New Roman" w:cs="Times New Roman"/>
          <w:color w:val="000000"/>
          <w:spacing w:val="0"/>
          <w:w w:val="100"/>
          <w:position w:val="0"/>
        </w:rPr>
        <w:t>7</w:t>
      </w:r>
      <w:r>
        <w:rPr>
          <w:color w:val="000000"/>
          <w:spacing w:val="0"/>
          <w:w w:val="100"/>
          <w:position w:val="0"/>
        </w:rPr>
        <w:t>个外部投资者中金佳成（天津）医疗投资中心（有限合伙）、北京丰悦泰和股权投资合伙企业（有限合伙）、萍 乡市汇晟资产管理合伙企业（有限合伙）、深圳春藤股权投资合伙企业（有限合伙）、深圳市东土盛唐投资管理合伙企业（有 限合伙）、深圳市盛桥新健康投资合伙企业（有限合伙）、中国人寿保险（集团）公司分别以人民币</w:t>
      </w:r>
      <w:r>
        <w:rPr>
          <w:rFonts w:ascii="Times New Roman" w:eastAsia="Times New Roman" w:hAnsi="Times New Roman" w:cs="Times New Roman"/>
          <w:color w:val="000000"/>
          <w:spacing w:val="0"/>
          <w:w w:val="100"/>
          <w:position w:val="0"/>
        </w:rPr>
        <w:t>1</w:t>
      </w:r>
      <w:r>
        <w:rPr>
          <w:color w:val="000000"/>
          <w:spacing w:val="0"/>
          <w:w w:val="100"/>
          <w:position w:val="0"/>
        </w:rPr>
        <w:t>亿元、人民币</w:t>
      </w:r>
      <w:r>
        <w:rPr>
          <w:rFonts w:ascii="Times New Roman" w:eastAsia="Times New Roman" w:hAnsi="Times New Roman" w:cs="Times New Roman"/>
          <w:color w:val="000000"/>
          <w:spacing w:val="0"/>
          <w:w w:val="100"/>
          <w:position w:val="0"/>
        </w:rPr>
        <w:t>5</w:t>
      </w:r>
      <w:r>
        <w:rPr>
          <w:color w:val="000000"/>
          <w:spacing w:val="0"/>
          <w:w w:val="100"/>
          <w:position w:val="0"/>
        </w:rPr>
        <w:t>亿元、 人民币</w:t>
      </w:r>
      <w:r>
        <w:rPr>
          <w:rFonts w:ascii="Times New Roman" w:eastAsia="Times New Roman" w:hAnsi="Times New Roman" w:cs="Times New Roman"/>
          <w:color w:val="000000"/>
          <w:spacing w:val="0"/>
          <w:w w:val="100"/>
          <w:position w:val="0"/>
        </w:rPr>
        <w:t>0.6</w:t>
      </w:r>
      <w:r>
        <w:rPr>
          <w:color w:val="000000"/>
          <w:spacing w:val="0"/>
          <w:w w:val="100"/>
          <w:position w:val="0"/>
        </w:rPr>
        <w:t>亿元、人民币</w:t>
      </w:r>
      <w:r>
        <w:rPr>
          <w:rFonts w:ascii="Times New Roman" w:eastAsia="Times New Roman" w:hAnsi="Times New Roman" w:cs="Times New Roman"/>
          <w:color w:val="000000"/>
          <w:spacing w:val="0"/>
          <w:w w:val="100"/>
          <w:position w:val="0"/>
        </w:rPr>
        <w:t>0.8</w:t>
      </w:r>
      <w:r>
        <w:rPr>
          <w:color w:val="000000"/>
          <w:spacing w:val="0"/>
          <w:w w:val="100"/>
          <w:position w:val="0"/>
        </w:rPr>
        <w:t>亿元、人民币</w:t>
      </w:r>
      <w:r>
        <w:rPr>
          <w:rFonts w:ascii="Times New Roman" w:eastAsia="Times New Roman" w:hAnsi="Times New Roman" w:cs="Times New Roman"/>
          <w:color w:val="000000"/>
          <w:spacing w:val="0"/>
          <w:w w:val="100"/>
          <w:position w:val="0"/>
        </w:rPr>
        <w:t>1.2</w:t>
      </w:r>
      <w:r>
        <w:rPr>
          <w:color w:val="000000"/>
          <w:spacing w:val="0"/>
          <w:w w:val="100"/>
          <w:position w:val="0"/>
        </w:rPr>
        <w:t>亿元、人民币</w:t>
      </w:r>
      <w:r>
        <w:rPr>
          <w:rFonts w:ascii="Times New Roman" w:eastAsia="Times New Roman" w:hAnsi="Times New Roman" w:cs="Times New Roman"/>
          <w:color w:val="000000"/>
          <w:spacing w:val="0"/>
          <w:w w:val="100"/>
          <w:position w:val="0"/>
        </w:rPr>
        <w:t>1.4</w:t>
      </w:r>
      <w:r>
        <w:rPr>
          <w:color w:val="000000"/>
          <w:spacing w:val="0"/>
          <w:w w:val="100"/>
          <w:position w:val="0"/>
        </w:rPr>
        <w:t>亿元、人民币</w:t>
      </w:r>
      <w:r>
        <w:rPr>
          <w:rFonts w:ascii="Times New Roman" w:eastAsia="Times New Roman" w:hAnsi="Times New Roman" w:cs="Times New Roman"/>
          <w:color w:val="000000"/>
          <w:spacing w:val="0"/>
          <w:w w:val="100"/>
          <w:position w:val="0"/>
        </w:rPr>
        <w:t>5</w:t>
      </w:r>
      <w:r>
        <w:rPr>
          <w:color w:val="000000"/>
          <w:spacing w:val="0"/>
          <w:w w:val="100"/>
          <w:position w:val="0"/>
        </w:rPr>
        <w:t>亿元的对价换取了华大控股持有本公司</w:t>
      </w:r>
      <w:r>
        <w:rPr>
          <w:rFonts w:ascii="Times New Roman" w:eastAsia="Times New Roman" w:hAnsi="Times New Roman" w:cs="Times New Roman"/>
          <w:color w:val="000000"/>
          <w:spacing w:val="0"/>
          <w:w w:val="100"/>
          <w:position w:val="0"/>
        </w:rPr>
        <w:t>0.5474%</w:t>
      </w:r>
      <w:r>
        <w:rPr>
          <w:color w:val="000000"/>
          <w:spacing w:val="0"/>
          <w:w w:val="100"/>
          <w:position w:val="0"/>
        </w:rPr>
        <w:t xml:space="preserve">、 </w:t>
      </w:r>
      <w:r>
        <w:rPr>
          <w:rFonts w:ascii="Times New Roman" w:eastAsia="Times New Roman" w:hAnsi="Times New Roman" w:cs="Times New Roman"/>
          <w:color w:val="000000"/>
          <w:spacing w:val="0"/>
          <w:w w:val="100"/>
          <w:position w:val="0"/>
        </w:rPr>
        <w:t>2.7368%</w:t>
      </w:r>
      <w:r>
        <w:rPr>
          <w:color w:val="000000"/>
          <w:spacing w:val="0"/>
          <w:w w:val="100"/>
          <w:position w:val="0"/>
        </w:rPr>
        <w:t>、</w:t>
      </w:r>
      <w:r>
        <w:rPr>
          <w:rFonts w:ascii="Times New Roman" w:eastAsia="Times New Roman" w:hAnsi="Times New Roman" w:cs="Times New Roman"/>
          <w:color w:val="000000"/>
          <w:spacing w:val="0"/>
          <w:w w:val="100"/>
          <w:position w:val="0"/>
        </w:rPr>
        <w:t>0.3284%</w:t>
      </w:r>
      <w:r>
        <w:rPr>
          <w:color w:val="000000"/>
          <w:spacing w:val="0"/>
          <w:w w:val="100"/>
          <w:position w:val="0"/>
        </w:rPr>
        <w:t>、</w:t>
      </w:r>
      <w:r>
        <w:rPr>
          <w:rFonts w:ascii="Times New Roman" w:eastAsia="Times New Roman" w:hAnsi="Times New Roman" w:cs="Times New Roman"/>
          <w:color w:val="000000"/>
          <w:spacing w:val="0"/>
          <w:w w:val="100"/>
          <w:position w:val="0"/>
        </w:rPr>
        <w:t>0.4379%</w:t>
      </w:r>
      <w:r>
        <w:rPr>
          <w:color w:val="000000"/>
          <w:spacing w:val="0"/>
          <w:w w:val="100"/>
          <w:position w:val="0"/>
        </w:rPr>
        <w:t>、</w:t>
      </w:r>
      <w:r>
        <w:rPr>
          <w:rFonts w:ascii="Times New Roman" w:eastAsia="Times New Roman" w:hAnsi="Times New Roman" w:cs="Times New Roman"/>
          <w:color w:val="000000"/>
          <w:spacing w:val="0"/>
          <w:w w:val="100"/>
          <w:position w:val="0"/>
        </w:rPr>
        <w:t>0.6568%</w:t>
      </w:r>
      <w:r>
        <w:rPr>
          <w:color w:val="000000"/>
          <w:spacing w:val="0"/>
          <w:w w:val="100"/>
          <w:position w:val="0"/>
        </w:rPr>
        <w:t>、</w:t>
      </w:r>
      <w:r>
        <w:rPr>
          <w:rFonts w:ascii="Times New Roman" w:eastAsia="Times New Roman" w:hAnsi="Times New Roman" w:cs="Times New Roman"/>
          <w:color w:val="000000"/>
          <w:spacing w:val="0"/>
          <w:w w:val="100"/>
          <w:position w:val="0"/>
        </w:rPr>
        <w:t>0.7663%</w:t>
      </w:r>
      <w:r>
        <w:rPr>
          <w:color w:val="000000"/>
          <w:spacing w:val="0"/>
          <w:w w:val="100"/>
          <w:position w:val="0"/>
        </w:rPr>
        <w:t>、</w:t>
      </w:r>
      <w:r>
        <w:rPr>
          <w:rFonts w:ascii="Times New Roman" w:eastAsia="Times New Roman" w:hAnsi="Times New Roman" w:cs="Times New Roman"/>
          <w:color w:val="000000"/>
          <w:spacing w:val="0"/>
          <w:w w:val="100"/>
          <w:position w:val="0"/>
        </w:rPr>
        <w:t>2.7368%</w:t>
      </w:r>
      <w:r>
        <w:rPr>
          <w:color w:val="000000"/>
          <w:spacing w:val="0"/>
          <w:w w:val="100"/>
          <w:position w:val="0"/>
        </w:rPr>
        <w:t>的股份。至此，华大控股持有本公司</w:t>
      </w:r>
      <w:r>
        <w:rPr>
          <w:rFonts w:ascii="Times New Roman" w:eastAsia="Times New Roman" w:hAnsi="Times New Roman" w:cs="Times New Roman"/>
          <w:color w:val="000000"/>
          <w:spacing w:val="0"/>
          <w:w w:val="100"/>
          <w:position w:val="0"/>
        </w:rPr>
        <w:t>45.9455%</w:t>
      </w:r>
      <w:r>
        <w:rPr>
          <w:color w:val="000000"/>
          <w:spacing w:val="0"/>
          <w:w w:val="100"/>
          <w:position w:val="0"/>
        </w:rPr>
        <w:t>股权。</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日的股东会决议，本公司股东华大控股将其持有本公司的</w:t>
      </w:r>
      <w:r>
        <w:rPr>
          <w:rFonts w:ascii="Times New Roman" w:eastAsia="Times New Roman" w:hAnsi="Times New Roman" w:cs="Times New Roman"/>
          <w:color w:val="000000"/>
          <w:spacing w:val="0"/>
          <w:w w:val="100"/>
          <w:position w:val="0"/>
        </w:rPr>
        <w:t>0.0744%</w:t>
      </w:r>
      <w:r>
        <w:rPr>
          <w:color w:val="000000"/>
          <w:spacing w:val="0"/>
          <w:w w:val="100"/>
          <w:position w:val="0"/>
        </w:rPr>
        <w:t>、</w:t>
      </w:r>
      <w:r>
        <w:rPr>
          <w:rFonts w:ascii="Times New Roman" w:eastAsia="Times New Roman" w:hAnsi="Times New Roman" w:cs="Times New Roman"/>
          <w:color w:val="000000"/>
          <w:spacing w:val="0"/>
          <w:w w:val="100"/>
          <w:position w:val="0"/>
        </w:rPr>
        <w:t>0.0744%</w:t>
      </w:r>
      <w:r>
        <w:rPr>
          <w:color w:val="000000"/>
          <w:spacing w:val="0"/>
          <w:w w:val="100"/>
          <w:position w:val="0"/>
        </w:rPr>
        <w:t>和</w:t>
      </w:r>
      <w:r>
        <w:rPr>
          <w:rFonts w:ascii="Times New Roman" w:eastAsia="Times New Roman" w:hAnsi="Times New Roman" w:cs="Times New Roman"/>
          <w:color w:val="000000"/>
          <w:spacing w:val="0"/>
          <w:w w:val="100"/>
          <w:position w:val="0"/>
        </w:rPr>
        <w:t>0.1095%</w:t>
      </w:r>
      <w:r>
        <w:rPr>
          <w:color w:val="000000"/>
          <w:spacing w:val="0"/>
          <w:w w:val="100"/>
          <w:position w:val="0"/>
        </w:rPr>
        <w:t>的股份分别以 人民币</w:t>
      </w:r>
      <w:r>
        <w:rPr>
          <w:rFonts w:ascii="Times New Roman" w:eastAsia="Times New Roman" w:hAnsi="Times New Roman" w:cs="Times New Roman"/>
          <w:color w:val="000000"/>
          <w:spacing w:val="0"/>
          <w:w w:val="100"/>
          <w:position w:val="0"/>
        </w:rPr>
        <w:t>1,360</w:t>
      </w:r>
      <w:r>
        <w:rPr>
          <w:color w:val="000000"/>
          <w:spacing w:val="0"/>
          <w:w w:val="100"/>
          <w:position w:val="0"/>
        </w:rPr>
        <w:t>万元、人民币</w:t>
      </w:r>
      <w:r>
        <w:rPr>
          <w:rFonts w:ascii="Times New Roman" w:eastAsia="Times New Roman" w:hAnsi="Times New Roman" w:cs="Times New Roman"/>
          <w:color w:val="000000"/>
          <w:spacing w:val="0"/>
          <w:w w:val="100"/>
          <w:position w:val="0"/>
        </w:rPr>
        <w:t>1,360</w:t>
      </w:r>
      <w:r>
        <w:rPr>
          <w:color w:val="000000"/>
          <w:spacing w:val="0"/>
          <w:w w:val="100"/>
          <w:position w:val="0"/>
        </w:rPr>
        <w:t>万元、人民币</w:t>
      </w:r>
      <w:r>
        <w:rPr>
          <w:rFonts w:ascii="Times New Roman" w:eastAsia="Times New Roman" w:hAnsi="Times New Roman" w:cs="Times New Roman"/>
          <w:color w:val="000000"/>
          <w:spacing w:val="0"/>
          <w:w w:val="100"/>
          <w:position w:val="0"/>
        </w:rPr>
        <w:t>2,000</w:t>
      </w:r>
      <w:r>
        <w:rPr>
          <w:color w:val="000000"/>
          <w:spacing w:val="0"/>
          <w:w w:val="100"/>
          <w:position w:val="0"/>
        </w:rPr>
        <w:t>万元转让给深圳红土、深圳市创新投资集团有限公司和深圳市深港产学研 创业投资有限公司。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日，本公司完成工商变更登记手续。至此，华大控股持有本公司</w:t>
      </w:r>
      <w:r>
        <w:rPr>
          <w:rFonts w:ascii="Times New Roman" w:eastAsia="Times New Roman" w:hAnsi="Times New Roman" w:cs="Times New Roman"/>
          <w:color w:val="000000"/>
          <w:spacing w:val="0"/>
          <w:w w:val="100"/>
          <w:position w:val="0"/>
        </w:rPr>
        <w:t>45.6871%</w:t>
      </w:r>
      <w:r>
        <w:rPr>
          <w:color w:val="000000"/>
          <w:spacing w:val="0"/>
          <w:w w:val="100"/>
          <w:position w:val="0"/>
        </w:rPr>
        <w:t>股权。</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日的股东会决议，同意以本公司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日经审计后的净资产金额计人民币</w:t>
      </w:r>
      <w:r>
        <w:rPr>
          <w:rFonts w:ascii="Times New Roman" w:eastAsia="Times New Roman" w:hAnsi="Times New Roman" w:cs="Times New Roman"/>
          <w:color w:val="000000"/>
          <w:spacing w:val="0"/>
          <w:w w:val="100"/>
          <w:position w:val="0"/>
        </w:rPr>
        <w:t>2,627,064,895.20</w:t>
      </w:r>
      <w:r>
        <w:rPr>
          <w:color w:val="000000"/>
          <w:spacing w:val="0"/>
          <w:w w:val="100"/>
          <w:position w:val="0"/>
        </w:rPr>
        <w:t>元，作 为对拟设立的股份有限公司投资入股，其中人民币</w:t>
      </w:r>
      <w:r>
        <w:rPr>
          <w:rFonts w:ascii="Times New Roman" w:eastAsia="Times New Roman" w:hAnsi="Times New Roman" w:cs="Times New Roman"/>
          <w:color w:val="000000"/>
          <w:spacing w:val="0"/>
          <w:w w:val="100"/>
          <w:position w:val="0"/>
        </w:rPr>
        <w:t>326,119,339.00</w:t>
      </w:r>
      <w:r>
        <w:rPr>
          <w:color w:val="000000"/>
          <w:spacing w:val="0"/>
          <w:w w:val="100"/>
          <w:position w:val="0"/>
        </w:rPr>
        <w:t>元折为股份有限公司普通股</w:t>
      </w:r>
      <w:r>
        <w:rPr>
          <w:rFonts w:ascii="Times New Roman" w:eastAsia="Times New Roman" w:hAnsi="Times New Roman" w:cs="Times New Roman"/>
          <w:color w:val="000000"/>
          <w:spacing w:val="0"/>
          <w:w w:val="100"/>
          <w:position w:val="0"/>
        </w:rPr>
        <w:t>326,119,339</w:t>
      </w:r>
      <w:r>
        <w:rPr>
          <w:color w:val="000000"/>
          <w:spacing w:val="0"/>
          <w:w w:val="100"/>
          <w:position w:val="0"/>
        </w:rPr>
        <w:t>股，注册资本变更 为人民币</w:t>
      </w:r>
      <w:r>
        <w:rPr>
          <w:rFonts w:ascii="Times New Roman" w:eastAsia="Times New Roman" w:hAnsi="Times New Roman" w:cs="Times New Roman"/>
          <w:color w:val="000000"/>
          <w:spacing w:val="0"/>
          <w:w w:val="100"/>
          <w:position w:val="0"/>
        </w:rPr>
        <w:t>326,119,339.00</w:t>
      </w:r>
      <w:r>
        <w:rPr>
          <w:color w:val="000000"/>
          <w:spacing w:val="0"/>
          <w:w w:val="100"/>
          <w:position w:val="0"/>
        </w:rPr>
        <w:t>元。同日，本公司召开股东大会，全体发行人一致决定将本公司整体变更为股份有限公司，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日，本公司完成股改相关的工商登记手续，股份制改制后，本公司更名为深圳华大基因股份有限公司，注册地变更为深 圳市盐田区洪安三街</w:t>
      </w:r>
      <w:r>
        <w:rPr>
          <w:rFonts w:ascii="Times New Roman" w:eastAsia="Times New Roman" w:hAnsi="Times New Roman" w:cs="Times New Roman"/>
          <w:color w:val="000000"/>
          <w:spacing w:val="0"/>
          <w:w w:val="100"/>
          <w:position w:val="0"/>
        </w:rPr>
        <w:t>21</w:t>
      </w:r>
      <w:r>
        <w:rPr>
          <w:color w:val="000000"/>
          <w:spacing w:val="0"/>
          <w:w w:val="100"/>
          <w:position w:val="0"/>
        </w:rPr>
        <w:t>号华大综合园</w:t>
      </w:r>
      <w:r>
        <w:rPr>
          <w:rFonts w:ascii="Times New Roman" w:eastAsia="Times New Roman" w:hAnsi="Times New Roman" w:cs="Times New Roman"/>
          <w:color w:val="000000"/>
          <w:spacing w:val="0"/>
          <w:w w:val="100"/>
          <w:position w:val="0"/>
        </w:rPr>
        <w:t>7</w:t>
      </w:r>
      <w:r>
        <w:rPr>
          <w:color w:val="000000"/>
          <w:spacing w:val="0"/>
          <w:w w:val="100"/>
          <w:position w:val="0"/>
        </w:rPr>
        <w:t>栋</w:t>
      </w:r>
      <w:r>
        <w:rPr>
          <w:rFonts w:ascii="Times New Roman" w:eastAsia="Times New Roman" w:hAnsi="Times New Roman" w:cs="Times New Roman"/>
          <w:color w:val="000000"/>
          <w:spacing w:val="0"/>
          <w:w w:val="100"/>
          <w:position w:val="0"/>
        </w:rPr>
        <w:t>7</w:t>
      </w:r>
      <w:r>
        <w:rPr>
          <w:color w:val="000000"/>
          <w:spacing w:val="0"/>
          <w:w w:val="100"/>
          <w:position w:val="0"/>
        </w:rPr>
        <w:t>层</w:t>
      </w:r>
      <w:r>
        <w:rPr>
          <w:rFonts w:ascii="Times New Roman" w:eastAsia="Times New Roman" w:hAnsi="Times New Roman" w:cs="Times New Roman"/>
          <w:color w:val="000000"/>
          <w:spacing w:val="0"/>
          <w:w w:val="100"/>
          <w:position w:val="0"/>
        </w:rPr>
        <w:t>-14</w:t>
      </w:r>
      <w:r>
        <w:rPr>
          <w:color w:val="000000"/>
          <w:spacing w:val="0"/>
          <w:w w:val="100"/>
          <w:position w:val="0"/>
        </w:rPr>
        <w:t>层。</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日的股东大会决议，本公司增发股份收购子公司华大科技的</w:t>
      </w:r>
      <w:r>
        <w:rPr>
          <w:rFonts w:ascii="Times New Roman" w:eastAsia="Times New Roman" w:hAnsi="Times New Roman" w:cs="Times New Roman"/>
          <w:color w:val="000000"/>
          <w:spacing w:val="0"/>
          <w:w w:val="100"/>
          <w:position w:val="0"/>
        </w:rPr>
        <w:t>18</w:t>
      </w:r>
      <w:r>
        <w:rPr>
          <w:color w:val="000000"/>
          <w:spacing w:val="0"/>
          <w:w w:val="100"/>
          <w:position w:val="0"/>
        </w:rPr>
        <w:t>个少数股东所持有华大科技的</w:t>
      </w:r>
      <w:r>
        <w:rPr>
          <w:rFonts w:ascii="Times New Roman" w:eastAsia="Times New Roman" w:hAnsi="Times New Roman" w:cs="Times New Roman"/>
          <w:color w:val="000000"/>
          <w:spacing w:val="0"/>
          <w:w w:val="100"/>
          <w:position w:val="0"/>
        </w:rPr>
        <w:t xml:space="preserve">33.2865% </w:t>
      </w:r>
      <w:r>
        <w:rPr>
          <w:color w:val="000000"/>
          <w:spacing w:val="0"/>
          <w:w w:val="100"/>
          <w:position w:val="0"/>
        </w:rPr>
        <w:t>股权，在原股份</w:t>
      </w:r>
      <w:r>
        <w:rPr>
          <w:rFonts w:ascii="Times New Roman" w:eastAsia="Times New Roman" w:hAnsi="Times New Roman" w:cs="Times New Roman"/>
          <w:color w:val="000000"/>
          <w:spacing w:val="0"/>
          <w:w w:val="100"/>
          <w:position w:val="0"/>
        </w:rPr>
        <w:t>326,119,339</w:t>
      </w:r>
      <w:r>
        <w:rPr>
          <w:color w:val="000000"/>
          <w:spacing w:val="0"/>
          <w:w w:val="100"/>
          <w:position w:val="0"/>
        </w:rPr>
        <w:t>股的基础上，增发股份</w:t>
      </w:r>
      <w:r>
        <w:rPr>
          <w:rFonts w:ascii="Times New Roman" w:eastAsia="Times New Roman" w:hAnsi="Times New Roman" w:cs="Times New Roman"/>
          <w:color w:val="000000"/>
          <w:spacing w:val="0"/>
          <w:w w:val="100"/>
          <w:position w:val="0"/>
        </w:rPr>
        <w:t>33,880,661</w:t>
      </w:r>
      <w:r>
        <w:rPr>
          <w:color w:val="000000"/>
          <w:spacing w:val="0"/>
          <w:w w:val="100"/>
          <w:position w:val="0"/>
        </w:rPr>
        <w:t>股，累计发行股本总数为</w:t>
      </w:r>
      <w:r>
        <w:rPr>
          <w:rFonts w:ascii="Times New Roman" w:eastAsia="Times New Roman" w:hAnsi="Times New Roman" w:cs="Times New Roman"/>
          <w:color w:val="000000"/>
          <w:spacing w:val="0"/>
          <w:w w:val="100"/>
          <w:position w:val="0"/>
        </w:rPr>
        <w:t>360,000,000</w:t>
      </w:r>
      <w:r>
        <w:rPr>
          <w:color w:val="000000"/>
          <w:spacing w:val="0"/>
          <w:w w:val="100"/>
          <w:position w:val="0"/>
        </w:rPr>
        <w:t>股，注册资本变更为人民 币</w:t>
      </w:r>
      <w:r>
        <w:rPr>
          <w:rFonts w:ascii="Times New Roman" w:eastAsia="Times New Roman" w:hAnsi="Times New Roman" w:cs="Times New Roman"/>
          <w:color w:val="000000"/>
          <w:spacing w:val="0"/>
          <w:w w:val="100"/>
          <w:position w:val="0"/>
        </w:rPr>
        <w:t>360,000,000.00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日，本公司完成相关的工商登记手续。至此，华大控股持有本公司股份被稀释为</w:t>
      </w:r>
      <w:r>
        <w:rPr>
          <w:rFonts w:ascii="Times New Roman" w:eastAsia="Times New Roman" w:hAnsi="Times New Roman" w:cs="Times New Roman"/>
          <w:color w:val="000000"/>
          <w:spacing w:val="0"/>
          <w:w w:val="100"/>
          <w:position w:val="0"/>
        </w:rPr>
        <w:t>41.33%</w:t>
      </w:r>
      <w:r>
        <w:rPr>
          <w:color w:val="000000"/>
          <w:spacing w:val="0"/>
          <w:w w:val="100"/>
          <w:position w:val="0"/>
        </w:rPr>
        <w:t>。</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根据本公司在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日召开的股东大会审议通过的《关于公司首次公开发行人民币普通股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股）并在创业板上市 方案的议案》和在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年年度股东大会通过的《关于修改公司首次公开发行人民币普通股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股）股票并 在创业板上市的议案》以及于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日收到的中国证券监督管理委员会《关于核准深圳华大基因股份有限公司首次公 开发行股票的批复》（证监许可</w:t>
      </w:r>
      <w:r>
        <w:rPr>
          <w:rFonts w:ascii="Times New Roman" w:eastAsia="Times New Roman" w:hAnsi="Times New Roman" w:cs="Times New Roman"/>
          <w:color w:val="000000"/>
          <w:spacing w:val="0"/>
          <w:w w:val="100"/>
          <w:position w:val="0"/>
        </w:rPr>
        <w:t>[2017]1023</w:t>
      </w:r>
      <w:r>
        <w:rPr>
          <w:color w:val="000000"/>
          <w:spacing w:val="0"/>
          <w:w w:val="100"/>
          <w:position w:val="0"/>
        </w:rPr>
        <w:t>号），截止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日，本公司向社会公开发行人民币普通股</w:t>
      </w:r>
      <w:r>
        <w:rPr>
          <w:rFonts w:ascii="Times New Roman" w:eastAsia="Times New Roman" w:hAnsi="Times New Roman" w:cs="Times New Roman"/>
          <w:color w:val="000000"/>
          <w:spacing w:val="0"/>
          <w:w w:val="100"/>
          <w:position w:val="0"/>
        </w:rPr>
        <w:t>40,100,000</w:t>
      </w:r>
      <w:r>
        <w:rPr>
          <w:color w:val="000000"/>
          <w:spacing w:val="0"/>
          <w:w w:val="100"/>
          <w:position w:val="0"/>
        </w:rPr>
        <w:t>股， 面值为每股人民币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元，发行后的注册资本为人民币</w:t>
      </w:r>
      <w:r>
        <w:rPr>
          <w:rFonts w:ascii="Times New Roman" w:eastAsia="Times New Roman" w:hAnsi="Times New Roman" w:cs="Times New Roman"/>
          <w:color w:val="000000"/>
          <w:spacing w:val="0"/>
          <w:w w:val="100"/>
          <w:position w:val="0"/>
        </w:rPr>
        <w:t>400,100,000.00</w:t>
      </w:r>
      <w:r>
        <w:rPr>
          <w:color w:val="000000"/>
          <w:spacing w:val="0"/>
          <w:w w:val="100"/>
          <w:position w:val="0"/>
        </w:rPr>
        <w:t>元。本次发行新股募集资金总额人民币</w:t>
      </w:r>
      <w:r>
        <w:rPr>
          <w:rFonts w:ascii="Times New Roman" w:eastAsia="Times New Roman" w:hAnsi="Times New Roman" w:cs="Times New Roman"/>
          <w:color w:val="000000"/>
          <w:spacing w:val="0"/>
          <w:w w:val="100"/>
          <w:position w:val="0"/>
        </w:rPr>
        <w:t xml:space="preserve">546,964,000.00 </w:t>
      </w:r>
      <w:r>
        <w:rPr>
          <w:color w:val="000000"/>
          <w:spacing w:val="0"/>
          <w:w w:val="100"/>
          <w:position w:val="0"/>
        </w:rPr>
        <w:t>元，扣减不含税发行费用人民币</w:t>
      </w:r>
      <w:r>
        <w:rPr>
          <w:rFonts w:ascii="Times New Roman" w:eastAsia="Times New Roman" w:hAnsi="Times New Roman" w:cs="Times New Roman"/>
          <w:color w:val="000000"/>
          <w:spacing w:val="0"/>
          <w:w w:val="100"/>
          <w:position w:val="0"/>
        </w:rPr>
        <w:t>63,102,660.38</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483,861,339.62</w:t>
      </w:r>
      <w:r>
        <w:rPr>
          <w:color w:val="000000"/>
          <w:spacing w:val="0"/>
          <w:w w:val="100"/>
          <w:position w:val="0"/>
        </w:rPr>
        <w:t>元。经深圳证券交易所《关于深圳 华大基因股份有限公司人民币普通股股票在创业板上市的通知》（深证上</w:t>
      </w:r>
      <w:r>
        <w:rPr>
          <w:rFonts w:ascii="Times New Roman" w:eastAsia="Times New Roman" w:hAnsi="Times New Roman" w:cs="Times New Roman"/>
          <w:color w:val="000000"/>
          <w:spacing w:val="0"/>
          <w:w w:val="100"/>
          <w:position w:val="0"/>
        </w:rPr>
        <w:t>[2017]440</w:t>
      </w:r>
      <w:r>
        <w:rPr>
          <w:color w:val="000000"/>
          <w:spacing w:val="0"/>
          <w:w w:val="100"/>
          <w:position w:val="0"/>
        </w:rPr>
        <w:t>号）同意，本公司发行的人民币普通股股 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日在深圳证券交易所创业板上市，股票简称</w:t>
      </w:r>
      <w:r>
        <w:rPr>
          <w:rFonts w:ascii="Times New Roman" w:eastAsia="Times New Roman" w:hAnsi="Times New Roman" w:cs="Times New Roman"/>
          <w:color w:val="000000"/>
          <w:spacing w:val="0"/>
          <w:w w:val="100"/>
          <w:position w:val="0"/>
        </w:rPr>
        <w:t>“</w:t>
      </w:r>
      <w:r>
        <w:rPr>
          <w:color w:val="000000"/>
          <w:spacing w:val="0"/>
          <w:w w:val="100"/>
          <w:position w:val="0"/>
        </w:rPr>
        <w:t>华大基因</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“300676”</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日，本公司完成 相关工商变更登记手续，至此，华大控股持有本公司</w:t>
      </w:r>
      <w:r>
        <w:rPr>
          <w:rFonts w:ascii="Times New Roman" w:eastAsia="Times New Roman" w:hAnsi="Times New Roman" w:cs="Times New Roman"/>
          <w:color w:val="000000"/>
          <w:spacing w:val="0"/>
          <w:w w:val="100"/>
          <w:position w:val="0"/>
        </w:rPr>
        <w:t>37.18%</w:t>
      </w:r>
      <w:r>
        <w:rPr>
          <w:color w:val="000000"/>
          <w:spacing w:val="0"/>
          <w:w w:val="100"/>
          <w:position w:val="0"/>
        </w:rPr>
        <w:t>股权。</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根据本公司在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日召开的第二届董事会第二十二次会议和第二届监事会第二十一次会议、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 的</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年第四次临时股东大会审议通过的《关于公司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年度创业板非公开发行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股股票方案的议案》等议案，以及于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日收到的中国证券监督管理委员会《关于同意深圳华大基因股份有限公司向特定对象发行股票注册的批复》（证监 许可</w:t>
      </w:r>
      <w:r>
        <w:rPr>
          <w:rFonts w:ascii="Times New Roman" w:eastAsia="Times New Roman" w:hAnsi="Times New Roman" w:cs="Times New Roman"/>
          <w:color w:val="000000"/>
          <w:spacing w:val="0"/>
          <w:w w:val="100"/>
          <w:position w:val="0"/>
        </w:rPr>
        <w:t>[2020]3580</w:t>
      </w:r>
      <w:r>
        <w:rPr>
          <w:color w:val="000000"/>
          <w:spacing w:val="0"/>
          <w:w w:val="100"/>
          <w:position w:val="0"/>
        </w:rPr>
        <w:t>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日，本公司已向特定对象发行人民币普通股</w:t>
      </w:r>
      <w:r>
        <w:rPr>
          <w:rFonts w:ascii="Times New Roman" w:eastAsia="Times New Roman" w:hAnsi="Times New Roman" w:cs="Times New Roman"/>
          <w:color w:val="000000"/>
          <w:spacing w:val="0"/>
          <w:w w:val="100"/>
          <w:position w:val="0"/>
        </w:rPr>
        <w:t>13,814,325</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 每股发行认购价格为人民币</w:t>
      </w:r>
      <w:r>
        <w:rPr>
          <w:rFonts w:ascii="Times New Roman" w:eastAsia="Times New Roman" w:hAnsi="Times New Roman" w:cs="Times New Roman"/>
          <w:color w:val="000000"/>
          <w:spacing w:val="0"/>
          <w:w w:val="100"/>
          <w:position w:val="0"/>
        </w:rPr>
        <w:t>145.00</w:t>
      </w:r>
      <w:r>
        <w:rPr>
          <w:color w:val="000000"/>
          <w:spacing w:val="0"/>
          <w:w w:val="100"/>
          <w:position w:val="0"/>
        </w:rPr>
        <w:t>元，募集资金总额人民币</w:t>
      </w:r>
      <w:r>
        <w:rPr>
          <w:rFonts w:ascii="Times New Roman" w:eastAsia="Times New Roman" w:hAnsi="Times New Roman" w:cs="Times New Roman"/>
          <w:color w:val="000000"/>
          <w:spacing w:val="0"/>
          <w:w w:val="100"/>
          <w:position w:val="0"/>
        </w:rPr>
        <w:t>2,003,077,125.00</w:t>
      </w:r>
      <w:r>
        <w:rPr>
          <w:color w:val="000000"/>
          <w:spacing w:val="0"/>
          <w:w w:val="100"/>
          <w:position w:val="0"/>
        </w:rPr>
        <w:t xml:space="preserve">元，扣除不含税承销费及保荐费人民币 </w:t>
      </w:r>
      <w:r>
        <w:rPr>
          <w:rFonts w:ascii="Times New Roman" w:eastAsia="Times New Roman" w:hAnsi="Times New Roman" w:cs="Times New Roman"/>
          <w:color w:val="000000"/>
          <w:spacing w:val="0"/>
          <w:w w:val="100"/>
          <w:position w:val="0"/>
        </w:rPr>
        <w:t>24,036,925.50</w:t>
      </w:r>
      <w:r>
        <w:rPr>
          <w:color w:val="000000"/>
          <w:spacing w:val="0"/>
          <w:w w:val="100"/>
          <w:position w:val="0"/>
        </w:rPr>
        <w:t>元、其他不含税发行费用人民币</w:t>
      </w:r>
      <w:r>
        <w:rPr>
          <w:rFonts w:ascii="Times New Roman" w:eastAsia="Times New Roman" w:hAnsi="Times New Roman" w:cs="Times New Roman"/>
          <w:color w:val="000000"/>
          <w:spacing w:val="0"/>
          <w:w w:val="100"/>
          <w:position w:val="0"/>
        </w:rPr>
        <w:t>2,395,465.8</w:t>
      </w:r>
      <w:r>
        <w:rPr>
          <w:rFonts w:ascii="Times New Roman" w:eastAsia="Times New Roman" w:hAnsi="Times New Roman" w:cs="Times New Roman"/>
          <w:color w:val="000000"/>
          <w:spacing w:val="0"/>
          <w:w w:val="100"/>
          <w:position w:val="0"/>
        </w:rPr>
        <w:t>7</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rPr>
        <w:t>1,976,644,733.63</w:t>
      </w:r>
      <w:r>
        <w:rPr>
          <w:color w:val="000000"/>
          <w:spacing w:val="0"/>
          <w:w w:val="100"/>
          <w:position w:val="0"/>
        </w:rPr>
        <w:t xml:space="preserve">元。本次发行完成 </w:t>
      </w:r>
      <w:r>
        <w:rPr>
          <w:color w:val="000000"/>
          <w:spacing w:val="0"/>
          <w:w w:val="100"/>
          <w:position w:val="0"/>
        </w:rPr>
        <w:t>后，公司注册资本由人民币</w:t>
      </w:r>
      <w:r>
        <w:rPr>
          <w:rFonts w:ascii="Times New Roman" w:eastAsia="Times New Roman" w:hAnsi="Times New Roman" w:cs="Times New Roman"/>
          <w:color w:val="000000"/>
          <w:spacing w:val="0"/>
          <w:w w:val="100"/>
          <w:position w:val="0"/>
        </w:rPr>
        <w:t>400,100,000.00</w:t>
      </w:r>
      <w:r>
        <w:rPr>
          <w:color w:val="000000"/>
          <w:spacing w:val="0"/>
          <w:w w:val="100"/>
          <w:position w:val="0"/>
        </w:rPr>
        <w:t>元增加至人民币</w:t>
      </w:r>
      <w:r>
        <w:rPr>
          <w:rFonts w:ascii="Times New Roman" w:eastAsia="Times New Roman" w:hAnsi="Times New Roman" w:cs="Times New Roman"/>
          <w:color w:val="000000"/>
          <w:spacing w:val="0"/>
          <w:w w:val="100"/>
          <w:position w:val="0"/>
        </w:rPr>
        <w:t>413,914,325.00</w:t>
      </w:r>
      <w:r>
        <w:rPr>
          <w:color w:val="000000"/>
          <w:spacing w:val="0"/>
          <w:w w:val="100"/>
          <w:position w:val="0"/>
        </w:rPr>
        <w:t>元。增资完成后，华大控股持有本公司</w:t>
      </w:r>
      <w:r>
        <w:rPr>
          <w:rFonts w:ascii="Times New Roman" w:eastAsia="Times New Roman" w:hAnsi="Times New Roman" w:cs="Times New Roman"/>
          <w:color w:val="000000"/>
          <w:spacing w:val="0"/>
          <w:w w:val="100"/>
          <w:position w:val="0"/>
        </w:rPr>
        <w:t>35.94%</w:t>
      </w:r>
      <w:r>
        <w:rPr>
          <w:color w:val="000000"/>
          <w:spacing w:val="0"/>
          <w:w w:val="100"/>
          <w:position w:val="0"/>
        </w:rPr>
        <w:t>股权。</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上述历史沿革事项均已完成工商登记变更。</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本公司及子公司（统称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）经营范围为：医学研究和试验发展；临床检验服务；医疗用品及器械研发、制造、批 发、零售；贸易经纪与代理。</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本公司的母公司和最终母公司为于中国成立的华大控股，最终控股股东为自然人汪建。</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日决议批准。</w:t>
      </w:r>
    </w:p>
    <w:p>
      <w:pPr>
        <w:pStyle w:val="Style17"/>
        <w:keepNext w:val="0"/>
        <w:keepLines w:val="0"/>
        <w:widowControl w:val="0"/>
        <w:shd w:val="clear" w:color="auto" w:fill="auto"/>
        <w:bidi w:val="0"/>
        <w:spacing w:before="0" w:after="380" w:line="322" w:lineRule="exact"/>
        <w:ind w:left="0" w:right="0"/>
        <w:jc w:val="left"/>
      </w:pPr>
      <w:r>
        <w:rPr>
          <w:color w:val="000000"/>
          <w:spacing w:val="0"/>
          <w:w w:val="100"/>
          <w:position w:val="0"/>
        </w:rPr>
        <w:t>合并财务报表的合并范围以控制为基础确定，本年度变化情况参见第十节财务报告附注八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合并范围的变更匚</w:t>
      </w:r>
    </w:p>
    <w:p>
      <w:pPr>
        <w:pStyle w:val="Style24"/>
        <w:keepNext/>
        <w:keepLines/>
        <w:widowControl w:val="0"/>
        <w:shd w:val="clear" w:color="auto" w:fill="auto"/>
        <w:tabs>
          <w:tab w:pos="498" w:val="left"/>
        </w:tabs>
        <w:bidi w:val="0"/>
        <w:spacing w:before="0" w:after="38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sz w:val="24"/>
          <w:szCs w:val="24"/>
        </w:rPr>
        <w:t>四</w:t>
      </w:r>
      <w:bookmarkEnd w:id="867"/>
      <w:r>
        <w:rPr>
          <w:color w:val="000000"/>
          <w:spacing w:val="0"/>
          <w:w w:val="100"/>
          <w:position w:val="0"/>
          <w:sz w:val="24"/>
          <w:szCs w:val="24"/>
        </w:rPr>
        <w:t>、</w:t>
        <w:tab/>
        <w:t>财务报表的编制基础</w:t>
      </w:r>
      <w:bookmarkEnd w:id="865"/>
      <w:bookmarkEnd w:id="866"/>
      <w:bookmarkEnd w:id="868"/>
    </w:p>
    <w:p>
      <w:pPr>
        <w:pStyle w:val="Style30"/>
        <w:keepNext/>
        <w:keepLines/>
        <w:widowControl w:val="0"/>
        <w:shd w:val="clear" w:color="auto" w:fill="auto"/>
        <w:tabs>
          <w:tab w:pos="368" w:val="left"/>
        </w:tabs>
        <w:bidi w:val="0"/>
        <w:spacing w:before="0" w:after="26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color w:val="000000"/>
          <w:spacing w:val="0"/>
          <w:w w:val="100"/>
          <w:position w:val="0"/>
        </w:rPr>
        <w:t>、</w:t>
        <w:tab/>
        <w:t>编制基础</w:t>
      </w:r>
      <w:bookmarkEnd w:id="869"/>
      <w:bookmarkEnd w:id="870"/>
      <w:bookmarkEnd w:id="872"/>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本财务报表按照财政部颁布的《企业会计准则</w:t>
      </w:r>
      <w:r>
        <w:rPr>
          <w:color w:val="000000"/>
          <w:spacing w:val="0"/>
          <w:w w:val="100"/>
          <w:position w:val="0"/>
        </w:rPr>
        <w:t>一</w:t>
      </w:r>
      <w:r>
        <w:rPr>
          <w:color w:val="000000"/>
          <w:spacing w:val="0"/>
          <w:w w:val="100"/>
          <w:position w:val="0"/>
        </w:rPr>
        <w:t>基本准则》以及其后颁布及修订的具体会计准则、应用指南、解释以及 其他相关规定（统称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）编制。</w:t>
      </w:r>
    </w:p>
    <w:p>
      <w:pPr>
        <w:pStyle w:val="Style17"/>
        <w:keepNext w:val="0"/>
        <w:keepLines w:val="0"/>
        <w:widowControl w:val="0"/>
        <w:shd w:val="clear" w:color="auto" w:fill="auto"/>
        <w:bidi w:val="0"/>
        <w:spacing w:before="0" w:after="380" w:line="317" w:lineRule="exact"/>
        <w:ind w:left="0" w:right="0"/>
        <w:jc w:val="both"/>
      </w:pPr>
      <w:r>
        <w:rPr>
          <w:color w:val="000000"/>
          <w:spacing w:val="0"/>
          <w:w w:val="100"/>
          <w:position w:val="0"/>
        </w:rPr>
        <w:t>编制本财务报表时，除某些金融工具外，均以历史成本为计价原则。资产如果发生减值，则按照相关规定计提相应的减 值准备。</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color w:val="000000"/>
          <w:spacing w:val="0"/>
          <w:w w:val="100"/>
          <w:position w:val="0"/>
        </w:rPr>
        <w:t>、</w:t>
        <w:tab/>
        <w:t>持续经营</w:t>
      </w:r>
      <w:bookmarkEnd w:id="873"/>
      <w:bookmarkEnd w:id="874"/>
      <w:bookmarkEnd w:id="876"/>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公司已评价自报告期末起至少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个月的持续经营能力，公司管理层相信公司能自本财务报表批准日后不短于</w:t>
      </w:r>
      <w:r>
        <w:rPr>
          <w:rFonts w:ascii="Times New Roman" w:eastAsia="Times New Roman" w:hAnsi="Times New Roman" w:cs="Times New Roman"/>
          <w:color w:val="000000"/>
          <w:spacing w:val="0"/>
          <w:w w:val="100"/>
          <w:position w:val="0"/>
        </w:rPr>
        <w:t>12</w:t>
      </w:r>
      <w:r>
        <w:rPr>
          <w:color w:val="000000"/>
          <w:spacing w:val="0"/>
          <w:w w:val="100"/>
          <w:position w:val="0"/>
        </w:rPr>
        <w:t>个月的 可预见未来期间内持续经营。因此，公司以持续经营为基础编制截至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日止的财务报表。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sz w:val="24"/>
          <w:szCs w:val="24"/>
        </w:rPr>
        <w:t>五</w:t>
      </w:r>
      <w:bookmarkEnd w:id="879"/>
      <w:r>
        <w:rPr>
          <w:color w:val="000000"/>
          <w:spacing w:val="0"/>
          <w:w w:val="100"/>
          <w:position w:val="0"/>
          <w:sz w:val="24"/>
          <w:szCs w:val="24"/>
        </w:rPr>
        <w:t>、</w:t>
        <w:tab/>
        <w:t>重要会计政策及会计估计</w:t>
      </w:r>
      <w:bookmarkEnd w:id="877"/>
      <w:bookmarkEnd w:id="878"/>
      <w:bookmarkEnd w:id="880"/>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具体会计政策和会计估计提示：</w:t>
      </w:r>
    </w:p>
    <w:p>
      <w:pPr>
        <w:pStyle w:val="Style17"/>
        <w:keepNext w:val="0"/>
        <w:keepLines w:val="0"/>
        <w:widowControl w:val="0"/>
        <w:shd w:val="clear" w:color="auto" w:fill="auto"/>
        <w:bidi w:val="0"/>
        <w:spacing w:before="0" w:after="380" w:line="317" w:lineRule="exact"/>
        <w:ind w:left="0" w:right="0"/>
        <w:jc w:val="both"/>
      </w:pPr>
      <w:r>
        <w:rPr>
          <w:color w:val="000000"/>
          <w:spacing w:val="0"/>
          <w:w w:val="100"/>
          <w:position w:val="0"/>
        </w:rPr>
        <w:t>本公司根据实际生产经营特点制定了具体会计政策和会计估计，主要体现在应收款项坏账准备的计提、收入确认和计量 以及研发费用资本化条件。</w:t>
      </w:r>
    </w:p>
    <w:p>
      <w:pPr>
        <w:pStyle w:val="Style30"/>
        <w:keepNext/>
        <w:keepLines/>
        <w:widowControl w:val="0"/>
        <w:shd w:val="clear" w:color="auto" w:fill="auto"/>
        <w:tabs>
          <w:tab w:pos="368" w:val="left"/>
        </w:tabs>
        <w:bidi w:val="0"/>
        <w:spacing w:before="0" w:after="26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color w:val="000000"/>
          <w:spacing w:val="0"/>
          <w:w w:val="100"/>
          <w:position w:val="0"/>
        </w:rPr>
        <w:t>、</w:t>
        <w:tab/>
        <w:t>遵循企业会计准则的声明</w:t>
      </w:r>
      <w:bookmarkEnd w:id="881"/>
      <w:bookmarkEnd w:id="882"/>
      <w:bookmarkEnd w:id="884"/>
    </w:p>
    <w:p>
      <w:pPr>
        <w:pStyle w:val="Style17"/>
        <w:keepNext w:val="0"/>
        <w:keepLines w:val="0"/>
        <w:widowControl w:val="0"/>
        <w:shd w:val="clear" w:color="auto" w:fill="auto"/>
        <w:bidi w:val="0"/>
        <w:spacing w:before="0" w:after="380" w:line="322" w:lineRule="exact"/>
        <w:ind w:left="0" w:right="0"/>
        <w:jc w:val="both"/>
      </w:pPr>
      <w:r>
        <w:rPr>
          <w:color w:val="000000"/>
          <w:spacing w:val="0"/>
          <w:w w:val="100"/>
          <w:position w:val="0"/>
        </w:rPr>
        <w:t>本财务报表符合企业会计准则的要求，真实、完整地反映了本公司及母公司于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 的经营成果和现金流量。</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color w:val="000000"/>
          <w:spacing w:val="0"/>
          <w:w w:val="100"/>
          <w:position w:val="0"/>
        </w:rPr>
        <w:t>、</w:t>
        <w:tab/>
        <w:t>会计期间</w:t>
      </w:r>
      <w:bookmarkEnd w:id="885"/>
      <w:bookmarkEnd w:id="886"/>
      <w:bookmarkEnd w:id="888"/>
    </w:p>
    <w:p>
      <w:pPr>
        <w:pStyle w:val="Style17"/>
        <w:keepNext w:val="0"/>
        <w:keepLines w:val="0"/>
        <w:widowControl w:val="0"/>
        <w:shd w:val="clear" w:color="auto" w:fill="auto"/>
        <w:bidi w:val="0"/>
        <w:spacing w:before="0" w:after="380" w:line="322" w:lineRule="exact"/>
        <w:ind w:left="0" w:right="0"/>
        <w:jc w:val="left"/>
      </w:pPr>
      <w:r>
        <w:rPr>
          <w:color w:val="000000"/>
          <w:spacing w:val="0"/>
          <w:w w:val="100"/>
          <w:position w:val="0"/>
        </w:rPr>
        <w:t>本公司会计年度采用公历年度，即每年自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3</w:t>
      </w:r>
      <w:bookmarkEnd w:id="891"/>
      <w:r>
        <w:rPr>
          <w:color w:val="000000"/>
          <w:spacing w:val="0"/>
          <w:w w:val="100"/>
          <w:position w:val="0"/>
        </w:rPr>
        <w:t>、</w:t>
        <w:tab/>
        <w:t>营业周期</w:t>
      </w:r>
      <w:bookmarkEnd w:id="889"/>
      <w:bookmarkEnd w:id="890"/>
      <w:bookmarkEnd w:id="892"/>
    </w:p>
    <w:p>
      <w:pPr>
        <w:pStyle w:val="Style17"/>
        <w:keepNext w:val="0"/>
        <w:keepLines w:val="0"/>
        <w:widowControl w:val="0"/>
        <w:shd w:val="clear" w:color="auto" w:fill="auto"/>
        <w:bidi w:val="0"/>
        <w:spacing w:before="0" w:after="380" w:line="322" w:lineRule="exact"/>
        <w:ind w:left="0" w:right="0"/>
        <w:jc w:val="left"/>
      </w:pPr>
      <w:r>
        <w:rPr>
          <w:color w:val="000000"/>
          <w:spacing w:val="0"/>
          <w:w w:val="100"/>
          <w:position w:val="0"/>
        </w:rPr>
        <w:t>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4</w:t>
      </w:r>
      <w:bookmarkEnd w:id="895"/>
      <w:r>
        <w:rPr>
          <w:color w:val="000000"/>
          <w:spacing w:val="0"/>
          <w:w w:val="100"/>
          <w:position w:val="0"/>
        </w:rPr>
        <w:t>、</w:t>
        <w:tab/>
        <w:t>记账本位币</w:t>
      </w:r>
      <w:bookmarkEnd w:id="893"/>
      <w:bookmarkEnd w:id="894"/>
      <w:bookmarkEnd w:id="896"/>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本公司记账本位币和编制本财务报表所采用的货币均为人民币。除有特别说明外，均以人民币元为单位表示。</w:t>
      </w:r>
    </w:p>
    <w:p>
      <w:pPr>
        <w:pStyle w:val="Style17"/>
        <w:keepNext w:val="0"/>
        <w:keepLines w:val="0"/>
        <w:widowControl w:val="0"/>
        <w:shd w:val="clear" w:color="auto" w:fill="auto"/>
        <w:bidi w:val="0"/>
        <w:spacing w:before="0" w:after="380" w:line="322" w:lineRule="exact"/>
        <w:ind w:left="0" w:right="0"/>
        <w:jc w:val="both"/>
      </w:pPr>
      <w:r>
        <w:rPr>
          <w:color w:val="000000"/>
          <w:spacing w:val="0"/>
          <w:w w:val="100"/>
          <w:position w:val="0"/>
        </w:rPr>
        <w:t xml:space="preserve">本公司下属子公司、合营企业及联营企业，根据其经营所处的主要经济环境自行决定其记账本位币，编制财务报表时折 </w:t>
      </w:r>
      <w:r>
        <w:rPr>
          <w:color w:val="000000"/>
          <w:spacing w:val="0"/>
          <w:w w:val="100"/>
          <w:position w:val="0"/>
        </w:rPr>
        <w:t>算为人民币。</w:t>
      </w:r>
    </w:p>
    <w:p>
      <w:pPr>
        <w:pStyle w:val="Style30"/>
        <w:keepNext/>
        <w:keepLines/>
        <w:widowControl w:val="0"/>
        <w:shd w:val="clear" w:color="auto" w:fill="auto"/>
        <w:tabs>
          <w:tab w:pos="343" w:val="left"/>
        </w:tabs>
        <w:bidi w:val="0"/>
        <w:spacing w:before="0" w:after="28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5</w:t>
      </w:r>
      <w:bookmarkEnd w:id="899"/>
      <w:r>
        <w:rPr>
          <w:color w:val="000000"/>
          <w:spacing w:val="0"/>
          <w:w w:val="100"/>
          <w:position w:val="0"/>
        </w:rPr>
        <w:t>、</w:t>
        <w:tab/>
        <w:t>同一控制下和非同一控制下企业合并的会计处理方法</w:t>
      </w:r>
      <w:bookmarkEnd w:id="897"/>
      <w:bookmarkEnd w:id="898"/>
      <w:bookmarkEnd w:id="900"/>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企业合并分为同一控制下企业合并和非同一控制下企业合并。</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同一控制下企业合并</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参与合并的企业在合并前后均受同一方或相同的多方最终控制，且该控制并非暂时性的，为同一控制下企业合并。同一 控制下企业合并，在合并日取得对其他参与合并企业控制权的一方为合并方，参与合并的其他企业为被合并方。合并日，是 指合并方实际取得对被合并方控制权的日期。</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合并方在同一控制下企业合并中取得的资产和负债（包括最终控制方收购被合并方而形成的商誉），按合并日在最终控 制方财务报表中的账面价值为基础进行相关会计处理。合并方取得的净资产账面价值与支付的合并对价的账面价值（或发行 股份面值总额）的差额，调整资本公积中的股本溢价，不足冲减的则调整留存收益。</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非同一控制下的企业合并</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参与合并的企业在合并前后不受同一方或相同的多方最终控制的，为非同一控制下企业合并。非同一控制下企业合并， 在购买日取得对其他参与合并企业控制权的一方为购买方，参与合并的其他企业为被购买方。购买日，是指购买方实际取得 对被购买方控制权的日期。</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非同一控制下企业合并中所取得的被购买方可辨认资产、负债及或有负债在收购日以公允价值计量。</w:t>
      </w:r>
    </w:p>
    <w:p>
      <w:pPr>
        <w:pStyle w:val="Style17"/>
        <w:keepNext w:val="0"/>
        <w:keepLines w:val="0"/>
        <w:widowControl w:val="0"/>
        <w:shd w:val="clear" w:color="auto" w:fill="auto"/>
        <w:bidi w:val="0"/>
        <w:spacing w:before="0" w:after="380" w:line="313" w:lineRule="exact"/>
        <w:ind w:left="0" w:right="0"/>
        <w:jc w:val="both"/>
      </w:pPr>
      <w:r>
        <w:rPr>
          <w:color w:val="000000"/>
          <w:spacing w:val="0"/>
          <w:w w:val="100"/>
          <w:position w:val="0"/>
        </w:rPr>
        <w:t>支付的合并对价的公允价值（或发行的权益性证券的公允价值）与购买日之前持有的被购买方的股权的公允价值之和大 于合并中取得的被购买方可辨认净资产公允价值份额的差额，确认为商誉，并以成本减去累计减值损失进行后续计量。支付 的合并对价的公允价值（或发行的权益性证券的公允价值）与购买日之前持有的被购买方的股权的公允价值之和小于合并中 取得的被购买方可辨认净资产公允价值份额的，对取得的被购买方各项可辨认资产、负债及或有负债的公允价值以及支付的 合并对价的公允价值（或发行的权益性证券的公允价值）及购买日之前持有的被购买方的股权的公允价值的计量进行复核， 复核后支付的合并对价的公允价值（或发行的权益性证券的公允价值）与购买日之前持有的被购买方的股权的公允价值之和 仍小于合并中取得的被购买方可辨认净资产公允价值份额的，其差额计入当期损益。</w:t>
      </w:r>
    </w:p>
    <w:p>
      <w:pPr>
        <w:pStyle w:val="Style30"/>
        <w:keepNext/>
        <w:keepLines/>
        <w:widowControl w:val="0"/>
        <w:shd w:val="clear" w:color="auto" w:fill="auto"/>
        <w:tabs>
          <w:tab w:pos="343" w:val="left"/>
        </w:tabs>
        <w:bidi w:val="0"/>
        <w:spacing w:before="0" w:after="28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6</w:t>
      </w:r>
      <w:bookmarkEnd w:id="903"/>
      <w:r>
        <w:rPr>
          <w:color w:val="000000"/>
          <w:spacing w:val="0"/>
          <w:w w:val="100"/>
          <w:position w:val="0"/>
        </w:rPr>
        <w:t>、</w:t>
        <w:tab/>
        <w:t>合并财务报表的编制方法</w:t>
      </w:r>
      <w:bookmarkEnd w:id="901"/>
      <w:bookmarkEnd w:id="902"/>
      <w:bookmarkEnd w:id="904"/>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合并财务报表的合并范围以控制为基础确定，包括本公司及全部子公司财务报表。子公司，是指被本公司控制的主体 （含企业、被投资单位中可分割的部分，以及本公司所控制的结构化主体等）。</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编制合并财务报表时，子公司采用与本公司一致的会计年度和会计政策。本公司内部各公司之间的所有交易产生的资 产、负债、权益、收入、费用和现金流量于合并时全额抵销。</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子公司少数股东分担的当期亏损超过了少数股东在该子公司期初股东权益中所享有的份额的，其余额仍冲减少数股东 权益。</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对于通过非同一控制下企业合并取得的子公司，被购买方的经营成果和现金流量自本公司取得控制权之日起纳入合并 财务报表，直至本公司对其控制权终止。在编制合并财务报表时，以购买日确定的各项可辨认资产、负债及或有负债的公允 价值为基础对子公司的财务报表进行调整。</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对于通过同一控制下企业合并取得的子公司及业务，被合并方的经营成果和现金流量自合并当期期初纳入合并财务报 表。编制比较合并财务报表时，对前期财务报表的相关项目进行调整，视同合并后形成的报告主体自最终控制方开始实施控 制时一直存在。</w:t>
      </w:r>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如果相关事实和情况的变化导致对控制要素中的一项或多项发生变化的，本公司重新评估是否控制被投资方。</w:t>
      </w:r>
    </w:p>
    <w:p>
      <w:pPr>
        <w:pStyle w:val="Style17"/>
        <w:keepNext w:val="0"/>
        <w:keepLines w:val="0"/>
        <w:widowControl w:val="0"/>
        <w:shd w:val="clear" w:color="auto" w:fill="auto"/>
        <w:bidi w:val="0"/>
        <w:spacing w:before="0" w:after="140" w:line="314" w:lineRule="exact"/>
        <w:ind w:left="0" w:right="0"/>
        <w:jc w:val="left"/>
      </w:pPr>
      <w:r>
        <w:rPr>
          <w:color w:val="000000"/>
          <w:spacing w:val="0"/>
          <w:w w:val="100"/>
          <w:position w:val="0"/>
        </w:rPr>
        <w:t>不丧失控制权情况下，少数股东权益发生变化作为权益性交易。</w:t>
      </w:r>
    </w:p>
    <w:p>
      <w:pPr>
        <w:pStyle w:val="Style30"/>
        <w:keepNext/>
        <w:keepLines/>
        <w:widowControl w:val="0"/>
        <w:shd w:val="clear" w:color="auto" w:fill="auto"/>
        <w:tabs>
          <w:tab w:pos="344"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7</w:t>
      </w:r>
      <w:bookmarkEnd w:id="907"/>
      <w:r>
        <w:rPr>
          <w:color w:val="000000"/>
          <w:spacing w:val="0"/>
          <w:w w:val="100"/>
          <w:position w:val="0"/>
        </w:rPr>
        <w:t>、</w:t>
        <w:tab/>
        <w:t>合营安排分类及共同经营会计处理方法</w:t>
      </w:r>
      <w:bookmarkEnd w:id="905"/>
      <w:bookmarkEnd w:id="906"/>
      <w:bookmarkEnd w:id="908"/>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合营安排分为共同经营和合营企业。共同经营，是指合营方享有该安排相关资产且承担该安排相关负债的合营安排。合 营企业，是指合营方仅对该安排的净资产享有权利的合营安排。</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合营方确认其与共同经营中利益份额相关的下列项目：确认单独所持有的资产，以及按其份额确认共同持有的资产；确 认单独所承担的负债，以及按其份额确认共同承担的负债；确认出售其享有的共同经营产出份额所产生的收入；按其份额确 认共同经营因出售产出所产生的收入；确认单独所发生的费用，以及按其份额确认共同经营发生的费用。</w:t>
      </w:r>
    </w:p>
    <w:p>
      <w:pPr>
        <w:pStyle w:val="Style30"/>
        <w:keepNext/>
        <w:keepLines/>
        <w:widowControl w:val="0"/>
        <w:shd w:val="clear" w:color="auto" w:fill="auto"/>
        <w:tabs>
          <w:tab w:pos="348"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8</w:t>
      </w:r>
      <w:bookmarkEnd w:id="911"/>
      <w:r>
        <w:rPr>
          <w:color w:val="000000"/>
          <w:spacing w:val="0"/>
          <w:w w:val="100"/>
          <w:position w:val="0"/>
        </w:rPr>
        <w:t>、</w:t>
        <w:tab/>
        <w:t>现金及现金等价物的确定标准</w:t>
      </w:r>
      <w:bookmarkEnd w:id="909"/>
      <w:bookmarkEnd w:id="910"/>
      <w:bookmarkEnd w:id="912"/>
    </w:p>
    <w:p>
      <w:pPr>
        <w:pStyle w:val="Style17"/>
        <w:keepNext w:val="0"/>
        <w:keepLines w:val="0"/>
        <w:widowControl w:val="0"/>
        <w:shd w:val="clear" w:color="auto" w:fill="auto"/>
        <w:bidi w:val="0"/>
        <w:spacing w:before="0" w:after="380" w:line="307" w:lineRule="exact"/>
        <w:ind w:left="0" w:right="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0"/>
        <w:keepNext/>
        <w:keepLines/>
        <w:widowControl w:val="0"/>
        <w:shd w:val="clear" w:color="auto" w:fill="auto"/>
        <w:tabs>
          <w:tab w:pos="348"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9</w:t>
      </w:r>
      <w:bookmarkEnd w:id="915"/>
      <w:r>
        <w:rPr>
          <w:color w:val="000000"/>
          <w:spacing w:val="0"/>
          <w:w w:val="100"/>
          <w:position w:val="0"/>
        </w:rPr>
        <w:t>、</w:t>
        <w:tab/>
        <w:t>外币业务和外币报表折算</w:t>
      </w:r>
      <w:bookmarkEnd w:id="913"/>
      <w:bookmarkEnd w:id="914"/>
      <w:bookmarkEnd w:id="916"/>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本公司对于发生的外币交易，将外币金额折算为记账本位币金额。</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外币交易在初始确认时，采用交易发生日的即期汇率将外币金额折算为记账本位币金额。于资产负债表日，对于外币货 币性项目采用资产负债表日即期汇率折算。由此产生的结算和货币性项目折算差额，除属于与购建符合资本化条件的资产相 关的外币专门借款产生的差额按照借款费用资本化的原则处理外，均计入当期损益。以历史成本计量的外币非货币性项目，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的即期汇率折算，由此产生的差额根据非货币性项目的性质计入当期损益或其他综合收益。</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对于境外经营，本公司在编制财务报表时将其记账本位币折算为人民币：对资产负债表中的资产和负债项目，采用资产 负债表日的即期汇率折算，股东权益项目除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 费用项目，采用交易发生当期平均汇率（除非汇率波动使得采用该汇率折算不适当，则采用交易发生日的即期汇率折算）折 算。按照上述折算产生的外币财务报表折算差额，确认为其他综合收益。处置境外经营时，将与该境外经营相关的其他综合 收益转入处置当期损益，部分处置的按处置比例计算。</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外币现金流量以及境外子公司的现金流量，采用现金流量发生当期平均汇率（除非汇率波动使得采用该汇率折算不适 当，则采用现金流量发生日的即期汇率折算）折算。汇率变动对现金的影响额作为调节项目，在现金流量表中单独列报。</w:t>
      </w:r>
    </w:p>
    <w:p>
      <w:pPr>
        <w:pStyle w:val="Style30"/>
        <w:keepNext/>
        <w:keepLines/>
        <w:widowControl w:val="0"/>
        <w:shd w:val="clear" w:color="auto" w:fill="auto"/>
        <w:tabs>
          <w:tab w:pos="444" w:val="left"/>
        </w:tabs>
        <w:bidi w:val="0"/>
        <w:spacing w:before="0" w:after="28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17"/>
      <w:bookmarkEnd w:id="918"/>
      <w:bookmarkEnd w:id="920"/>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金融工具，是指形成一个企业的金融资产，并形成其他单位的金融负债或权益工具的合同。</w:t>
      </w:r>
    </w:p>
    <w:p>
      <w:pPr>
        <w:pStyle w:val="Style17"/>
        <w:keepNext w:val="0"/>
        <w:keepLines w:val="0"/>
        <w:widowControl w:val="0"/>
        <w:shd w:val="clear" w:color="auto" w:fill="auto"/>
        <w:bidi w:val="0"/>
        <w:spacing w:before="0" w:after="0" w:line="313" w:lineRule="exact"/>
        <w:ind w:left="0" w:right="0"/>
        <w:jc w:val="both"/>
      </w:pPr>
      <w:r>
        <w:rPr>
          <w:b/>
          <w:bCs/>
          <w:color w:val="000000"/>
          <w:spacing w:val="0"/>
          <w:w w:val="100"/>
          <w:position w:val="0"/>
        </w:rPr>
        <w:t>金融工具的确认和终止确认</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本公司于成为金融工具合同的一方时确认一项金融资产或金融负债。</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满足下列条件的，终止确认金融资产（或金融资产的一部分，或一组类似金融资产的一部分），即从其账户和资产负债 表内予以转销：</w:t>
      </w:r>
    </w:p>
    <w:p>
      <w:pPr>
        <w:pStyle w:val="Style17"/>
        <w:keepNext w:val="0"/>
        <w:keepLines w:val="0"/>
        <w:widowControl w:val="0"/>
        <w:shd w:val="clear" w:color="auto" w:fill="auto"/>
        <w:tabs>
          <w:tab w:pos="796" w:val="left"/>
        </w:tabs>
        <w:bidi w:val="0"/>
        <w:spacing w:before="0" w:after="0" w:line="313" w:lineRule="exact"/>
        <w:ind w:left="0" w:right="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收取金融资产现金流量的权利届满；</w:t>
      </w:r>
    </w:p>
    <w:p>
      <w:pPr>
        <w:pStyle w:val="Style17"/>
        <w:keepNext w:val="0"/>
        <w:keepLines w:val="0"/>
        <w:widowControl w:val="0"/>
        <w:shd w:val="clear" w:color="auto" w:fill="auto"/>
        <w:tabs>
          <w:tab w:pos="872" w:val="left"/>
        </w:tabs>
        <w:bidi w:val="0"/>
        <w:spacing w:before="0" w:after="0" w:line="313" w:lineRule="exact"/>
        <w:ind w:left="0" w:right="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转移了收取金融资产现金流量的权利，或在</w:t>
      </w:r>
      <w:r>
        <w:rPr>
          <w:rFonts w:ascii="Times New Roman" w:eastAsia="Times New Roman" w:hAnsi="Times New Roman" w:cs="Times New Roman"/>
          <w:color w:val="000000"/>
          <w:spacing w:val="0"/>
          <w:w w:val="100"/>
          <w:position w:val="0"/>
        </w:rPr>
        <w:t>“</w:t>
      </w:r>
      <w:r>
        <w:rPr>
          <w:color w:val="000000"/>
          <w:spacing w:val="0"/>
          <w:w w:val="100"/>
          <w:position w:val="0"/>
        </w:rPr>
        <w:t>过手协议</w:t>
      </w:r>
      <w:r>
        <w:rPr>
          <w:rFonts w:ascii="Times New Roman" w:eastAsia="Times New Roman" w:hAnsi="Times New Roman" w:cs="Times New Roman"/>
          <w:color w:val="000000"/>
          <w:spacing w:val="0"/>
          <w:w w:val="100"/>
          <w:position w:val="0"/>
        </w:rPr>
        <w:t>”</w:t>
      </w:r>
      <w:r>
        <w:rPr>
          <w:color w:val="000000"/>
          <w:spacing w:val="0"/>
          <w:w w:val="100"/>
          <w:position w:val="0"/>
        </w:rPr>
        <w:t>下承担了及时将收取的现金流量全额支付给第三方的义务； 并且</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实质上转让了金融资产所有权上几乎所有的风险和报酬，或</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虽然实质上既没有转移也没有保留金融资产所有 权上几乎所有的风险和报酬，但放弃了对该金融资产的控制。</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如果金融负债的责任已履行、撤销或届满，则对金融负债进行终止确认。如果现有金融负债被同一债权人以实质上几乎 完全不同条款的另一金融负债所取代，或现有负债的条款几乎全部被实质性修改，则此类替换或修改作为终止确认原负债和 确认新负债处理，差额计入当期损益。</w:t>
      </w:r>
    </w:p>
    <w:p>
      <w:pPr>
        <w:pStyle w:val="Style17"/>
        <w:keepNext w:val="0"/>
        <w:keepLines w:val="0"/>
        <w:widowControl w:val="0"/>
        <w:shd w:val="clear" w:color="auto" w:fill="auto"/>
        <w:bidi w:val="0"/>
        <w:spacing w:before="0" w:after="280" w:line="313" w:lineRule="exact"/>
        <w:ind w:left="0" w:right="0"/>
        <w:jc w:val="both"/>
      </w:pPr>
      <w:r>
        <w:rPr>
          <w:color w:val="000000"/>
          <w:spacing w:val="0"/>
          <w:w w:val="100"/>
          <w:position w:val="0"/>
        </w:rPr>
        <w:t>以常规方式买卖金融资产，按交易日会计进行确认和终止确认。常规方式买卖金融资产，是指按照合同条款的约定，在 法规或通行惯例规定的期限内收取或交付金融资产。交易日，是指本公司承诺买入或卖出金融资产的日期。</w:t>
      </w:r>
    </w:p>
    <w:p>
      <w:pPr>
        <w:pStyle w:val="Style17"/>
        <w:keepNext w:val="0"/>
        <w:keepLines w:val="0"/>
        <w:widowControl w:val="0"/>
        <w:shd w:val="clear" w:color="auto" w:fill="auto"/>
        <w:bidi w:val="0"/>
        <w:spacing w:before="0" w:after="0" w:line="313" w:lineRule="exact"/>
        <w:ind w:left="0" w:right="0"/>
        <w:jc w:val="both"/>
      </w:pPr>
      <w:r>
        <w:rPr>
          <w:b/>
          <w:bCs/>
          <w:color w:val="000000"/>
          <w:spacing w:val="0"/>
          <w:w w:val="100"/>
          <w:position w:val="0"/>
        </w:rPr>
        <w:t>金融资产分类和计量</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本公司的金融资产于初始确认时根据本公司企业管理金融资产的业务模式和金融资产的合同现金流量特征分类为：以 公允价值计量且其变动计入当期损益的金融资产、以摊余成本计量的金融资产、以公允价值计量且其变动计入其他综合收益 的金融资产。当且仅当本公司改变管理金融资产的业务模式时，才对所有受影响的相关金融资产进行重分类。</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金融资产在初始确认时以公允价值计量，但是因销售商品或提供服务等产生的应收账款或应收票据未包含重大融资成 分或不考虑不超过一年的融资成分的，按照交易价格进行初始计量。</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金融资产的后续计量取决于其分类：</w:t>
      </w:r>
    </w:p>
    <w:p>
      <w:pPr>
        <w:pStyle w:val="Style17"/>
        <w:keepNext w:val="0"/>
        <w:keepLines w:val="0"/>
        <w:widowControl w:val="0"/>
        <w:shd w:val="clear" w:color="auto" w:fill="auto"/>
        <w:tabs>
          <w:tab w:pos="790" w:val="left"/>
        </w:tabs>
        <w:bidi w:val="0"/>
        <w:spacing w:before="0" w:after="0" w:line="313" w:lineRule="exact"/>
        <w:ind w:left="0" w:right="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以摊余成本计量的债务工具投资</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金融资产同时符合下列条件的，分类为以摊余成本计量的金融资产：管理该金融资产的业务模式是以收取合同现金流量 为目标；该金融资产的合同条款规定，在特定日期产生的现金流量仅为对本金和以未偿付本金金额为基础的利息的支付。此 类金融资产采用实际利率法确认利息收入，其终止确认、修改或减值产生的利得或损失，均计入当期损益。</w:t>
      </w:r>
    </w:p>
    <w:p>
      <w:pPr>
        <w:pStyle w:val="Style17"/>
        <w:keepNext w:val="0"/>
        <w:keepLines w:val="0"/>
        <w:widowControl w:val="0"/>
        <w:shd w:val="clear" w:color="auto" w:fill="auto"/>
        <w:tabs>
          <w:tab w:pos="790" w:val="left"/>
        </w:tabs>
        <w:bidi w:val="0"/>
        <w:spacing w:before="0" w:after="0" w:line="313" w:lineRule="exact"/>
        <w:ind w:left="0" w:right="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以公允价值计量且其变动计入其他综合收益的债务工具投资</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流量仅为对本金和以未偿付本金金额为基础的利息的支付。此类金融资产采用实际利率法确认利息收入。除利息收入、减值 损失及汇兑差额确认为当期损益外，其余公允价值变动计入其他综合收益。当金融资产终止确认时，之前计入其他综合收益 的累计利得或损失从其他综合收益转出，计入当期损益。</w:t>
      </w:r>
    </w:p>
    <w:p>
      <w:pPr>
        <w:pStyle w:val="Style17"/>
        <w:keepNext w:val="0"/>
        <w:keepLines w:val="0"/>
        <w:widowControl w:val="0"/>
        <w:shd w:val="clear" w:color="auto" w:fill="auto"/>
        <w:tabs>
          <w:tab w:pos="790" w:val="left"/>
        </w:tabs>
        <w:bidi w:val="0"/>
        <w:spacing w:before="0" w:after="0" w:line="313" w:lineRule="exact"/>
        <w:ind w:left="0" w:right="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以公允价值计量且其变动计入其他综合收益的权益工具投资</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本公司不可撤销地选择将部分非交易性权益工具投资指定为以公允价值计量且其变动计入其他综合收益的金融资产， 仅将相关股利收入（明确作为投资成本部分收回的股利收入除外）计入当期损益，公允价值的后续变动计入其他综合收益， 不需计提减值准备。当金融资产终止确认时，之前计入其他综合收益的累计利得或损失从其他综合收益转出，计入留存收益。</w:t>
      </w:r>
    </w:p>
    <w:p>
      <w:pPr>
        <w:pStyle w:val="Style17"/>
        <w:keepNext w:val="0"/>
        <w:keepLines w:val="0"/>
        <w:widowControl w:val="0"/>
        <w:shd w:val="clear" w:color="auto" w:fill="auto"/>
        <w:tabs>
          <w:tab w:pos="790" w:val="left"/>
        </w:tabs>
        <w:bidi w:val="0"/>
        <w:spacing w:before="0" w:after="0" w:line="313" w:lineRule="exact"/>
        <w:ind w:left="0" w:right="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上述以摊余成本计量的金融资产和以公允价值计量且其变动计入其他综合收益的金融资产之外的金融资产，分类为以 公允价值计量且其变动计入当期损益的金融资产。对于此类金融资产，采用公允价值进行后续计量，所有公允价值变动计入 当期损益。</w:t>
      </w:r>
    </w:p>
    <w:p>
      <w:pPr>
        <w:pStyle w:val="Style17"/>
        <w:keepNext w:val="0"/>
        <w:keepLines w:val="0"/>
        <w:widowControl w:val="0"/>
        <w:shd w:val="clear" w:color="auto" w:fill="auto"/>
        <w:bidi w:val="0"/>
        <w:spacing w:before="0" w:after="0" w:line="313" w:lineRule="exact"/>
        <w:ind w:left="0" w:right="0"/>
        <w:jc w:val="both"/>
      </w:pPr>
      <w:r>
        <w:rPr>
          <w:b/>
          <w:bCs/>
          <w:color w:val="000000"/>
          <w:spacing w:val="0"/>
          <w:w w:val="100"/>
          <w:position w:val="0"/>
        </w:rPr>
        <w:t>金融负债分类和计量</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本公司的金融负债于初始确认时分类为：以公允价值计量且其变动计入当期损益的金融负债、其他金融负债。对于以公 允价值计量且其变动计入当期损益的金融负债，相关交易费用直接计入当期损益，其他金融负债的相关交易费用计入其初始 确认金额。</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金融负债的后续计量取决于其分类：</w:t>
      </w:r>
    </w:p>
    <w:p>
      <w:pPr>
        <w:pStyle w:val="Style17"/>
        <w:keepNext w:val="0"/>
        <w:keepLines w:val="0"/>
        <w:widowControl w:val="0"/>
        <w:shd w:val="clear" w:color="auto" w:fill="auto"/>
        <w:tabs>
          <w:tab w:pos="790" w:val="left"/>
        </w:tabs>
        <w:bidi w:val="0"/>
        <w:spacing w:before="0" w:after="0" w:line="313" w:lineRule="exact"/>
        <w:ind w:left="0" w:right="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以公允价值计量且其变动计入当期损益的金融负债</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指定为以公允价值计量且其变动计入当期损益的金融负债。交易性金融负债（含属于金融负债的衍生工具），按照公允价值 进行后续计量，所有公允价值变动均计入当期损益。对于指定为以公允价值计量且其变动计入当期损益的金融负债，按照公 允价值进行后续计量，除由本公司自身信用风险变动引起的公允价值变动计入其他综合收益之外，其他公允价值变动计入当 期损益；如果由本公司自身信用风险变动引起的公允价值变动计入其他综合收益会造成或扩大损益中的会计错配，本公司将 所有公允价值变动（包括自身信用风险变动的影响金额）计入当期损益。</w:t>
      </w:r>
    </w:p>
    <w:p>
      <w:pPr>
        <w:pStyle w:val="Style17"/>
        <w:keepNext w:val="0"/>
        <w:keepLines w:val="0"/>
        <w:widowControl w:val="0"/>
        <w:shd w:val="clear" w:color="auto" w:fill="auto"/>
        <w:tabs>
          <w:tab w:pos="790" w:val="left"/>
        </w:tabs>
        <w:bidi w:val="0"/>
        <w:spacing w:before="0" w:after="0" w:line="313" w:lineRule="exact"/>
        <w:ind w:left="0" w:right="0"/>
        <w:jc w:val="both"/>
      </w:pPr>
      <w:bookmarkStart w:id="928" w:name="bookmark928"/>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其他金融负债</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对于此类金融负债，采用实际利率法，按照摊余成本进行后续计量。</w:t>
      </w:r>
    </w:p>
    <w:p>
      <w:pPr>
        <w:pStyle w:val="Style17"/>
        <w:keepNext w:val="0"/>
        <w:keepLines w:val="0"/>
        <w:widowControl w:val="0"/>
        <w:shd w:val="clear" w:color="auto" w:fill="auto"/>
        <w:bidi w:val="0"/>
        <w:spacing w:before="0" w:after="0" w:line="313" w:lineRule="exact"/>
        <w:ind w:left="0" w:right="0"/>
        <w:jc w:val="both"/>
      </w:pPr>
      <w:r>
        <w:rPr>
          <w:b/>
          <w:bCs/>
          <w:color w:val="000000"/>
          <w:spacing w:val="0"/>
          <w:w w:val="100"/>
          <w:position w:val="0"/>
        </w:rPr>
        <w:t>金融工具减值</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本公司以预期信用损失为基础，对以摊余成本计量的金融资产、以公允价值计量且其变动计入其他综合收益的债务工具 投资进行减值处理并确认损失准备。</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对于不含重大融资成分的应收款项，本公司运用简化计量方法，按照相当于整个存续期内的预期信用损失金额计量损失 准备。</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对于租赁应收款、包含重大融资成分的应收款项，本公司选择运用简化计量方法，按照相当于整个存续期内的预期信用 损失金额计量损失准备。</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除上述采用简化计量方法以外的金融资产，本公司在每个资产负债表日评估其信用风险自初始确认后是否已经显著增 加，如果信用风险自初始确认后未显著增加，处于第一阶段，本公司按照相当于未来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个月内预期信用损失的金额计量损失 准备，并按照账面余额和实际利率计算利息收入；如果信用风险自初始确认后已显著增加但尚未发生信用减值的，处于第二 阶段，本公司按照相当于整个存续期内预期信用损失的金额计量损失准备，并按照账面余额和实际利率计算利息收入；如果 初始确认后发生信用减值的，处于第三阶段，本公司按照相当于整个存续期内预期信用损失的金额计量损失准备，并按照摊 余成本和实际利率计算利息收入。对于资产负债表日只具有较低信用风险的金融工具，本公司假设其信用风险自初始确认后 未显著增加。</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本公司基于单项和组合评估金融工具的预期信用损失。本公司考虑了不同客户的信用风险特征，以账龄组合为基础评估 金融工具的预期信用损失。</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关于本公司对信用风险显著增加判断标准、已发生信用减值资产的定义、预期信用损失计量的假设等披露参见第十节财 务报告附注十的</w:t>
      </w:r>
      <w:r>
        <w:rPr>
          <w:rFonts w:ascii="Times New Roman" w:eastAsia="Times New Roman" w:hAnsi="Times New Roman" w:cs="Times New Roman"/>
          <w:color w:val="000000"/>
          <w:spacing w:val="0"/>
          <w:w w:val="100"/>
          <w:position w:val="0"/>
        </w:rPr>
        <w:t>“</w:t>
      </w:r>
      <w:r>
        <w:rPr>
          <w:color w:val="000000"/>
          <w:spacing w:val="0"/>
          <w:w w:val="100"/>
          <w:position w:val="0"/>
        </w:rPr>
        <w:t>与金融工具相关的风险七</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当本公司不再合理预期能够全部或部分收回金融资产合同现金流量时，本公司直接减记该金融资产的账面余额。</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金融工具抵销</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同时满足下列条件的，金融资产和金融负债以相互抵销后的净额在资产负债表内列示：具有抵销已确认金额的法定权 利，且该种法定权利是当前可执行的；计划以净额结算，或同时变现该金融资产和清偿该金融负债。</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衍生金融工具</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本公司使用衍生金融工具，例如以外汇远期合同对汇率风险进行套期。衍生金融工具初始以衍生交易合同签订当日的公 允价值进行计量，并以其公允价值进行后续计量。公允价值为正数的衍生金融工具确认为一项资产，公允价值为负数的确认 为一项负债。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除与套期会计有关外，衍生工具公允价值变动产生的利得或损失直接计入当期损益。</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金融资产转移</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17"/>
        <w:keepNext w:val="0"/>
        <w:keepLines w:val="0"/>
        <w:widowControl w:val="0"/>
        <w:shd w:val="clear" w:color="auto" w:fill="auto"/>
        <w:bidi w:val="0"/>
        <w:spacing w:before="0" w:after="400" w:line="312" w:lineRule="exact"/>
        <w:ind w:left="0" w:right="0"/>
        <w:jc w:val="both"/>
      </w:pPr>
      <w:r>
        <w:rPr>
          <w:color w:val="000000"/>
          <w:spacing w:val="0"/>
          <w:w w:val="100"/>
          <w:position w:val="0"/>
        </w:rPr>
        <w:t>通过对所转移金融资产提供财务担保方式继续涉入的，按照金融资产的账面价值和财务担保金额两者之中的较低者，确 认继续涉入形成的资产。财务担保金额，是指所收到的对价中，将被要求偿还的最高金额。</w:t>
      </w:r>
    </w:p>
    <w:p>
      <w:pPr>
        <w:pStyle w:val="Style30"/>
        <w:keepNext/>
        <w:keepLines/>
        <w:widowControl w:val="0"/>
        <w:shd w:val="clear" w:color="auto" w:fill="auto"/>
        <w:bidi w:val="0"/>
        <w:spacing w:before="0" w:after="260" w:line="240"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929"/>
      <w:bookmarkEnd w:id="930"/>
      <w:bookmarkEnd w:id="932"/>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存货包括原材料、在产品、发出商品、库存商品和合同履约成本。</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存货按照成本进行初始计量。存货成本包括采购成本、加工成本和其他成本。发出存货，采用加权平均法确定其实际成 本。周转材料包括低值易耗品和包装物等，低值易耗品和包装物采用一次摊销法核算。</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存货的盘存制度采用永续盘存制。</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于资产负债表日，存货按照成本与可变现净值孰低计量，对成本高于可变现净值的，计提存货跌价准备，计入当期损益。 如果以前计提存货跌价准备的影响因素已经消失，使得存货的可变现净值高于其账面价值，则在原已计提的存货跌价准备金 额内，将以前减记的金额予以恢复，转回的金额计入当期损益。</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 的金额。计提存货跌价准备时，产成品按单个存货项目计提，原材料、在产品及周转材料按类别计提。</w:t>
      </w:r>
    </w:p>
    <w:p>
      <w:pPr>
        <w:pStyle w:val="Style30"/>
        <w:keepNext/>
        <w:keepLines/>
        <w:widowControl w:val="0"/>
        <w:shd w:val="clear" w:color="auto" w:fill="auto"/>
        <w:tabs>
          <w:tab w:pos="428" w:val="left"/>
        </w:tabs>
        <w:bidi w:val="0"/>
        <w:spacing w:before="0" w:after="26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合同成本</w:t>
      </w:r>
      <w:bookmarkEnd w:id="933"/>
      <w:bookmarkEnd w:id="934"/>
      <w:bookmarkEnd w:id="936"/>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本公司与合同成本有关的资产包括合同履约成本。根据其流动性，列报在存货中。</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本公司为履行合同发生的成本，不适用存货、固定资产或无形资产等相关准则的规范范围的，且同时满足下列条件的， 作为合同履约成本确认为一项资产：</w:t>
      </w:r>
    </w:p>
    <w:p>
      <w:pPr>
        <w:pStyle w:val="Style17"/>
        <w:keepNext w:val="0"/>
        <w:keepLines w:val="0"/>
        <w:widowControl w:val="0"/>
        <w:shd w:val="clear" w:color="auto" w:fill="auto"/>
        <w:tabs>
          <w:tab w:pos="855" w:val="left"/>
        </w:tabs>
        <w:bidi w:val="0"/>
        <w:spacing w:before="0" w:after="0" w:line="317" w:lineRule="exact"/>
        <w:ind w:left="0" w:right="0" w:firstLine="36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17"/>
        <w:keepNext w:val="0"/>
        <w:keepLines w:val="0"/>
        <w:widowControl w:val="0"/>
        <w:shd w:val="clear" w:color="auto" w:fill="auto"/>
        <w:tabs>
          <w:tab w:pos="759" w:val="left"/>
        </w:tabs>
        <w:bidi w:val="0"/>
        <w:spacing w:before="0" w:after="0" w:line="317" w:lineRule="exact"/>
        <w:ind w:left="0" w:right="0" w:firstLine="36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17"/>
        <w:keepNext w:val="0"/>
        <w:keepLines w:val="0"/>
        <w:widowControl w:val="0"/>
        <w:shd w:val="clear" w:color="auto" w:fill="auto"/>
        <w:tabs>
          <w:tab w:pos="759" w:val="left"/>
        </w:tabs>
        <w:bidi w:val="0"/>
        <w:spacing w:before="0" w:after="0" w:line="317" w:lineRule="exact"/>
        <w:ind w:left="0" w:right="0" w:firstLine="36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本公司对与合同成本有关的资产采用与该资产相关的收入确认相同的基础进行摊销，计入当期损益。</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与合同成本有关的资产，其账面价值高于下列两项差额的，本公司将超出部分计提减值准备，并确认为资产减值损失:</w:t>
      </w:r>
    </w:p>
    <w:p>
      <w:pPr>
        <w:pStyle w:val="Style17"/>
        <w:keepNext w:val="0"/>
        <w:keepLines w:val="0"/>
        <w:widowControl w:val="0"/>
        <w:shd w:val="clear" w:color="auto" w:fill="auto"/>
        <w:tabs>
          <w:tab w:pos="759" w:val="left"/>
        </w:tabs>
        <w:bidi w:val="0"/>
        <w:spacing w:before="0" w:after="0" w:line="317" w:lineRule="exact"/>
        <w:ind w:left="0" w:right="0" w:firstLine="36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w:t>
        <w:tab/>
        <w:t>企业因转让与该资产相关的商品或服务预期能够取得的剩余对价；</w:t>
      </w:r>
    </w:p>
    <w:p>
      <w:pPr>
        <w:pStyle w:val="Style17"/>
        <w:keepNext w:val="0"/>
        <w:keepLines w:val="0"/>
        <w:widowControl w:val="0"/>
        <w:shd w:val="clear" w:color="auto" w:fill="auto"/>
        <w:tabs>
          <w:tab w:pos="759" w:val="left"/>
        </w:tabs>
        <w:bidi w:val="0"/>
        <w:spacing w:before="0" w:after="0" w:line="317" w:lineRule="exact"/>
        <w:ind w:left="0" w:right="0" w:firstLine="36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w:t>
        <w:tab/>
        <w:t>为转让该相关商品或服务估计将要发生的成本。</w:t>
      </w:r>
    </w:p>
    <w:p>
      <w:pPr>
        <w:pStyle w:val="Style17"/>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以前期间减值的因素之后发生变化，使得（</w:t>
      </w:r>
      <w:r>
        <w:rPr>
          <w:rFonts w:ascii="Times New Roman" w:eastAsia="Times New Roman" w:hAnsi="Times New Roman" w:cs="Times New Roman"/>
          <w:color w:val="000000"/>
          <w:spacing w:val="0"/>
          <w:w w:val="100"/>
          <w:position w:val="0"/>
        </w:rPr>
        <w:t>1</w:t>
      </w:r>
      <w:r>
        <w:rPr>
          <w:color w:val="000000"/>
          <w:spacing w:val="0"/>
          <w:w w:val="100"/>
          <w:position w:val="0"/>
        </w:rPr>
        <w:t>）减（</w:t>
      </w:r>
      <w:r>
        <w:rPr>
          <w:rFonts w:ascii="Times New Roman" w:eastAsia="Times New Roman" w:hAnsi="Times New Roman" w:cs="Times New Roman"/>
          <w:color w:val="000000"/>
          <w:spacing w:val="0"/>
          <w:w w:val="100"/>
          <w:position w:val="0"/>
        </w:rPr>
        <w:t>2</w:t>
      </w:r>
      <w:r>
        <w:rPr>
          <w:color w:val="000000"/>
          <w:spacing w:val="0"/>
          <w:w w:val="100"/>
          <w:position w:val="0"/>
        </w:rPr>
        <w:t>）的差额高于该资产账面价值的，应当转回原已计提的资产减值准 备，并计入当期损益，但转回后的资产账面价值不应超过假定不计提减值准备情况下该资产在转回日的账面价值。</w:t>
      </w:r>
    </w:p>
    <w:p>
      <w:pPr>
        <w:pStyle w:val="Style30"/>
        <w:keepNext/>
        <w:keepLines/>
        <w:widowControl w:val="0"/>
        <w:shd w:val="clear" w:color="auto" w:fill="auto"/>
        <w:tabs>
          <w:tab w:pos="428" w:val="left"/>
        </w:tabs>
        <w:bidi w:val="0"/>
        <w:spacing w:before="0" w:after="26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942"/>
      <w:bookmarkEnd w:id="943"/>
      <w:bookmarkEnd w:id="945"/>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长期股权投资包括对子公司投资、合营企业和联营企业的权益性投资。</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长期股权投资在取得时以初始投资成本进行初始计量。通过同一控制下企业合并取得的长期股权投资，以合并日取得被 合并方股东权益在最终控制方合并财务报表中的账面价值的份额作为初始投资成本；初始投资成本与合并对价账面价值之 间差额，调整资本公积（不足冲减的，冲减留存收益）；合并日之前的其他综合收益，在处置该项投资时采用与被投资单位 直接处置相关资产或负债相同的基础进行会计处理，因被投资方除净损益、其他综合收益和利润分配以外的其他股东权益变 动而确认的股东权益，在处置该项投资时转入当期损益；其中，处置后仍为长期股权投资的按比例结转，处置后转换为金融 工具的则全额结转。通过非同一控制下企业合并取得的长期股权投资，以合并成本作为初始投资成本（通过多次交易分步实 现非同一控制下企业合并的，以购买日之前所持被购买方的股权投资的账面价值与购买日新增投资成本之和作为初始投资 成本），合并成本包括购买方付出的资产、发生或承担的负债、发行的权益性证券的公允价值之和，购买日之前持有的因采 用权益法核算而确认的其他综合收益，在处置该项投资时采用与被投资单位直接处置相关资产或负债相同的基础进行会计 处理，因被投资方除净损益、其他综合收益和利润分配以外的其他股东权益变动而确认的股东权益，在处置该项投资时转入 当期损益；其中，处置后仍为长期股权投资的按比例结转，处置后转换为金融工具的则全额结转。除企业合并形成的长期股 权投资以外方式取得的长期股权投资，按照下列方法确定初始投资成本：支付现金取得的，以实际支付的购买价款及与取得 长期股权投资直接相关的费用、税金及其他必要支出作为初始投资成本；发行权益性证券取得的，以发行权益性证券的公允 价值作为初始投资成本。</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本公司能够对被投资单位实施控制的长期股权投资，在本公司个别财务报表中采用成本法核算。控制，是指拥有对被投 资方的权力，通过参与被投资方的相关活动而享有可变回报，并且有能力运用对被投资方的权力影响回报金额。</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采用成本法时，长期股权投资按初始投资成本计价。追加或收回投资的，调整长期股权投资的成本。被投资单位宣告分 派的现金股利或利润，确认为当期投资收益。</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本公司对被投资单位具有共同控制或重大影响的，长期股权投资采用权益法核算。共同控制，是指按照相关约定对某项 安排所共有的控制，并且该安排的相关活动必须经过分享控制权的参与方一致同意后才能决策。重大影响，是指对被投资单 位的财务和经营政策有参与决策的权力，但并不能够控制或者与其他方一起共同控制这些政策的制定。</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 计入当期损益，同时调整长期股权投资的成本。</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采用权益法时，取得长期股权投资后，按照应享有或应分担的被投资单位实现的净损益和其他综合收益的份额，分别确 </w:t>
      </w:r>
      <w:r>
        <w:rPr>
          <w:color w:val="000000"/>
          <w:spacing w:val="0"/>
          <w:w w:val="100"/>
          <w:position w:val="0"/>
        </w:rPr>
        <w:t>认投资损益和其他综合收益并调整长期股权投资的账面价值。在确认应享有被投资单位净损益的份额时，以取得投资时被投 资单位可辨认资产等的公允价值为基础，按照本公司的会计政策及会计期间，并抵销与联营企业及合营企业之间发生的内部 交易损益按照应享有的比例计算归属于投资方的部分（但内部交易损失属于资产减值损失的，应全额确认），对被投资单位 的净利润进行调整后确认，但投出或出售的资产构成业务的除外。按照被投资单位宣告分派的利润或现金股利计算应享有的 部分，相应减少长期股权投资的账面价值。本公司确认被投资单位发生的净亏损，以长期股权投资的账面价值以及其他实质 上构成对被投资单位净投资的长期权益减记至零为限，本公司负有承担额外损失义务的除外。对于被投资单位除净损益、其 他综合收益和利润分配以外股东权益的其他变动，调整长期股权投资的账面价值并计入股东权益。</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处置长期股权投资，其账面价值与实际取得价款的差额，计入当期损益。采用权益法核算的长期股权投资因处置，终止 采用权益法的，原权益法核算的相关其他综合收益采用与被投资单位直接处置相关资产或负债相同的基础进行会计处理，因 被投资方除净损益、其他综合收益和利润分配以外的其他股东权益变动而确认的股东权益，全部转入当期损益；仍采用权益 法的，原权益法核算的相关其他综合收益采用与被投资单位直接处置相关资产或负债相同的基础进行会计处理并按比例转 入当期损益，因被投资方除净损益、其他综合收益和利润分配以外的其他股东权益变动而确认的股东权益</w:t>
      </w:r>
      <w:r>
        <w:rPr>
          <w:color w:val="000000"/>
          <w:spacing w:val="0"/>
          <w:w w:val="100"/>
          <w:position w:val="0"/>
        </w:rPr>
        <w:t>，</w:t>
      </w:r>
      <w:r>
        <w:rPr>
          <w:color w:val="000000"/>
          <w:spacing w:val="0"/>
          <w:w w:val="100"/>
          <w:position w:val="0"/>
        </w:rPr>
        <w:t>按相应的比例转 入当期损益。</w:t>
      </w:r>
    </w:p>
    <w:p>
      <w:pPr>
        <w:pStyle w:val="Style30"/>
        <w:keepNext/>
        <w:keepLines/>
        <w:widowControl w:val="0"/>
        <w:shd w:val="clear" w:color="auto" w:fill="auto"/>
        <w:bidi w:val="0"/>
        <w:spacing w:before="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bookmarkEnd w:id="94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46"/>
      <w:bookmarkEnd w:id="947"/>
      <w:bookmarkEnd w:id="949"/>
    </w:p>
    <w:p>
      <w:pPr>
        <w:pStyle w:val="Style30"/>
        <w:keepNext/>
        <w:keepLines/>
        <w:widowControl w:val="0"/>
        <w:shd w:val="clear" w:color="auto" w:fill="auto"/>
        <w:bidi w:val="0"/>
        <w:spacing w:before="0" w:after="280" w:line="240" w:lineRule="auto"/>
        <w:ind w:left="0" w:right="0" w:firstLine="0"/>
        <w:jc w:val="both"/>
      </w:pPr>
      <w:bookmarkStart w:id="946" w:name="bookmark946"/>
      <w:bookmarkStart w:id="947" w:name="bookmark947"/>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46"/>
      <w:bookmarkEnd w:id="947"/>
      <w:bookmarkEnd w:id="951"/>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固定资产仅在与其有关的经济利益很可能流入本公司，且其成本能够可靠地计量时才予以确认。与固定资产有关的后 续支出，符合该确认条件的，计入固定资产成本，并终止确认被替换部分的账面价值；否则，在发生时计入当期损益。</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固定资产按照成本进行初始计量，并考虑预计弃置费用因素的影响。购置固定资产的成本包括购买价款，相关税费、使固 定资产达到预定可使用状态前所发生的可直接归属于该资产的其他支出。</w:t>
      </w:r>
    </w:p>
    <w:p>
      <w:pPr>
        <w:pStyle w:val="Style30"/>
        <w:keepNext/>
        <w:keepLines/>
        <w:widowControl w:val="0"/>
        <w:shd w:val="clear" w:color="auto" w:fill="auto"/>
        <w:bidi w:val="0"/>
        <w:spacing w:before="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52"/>
      <w:bookmarkEnd w:id="953"/>
      <w:bookmarkEnd w:id="955"/>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15.8%-23.8%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9.5%-31.7%</w:t>
            </w:r>
          </w:p>
        </w:tc>
      </w:tr>
    </w:tbl>
    <w:p>
      <w:pPr>
        <w:pStyle w:val="Style26"/>
        <w:keepNext w:val="0"/>
        <w:keepLines w:val="0"/>
        <w:widowControl w:val="0"/>
        <w:shd w:val="clear" w:color="auto" w:fill="auto"/>
        <w:bidi w:val="0"/>
        <w:spacing w:before="0" w:after="0" w:line="240" w:lineRule="auto"/>
        <w:ind w:left="317" w:right="0" w:firstLine="0"/>
        <w:jc w:val="left"/>
      </w:pPr>
      <w:r>
        <w:rPr>
          <w:color w:val="000000"/>
          <w:spacing w:val="0"/>
          <w:w w:val="100"/>
          <w:position w:val="0"/>
        </w:rPr>
        <w:t>本公司至少于每年年度终了，对固定资产的使用寿命、预计净残值和折旧方法进行复核，必要时进行调整。</w:t>
      </w:r>
    </w:p>
    <w:p>
      <w:pPr>
        <w:widowControl w:val="0"/>
        <w:spacing w:after="359" w:line="1" w:lineRule="exact"/>
      </w:pPr>
    </w:p>
    <w:p>
      <w:pPr>
        <w:pStyle w:val="Style30"/>
        <w:keepNext/>
        <w:keepLines/>
        <w:widowControl w:val="0"/>
        <w:shd w:val="clear" w:color="auto" w:fill="auto"/>
        <w:tabs>
          <w:tab w:pos="436" w:val="left"/>
        </w:tabs>
        <w:bidi w:val="0"/>
        <w:spacing w:before="0" w:after="2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56"/>
      <w:bookmarkEnd w:id="957"/>
      <w:bookmarkEnd w:id="959"/>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在建工程成本按实际工程支出确定，包括在建期间发生的各项必要工程支出、工程达到预定可使用状态前的应予资本 化的借款费用以及其他相关费用等。</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在建工程在达到预定可使用状态时转入固定资产或长期待摊费用。</w:t>
      </w:r>
    </w:p>
    <w:p>
      <w:pPr>
        <w:pStyle w:val="Style30"/>
        <w:keepNext/>
        <w:keepLines/>
        <w:widowControl w:val="0"/>
        <w:shd w:val="clear" w:color="auto" w:fill="auto"/>
        <w:tabs>
          <w:tab w:pos="436" w:val="left"/>
        </w:tabs>
        <w:bidi w:val="0"/>
        <w:spacing w:before="0" w:after="28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60"/>
      <w:bookmarkEnd w:id="961"/>
      <w:bookmarkEnd w:id="963"/>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借款费用，是指本公司因借款而发生的利息及其他相关成本，包括借款利息、折价或者溢价的摊销、辅助费用以及因外 币借款而发生的汇兑差额等。</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可直接归属于符合资本化条件的资产的购建或者生产的借款费用，予以资本化，其他借款费用计入当期损益。符合资本 </w:t>
      </w:r>
      <w:r>
        <w:rPr>
          <w:color w:val="000000"/>
          <w:spacing w:val="0"/>
          <w:w w:val="100"/>
          <w:position w:val="0"/>
        </w:rPr>
        <w:t>化条件的资产，是指需要经过相当长时间的购建或者生产活动才能达到预定可使用或者可销售状态的固定资产、投资性房地 产和存货等资产。</w:t>
      </w:r>
    </w:p>
    <w:p>
      <w:pPr>
        <w:pStyle w:val="Style17"/>
        <w:keepNext w:val="0"/>
        <w:keepLines w:val="0"/>
        <w:widowControl w:val="0"/>
        <w:shd w:val="clear" w:color="auto" w:fill="auto"/>
        <w:bidi w:val="0"/>
        <w:spacing w:before="0" w:line="315" w:lineRule="exact"/>
        <w:ind w:left="0" w:right="0"/>
        <w:jc w:val="left"/>
      </w:pPr>
      <w:r>
        <w:rPr>
          <w:color w:val="000000"/>
          <w:spacing w:val="0"/>
          <w:w w:val="100"/>
          <w:position w:val="0"/>
        </w:rPr>
        <w:t>借款费用同时满足下列条件的，才能开始资本化：</w:t>
      </w:r>
    </w:p>
    <w:p>
      <w:pPr>
        <w:pStyle w:val="Style17"/>
        <w:keepNext w:val="0"/>
        <w:keepLines w:val="0"/>
        <w:widowControl w:val="0"/>
        <w:numPr>
          <w:ilvl w:val="0"/>
          <w:numId w:val="29"/>
        </w:numPr>
        <w:shd w:val="clear" w:color="auto" w:fill="auto"/>
        <w:tabs>
          <w:tab w:pos="867" w:val="left"/>
        </w:tabs>
        <w:bidi w:val="0"/>
        <w:spacing w:before="0" w:after="0"/>
        <w:ind w:left="0" w:right="0"/>
        <w:jc w:val="left"/>
      </w:pPr>
      <w:bookmarkStart w:id="964" w:name="bookmark964"/>
      <w:bookmarkEnd w:id="964"/>
      <w:r>
        <w:rPr>
          <w:color w:val="000000"/>
          <w:spacing w:val="0"/>
          <w:w w:val="100"/>
          <w:position w:val="0"/>
        </w:rPr>
        <w:t>资产支出已经发生；</w:t>
      </w:r>
    </w:p>
    <w:p>
      <w:pPr>
        <w:pStyle w:val="Style17"/>
        <w:keepNext w:val="0"/>
        <w:keepLines w:val="0"/>
        <w:widowControl w:val="0"/>
        <w:numPr>
          <w:ilvl w:val="0"/>
          <w:numId w:val="29"/>
        </w:numPr>
        <w:shd w:val="clear" w:color="auto" w:fill="auto"/>
        <w:tabs>
          <w:tab w:pos="867" w:val="left"/>
        </w:tabs>
        <w:bidi w:val="0"/>
        <w:spacing w:before="0" w:after="0"/>
        <w:ind w:left="0" w:right="0"/>
        <w:jc w:val="left"/>
      </w:pPr>
      <w:bookmarkStart w:id="965" w:name="bookmark965"/>
      <w:bookmarkEnd w:id="965"/>
      <w:r>
        <w:rPr>
          <w:color w:val="000000"/>
          <w:spacing w:val="0"/>
          <w:w w:val="100"/>
          <w:position w:val="0"/>
        </w:rPr>
        <w:t>借款费用已经发生；</w:t>
      </w:r>
    </w:p>
    <w:p>
      <w:pPr>
        <w:pStyle w:val="Style17"/>
        <w:keepNext w:val="0"/>
        <w:keepLines w:val="0"/>
        <w:widowControl w:val="0"/>
        <w:numPr>
          <w:ilvl w:val="0"/>
          <w:numId w:val="29"/>
        </w:numPr>
        <w:shd w:val="clear" w:color="auto" w:fill="auto"/>
        <w:tabs>
          <w:tab w:pos="867" w:val="left"/>
        </w:tabs>
        <w:bidi w:val="0"/>
        <w:spacing w:before="0" w:after="0"/>
        <w:ind w:left="0" w:right="0"/>
        <w:jc w:val="left"/>
      </w:pPr>
      <w:bookmarkStart w:id="966" w:name="bookmark966"/>
      <w:bookmarkEnd w:id="966"/>
      <w:r>
        <w:rPr>
          <w:color w:val="000000"/>
          <w:spacing w:val="0"/>
          <w:w w:val="100"/>
          <w:position w:val="0"/>
        </w:rPr>
        <w:t>为使资产达到预定可使用或者可销售状态所必要的购建或者生产活动已经开始。</w:t>
      </w:r>
    </w:p>
    <w:p>
      <w:pPr>
        <w:pStyle w:val="Style17"/>
        <w:keepNext w:val="0"/>
        <w:keepLines w:val="0"/>
        <w:widowControl w:val="0"/>
        <w:shd w:val="clear" w:color="auto" w:fill="auto"/>
        <w:bidi w:val="0"/>
        <w:spacing w:before="0" w:after="0" w:line="315" w:lineRule="exact"/>
        <w:ind w:left="0" w:right="0"/>
        <w:jc w:val="left"/>
      </w:pPr>
      <w:r>
        <w:rPr>
          <w:color w:val="000000"/>
          <w:spacing w:val="0"/>
          <w:w w:val="100"/>
          <w:position w:val="0"/>
        </w:rPr>
        <w:t>购建或者生产符合资本化条件的资产达到预定可使用或者可销售状态时，借款费用停止资本化。之后发生的借款费用计 入当期损益。</w:t>
      </w:r>
    </w:p>
    <w:p>
      <w:pPr>
        <w:pStyle w:val="Style17"/>
        <w:keepNext w:val="0"/>
        <w:keepLines w:val="0"/>
        <w:widowControl w:val="0"/>
        <w:shd w:val="clear" w:color="auto" w:fill="auto"/>
        <w:bidi w:val="0"/>
        <w:spacing w:before="0" w:line="315" w:lineRule="exact"/>
        <w:ind w:left="0" w:right="0"/>
        <w:jc w:val="left"/>
      </w:pPr>
      <w:r>
        <w:rPr>
          <w:color w:val="000000"/>
          <w:spacing w:val="0"/>
          <w:w w:val="100"/>
          <w:position w:val="0"/>
        </w:rPr>
        <w:t>在资本化期间内，每一会计期间的利息资本化金额，按照下列方法确定：</w:t>
      </w:r>
    </w:p>
    <w:p>
      <w:pPr>
        <w:pStyle w:val="Style17"/>
        <w:keepNext w:val="0"/>
        <w:keepLines w:val="0"/>
        <w:widowControl w:val="0"/>
        <w:numPr>
          <w:ilvl w:val="0"/>
          <w:numId w:val="31"/>
        </w:numPr>
        <w:shd w:val="clear" w:color="auto" w:fill="auto"/>
        <w:tabs>
          <w:tab w:pos="867" w:val="left"/>
        </w:tabs>
        <w:bidi w:val="0"/>
        <w:spacing w:before="0" w:after="0"/>
        <w:ind w:left="0" w:right="0"/>
        <w:jc w:val="left"/>
      </w:pPr>
      <w:bookmarkStart w:id="967" w:name="bookmark967"/>
      <w:bookmarkEnd w:id="967"/>
      <w:r>
        <w:rPr>
          <w:color w:val="000000"/>
          <w:spacing w:val="0"/>
          <w:w w:val="100"/>
          <w:position w:val="0"/>
        </w:rPr>
        <w:t>专门借款以当期实际发生的利息费用，减去暂时性的存款利息收入或投资收益后的金额确定。</w:t>
      </w:r>
    </w:p>
    <w:p>
      <w:pPr>
        <w:pStyle w:val="Style17"/>
        <w:keepNext w:val="0"/>
        <w:keepLines w:val="0"/>
        <w:widowControl w:val="0"/>
        <w:numPr>
          <w:ilvl w:val="0"/>
          <w:numId w:val="31"/>
        </w:numPr>
        <w:shd w:val="clear" w:color="auto" w:fill="auto"/>
        <w:tabs>
          <w:tab w:pos="867" w:val="left"/>
        </w:tabs>
        <w:bidi w:val="0"/>
        <w:spacing w:before="0" w:after="0" w:line="315" w:lineRule="exact"/>
        <w:ind w:left="0" w:right="0"/>
        <w:jc w:val="left"/>
      </w:pPr>
      <w:bookmarkStart w:id="968" w:name="bookmark968"/>
      <w:bookmarkEnd w:id="968"/>
      <w:r>
        <w:rPr>
          <w:color w:val="000000"/>
          <w:spacing w:val="0"/>
          <w:w w:val="100"/>
          <w:position w:val="0"/>
        </w:rPr>
        <w:t>占用的一般借款，根据累计资产支出超过专门借款部分的资产支出加权平均数乘以所占用一般借款的加权平均利 率计算确定。</w:t>
      </w:r>
    </w:p>
    <w:p>
      <w:pPr>
        <w:pStyle w:val="Style17"/>
        <w:keepNext w:val="0"/>
        <w:keepLines w:val="0"/>
        <w:widowControl w:val="0"/>
        <w:shd w:val="clear" w:color="auto" w:fill="auto"/>
        <w:bidi w:val="0"/>
        <w:spacing w:before="0" w:after="380" w:line="315" w:lineRule="exact"/>
        <w:ind w:left="0" w:right="0"/>
        <w:jc w:val="left"/>
      </w:pPr>
      <w:r>
        <w:rPr>
          <w:color w:val="000000"/>
          <w:spacing w:val="0"/>
          <w:w w:val="100"/>
          <w:position w:val="0"/>
        </w:rPr>
        <w:t>符合资本化条件的资产在购建或者生产过程中，发生除达到预定可使用或者可销售状态必要的程序之外的非正常中断、 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个月的，暂停借款费用的资本化。在中断期间发生的借款费用确认为费用，计入当期损益，直至资产 的购建或者生产活动重新开始。</w:t>
      </w:r>
    </w:p>
    <w:p>
      <w:pPr>
        <w:pStyle w:val="Style30"/>
        <w:keepNext/>
        <w:keepLines/>
        <w:widowControl w:val="0"/>
        <w:shd w:val="clear" w:color="auto" w:fill="auto"/>
        <w:tabs>
          <w:tab w:pos="472" w:val="left"/>
        </w:tabs>
        <w:bidi w:val="0"/>
        <w:spacing w:before="0" w:after="28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rFonts w:ascii="Times New Roman" w:eastAsia="Times New Roman" w:hAnsi="Times New Roman" w:cs="Times New Roman"/>
          <w:color w:val="000000"/>
          <w:spacing w:val="0"/>
          <w:w w:val="100"/>
          <w:position w:val="0"/>
        </w:rPr>
        <w:t>7</w:t>
      </w:r>
      <w:r>
        <w:rPr>
          <w:color w:val="000000"/>
          <w:spacing w:val="0"/>
          <w:w w:val="100"/>
          <w:position w:val="0"/>
        </w:rPr>
        <w:t>、</w:t>
        <w:tab/>
        <w:t>使用权资产</w:t>
      </w:r>
      <w:bookmarkEnd w:id="969"/>
      <w:bookmarkEnd w:id="970"/>
      <w:bookmarkEnd w:id="972"/>
    </w:p>
    <w:p>
      <w:pPr>
        <w:pStyle w:val="Style17"/>
        <w:keepNext w:val="0"/>
        <w:keepLines w:val="0"/>
        <w:widowControl w:val="0"/>
        <w:shd w:val="clear" w:color="auto" w:fill="auto"/>
        <w:bidi w:val="0"/>
        <w:spacing w:before="0" w:after="0" w:line="310" w:lineRule="exact"/>
        <w:ind w:left="0" w:right="0"/>
        <w:jc w:val="left"/>
      </w:pPr>
      <w:r>
        <w:rPr>
          <w:color w:val="000000"/>
          <w:spacing w:val="0"/>
          <w:w w:val="100"/>
          <w:position w:val="0"/>
        </w:rPr>
        <w:t>本公司使用权资产类别主要包括房屋建筑物、机器设备。</w:t>
      </w:r>
    </w:p>
    <w:p>
      <w:pPr>
        <w:pStyle w:val="Style17"/>
        <w:keepNext w:val="0"/>
        <w:keepLines w:val="0"/>
        <w:widowControl w:val="0"/>
        <w:shd w:val="clear" w:color="auto" w:fill="auto"/>
        <w:bidi w:val="0"/>
        <w:spacing w:before="0" w:after="0" w:line="310" w:lineRule="exact"/>
        <w:ind w:left="0" w:right="0"/>
        <w:jc w:val="left"/>
      </w:pPr>
      <w:r>
        <w:rPr>
          <w:color w:val="000000"/>
          <w:spacing w:val="0"/>
          <w:w w:val="100"/>
          <w:position w:val="0"/>
        </w:rPr>
        <w:t>在租赁期开始日，本公司将其可在租赁期内使用租赁资产的权利确认为使用权资产，包括：租赁负债的初始计量金额； 在租赁期开始日或之前支付的租赁付款额，存在租赁激励的，扣除已享受的租赁激励相关金额;承租人发生的初始直接费用； 承租人为拆卸及移除租赁资产、复原租赁资产所在场地或将租赁资产恢复至租赁条款约定状态预计将发生的成本。本公司后 续采用年限平均法对使用权资产计提折旧。能够合理确定租赁期届满时取得租赁资产所有权的，本公司在租赁资产剩余使用 寿命内计提折旧。无法合理确定租赁期届满时能够取得租赁资产所有权的，本公司在租赁期与租赁资产剩余使用寿命两者孰 短的期间内计提折旧。</w:t>
      </w:r>
    </w:p>
    <w:p>
      <w:pPr>
        <w:pStyle w:val="Style17"/>
        <w:keepNext w:val="0"/>
        <w:keepLines w:val="0"/>
        <w:widowControl w:val="0"/>
        <w:shd w:val="clear" w:color="auto" w:fill="auto"/>
        <w:bidi w:val="0"/>
        <w:spacing w:before="0" w:after="380" w:line="310" w:lineRule="exact"/>
        <w:ind w:left="0" w:right="0"/>
        <w:jc w:val="left"/>
      </w:pPr>
      <w:r>
        <w:rPr>
          <w:color w:val="000000"/>
          <w:spacing w:val="0"/>
          <w:w w:val="100"/>
          <w:position w:val="0"/>
        </w:rPr>
        <w:t>本公司按照变动后的租赁付款额的现值重新计量租赁负债，并相应调整使用权资产的账面价值时，如使用权资产账面价 值已调减至零，但租赁负债仍需进一步调减的，本公司将剩余金额计入当期损益。</w:t>
      </w:r>
    </w:p>
    <w:p>
      <w:pPr>
        <w:pStyle w:val="Style30"/>
        <w:keepNext/>
        <w:keepLines/>
        <w:widowControl w:val="0"/>
        <w:shd w:val="clear" w:color="auto" w:fill="auto"/>
        <w:tabs>
          <w:tab w:pos="472" w:val="left"/>
        </w:tabs>
        <w:bidi w:val="0"/>
        <w:spacing w:before="0" w:after="3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973"/>
      <w:bookmarkEnd w:id="974"/>
      <w:bookmarkEnd w:id="976"/>
    </w:p>
    <w:p>
      <w:pPr>
        <w:pStyle w:val="Style30"/>
        <w:keepNext/>
        <w:keepLines/>
        <w:widowControl w:val="0"/>
        <w:numPr>
          <w:ilvl w:val="0"/>
          <w:numId w:val="33"/>
        </w:numPr>
        <w:shd w:val="clear" w:color="auto" w:fill="auto"/>
        <w:bidi w:val="0"/>
        <w:spacing w:before="0" w:after="280" w:line="240" w:lineRule="auto"/>
        <w:ind w:left="0" w:right="0" w:firstLine="0"/>
        <w:jc w:val="left"/>
      </w:pPr>
      <w:bookmarkStart w:id="973" w:name="bookmark973"/>
      <w:bookmarkStart w:id="974" w:name="bookmark974"/>
      <w:bookmarkStart w:id="977" w:name="bookmark977"/>
      <w:bookmarkStart w:id="978" w:name="bookmark978"/>
      <w:bookmarkEnd w:id="977"/>
      <w:r>
        <w:rPr>
          <w:color w:val="000000"/>
          <w:spacing w:val="0"/>
          <w:w w:val="100"/>
          <w:position w:val="0"/>
        </w:rPr>
        <w:t>计价方法、使用寿命、减值测试</w:t>
      </w:r>
      <w:bookmarkEnd w:id="973"/>
      <w:bookmarkEnd w:id="974"/>
      <w:bookmarkEnd w:id="978"/>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无形资产仅在与其有关的经济利益很可能流入本公司，且其成本能够可靠地计量时才予以确认，并以成本进行初始计 量。但非同一控制下企业合并中取得的无形资产，其公允价值能够可靠地计量的，即单独确认为无形资产并按照公允价值计 量。</w:t>
      </w:r>
    </w:p>
    <w:p>
      <w:pPr>
        <w:pStyle w:val="Style17"/>
        <w:keepNext w:val="0"/>
        <w:keepLines w:val="0"/>
        <w:widowControl w:val="0"/>
        <w:shd w:val="clear" w:color="auto" w:fill="auto"/>
        <w:bidi w:val="0"/>
        <w:spacing w:before="0" w:line="310" w:lineRule="exact"/>
        <w:ind w:left="0" w:right="0"/>
        <w:jc w:val="both"/>
      </w:pPr>
      <w:r>
        <w:rPr>
          <w:color w:val="000000"/>
          <w:spacing w:val="0"/>
          <w:w w:val="100"/>
          <w:position w:val="0"/>
        </w:rPr>
        <w:t>无形资产按照其能为本公司带来经济利益的期限确定使用寿命，无法预见其为本公司带来经济利益期限的作为使用寿</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命不确定的无形资产。</w:t>
      </w:r>
    </w:p>
    <w:p>
      <w:pPr>
        <w:pStyle w:val="Style2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各项无形资产的使用寿命如下:</w:t>
      </w:r>
    </w:p>
    <w:tbl>
      <w:tblPr>
        <w:tblOverlap w:val="never"/>
        <w:jc w:val="left"/>
        <w:tblLayout w:type="fixed"/>
      </w:tblPr>
      <w:tblGrid>
        <w:gridCol w:w="4157"/>
        <w:gridCol w:w="4157"/>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使用寿命</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10-2 </w:t>
            </w:r>
            <w:r>
              <w:rPr>
                <w:rFonts w:ascii="Times New Roman" w:eastAsia="Times New Roman" w:hAnsi="Times New Roman" w:cs="Times New Roman"/>
                <w:color w:val="000000"/>
                <w:spacing w:val="0"/>
                <w:w w:val="100"/>
                <w:position w:val="0"/>
              </w:rPr>
              <w:t xml:space="preserve">0 </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r>
              <w:rPr>
                <w:color w:val="000000"/>
                <w:spacing w:val="0"/>
                <w:w w:val="100"/>
                <w:position w:val="0"/>
              </w:rPr>
              <w:t>年</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非专利技术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3-10 </w:t>
            </w:r>
            <w:r>
              <w:rPr>
                <w:color w:val="000000"/>
                <w:spacing w:val="0"/>
                <w:w w:val="100"/>
                <w:position w:val="0"/>
              </w:rPr>
              <w:t>年</w:t>
            </w:r>
          </w:p>
        </w:tc>
      </w:tr>
    </w:tbl>
    <w:p>
      <w:pPr>
        <w:pStyle w:val="Style17"/>
        <w:keepNext w:val="0"/>
        <w:keepLines w:val="0"/>
        <w:widowControl w:val="0"/>
        <w:shd w:val="clear" w:color="auto" w:fill="auto"/>
        <w:bidi w:val="0"/>
        <w:spacing w:before="0" w:after="400" w:line="312" w:lineRule="exact"/>
        <w:ind w:left="0" w:right="0"/>
        <w:jc w:val="both"/>
      </w:pPr>
      <w:r>
        <w:rPr>
          <w:color w:val="000000"/>
          <w:spacing w:val="0"/>
          <w:w w:val="100"/>
          <w:position w:val="0"/>
        </w:rPr>
        <w:t>使用寿命有限的无形资产，在其使用寿命内采用直线法摊销。本公司至少于每年年度终了，对使用寿命有限的无形资产 的使用寿命及摊销方法进行复核，必要时进行调整。</w:t>
      </w:r>
    </w:p>
    <w:p>
      <w:pPr>
        <w:pStyle w:val="Style30"/>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9"/>
      <w:bookmarkEnd w:id="980"/>
      <w:bookmarkEnd w:id="982"/>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本公司将内部研究开发项目的支出，区分为研究阶段支出和开发阶段支出。研究阶段的支出，于发生时计入当期损益。 开发阶段的支出，只有在同时满足下列条件时，才能予以资本化，即：完成该无形资产以使其能够使用或出售在技术上具有 可行性；具有完成该无形资产并使用或出售的意图；无形资产产生经济利益的方式，包括能够证明运用该无形资产生产的产 品存在市场或无形资产自身存在市场，无形资产将在内部使用的，能够证明其有用性；有足够的技术、财务资源和其他资源 支持，以完成该无形资产的开发，并有能力使用或出售该无形资产；归属于该无形资产开发阶段的支出能够可靠地计量。不 满足上述条件的开发支出，于发生时计入当期损益。</w:t>
      </w:r>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本公司相应项目通过技术可行性及经济可行性研究，在小试环节进入开发阶段。满足资本化条件的开发阶段支出在资产 负债表上列示为开发支出，自该项目达到预定可使用状态之日起转为无形资产。</w:t>
      </w:r>
    </w:p>
    <w:p>
      <w:pPr>
        <w:pStyle w:val="Style17"/>
        <w:keepNext w:val="0"/>
        <w:keepLines w:val="0"/>
        <w:widowControl w:val="0"/>
        <w:shd w:val="clear" w:color="auto" w:fill="auto"/>
        <w:bidi w:val="0"/>
        <w:spacing w:before="0" w:after="400" w:line="34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医疗器械业务</w:t>
      </w:r>
      <w:r>
        <w:rPr>
          <w:rFonts w:ascii="Times New Roman" w:eastAsia="Times New Roman" w:hAnsi="Times New Roman" w:cs="Times New Roman"/>
          <w:color w:val="000000"/>
          <w:spacing w:val="0"/>
          <w:w w:val="100"/>
          <w:position w:val="0"/>
        </w:rPr>
        <w:t>”</w:t>
      </w:r>
      <w:r>
        <w:rPr>
          <w:color w:val="000000"/>
          <w:spacing w:val="0"/>
          <w:w w:val="100"/>
          <w:position w:val="0"/>
        </w:rPr>
        <w:t>的披露要求 无</w:t>
      </w:r>
    </w:p>
    <w:p>
      <w:pPr>
        <w:pStyle w:val="Style30"/>
        <w:keepNext/>
        <w:keepLines/>
        <w:widowControl w:val="0"/>
        <w:shd w:val="clear" w:color="auto" w:fill="auto"/>
        <w:tabs>
          <w:tab w:pos="436" w:val="left"/>
        </w:tabs>
        <w:bidi w:val="0"/>
        <w:spacing w:before="0" w:after="28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1</w:t>
      </w:r>
      <w:bookmarkEnd w:id="985"/>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983"/>
      <w:bookmarkEnd w:id="984"/>
      <w:bookmarkEnd w:id="986"/>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本公司对除存货、与合同成本有关的资产、递延所得税、金融资产外的资产减值，按以下方法确定：</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本公司于资产负债表日判断资产是否存在可能发生减值的迹象，存在减值迹象的，本公司将估计其可收回金额，进行减 值测试。对因企业合并所形成的商誉和使用寿命不确定的无形资产，无论是否存在减值迹象，至少于每年末进行减值测试。 对于尚未达到可使用状态的无形资产，也每年进行减值测试。</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可收回金额根据资产的公允价值减去处置费用后的净额与资产预计未来现金流量的现值两者之间较高者确定。本公司 以单项资产为基础估计其可收回金额；难以对单项资产的可收回金额进行估计的，以该资产所属的资产组为基础确定资产组 的可收回金额。资产组的认定，以资产组产生的主要现金流入是否独立于其他资产或者资产组的现金流入为依据。</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当资产或者资产组的可收回金额低于其账面价值时，本公司将其账面价值减记至可收回金额，减记的金额计入当期损 益，同时计提相应的资产减值准备。</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以分摊至相关的资产组的，将其分摊至相关的资产组组合。相关的资产组或者资产组组合，是能够从企业合并的协同效应中 受益的资产组或者资产组组合，且不大于本公司确定的报告分部。</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对包含商誉的相关资产组或者资产组组合进行减值测试时，如与商誉相关的资产组或者资产组组合存在减值迹象的，首 先对不包含商誉的资产组或者资产组组合进行减值测试，计算可收回金额，确认相应的减值损失。然后对包含商誉的资产组 或者资产组组合进行减值测试，比较其账面价值与可收回金额，如可收回金额低于账面价值的，减值损失金额首先抵减分摊 至资产组或者资产组组合中商誉的账面价值，再根据资产组或者资产组组合中除商誉之外的其他各项资产的账面价值所占 比重，按比例抵减其他各项资产的账面价值。</w:t>
      </w:r>
    </w:p>
    <w:p>
      <w:pPr>
        <w:pStyle w:val="Style17"/>
        <w:keepNext w:val="0"/>
        <w:keepLines w:val="0"/>
        <w:widowControl w:val="0"/>
        <w:shd w:val="clear" w:color="auto" w:fill="auto"/>
        <w:bidi w:val="0"/>
        <w:spacing w:before="0" w:after="400" w:line="311" w:lineRule="exact"/>
        <w:ind w:left="0" w:right="0"/>
        <w:jc w:val="both"/>
      </w:pPr>
      <w:r>
        <w:rPr>
          <w:color w:val="000000"/>
          <w:spacing w:val="0"/>
          <w:w w:val="100"/>
          <w:position w:val="0"/>
        </w:rPr>
        <w:t>上述资产减值损失一经确认，在以后会计期间不再转回。</w:t>
      </w:r>
    </w:p>
    <w:p>
      <w:pPr>
        <w:pStyle w:val="Style30"/>
        <w:keepNext/>
        <w:keepLines/>
        <w:widowControl w:val="0"/>
        <w:shd w:val="clear" w:color="auto" w:fill="auto"/>
        <w:tabs>
          <w:tab w:pos="445"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87"/>
      <w:bookmarkEnd w:id="988"/>
      <w:bookmarkEnd w:id="990"/>
    </w:p>
    <w:p>
      <w:pPr>
        <w:pStyle w:val="Style17"/>
        <w:keepNext w:val="0"/>
        <w:keepLines w:val="0"/>
        <w:widowControl w:val="0"/>
        <w:shd w:val="clear" w:color="auto" w:fill="auto"/>
        <w:bidi w:val="0"/>
        <w:spacing w:before="0" w:after="400" w:line="311" w:lineRule="exact"/>
        <w:ind w:left="0" w:right="0"/>
        <w:jc w:val="left"/>
      </w:pPr>
      <w:r>
        <w:rPr>
          <w:color w:val="000000"/>
          <w:spacing w:val="0"/>
          <w:w w:val="100"/>
          <w:position w:val="0"/>
        </w:rPr>
        <w:t>长期待摊费用包括租赁及自有房屋建筑物装修支出、自有设备改良支出，采用直线法按</w:t>
      </w:r>
      <w:r>
        <w:rPr>
          <w:rFonts w:ascii="Times New Roman" w:eastAsia="Times New Roman" w:hAnsi="Times New Roman" w:cs="Times New Roman"/>
          <w:color w:val="000000"/>
          <w:spacing w:val="0"/>
          <w:w w:val="100"/>
          <w:position w:val="0"/>
        </w:rPr>
        <w:t>5</w:t>
      </w:r>
      <w:r>
        <w:rPr>
          <w:color w:val="000000"/>
          <w:spacing w:val="0"/>
          <w:w w:val="100"/>
          <w:position w:val="0"/>
        </w:rPr>
        <w:t>年摊销。</w:t>
      </w:r>
    </w:p>
    <w:p>
      <w:pPr>
        <w:pStyle w:val="Style30"/>
        <w:keepNext/>
        <w:keepLines/>
        <w:widowControl w:val="0"/>
        <w:shd w:val="clear" w:color="auto" w:fill="auto"/>
        <w:tabs>
          <w:tab w:pos="445" w:val="left"/>
        </w:tabs>
        <w:bidi w:val="0"/>
        <w:spacing w:before="0" w:after="2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991"/>
      <w:bookmarkEnd w:id="992"/>
      <w:bookmarkEnd w:id="994"/>
    </w:p>
    <w:p>
      <w:pPr>
        <w:pStyle w:val="Style17"/>
        <w:keepNext w:val="0"/>
        <w:keepLines w:val="0"/>
        <w:widowControl w:val="0"/>
        <w:shd w:val="clear" w:color="auto" w:fill="auto"/>
        <w:bidi w:val="0"/>
        <w:spacing w:before="0" w:after="280" w:line="311" w:lineRule="exact"/>
        <w:ind w:left="0" w:right="0"/>
        <w:jc w:val="left"/>
      </w:pPr>
      <w:r>
        <w:rPr>
          <w:color w:val="000000"/>
          <w:spacing w:val="0"/>
          <w:w w:val="100"/>
          <w:position w:val="0"/>
        </w:rPr>
        <w:t>本公司根据履行履约义务与客户付款之间的关系在资产负债表中列示合同负债。</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合同负债是指已收或应收客户对价而应向客户转让商品或服务的义务，如企业在转让承诺的商品或服务之前已收取的 款项。</w:t>
      </w:r>
    </w:p>
    <w:p>
      <w:pPr>
        <w:pStyle w:val="Style30"/>
        <w:keepNext/>
        <w:keepLines/>
        <w:widowControl w:val="0"/>
        <w:shd w:val="clear" w:color="auto" w:fill="auto"/>
        <w:tabs>
          <w:tab w:pos="483" w:val="left"/>
        </w:tabs>
        <w:bidi w:val="0"/>
        <w:spacing w:before="0" w:after="3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95"/>
      <w:bookmarkEnd w:id="996"/>
      <w:bookmarkEnd w:id="998"/>
    </w:p>
    <w:p>
      <w:pPr>
        <w:pStyle w:val="Style30"/>
        <w:keepNext/>
        <w:keepLines/>
        <w:widowControl w:val="0"/>
        <w:shd w:val="clear" w:color="auto" w:fill="auto"/>
        <w:tabs>
          <w:tab w:pos="493" w:val="left"/>
        </w:tabs>
        <w:bidi w:val="0"/>
        <w:spacing w:before="0" w:after="280" w:line="240" w:lineRule="auto"/>
        <w:ind w:left="0" w:right="0" w:firstLine="0"/>
        <w:jc w:val="left"/>
      </w:pPr>
      <w:bookmarkStart w:id="1000" w:name="bookmark1000"/>
      <w:bookmarkStart w:id="995" w:name="bookmark995"/>
      <w:bookmarkStart w:id="996" w:name="bookmark996"/>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00"/>
      <w:bookmarkEnd w:id="995"/>
      <w:bookmarkEnd w:id="996"/>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职工薪酬，指本公司为获得职工提供的服务或解除劳动关系而给予的各种形式的报酬或补偿。职工薪酬包括短期薪酬、 离职后福利、辞退福利和其他长期职工福利。本公司提供给职工配偶、子女、受赡养人、已故员工遗属及其他受益人等的福 利，也属于职工薪酬。</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在职工提供服务的会计期间，将实际发生的短期薪酬确认为负债，并计入当期损益或相关资产成本。</w:t>
      </w:r>
    </w:p>
    <w:p>
      <w:pPr>
        <w:pStyle w:val="Style30"/>
        <w:keepNext/>
        <w:keepLines/>
        <w:widowControl w:val="0"/>
        <w:shd w:val="clear" w:color="auto" w:fill="auto"/>
        <w:tabs>
          <w:tab w:pos="493" w:val="left"/>
        </w:tabs>
        <w:bidi w:val="0"/>
        <w:spacing w:before="0" w:after="28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1"/>
      <w:bookmarkEnd w:id="1002"/>
      <w:bookmarkEnd w:id="1004"/>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本公司的职工参加由当地政府管理的养老保险，相应支出在发生时计入相关资产成本或当期损益。</w:t>
      </w:r>
    </w:p>
    <w:p>
      <w:pPr>
        <w:pStyle w:val="Style30"/>
        <w:keepNext/>
        <w:keepLines/>
        <w:widowControl w:val="0"/>
        <w:shd w:val="clear" w:color="auto" w:fill="auto"/>
        <w:tabs>
          <w:tab w:pos="493" w:val="left"/>
        </w:tabs>
        <w:bidi w:val="0"/>
        <w:spacing w:before="0" w:after="28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5"/>
      <w:bookmarkEnd w:id="1006"/>
      <w:bookmarkEnd w:id="1008"/>
    </w:p>
    <w:p>
      <w:pPr>
        <w:pStyle w:val="Style17"/>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本公司向职工提供辞退福利的，在下列两者孰早日确认辞退福利产生的职工薪酬负债，并计入当期损益：企业不能单方 面撤回因解除劳动关系计划或裁减建议所提供的辞退福利时；企业确认与涉及支付辞退福利的重组相关的成本或费用时。</w:t>
      </w:r>
    </w:p>
    <w:p>
      <w:pPr>
        <w:pStyle w:val="Style30"/>
        <w:keepNext/>
        <w:keepLines/>
        <w:widowControl w:val="0"/>
        <w:shd w:val="clear" w:color="auto" w:fill="auto"/>
        <w:tabs>
          <w:tab w:pos="493" w:val="left"/>
        </w:tabs>
        <w:bidi w:val="0"/>
        <w:spacing w:before="0" w:after="28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9"/>
      <w:bookmarkEnd w:id="1010"/>
      <w:bookmarkEnd w:id="1012"/>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3</w:t>
      </w:r>
      <w:r>
        <w:rPr>
          <w:color w:val="000000"/>
          <w:spacing w:val="0"/>
          <w:w w:val="100"/>
          <w:position w:val="0"/>
        </w:rPr>
        <w:t>、</w:t>
        <w:tab/>
        <w:t>租赁负债</w:t>
      </w:r>
      <w:bookmarkEnd w:id="1013"/>
      <w:bookmarkEnd w:id="1014"/>
      <w:bookmarkEnd w:id="1016"/>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在租赁期开始日，本公司将尚未支付的租赁付款额的现值确认为租赁负债，短期租赁和低价值资产租赁除外。在计算租 赁付款额的现值时，本公司采用租赁内含利率作为折现率;无法确定租赁内含利率的，采用承租人增量借款利率作为折现率。 本公司按照固定的周期性利率计算租赁负债在租赁期内各期间的利息费用，并计入当期损益，但另有规定计入相关资产成本 的除外。未纳入租赁负债计量的可变租赁付款额于实际发生时计入当期损益，但另有规定计入相关资产成本的除外。</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bookmarkEnd w:id="1019"/>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1017"/>
      <w:bookmarkEnd w:id="1018"/>
      <w:bookmarkEnd w:id="1020"/>
    </w:p>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除了非同一控制下企业合并中的或有对价及承担的或有负债之外，当与或有事项相关的义务同时符合以下条件，本公司 将其确认为预计负债：</w:t>
      </w:r>
    </w:p>
    <w:p>
      <w:pPr>
        <w:pStyle w:val="Style17"/>
        <w:keepNext w:val="0"/>
        <w:keepLines w:val="0"/>
        <w:widowControl w:val="0"/>
        <w:shd w:val="clear" w:color="auto" w:fill="auto"/>
        <w:tabs>
          <w:tab w:pos="865" w:val="left"/>
        </w:tabs>
        <w:bidi w:val="0"/>
        <w:spacing w:before="0" w:after="0"/>
        <w:ind w:left="0" w:right="0"/>
        <w:jc w:val="both"/>
      </w:pPr>
      <w:bookmarkStart w:id="1021" w:name="bookmark1021"/>
      <w:r>
        <w:rPr>
          <w:rFonts w:ascii="Times New Roman" w:eastAsia="Times New Roman" w:hAnsi="Times New Roman" w:cs="Times New Roman"/>
          <w:color w:val="000000"/>
          <w:spacing w:val="0"/>
          <w:w w:val="100"/>
          <w:position w:val="0"/>
        </w:rPr>
        <w:t>（</w:t>
      </w:r>
      <w:bookmarkEnd w:id="1021"/>
      <w:r>
        <w:rPr>
          <w:rFonts w:ascii="Times New Roman" w:eastAsia="Times New Roman" w:hAnsi="Times New Roman" w:cs="Times New Roman"/>
          <w:color w:val="000000"/>
          <w:spacing w:val="0"/>
          <w:w w:val="100"/>
          <w:position w:val="0"/>
        </w:rPr>
        <w:t>1）</w:t>
        <w:tab/>
      </w:r>
      <w:r>
        <w:rPr>
          <w:color w:val="000000"/>
          <w:spacing w:val="0"/>
          <w:w w:val="100"/>
          <w:position w:val="0"/>
        </w:rPr>
        <w:t>该义务是本公司承担的现时义务；</w:t>
      </w:r>
    </w:p>
    <w:p>
      <w:pPr>
        <w:pStyle w:val="Style17"/>
        <w:keepNext w:val="0"/>
        <w:keepLines w:val="0"/>
        <w:widowControl w:val="0"/>
        <w:shd w:val="clear" w:color="auto" w:fill="auto"/>
        <w:tabs>
          <w:tab w:pos="865" w:val="left"/>
        </w:tabs>
        <w:bidi w:val="0"/>
        <w:spacing w:before="0" w:after="0"/>
        <w:ind w:left="0" w:right="0"/>
        <w:jc w:val="both"/>
      </w:pPr>
      <w:bookmarkStart w:id="1022" w:name="bookmark1022"/>
      <w:r>
        <w:rPr>
          <w:rFonts w:ascii="Times New Roman" w:eastAsia="Times New Roman" w:hAnsi="Times New Roman" w:cs="Times New Roman"/>
          <w:color w:val="000000"/>
          <w:spacing w:val="0"/>
          <w:w w:val="100"/>
          <w:position w:val="0"/>
        </w:rPr>
        <w:t>（</w:t>
      </w:r>
      <w:bookmarkEnd w:id="1022"/>
      <w:r>
        <w:rPr>
          <w:rFonts w:ascii="Times New Roman" w:eastAsia="Times New Roman" w:hAnsi="Times New Roman" w:cs="Times New Roman"/>
          <w:color w:val="000000"/>
          <w:spacing w:val="0"/>
          <w:w w:val="100"/>
          <w:position w:val="0"/>
        </w:rPr>
        <w:t>2）</w:t>
        <w:tab/>
      </w:r>
      <w:r>
        <w:rPr>
          <w:color w:val="000000"/>
          <w:spacing w:val="0"/>
          <w:w w:val="100"/>
          <w:position w:val="0"/>
        </w:rPr>
        <w:t>该义务的履行很可能导致经济利益流出本公司；</w:t>
      </w:r>
    </w:p>
    <w:p>
      <w:pPr>
        <w:pStyle w:val="Style17"/>
        <w:keepNext w:val="0"/>
        <w:keepLines w:val="0"/>
        <w:widowControl w:val="0"/>
        <w:shd w:val="clear" w:color="auto" w:fill="auto"/>
        <w:tabs>
          <w:tab w:pos="865" w:val="left"/>
        </w:tabs>
        <w:bidi w:val="0"/>
        <w:spacing w:before="0" w:after="0"/>
        <w:ind w:left="0" w:right="0"/>
        <w:jc w:val="both"/>
      </w:pPr>
      <w:bookmarkStart w:id="1023" w:name="bookmark1023"/>
      <w:r>
        <w:rPr>
          <w:rFonts w:ascii="Times New Roman" w:eastAsia="Times New Roman" w:hAnsi="Times New Roman" w:cs="Times New Roman"/>
          <w:color w:val="000000"/>
          <w:spacing w:val="0"/>
          <w:w w:val="100"/>
          <w:position w:val="0"/>
        </w:rPr>
        <w:t>（</w:t>
      </w:r>
      <w:bookmarkEnd w:id="1023"/>
      <w:r>
        <w:rPr>
          <w:rFonts w:ascii="Times New Roman" w:eastAsia="Times New Roman" w:hAnsi="Times New Roman" w:cs="Times New Roman"/>
          <w:color w:val="000000"/>
          <w:spacing w:val="0"/>
          <w:w w:val="100"/>
          <w:position w:val="0"/>
        </w:rPr>
        <w:t>3）</w:t>
        <w:tab/>
      </w:r>
      <w:r>
        <w:rPr>
          <w:color w:val="000000"/>
          <w:spacing w:val="0"/>
          <w:w w:val="100"/>
          <w:position w:val="0"/>
        </w:rPr>
        <w:t>该义务的金额能够可靠地计量。</w:t>
      </w:r>
    </w:p>
    <w:p>
      <w:pPr>
        <w:pStyle w:val="Style17"/>
        <w:keepNext w:val="0"/>
        <w:keepLines w:val="0"/>
        <w:widowControl w:val="0"/>
        <w:shd w:val="clear" w:color="auto" w:fill="auto"/>
        <w:bidi w:val="0"/>
        <w:spacing w:before="0" w:after="340" w:line="307"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30"/>
        <w:keepNext/>
        <w:keepLines/>
        <w:widowControl w:val="0"/>
        <w:shd w:val="clear" w:color="auto" w:fill="auto"/>
        <w:tabs>
          <w:tab w:pos="440" w:val="left"/>
        </w:tabs>
        <w:bidi w:val="0"/>
        <w:spacing w:before="0" w:after="2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5</w:t>
      </w:r>
      <w:r>
        <w:rPr>
          <w:color w:val="000000"/>
          <w:spacing w:val="0"/>
          <w:w w:val="100"/>
          <w:position w:val="0"/>
        </w:rPr>
        <w:t>、</w:t>
        <w:tab/>
        <w:t>股份支付</w:t>
      </w:r>
      <w:bookmarkEnd w:id="1024"/>
      <w:bookmarkEnd w:id="1025"/>
      <w:bookmarkEnd w:id="1027"/>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股份支付，分为以权益结算的股份支付和以现金结算的股份支付。以权益结算的股份支付，是指本公司为获取服务以股 份或其他权益工具作为对价进行结算的交易。</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以权益结算的股份支付换取职工提供服务的，以授予职工权益工具的公允价值计量。授予后立即可行权的，在授予日按 照公允价值计入相关成本或费用，相应增加资本公积；完成等待期内的服务或达到规定业绩条件才可行权的，在等待期内每 个资产负债表日，以对可行权权益工具数量的最佳估计为基础，按照授予日的公允价值，将当期取得的服务计入相关成本或 费用，相应增加资本公积。权益工具的公允价值根据市场价值确定，参见第十节财务报告附注</w:t>
      </w:r>
      <w:r>
        <w:rPr>
          <w:rFonts w:ascii="Times New Roman" w:eastAsia="Times New Roman" w:hAnsi="Times New Roman" w:cs="Times New Roman"/>
          <w:color w:val="000000"/>
          <w:spacing w:val="0"/>
          <w:w w:val="100"/>
          <w:position w:val="0"/>
        </w:rPr>
        <w:t>"</w:t>
      </w:r>
      <w:r>
        <w:rPr>
          <w:color w:val="000000"/>
          <w:spacing w:val="0"/>
          <w:w w:val="100"/>
          <w:position w:val="0"/>
        </w:rPr>
        <w:t>十三、股份支付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对由于未满足非市场条件和</w:t>
      </w:r>
      <w:r>
        <w:rPr>
          <w:rFonts w:ascii="Times New Roman" w:eastAsia="Times New Roman" w:hAnsi="Times New Roman" w:cs="Times New Roman"/>
          <w:color w:val="000000"/>
          <w:spacing w:val="0"/>
          <w:w w:val="100"/>
          <w:position w:val="0"/>
        </w:rPr>
        <w:t>/</w:t>
      </w:r>
      <w:r>
        <w:rPr>
          <w:color w:val="000000"/>
          <w:spacing w:val="0"/>
          <w:w w:val="100"/>
          <w:position w:val="0"/>
        </w:rPr>
        <w:t>或服务期限条件而最终未能行权的股份支付，不确认成本或费用。股份支付协议中规定了 市场条件或非可行权条件的，无论是否满足市场条件或非可行权条件，只要满足所有其他业绩条件和</w:t>
      </w:r>
      <w:r>
        <w:rPr>
          <w:rFonts w:ascii="Times New Roman" w:eastAsia="Times New Roman" w:hAnsi="Times New Roman" w:cs="Times New Roman"/>
          <w:color w:val="000000"/>
          <w:spacing w:val="0"/>
          <w:w w:val="100"/>
          <w:position w:val="0"/>
        </w:rPr>
        <w:t>/</w:t>
      </w:r>
      <w:r>
        <w:rPr>
          <w:color w:val="000000"/>
          <w:spacing w:val="0"/>
          <w:w w:val="100"/>
          <w:position w:val="0"/>
        </w:rPr>
        <w:t>或服务期限条件，即 视为可行权。</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如果修改了以权益结算的股份支付的条款，至少按照未修改条款的情况确认取得的服务。此外，增加所授予权益工具公 允价值的修改，或在修改日对职工有利的变更，均确认取得服务的增加。</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0"/>
        <w:keepNext/>
        <w:keepLines/>
        <w:widowControl w:val="0"/>
        <w:shd w:val="clear" w:color="auto" w:fill="auto"/>
        <w:tabs>
          <w:tab w:pos="440" w:val="left"/>
        </w:tabs>
        <w:bidi w:val="0"/>
        <w:spacing w:before="0" w:after="28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2</w:t>
      </w:r>
      <w:bookmarkEnd w:id="1030"/>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1028"/>
      <w:bookmarkEnd w:id="1029"/>
      <w:bookmarkEnd w:id="1031"/>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收入确认和计量所采用的会计政策</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本公司在履行了合同中的履约义务，即在客户取得相关商品或服务控制权时确认收入。取得相关商品或服务的控制权， 是指能够主导该商品的使用或该服务的提供并从中获得几乎全部的经济利益。</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销售商品合同</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本公司与客户之间的销售商品合同通常仅包含转让设备或试剂的履约义务。本公司通常在综合考虑了下列因素的基础 上，以货物送至客户指定收货地点，完成货物交付并取得客户关于货物签收或验收的证据的时点确认收入：取得商品的现时 收款权利、商品所有权上的主要风险和报酬的转移、商品的法定所有权的转移、商品实物资产的转移、客户接受该商品。</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提供劳务合同</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本公司与客户之间的提供劳务合同通常包含交付报告的履约义务，由于（</w:t>
      </w:r>
      <w:r>
        <w:rPr>
          <w:rFonts w:ascii="Times New Roman" w:eastAsia="Times New Roman" w:hAnsi="Times New Roman" w:cs="Times New Roman"/>
          <w:color w:val="000000"/>
          <w:spacing w:val="0"/>
          <w:w w:val="100"/>
          <w:position w:val="0"/>
        </w:rPr>
        <w:t>1</w:t>
      </w:r>
      <w:r>
        <w:rPr>
          <w:color w:val="000000"/>
          <w:spacing w:val="0"/>
          <w:w w:val="100"/>
          <w:position w:val="0"/>
        </w:rPr>
        <w:t>）本公司履约的同时客户无法取得并消耗本 公司履约所带来的经济利益，（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）客户不能控制本公司履约过程中的在建资产，（</w:t>
      </w:r>
      <w:r>
        <w:rPr>
          <w:rFonts w:ascii="Times New Roman" w:eastAsia="Times New Roman" w:hAnsi="Times New Roman" w:cs="Times New Roman"/>
          <w:color w:val="000000"/>
          <w:spacing w:val="0"/>
          <w:w w:val="100"/>
          <w:position w:val="0"/>
        </w:rPr>
        <w:t>3</w:t>
      </w:r>
      <w:r>
        <w:rPr>
          <w:color w:val="000000"/>
          <w:spacing w:val="0"/>
          <w:w w:val="100"/>
          <w:position w:val="0"/>
        </w:rPr>
        <w:t>）本公司在整个合同期间内无权就累计 至今已完成的履约部分收入款项，本公司将其作为在某一时点履行的履约义务，以交付报告时点确认收入。</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质保义务</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根据合同约定、法律规定等，本公司为所销售的部分设备提供质量保证。对于为向客户保证所销售的商品符合既定标准 的保证类质量保证，本公司按照附注五</w:t>
      </w:r>
      <w:r>
        <w:rPr>
          <w:rFonts w:ascii="Times New Roman" w:eastAsia="Times New Roman" w:hAnsi="Times New Roman" w:cs="Times New Roman"/>
          <w:color w:val="000000"/>
          <w:spacing w:val="0"/>
          <w:w w:val="100"/>
          <w:position w:val="0"/>
        </w:rPr>
        <w:t>“24</w:t>
      </w:r>
      <w:r>
        <w:rPr>
          <w:color w:val="000000"/>
          <w:spacing w:val="0"/>
          <w:w w:val="100"/>
          <w:position w:val="0"/>
        </w:rPr>
        <w:t>、预计负债</w:t>
      </w:r>
      <w:r>
        <w:rPr>
          <w:rFonts w:ascii="Times New Roman" w:eastAsia="Times New Roman" w:hAnsi="Times New Roman" w:cs="Times New Roman"/>
          <w:color w:val="000000"/>
          <w:spacing w:val="0"/>
          <w:w w:val="100"/>
          <w:position w:val="0"/>
        </w:rPr>
        <w:t>”</w:t>
      </w:r>
      <w:r>
        <w:rPr>
          <w:color w:val="000000"/>
          <w:spacing w:val="0"/>
          <w:w w:val="100"/>
          <w:position w:val="0"/>
        </w:rPr>
        <w:t>进行会计处理。对于为向客户保证所销售的商品符合既定标准之外提 供了一项单独服务的服务类质量保证，本公司将其作为一项单项履约义务，按照提供商品和服务类质量保证的单独售价的相 对比例，将部分交易价格分摊至服务类质量保证，并在客户取得服务控制权时确认收入。在评估质量保证是否在向客户保证 所销售商品符合既定标准之外提供了一项单独服务时，本公司考虑该质量保证是否为法定要求、质量保证期限以及本公司承 诺履行任务的性质等因素。</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主要责任人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对于本公司自第三方取得基因测序仪控制权后，再转让给客户，及本公司通过代理商向客户提供新冠检测服务时，本公 司有权自主决定所交易商品或服务的价格，即本公司在向客户转让基因测序仪前及提供新冠检测服务前，能够控制基因测序 仪及新冠检测服务，因此本公司是主要责任人，按照已收或应收对价总额确认收入。</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合同变更</w:t>
      </w:r>
    </w:p>
    <w:p>
      <w:pPr>
        <w:pStyle w:val="Style17"/>
        <w:keepNext w:val="0"/>
        <w:keepLines w:val="0"/>
        <w:widowControl w:val="0"/>
        <w:shd w:val="clear" w:color="auto" w:fill="auto"/>
        <w:bidi w:val="0"/>
        <w:spacing w:before="0" w:after="140" w:line="312" w:lineRule="exact"/>
        <w:ind w:left="0" w:right="0"/>
        <w:jc w:val="both"/>
      </w:pPr>
      <w:r>
        <w:rPr>
          <w:color w:val="000000"/>
          <w:spacing w:val="0"/>
          <w:w w:val="100"/>
          <w:position w:val="0"/>
        </w:rPr>
        <w:t>本公司与客户之间的劳务合同发生合同变更时：</w:t>
      </w:r>
    </w:p>
    <w:p>
      <w:pPr>
        <w:pStyle w:val="Style17"/>
        <w:keepNext w:val="0"/>
        <w:keepLines w:val="0"/>
        <w:widowControl w:val="0"/>
        <w:shd w:val="clear" w:color="auto" w:fill="auto"/>
        <w:tabs>
          <w:tab w:pos="864" w:val="left"/>
        </w:tabs>
        <w:bidi w:val="0"/>
        <w:spacing w:before="0" w:after="0" w:line="317" w:lineRule="exact"/>
        <w:ind w:left="0" w:right="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w:t>
        <w:tab/>
        <w:t>如果合同变更增加了可明确区分的劳务及合同价款，且新增合同价款反映了新增劳务单独售价的，本公司将该合 同变更作为一份单独的合同进行会计处理；</w:t>
      </w:r>
    </w:p>
    <w:p>
      <w:pPr>
        <w:pStyle w:val="Style17"/>
        <w:keepNext w:val="0"/>
        <w:keepLines w:val="0"/>
        <w:widowControl w:val="0"/>
        <w:shd w:val="clear" w:color="auto" w:fill="auto"/>
        <w:tabs>
          <w:tab w:pos="873" w:val="left"/>
        </w:tabs>
        <w:bidi w:val="0"/>
        <w:spacing w:before="0" w:after="0" w:line="326" w:lineRule="exact"/>
        <w:ind w:left="0" w:right="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w:t>
        <w:tab/>
        <w:t>如果合同变更不属于上述第（</w:t>
      </w:r>
      <w:r>
        <w:rPr>
          <w:rFonts w:ascii="Times New Roman" w:eastAsia="Times New Roman" w:hAnsi="Times New Roman" w:cs="Times New Roman"/>
          <w:color w:val="000000"/>
          <w:spacing w:val="0"/>
          <w:w w:val="100"/>
          <w:position w:val="0"/>
        </w:rPr>
        <w:t>1</w:t>
      </w:r>
      <w:r>
        <w:rPr>
          <w:color w:val="000000"/>
          <w:spacing w:val="0"/>
          <w:w w:val="100"/>
          <w:position w:val="0"/>
        </w:rPr>
        <w:t>）种情形，且在合同变更日已转让的劳务与未转让的劳务之间可明确区分的，本公 司将其视为原合同终止，同时，将原合同未履约部分与合同变更部分合并为新合同进行会计处理；</w:t>
      </w:r>
    </w:p>
    <w:p>
      <w:pPr>
        <w:pStyle w:val="Style17"/>
        <w:keepNext w:val="0"/>
        <w:keepLines w:val="0"/>
        <w:widowControl w:val="0"/>
        <w:shd w:val="clear" w:color="auto" w:fill="auto"/>
        <w:tabs>
          <w:tab w:pos="873" w:val="left"/>
        </w:tabs>
        <w:bidi w:val="0"/>
        <w:spacing w:before="0" w:after="0" w:line="338" w:lineRule="exact"/>
        <w:ind w:left="0" w:right="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w:t>
        <w:tab/>
        <w:t>如果合同变更不属于上述第（</w:t>
      </w:r>
      <w:r>
        <w:rPr>
          <w:rFonts w:ascii="Times New Roman" w:eastAsia="Times New Roman" w:hAnsi="Times New Roman" w:cs="Times New Roman"/>
          <w:color w:val="000000"/>
          <w:spacing w:val="0"/>
          <w:w w:val="100"/>
          <w:position w:val="0"/>
        </w:rPr>
        <w:t>1</w:t>
      </w:r>
      <w:r>
        <w:rPr>
          <w:color w:val="000000"/>
          <w:spacing w:val="0"/>
          <w:w w:val="100"/>
          <w:position w:val="0"/>
        </w:rPr>
        <w:t>）种情形，且在合同变更日已转让的劳务与未转让的劳务之间不可明确区分，本公 司将该合同变更部分作为原合同的组成部分进行会计处理，由此产生的对已确认收入的影响，在合同变更日调整当期收入。 同类业务采用不同经营模式导致收入确认会计政策存在差异的情况</w:t>
      </w:r>
    </w:p>
    <w:p>
      <w:pPr>
        <w:pStyle w:val="Style17"/>
        <w:keepNext w:val="0"/>
        <w:keepLines w:val="0"/>
        <w:widowControl w:val="0"/>
        <w:shd w:val="clear" w:color="auto" w:fill="auto"/>
        <w:bidi w:val="0"/>
        <w:spacing w:before="0" w:after="380" w:line="315" w:lineRule="exact"/>
        <w:ind w:left="0" w:right="0"/>
        <w:jc w:val="both"/>
      </w:pPr>
      <w:r>
        <w:rPr>
          <w:color w:val="000000"/>
          <w:spacing w:val="0"/>
          <w:w w:val="100"/>
          <w:position w:val="0"/>
        </w:rPr>
        <w:t>无</w:t>
      </w:r>
    </w:p>
    <w:p>
      <w:pPr>
        <w:pStyle w:val="Style30"/>
        <w:keepNext/>
        <w:keepLines/>
        <w:widowControl w:val="0"/>
        <w:shd w:val="clear" w:color="auto" w:fill="auto"/>
        <w:tabs>
          <w:tab w:pos="460" w:val="left"/>
        </w:tabs>
        <w:bidi w:val="0"/>
        <w:spacing w:before="0" w:after="28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035"/>
      <w:bookmarkEnd w:id="1036"/>
      <w:bookmarkEnd w:id="1038"/>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政府补助在能够满足其所附的条件并且能够收到时，予以确认。政府补助为货币性资产的，按照收到或应收的金额计量。 政府补助为非货币性资产的，按照公允价值计量；公允价值不能可靠取得的，按照名义金额计量。</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政府文件规定用于购建或以其他方式形成长期资产的，作为与资产相关的政府补助；政府文件不明确的，以取得该补助 必须具备的基本条件为基础进行判断，以购建或其他方式形成长期资产为基本条件的作为与资产相关的政府补助，除此之外 的作为与收益相关的政府补助。</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与收益相关的政府补助，用于补偿以后期间的相关成本费用或损失的，确认为递延收益，并在确认相关成本费用或损失 的期间计入当期损益或冲减相关成本；用于补偿已发生的相关成本费用或损失的，直接计入当期损益或冲减相关成本。</w:t>
      </w:r>
    </w:p>
    <w:p>
      <w:pPr>
        <w:pStyle w:val="Style17"/>
        <w:keepNext w:val="0"/>
        <w:keepLines w:val="0"/>
        <w:widowControl w:val="0"/>
        <w:shd w:val="clear" w:color="auto" w:fill="auto"/>
        <w:bidi w:val="0"/>
        <w:spacing w:before="0" w:after="380" w:line="311" w:lineRule="exact"/>
        <w:ind w:left="0" w:right="0"/>
        <w:jc w:val="both"/>
      </w:pPr>
      <w:r>
        <w:rPr>
          <w:color w:val="000000"/>
          <w:spacing w:val="0"/>
          <w:w w:val="100"/>
          <w:position w:val="0"/>
        </w:rPr>
        <w:t>与资产相关的政府补助，冲减相关资产的账面价值；或确认为递延收益，在相关资产使用寿命内按照合理、系统的方法 分期计入损益（但按照名义金额计量的政府补助，直接计入当期损益），相关资产在使用寿命结束前被出售、转让、报废或 发生毁损的，尚未分配的相关递延收益余额转入资产处置当期的损益。</w:t>
      </w:r>
    </w:p>
    <w:p>
      <w:pPr>
        <w:pStyle w:val="Style30"/>
        <w:keepNext/>
        <w:keepLines/>
        <w:widowControl w:val="0"/>
        <w:shd w:val="clear" w:color="auto" w:fill="auto"/>
        <w:tabs>
          <w:tab w:pos="460" w:val="left"/>
        </w:tabs>
        <w:bidi w:val="0"/>
        <w:spacing w:before="0" w:after="280" w:line="240" w:lineRule="auto"/>
        <w:ind w:left="0" w:right="0" w:firstLine="0"/>
        <w:jc w:val="both"/>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bookmarkEnd w:id="104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9"/>
      <w:bookmarkEnd w:id="1040"/>
      <w:bookmarkEnd w:id="1042"/>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所得税包括当期所得税和递延所得税。除由于企业合并产生的调整商誉，或与直接计入股东权益的交易或者事项相关的 计入股东权益外，均作为所得税费用或收益计入当期损益。</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本公司对于当期和以前期间形成的当期所得税负债或资产，按照税法规定计算的预期应交纳或返还的所得税金额计量。</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本公司根据资产与负债于资产负债表日的账面价值与计税基础之间的暂时性差异，以及未作为资产和负债确认但按照 税法规定可以确定其计税基础的项目的账面价值与计税基础之间的差额产生的暂时性差异，采用资产负债表债务法计提递 延所得税。</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各种应纳税暂时性差异均据以确认递延所得税负债，除非：</w:t>
      </w:r>
    </w:p>
    <w:p>
      <w:pPr>
        <w:pStyle w:val="Style17"/>
        <w:keepNext w:val="0"/>
        <w:keepLines w:val="0"/>
        <w:widowControl w:val="0"/>
        <w:shd w:val="clear" w:color="auto" w:fill="auto"/>
        <w:tabs>
          <w:tab w:pos="878" w:val="left"/>
        </w:tabs>
        <w:bidi w:val="0"/>
        <w:spacing w:before="0" w:after="0" w:line="315" w:lineRule="exact"/>
        <w:ind w:left="0" w:right="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w:t>
        <w:tab/>
        <w:t>应纳税暂时性差异是在以下交易中产生的：商誉的初始确认，或者具有以下特征的交易中产生的资产或负债的初 始确认：该交易不是企业合并，并且交易发生时既不影响会计利润也不影响应纳税所得额或可抵扣亏损。</w:t>
      </w:r>
    </w:p>
    <w:p>
      <w:pPr>
        <w:pStyle w:val="Style17"/>
        <w:keepNext w:val="0"/>
        <w:keepLines w:val="0"/>
        <w:widowControl w:val="0"/>
        <w:shd w:val="clear" w:color="auto" w:fill="auto"/>
        <w:tabs>
          <w:tab w:pos="873" w:val="left"/>
        </w:tabs>
        <w:bidi w:val="0"/>
        <w:spacing w:before="0" w:after="0" w:line="315" w:lineRule="exact"/>
        <w:ind w:left="0" w:right="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w:t>
        <w:tab/>
        <w:t>对于与子公司、合营企业及联营企业投资相关的应纳税暂时性差异，该暂时性差异转回的时间能够控制并且该暂 时性差异在可预见的未来很可能不会转回。</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对于可抵扣暂时性差异、能够结转以后年度的可抵扣亏损和税款抵减，本公司以很可能取得用来抵扣可抵扣暂时性差 异、可抵扣亏损和税款抵减的未来应纳税所得额为限，确认由此产生的递延所得税资产，除非：</w:t>
      </w:r>
    </w:p>
    <w:p>
      <w:pPr>
        <w:pStyle w:val="Style17"/>
        <w:keepNext w:val="0"/>
        <w:keepLines w:val="0"/>
        <w:widowControl w:val="0"/>
        <w:shd w:val="clear" w:color="auto" w:fill="auto"/>
        <w:tabs>
          <w:tab w:pos="878" w:val="left"/>
        </w:tabs>
        <w:bidi w:val="0"/>
        <w:spacing w:before="0" w:after="0" w:line="315" w:lineRule="exact"/>
        <w:ind w:left="0" w:right="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w:t>
        <w:tab/>
        <w:t>可抵扣暂时性差异是在以下交易中产生的：该交易不是企业合并，并且交易发生时既不影响会计利润也不影响应 纳税所得额或可抵扣亏损。</w:t>
      </w:r>
    </w:p>
    <w:p>
      <w:pPr>
        <w:pStyle w:val="Style17"/>
        <w:keepNext w:val="0"/>
        <w:keepLines w:val="0"/>
        <w:widowControl w:val="0"/>
        <w:shd w:val="clear" w:color="auto" w:fill="auto"/>
        <w:tabs>
          <w:tab w:pos="883" w:val="left"/>
        </w:tabs>
        <w:bidi w:val="0"/>
        <w:spacing w:before="0" w:after="0" w:line="315" w:lineRule="exact"/>
        <w:ind w:left="0" w:right="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w:t>
        <w:tab/>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本公司于资产负债表日，对于递延所得税资产和递延所得税负债，依据税法规定，按照预期收回该资产或清偿该负债期 间的适用税率计量，并反映资产负债表日预期收回资产或清偿负债方式的所得税影响。</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于资产负债表日，本公司对递延所得税资产的账面价值进行复核，如果未来期间很可能无法获得足够的应纳税所得额用 </w:t>
      </w:r>
      <w:r>
        <w:rPr>
          <w:color w:val="000000"/>
          <w:spacing w:val="0"/>
          <w:w w:val="100"/>
          <w:position w:val="0"/>
        </w:rPr>
        <w:t>以抵扣递延所得税资产的利益，减记递延所得税资产的账面价值。于资产负债表日，本公司重新评估未确认的递延所得税资 产，在很可能获得足够的应纳税所得额可供所有或部分递延所得税资产转回的限度内，确认递延所得税资产。</w:t>
      </w:r>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同时满足下列条件时，递延所得税资产和递延所得税负债以抵销后的净额列示：拥有以净额结算当期所得税资产及当期所 得税负债的法定权利；递延所得税资产和递延所得税负债是与同一税收征管部门对同一应纳税主体征收的所得税相关或者 对不同的纳税主体相关，但在未来每一具有重要性的递延所得税资产和递延所得税负债转回的期间内，涉及的纳税主体意 图以净额结算当期所得税资产及当期所得税负债或是同时取得资产、清偿债务。</w:t>
      </w:r>
    </w:p>
    <w:p>
      <w:pPr>
        <w:pStyle w:val="Style30"/>
        <w:keepNext/>
        <w:keepLines/>
        <w:widowControl w:val="0"/>
        <w:shd w:val="clear" w:color="auto" w:fill="auto"/>
        <w:bidi w:val="0"/>
        <w:spacing w:before="0" w:after="380" w:line="240" w:lineRule="auto"/>
        <w:ind w:left="0" w:right="0" w:firstLine="0"/>
        <w:jc w:val="both"/>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w:t>
      </w:r>
      <w:bookmarkEnd w:id="1049"/>
      <w:r>
        <w:rPr>
          <w:rFonts w:ascii="Times New Roman" w:eastAsia="Times New Roman" w:hAnsi="Times New Roman" w:cs="Times New Roman"/>
          <w:color w:val="000000"/>
          <w:spacing w:val="0"/>
          <w:w w:val="100"/>
          <w:position w:val="0"/>
        </w:rPr>
        <w:t>9</w:t>
      </w:r>
      <w:r>
        <w:rPr>
          <w:color w:val="000000"/>
          <w:spacing w:val="0"/>
          <w:w w:val="100"/>
          <w:position w:val="0"/>
        </w:rPr>
        <w:t>、租赁</w:t>
      </w:r>
      <w:bookmarkEnd w:id="1047"/>
      <w:bookmarkEnd w:id="1048"/>
      <w:bookmarkEnd w:id="1050"/>
    </w:p>
    <w:p>
      <w:pPr>
        <w:pStyle w:val="Style30"/>
        <w:keepNext/>
        <w:keepLines/>
        <w:widowControl w:val="0"/>
        <w:shd w:val="clear" w:color="auto" w:fill="auto"/>
        <w:bidi w:val="0"/>
        <w:spacing w:before="0" w:after="300" w:line="240" w:lineRule="auto"/>
        <w:ind w:left="0" w:right="0" w:firstLine="0"/>
        <w:jc w:val="both"/>
      </w:pPr>
      <w:bookmarkStart w:id="1047" w:name="bookmark1047"/>
      <w:bookmarkStart w:id="1048" w:name="bookmark1048"/>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47"/>
      <w:bookmarkEnd w:id="1048"/>
      <w:bookmarkEnd w:id="1052"/>
    </w:p>
    <w:p>
      <w:pPr>
        <w:pStyle w:val="Style17"/>
        <w:keepNext w:val="0"/>
        <w:keepLines w:val="0"/>
        <w:widowControl w:val="0"/>
        <w:shd w:val="clear" w:color="auto" w:fill="auto"/>
        <w:bidi w:val="0"/>
        <w:spacing w:before="0" w:after="0" w:line="310" w:lineRule="exact"/>
        <w:ind w:left="0" w:right="0"/>
        <w:jc w:val="both"/>
      </w:pPr>
      <w:r>
        <w:rPr>
          <w:b/>
          <w:bCs/>
          <w:color w:val="000000"/>
          <w:spacing w:val="0"/>
          <w:w w:val="100"/>
          <w:position w:val="0"/>
        </w:rPr>
        <w:t>租赁的识别</w:t>
      </w:r>
    </w:p>
    <w:p>
      <w:pPr>
        <w:pStyle w:val="Style17"/>
        <w:keepNext w:val="0"/>
        <w:keepLines w:val="0"/>
        <w:widowControl w:val="0"/>
        <w:shd w:val="clear" w:color="auto" w:fill="auto"/>
        <w:bidi w:val="0"/>
        <w:spacing w:before="0" w:after="300" w:line="310" w:lineRule="exact"/>
        <w:ind w:left="0" w:right="0"/>
        <w:jc w:val="both"/>
      </w:pPr>
      <w:r>
        <w:rPr>
          <w:color w:val="000000"/>
          <w:spacing w:val="0"/>
          <w:w w:val="100"/>
          <w:position w:val="0"/>
        </w:rPr>
        <w:t>在合同开始日，本公司评估合同是否为租赁或者包含租赁，如果合同中一方让渡了在一定期间内控制一项或多项已识别 资产使用的权利以换取对价，则该合同为租赁或者包含租赁。为确定合同是否让渡了在一定期间内控制已识别资产使用的权 利，本公司评估合同中的客户是否有权获得在使用期间内因使用已识别资产所产生的几乎全部经济利益，并有权在该使用期 间主导已识别资产的使用。</w:t>
      </w:r>
    </w:p>
    <w:p>
      <w:pPr>
        <w:pStyle w:val="Style17"/>
        <w:keepNext w:val="0"/>
        <w:keepLines w:val="0"/>
        <w:widowControl w:val="0"/>
        <w:shd w:val="clear" w:color="auto" w:fill="auto"/>
        <w:bidi w:val="0"/>
        <w:spacing w:before="0" w:after="0" w:line="307" w:lineRule="exact"/>
        <w:ind w:left="0" w:right="0"/>
        <w:jc w:val="both"/>
      </w:pPr>
      <w:r>
        <w:rPr>
          <w:b/>
          <w:bCs/>
          <w:color w:val="000000"/>
          <w:spacing w:val="0"/>
          <w:w w:val="100"/>
          <w:position w:val="0"/>
        </w:rPr>
        <w:t>单独租赁的识别</w:t>
      </w:r>
    </w:p>
    <w:p>
      <w:pPr>
        <w:pStyle w:val="Style17"/>
        <w:keepNext w:val="0"/>
        <w:keepLines w:val="0"/>
        <w:widowControl w:val="0"/>
        <w:shd w:val="clear" w:color="auto" w:fill="auto"/>
        <w:bidi w:val="0"/>
        <w:spacing w:before="0" w:after="0" w:line="307" w:lineRule="exact"/>
        <w:ind w:left="0" w:right="0"/>
        <w:jc w:val="both"/>
      </w:pPr>
      <w:r>
        <w:rPr>
          <w:color w:val="000000"/>
          <w:spacing w:val="0"/>
          <w:w w:val="100"/>
          <w:position w:val="0"/>
        </w:rPr>
        <w:t>合同中同时包含多项单独租赁的，本公司将合同予以分拆，并分别各项单独租赁进行会计处理。同时符合下列条件的， 使用已识别资产的权利构成合同中的一项单独租赁：</w:t>
      </w:r>
    </w:p>
    <w:p>
      <w:pPr>
        <w:pStyle w:val="Style17"/>
        <w:keepNext w:val="0"/>
        <w:keepLines w:val="0"/>
        <w:widowControl w:val="0"/>
        <w:shd w:val="clear" w:color="auto" w:fill="auto"/>
        <w:tabs>
          <w:tab w:pos="817" w:val="left"/>
        </w:tabs>
        <w:bidi w:val="0"/>
        <w:spacing w:before="0" w:after="0" w:line="307" w:lineRule="exact"/>
        <w:ind w:left="0" w:right="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承租人可从单独使用该资产或将其与易于获得的其他资源一起使用中获利；</w:t>
      </w:r>
    </w:p>
    <w:p>
      <w:pPr>
        <w:pStyle w:val="Style17"/>
        <w:keepNext w:val="0"/>
        <w:keepLines w:val="0"/>
        <w:widowControl w:val="0"/>
        <w:shd w:val="clear" w:color="auto" w:fill="auto"/>
        <w:tabs>
          <w:tab w:pos="817" w:val="left"/>
        </w:tabs>
        <w:bidi w:val="0"/>
        <w:spacing w:before="0" w:after="300" w:line="307" w:lineRule="exact"/>
        <w:ind w:left="0" w:right="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该资产与合同中的其他资产不存在高度依赖或高度关联关系。</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租赁期的评估</w:t>
      </w:r>
    </w:p>
    <w:p>
      <w:pPr>
        <w:pStyle w:val="Style17"/>
        <w:keepNext w:val="0"/>
        <w:keepLines w:val="0"/>
        <w:widowControl w:val="0"/>
        <w:shd w:val="clear" w:color="auto" w:fill="auto"/>
        <w:bidi w:val="0"/>
        <w:spacing w:before="0" w:after="300" w:line="312" w:lineRule="exact"/>
        <w:ind w:left="0" w:right="0"/>
        <w:jc w:val="both"/>
      </w:pPr>
      <w:r>
        <w:rPr>
          <w:color w:val="000000"/>
          <w:spacing w:val="0"/>
          <w:w w:val="100"/>
          <w:position w:val="0"/>
        </w:rPr>
        <w:t>租赁期是本公司有权使用租赁资产且不可撤销的期间。本公司有续租选择权，即有权选择续租该资产，且合理确定将行 使该选择权的，租赁期还包含续租选择权涵盖的期间。本公司有终止租赁选择权，即有权选择终止租赁该资产，但合理确定 将不会行使该选择权的，租赁期包含终止租赁选择权涵盖的期间。发生本公司可控范围内的重大事件或变化，且影响本公司 是否合理确定将行使相应选择权的，本公司对其是否合理确定将行使续租选择权、购买选择权或不行使终止租赁选择权进行 重新评估。</w:t>
      </w:r>
    </w:p>
    <w:p>
      <w:pPr>
        <w:pStyle w:val="Style17"/>
        <w:keepNext w:val="0"/>
        <w:keepLines w:val="0"/>
        <w:widowControl w:val="0"/>
        <w:shd w:val="clear" w:color="auto" w:fill="auto"/>
        <w:bidi w:val="0"/>
        <w:spacing w:before="0" w:after="0" w:line="322" w:lineRule="exact"/>
        <w:ind w:left="0" w:right="0"/>
        <w:jc w:val="both"/>
      </w:pPr>
      <w:r>
        <w:rPr>
          <w:b/>
          <w:bCs/>
          <w:color w:val="000000"/>
          <w:spacing w:val="0"/>
          <w:w w:val="100"/>
          <w:position w:val="0"/>
        </w:rPr>
        <w:t>作为承租人</w:t>
      </w:r>
    </w:p>
    <w:p>
      <w:pPr>
        <w:pStyle w:val="Style17"/>
        <w:keepNext w:val="0"/>
        <w:keepLines w:val="0"/>
        <w:widowControl w:val="0"/>
        <w:shd w:val="clear" w:color="auto" w:fill="auto"/>
        <w:bidi w:val="0"/>
        <w:spacing w:before="0" w:after="300" w:line="322" w:lineRule="exact"/>
        <w:ind w:left="0" w:right="0"/>
        <w:jc w:val="both"/>
      </w:pPr>
      <w:r>
        <w:rPr>
          <w:color w:val="000000"/>
          <w:spacing w:val="0"/>
          <w:w w:val="100"/>
          <w:position w:val="0"/>
        </w:rPr>
        <w:t>本公司作为承租人的一般会计处理见第十节财务报告之附注五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“17</w:t>
      </w:r>
      <w:r>
        <w:rPr>
          <w:color w:val="000000"/>
          <w:spacing w:val="0"/>
          <w:w w:val="100"/>
          <w:position w:val="0"/>
        </w:rPr>
        <w:t>、使用权资产</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“23</w:t>
      </w:r>
      <w:r>
        <w:rPr>
          <w:color w:val="000000"/>
          <w:spacing w:val="0"/>
          <w:w w:val="100"/>
          <w:position w:val="0"/>
        </w:rPr>
        <w:t>、 租赁负债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租赁变更</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租赁变更是原合同条款之外的租赁范围、租赁对价、租赁期限的变更，包括增加或终止一项或多项租赁资产的使用权， 延长或缩短合同规定的租赁期等。</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租赁发生变更且同时符合下列条件的，本公司将该租赁变更作为一项单独租赁进行会计处理：</w:t>
      </w:r>
    </w:p>
    <w:p>
      <w:pPr>
        <w:pStyle w:val="Style17"/>
        <w:keepNext w:val="0"/>
        <w:keepLines w:val="0"/>
        <w:widowControl w:val="0"/>
        <w:shd w:val="clear" w:color="auto" w:fill="auto"/>
        <w:tabs>
          <w:tab w:pos="817" w:val="left"/>
        </w:tabs>
        <w:bidi w:val="0"/>
        <w:spacing w:before="0" w:after="0" w:line="314" w:lineRule="exact"/>
        <w:ind w:left="0" w:right="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w:t>
        <w:tab/>
        <w:t>该租赁变更通过增加一项或多项租赁资产的使用权而扩大了租赁范围；</w:t>
      </w:r>
    </w:p>
    <w:p>
      <w:pPr>
        <w:pStyle w:val="Style17"/>
        <w:keepNext w:val="0"/>
        <w:keepLines w:val="0"/>
        <w:widowControl w:val="0"/>
        <w:shd w:val="clear" w:color="auto" w:fill="auto"/>
        <w:tabs>
          <w:tab w:pos="817" w:val="left"/>
        </w:tabs>
        <w:bidi w:val="0"/>
        <w:spacing w:before="0" w:after="0" w:line="314" w:lineRule="exact"/>
        <w:ind w:left="0" w:right="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增加的对价与租赁范围扩大部分的单独价格按该合同情况调整后的金额相当。</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租赁变更未作为一项单独租赁进行会计处理的，在租赁变更生效日，本公司重新确定租赁期，并采用修订后的折现率对 变更后的租赁付款额进行折现，以重新计量租赁负债。在计算变更后租赁付款额的现值时，本公司采用剩余租赁期间的租赁 内含利率作为折现率；无法确定剩余租赁期间的租赁内含利率的，采用租赁变更生效日的本公司增量借款利率作为折现率。</w:t>
      </w:r>
    </w:p>
    <w:p>
      <w:pPr>
        <w:pStyle w:val="Style17"/>
        <w:keepNext w:val="0"/>
        <w:keepLines w:val="0"/>
        <w:widowControl w:val="0"/>
        <w:shd w:val="clear" w:color="auto" w:fill="auto"/>
        <w:bidi w:val="0"/>
        <w:spacing w:before="0" w:after="300" w:line="314" w:lineRule="exact"/>
        <w:ind w:left="0" w:right="0"/>
        <w:jc w:val="both"/>
      </w:pPr>
      <w:r>
        <w:rPr>
          <w:color w:val="000000"/>
          <w:spacing w:val="0"/>
          <w:w w:val="100"/>
          <w:position w:val="0"/>
        </w:rPr>
        <w:t>就上述租赁负债调整的影响，本公司区分以下情形进行会计处理：</w:t>
      </w:r>
    </w:p>
    <w:p>
      <w:pPr>
        <w:pStyle w:val="Style17"/>
        <w:keepNext w:val="0"/>
        <w:keepLines w:val="0"/>
        <w:widowControl w:val="0"/>
        <w:shd w:val="clear" w:color="auto" w:fill="auto"/>
        <w:tabs>
          <w:tab w:pos="901" w:val="left"/>
        </w:tabs>
        <w:bidi w:val="0"/>
        <w:spacing w:before="0" w:after="0" w:line="302" w:lineRule="exact"/>
        <w:ind w:left="0" w:right="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w:t>
        <w:tab/>
        <w:t>租赁变更导致租赁范围缩小或租赁期缩短的，本公司调减使用权资产的账面价值，以反映租赁的部分终止或完全 终止，部分终止或完全终止租赁的相关利得或损失计入当期损益；</w:t>
      </w:r>
    </w:p>
    <w:p>
      <w:pPr>
        <w:pStyle w:val="Style17"/>
        <w:keepNext w:val="0"/>
        <w:keepLines w:val="0"/>
        <w:widowControl w:val="0"/>
        <w:shd w:val="clear" w:color="auto" w:fill="auto"/>
        <w:tabs>
          <w:tab w:pos="825" w:val="left"/>
        </w:tabs>
        <w:bidi w:val="0"/>
        <w:spacing w:before="0" w:after="280" w:line="302" w:lineRule="exact"/>
        <w:ind w:left="0" w:right="0"/>
        <w:jc w:val="both"/>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其他租赁变更，本公司相应调整使用权资产的账面价值。</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短期租赁和低价值资产租赁</w:t>
      </w:r>
    </w:p>
    <w:p>
      <w:pPr>
        <w:pStyle w:val="Style17"/>
        <w:keepNext w:val="0"/>
        <w:keepLines w:val="0"/>
        <w:widowControl w:val="0"/>
        <w:shd w:val="clear" w:color="auto" w:fill="auto"/>
        <w:bidi w:val="0"/>
        <w:spacing w:before="0" w:after="280" w:line="315" w:lineRule="exact"/>
        <w:ind w:left="0" w:right="0"/>
        <w:jc w:val="both"/>
      </w:pPr>
      <w:r>
        <w:rPr>
          <w:color w:val="000000"/>
          <w:spacing w:val="0"/>
          <w:w w:val="100"/>
          <w:position w:val="0"/>
        </w:rPr>
        <w:t>本公司将在租赁期开始日，租赁期不超过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个月，且不包含购买选择权的租赁认定为短期租赁；将单项租赁资产为全新 资产时价值较低的租赁认定为低价值资产租赁。本公司转租或预期转租租赁资产的，原租赁不认定为低价值资产租赁。本公 司对短期租赁和低价值资产租赁选择不确认使用权资产和租赁负债。在租赁期内各个期间按照直线法计入相关的资产成本 或当期损益。</w:t>
      </w:r>
    </w:p>
    <w:p>
      <w:pPr>
        <w:pStyle w:val="Style17"/>
        <w:keepNext w:val="0"/>
        <w:keepLines w:val="0"/>
        <w:widowControl w:val="0"/>
        <w:shd w:val="clear" w:color="auto" w:fill="auto"/>
        <w:bidi w:val="0"/>
        <w:spacing w:before="0" w:after="0" w:line="314" w:lineRule="exact"/>
        <w:ind w:left="0" w:right="0"/>
        <w:jc w:val="both"/>
      </w:pPr>
      <w:r>
        <w:rPr>
          <w:b/>
          <w:bCs/>
          <w:color w:val="000000"/>
          <w:spacing w:val="0"/>
          <w:w w:val="100"/>
          <w:position w:val="0"/>
        </w:rPr>
        <w:t>作为出租人</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租赁开始日实质上转移了与租赁资产所有权有关的几乎全部风险和报酬的租赁为融资租赁，除此之外的均为经营租赁。</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作为经营租赁出租人</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经营租赁的租金收入在租赁期内各个期间按直线法（或其他更为系统合理的方法）确认为当期损益，未计入租赁收款额 的可变租赁付款额在实际发生时计入当期损益。</w:t>
      </w:r>
    </w:p>
    <w:p>
      <w:pPr>
        <w:pStyle w:val="Style17"/>
        <w:keepNext w:val="0"/>
        <w:keepLines w:val="0"/>
        <w:widowControl w:val="0"/>
        <w:shd w:val="clear" w:color="auto" w:fill="auto"/>
        <w:bidi w:val="0"/>
        <w:spacing w:before="0" w:after="280" w:line="314"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新冠肺炎疫情引发的租金减让</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对于由新冠肺炎疫情直接引发的、本公司与交易对手方就现有租赁合同达成的租金减免、延期支付等租金减让，同时满 足下列条件的，本公司对所有租赁采用简化方法：</w:t>
      </w:r>
    </w:p>
    <w:p>
      <w:pPr>
        <w:pStyle w:val="Style17"/>
        <w:keepNext w:val="0"/>
        <w:keepLines w:val="0"/>
        <w:widowControl w:val="0"/>
        <w:shd w:val="clear" w:color="auto" w:fill="auto"/>
        <w:tabs>
          <w:tab w:pos="825" w:val="left"/>
        </w:tabs>
        <w:bidi w:val="0"/>
        <w:spacing w:before="0" w:after="0" w:line="312" w:lineRule="exact"/>
        <w:ind w:left="0" w:right="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w:t>
        <w:tab/>
        <w:t>减让后的租赁对价较减让前减少或基本不变；</w:t>
      </w:r>
    </w:p>
    <w:p>
      <w:pPr>
        <w:pStyle w:val="Style17"/>
        <w:keepNext w:val="0"/>
        <w:keepLines w:val="0"/>
        <w:widowControl w:val="0"/>
        <w:shd w:val="clear" w:color="auto" w:fill="auto"/>
        <w:tabs>
          <w:tab w:pos="825" w:val="left"/>
        </w:tabs>
        <w:bidi w:val="0"/>
        <w:spacing w:before="0" w:after="0" w:line="312" w:lineRule="exact"/>
        <w:ind w:left="0" w:right="0"/>
        <w:jc w:val="both"/>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rPr>
        <w:t>2</w:t>
      </w:r>
      <w:r>
        <w:rPr>
          <w:color w:val="000000"/>
          <w:spacing w:val="0"/>
          <w:w w:val="100"/>
          <w:position w:val="0"/>
        </w:rPr>
        <w:t>）</w:t>
        <w:tab/>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p>
    <w:p>
      <w:pPr>
        <w:pStyle w:val="Style17"/>
        <w:keepNext w:val="0"/>
        <w:keepLines w:val="0"/>
        <w:widowControl w:val="0"/>
        <w:shd w:val="clear" w:color="auto" w:fill="auto"/>
        <w:tabs>
          <w:tab w:pos="825" w:val="left"/>
        </w:tabs>
        <w:bidi w:val="0"/>
        <w:spacing w:before="0" w:after="280" w:line="312" w:lineRule="exact"/>
        <w:ind w:left="0" w:right="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w:t>
        <w:tab/>
        <w:t>综合考虑定性和定量因素后认定租赁的其他条款和条件无重大变化。</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作为承租人</w:t>
      </w:r>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本公司不评估是否发生租赁变更，继续按照与减让前一致的折现率计算租赁负债的利息费用并计入当期损益，继续按照 与减让前一致的方法对使用权资产进行计提折旧，对于发生的租金减免，本公司将减免的租金作为可变租赁付款额，在达成 减让协议等解除原租金支付义务时，按减让前折现率折现金额冲减相关资产成本或费用，同时相应调整租赁负债；对于发生 的租金延期支付，本公司在实际支付时冲减前期确认的租赁负债。</w:t>
      </w:r>
    </w:p>
    <w:p>
      <w:pPr>
        <w:pStyle w:val="Style30"/>
        <w:keepNext/>
        <w:keepLines/>
        <w:widowControl w:val="0"/>
        <w:shd w:val="clear" w:color="auto" w:fill="auto"/>
        <w:bidi w:val="0"/>
        <w:spacing w:before="0" w:after="280" w:line="240" w:lineRule="auto"/>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62"/>
      <w:bookmarkEnd w:id="1063"/>
      <w:bookmarkEnd w:id="1065"/>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0</w:t>
      </w:r>
      <w:r>
        <w:rPr>
          <w:color w:val="000000"/>
          <w:spacing w:val="0"/>
          <w:w w:val="100"/>
          <w:position w:val="0"/>
        </w:rPr>
        <w:t>、</w:t>
        <w:tab/>
        <w:t>回购股份</w:t>
      </w:r>
      <w:bookmarkEnd w:id="1066"/>
      <w:bookmarkEnd w:id="1067"/>
      <w:bookmarkEnd w:id="1069"/>
    </w:p>
    <w:p>
      <w:pPr>
        <w:pStyle w:val="Style17"/>
        <w:keepNext w:val="0"/>
        <w:keepLines w:val="0"/>
        <w:widowControl w:val="0"/>
        <w:shd w:val="clear" w:color="auto" w:fill="auto"/>
        <w:bidi w:val="0"/>
        <w:spacing w:before="0" w:after="380" w:line="312" w:lineRule="exact"/>
        <w:ind w:left="0" w:right="0"/>
        <w:jc w:val="both"/>
      </w:pPr>
      <w:r>
        <w:rPr>
          <w:color w:val="000000"/>
          <w:spacing w:val="0"/>
          <w:w w:val="100"/>
          <w:position w:val="0"/>
        </w:rPr>
        <w:t>回购自身权益工具支付的对价和交易费用，减少股东权益。除股份支付之外，发行（含再融资）、回购、出售或注销自 身权益工具，作为权益的变动处理。</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w:t>
        <w:tab/>
        <w:t>其他重要的会计政策和会计估计</w:t>
      </w:r>
      <w:bookmarkEnd w:id="1070"/>
      <w:bookmarkEnd w:id="1071"/>
      <w:bookmarkEnd w:id="1073"/>
    </w:p>
    <w:p>
      <w:pPr>
        <w:pStyle w:val="Style17"/>
        <w:keepNext w:val="0"/>
        <w:keepLines w:val="0"/>
        <w:widowControl w:val="0"/>
        <w:shd w:val="clear" w:color="auto" w:fill="auto"/>
        <w:bidi w:val="0"/>
        <w:spacing w:before="0" w:after="0" w:line="312" w:lineRule="exact"/>
        <w:ind w:left="0" w:right="0"/>
        <w:jc w:val="both"/>
      </w:pPr>
      <w:bookmarkStart w:id="1074" w:name="bookmark1074"/>
      <w:r>
        <w:rPr>
          <w:b/>
          <w:bCs/>
          <w:color w:val="000000"/>
          <w:spacing w:val="0"/>
          <w:w w:val="100"/>
          <w:position w:val="0"/>
        </w:rPr>
        <w:t>（</w:t>
      </w:r>
      <w:bookmarkEnd w:id="1074"/>
      <w:r>
        <w:rPr>
          <w:rFonts w:ascii="Times New Roman" w:eastAsia="Times New Roman" w:hAnsi="Times New Roman" w:cs="Times New Roman"/>
          <w:b/>
          <w:bCs/>
          <w:color w:val="000000"/>
          <w:spacing w:val="0"/>
          <w:w w:val="100"/>
          <w:position w:val="0"/>
        </w:rPr>
        <w:t>1</w:t>
      </w:r>
      <w:r>
        <w:rPr>
          <w:b/>
          <w:bCs/>
          <w:color w:val="000000"/>
          <w:spacing w:val="0"/>
          <w:w w:val="100"/>
          <w:position w:val="0"/>
        </w:rPr>
        <w:t>）利润分配</w:t>
      </w:r>
    </w:p>
    <w:p>
      <w:pPr>
        <w:pStyle w:val="Style17"/>
        <w:keepNext w:val="0"/>
        <w:keepLines w:val="0"/>
        <w:widowControl w:val="0"/>
        <w:shd w:val="clear" w:color="auto" w:fill="auto"/>
        <w:bidi w:val="0"/>
        <w:spacing w:before="0" w:after="280" w:line="312" w:lineRule="exact"/>
        <w:ind w:left="0" w:right="0"/>
        <w:jc w:val="both"/>
      </w:pPr>
      <w:r>
        <w:rPr>
          <w:color w:val="000000"/>
          <w:spacing w:val="0"/>
          <w:w w:val="100"/>
          <w:position w:val="0"/>
        </w:rPr>
        <w:t>本公司的现金股利，于股东大会批准后确认为负债。</w:t>
      </w:r>
    </w:p>
    <w:p>
      <w:pPr>
        <w:pStyle w:val="Style17"/>
        <w:keepNext w:val="0"/>
        <w:keepLines w:val="0"/>
        <w:widowControl w:val="0"/>
        <w:shd w:val="clear" w:color="auto" w:fill="auto"/>
        <w:tabs>
          <w:tab w:pos="783" w:val="left"/>
        </w:tabs>
        <w:bidi w:val="0"/>
        <w:spacing w:before="0" w:after="0" w:line="312" w:lineRule="exact"/>
        <w:ind w:left="0" w:right="0"/>
        <w:jc w:val="left"/>
      </w:pPr>
      <w:bookmarkStart w:id="1075" w:name="bookmark1075"/>
      <w:r>
        <w:rPr>
          <w:b/>
          <w:bCs/>
          <w:color w:val="000000"/>
          <w:spacing w:val="0"/>
          <w:w w:val="100"/>
          <w:position w:val="0"/>
        </w:rPr>
        <w:t>（</w:t>
      </w:r>
      <w:bookmarkEnd w:id="107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公允价值计量</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本公司于每个资产负债表日以公允价值计量衍生金融工具和权益工具投资。公允价值，是指市场参与者在计量日发生的 有序交易中，出售一项资产所能收到或者转移一项负债所需支付的价格。本公司以公允价值计量相关资产或负债，假定出售 资产或者转移负债的有序交易在相关资产或负债的主要市场进行；不存在主要市场的，本公司假定该交易在相关资产或负债 的最有利市场进行。主要市场（或最有利市场）是本公司在计量日能够进入的交易市场。本公司采用市场参与者在对该资产 或负债定价时为实现其经济利益最大化所使用的假设。</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本公司采用在当前情况下适用并且有足够可利用数据和其他信息支持的估值技术，优先使用相关可观察输入值，只有在 可观察输入值无法取得或取得不切实可行的情况下，才使用不可观察输入值。</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定所属的公允价值层次：第一层次输入值，在计量日能够取得的相同资产或负债在活跃市场上未经调整的报价；第二层次输 入值，除第一层次输入值外相关资产或负债直接或间接可观察的输入值；第三层次输入值，相关资产或负债的不可观察输入 值。</w:t>
      </w:r>
    </w:p>
    <w:p>
      <w:pPr>
        <w:pStyle w:val="Style17"/>
        <w:keepNext w:val="0"/>
        <w:keepLines w:val="0"/>
        <w:widowControl w:val="0"/>
        <w:shd w:val="clear" w:color="auto" w:fill="auto"/>
        <w:bidi w:val="0"/>
        <w:spacing w:before="0" w:after="320" w:line="312" w:lineRule="exact"/>
        <w:ind w:left="0" w:right="0"/>
        <w:jc w:val="both"/>
      </w:pPr>
      <w:r>
        <w:rPr>
          <w:color w:val="000000"/>
          <w:spacing w:val="0"/>
          <w:w w:val="100"/>
          <w:position w:val="0"/>
        </w:rPr>
        <w:t>每个资产负债表日，本公司对在财务报表中确认的持续以公允价值计量的资产和负债进行重新评估，以确定是否在公允 价值计量层次之间发生转换。</w:t>
      </w:r>
    </w:p>
    <w:p>
      <w:pPr>
        <w:pStyle w:val="Style17"/>
        <w:keepNext w:val="0"/>
        <w:keepLines w:val="0"/>
        <w:widowControl w:val="0"/>
        <w:shd w:val="clear" w:color="auto" w:fill="auto"/>
        <w:tabs>
          <w:tab w:pos="783" w:val="left"/>
        </w:tabs>
        <w:bidi w:val="0"/>
        <w:spacing w:before="0" w:after="0" w:line="313" w:lineRule="exact"/>
        <w:ind w:left="0" w:right="0"/>
        <w:jc w:val="both"/>
      </w:pPr>
      <w:bookmarkStart w:id="1076" w:name="bookmark1076"/>
      <w:r>
        <w:rPr>
          <w:b/>
          <w:bCs/>
          <w:color w:val="000000"/>
          <w:spacing w:val="0"/>
          <w:w w:val="100"/>
          <w:position w:val="0"/>
        </w:rPr>
        <w:t>（</w:t>
      </w:r>
      <w:bookmarkEnd w:id="107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重大会计判断和估计</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编制财务报表要求管理层作出判断、估计和假设，这些判断、估计和假设会影响收入、费用、资产和负债的列报金额及 其披露，以及资产负债表日或有负债的披露。这些假设和估计的不确定性所导致的结果可能造成对未来受影响的资产或负债 的账面金额进行重大调整。</w:t>
      </w:r>
    </w:p>
    <w:p>
      <w:pPr>
        <w:pStyle w:val="Style17"/>
        <w:keepNext w:val="0"/>
        <w:keepLines w:val="0"/>
        <w:widowControl w:val="0"/>
        <w:shd w:val="clear" w:color="auto" w:fill="auto"/>
        <w:bidi w:val="0"/>
        <w:spacing w:before="0" w:after="0" w:line="313" w:lineRule="exact"/>
        <w:ind w:left="0" w:right="0"/>
        <w:jc w:val="left"/>
      </w:pPr>
      <w:r>
        <w:rPr>
          <w:b/>
          <w:bCs/>
          <w:color w:val="000000"/>
          <w:spacing w:val="0"/>
          <w:w w:val="100"/>
          <w:position w:val="0"/>
        </w:rPr>
        <w:t>判断</w:t>
      </w:r>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在应用本公司的会计政策的过程中，管理层作出了以下对财务报表所确认的金额具有重大影响的判断：</w:t>
      </w:r>
    </w:p>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业务模式</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金融资产于初始确认时的分类取决于本公司管理金融资产的业务模式，在判断业务模式时，本公司考虑包括企业评价和 向关键管理人员报告金融资产业绩的方式、影响金融资产业绩的风险及其管理方式以及相关业务管理人员获得报酬的方式 等。在评估是否以收取合同现金流量为目标时，本公司需要对金融资产到期日前的出售原因、时间、频率和价值等进行分析 判断。</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合同现金流量特征</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金融资产于初始确认时的分类取决于金融资产的合同现金流量特征，需要判断合同现金流量是否仅为对本金和以未偿 付本金为基础的利息的支付时，包含对货币时间价值的修正进行评估时，需要判断与基准现金流量相比是否具有显著差异、 对包含提前还款特征的金融资产，需要判断提前还款特征的公允价值是否非常小等。</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租赁期</w:t>
      </w:r>
      <w:r>
        <w:rPr>
          <w:color w:val="000000"/>
          <w:spacing w:val="0"/>
          <w:w w:val="100"/>
          <w:position w:val="0"/>
        </w:rPr>
        <w:t>一一</w:t>
      </w:r>
      <w:r>
        <w:rPr>
          <w:color w:val="000000"/>
          <w:spacing w:val="0"/>
          <w:w w:val="100"/>
          <w:position w:val="0"/>
        </w:rPr>
        <w:t>包含续租选择权的租赁合同</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租赁期是本公司有权使用租赁资产且不可撤销的期间，有续租选择权，且合理确定将行使该选择权的，租赁期还包含续 租选择权涵盖的期间。本公司部分租赁合同拥有</w:t>
      </w:r>
      <w:r>
        <w:rPr>
          <w:rFonts w:ascii="Times New Roman" w:eastAsia="Times New Roman" w:hAnsi="Times New Roman" w:cs="Times New Roman"/>
          <w:color w:val="000000"/>
          <w:spacing w:val="0"/>
          <w:w w:val="100"/>
          <w:position w:val="0"/>
        </w:rPr>
        <w:t>1-3</w:t>
      </w:r>
      <w:r>
        <w:rPr>
          <w:color w:val="000000"/>
          <w:spacing w:val="0"/>
          <w:w w:val="100"/>
          <w:position w:val="0"/>
        </w:rPr>
        <w:t>年的续租选择权。本公司在评估是否合理确定将行使续租选择权时，综 合考虑与本公司行使续租选择权带来经济利益的所有相关事实和情况，包括自租赁期开始日至选择权行使日之间的事实和 情况的预期变化。</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持有其他主体</w:t>
      </w:r>
      <w:r>
        <w:rPr>
          <w:rFonts w:ascii="Times New Roman" w:eastAsia="Times New Roman" w:hAnsi="Times New Roman" w:cs="Times New Roman"/>
          <w:color w:val="000000"/>
          <w:spacing w:val="0"/>
          <w:w w:val="100"/>
          <w:position w:val="0"/>
        </w:rPr>
        <w:t>20%</w:t>
      </w:r>
      <w:r>
        <w:rPr>
          <w:color w:val="000000"/>
          <w:spacing w:val="0"/>
          <w:w w:val="100"/>
          <w:position w:val="0"/>
        </w:rPr>
        <w:t>以下的表决权但对该主体具有重大影响</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日，本公司持有苏州泓迅生物科技有限公司（</w:t>
      </w:r>
      <w:r>
        <w:rPr>
          <w:rFonts w:ascii="Times New Roman" w:eastAsia="Times New Roman" w:hAnsi="Times New Roman" w:cs="Times New Roman"/>
          <w:color w:val="000000"/>
          <w:spacing w:val="0"/>
          <w:w w:val="100"/>
          <w:position w:val="0"/>
        </w:rPr>
        <w:t>“</w:t>
      </w:r>
      <w:r>
        <w:rPr>
          <w:color w:val="000000"/>
          <w:spacing w:val="0"/>
          <w:w w:val="100"/>
          <w:position w:val="0"/>
        </w:rPr>
        <w:t>苏州泓迅</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11.08%</w:t>
      </w:r>
      <w:r>
        <w:rPr>
          <w:color w:val="000000"/>
          <w:spacing w:val="0"/>
          <w:w w:val="100"/>
          <w:position w:val="0"/>
        </w:rPr>
        <w:t>的股权、持有广州中健云康网络科技 有限公司（“广州中健云康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18.33%</w:t>
      </w:r>
      <w:r>
        <w:rPr>
          <w:color w:val="000000"/>
          <w:spacing w:val="0"/>
          <w:w w:val="100"/>
          <w:position w:val="0"/>
        </w:rPr>
        <w:t>的股权、持有武汉古奥基因科技有限公司（“古奥基因</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9.88%</w:t>
      </w:r>
      <w:r>
        <w:rPr>
          <w:color w:val="000000"/>
          <w:spacing w:val="0"/>
          <w:w w:val="100"/>
          <w:position w:val="0"/>
        </w:rPr>
        <w:t>的股权、持有</w:t>
      </w:r>
      <w:r>
        <w:rPr>
          <w:rFonts w:ascii="Times New Roman" w:eastAsia="Times New Roman" w:hAnsi="Times New Roman" w:cs="Times New Roman"/>
          <w:color w:val="000000"/>
          <w:spacing w:val="0"/>
          <w:w w:val="100"/>
          <w:position w:val="0"/>
        </w:rPr>
        <w:t>Pryzm Health IQ Pty Ltd</w:t>
      </w:r>
      <w:r>
        <w:rPr>
          <w:color w:val="000000"/>
          <w:spacing w:val="0"/>
          <w:w w:val="100"/>
          <w:position w:val="0"/>
        </w:rPr>
        <w:t>（</w:t>
      </w:r>
      <w:r>
        <w:rPr>
          <w:rFonts w:ascii="Times New Roman" w:eastAsia="Times New Roman" w:hAnsi="Times New Roman" w:cs="Times New Roman"/>
          <w:color w:val="000000"/>
          <w:spacing w:val="0"/>
          <w:w w:val="100"/>
          <w:position w:val="0"/>
        </w:rPr>
        <w:t>"Pryzm Health"</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的股权。由于本公司分别在上述公司董事会中派有代表并参与对上述公司财务和经营政策 的决策，能够对上述公司施加重大影响。</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持有其他主体</w:t>
      </w:r>
      <w:r>
        <w:rPr>
          <w:rFonts w:ascii="Times New Roman" w:eastAsia="Times New Roman" w:hAnsi="Times New Roman" w:cs="Times New Roman"/>
          <w:color w:val="000000"/>
          <w:spacing w:val="0"/>
          <w:w w:val="100"/>
          <w:position w:val="0"/>
        </w:rPr>
        <w:t>20%</w:t>
      </w:r>
      <w:r>
        <w:rPr>
          <w:color w:val="000000"/>
          <w:spacing w:val="0"/>
          <w:w w:val="100"/>
          <w:position w:val="0"/>
        </w:rPr>
        <w:t>或以上的表决权但对该主体不具有重大影响</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本公司无权参与广州市松禾医健创业投资合伙企业（有限合伙）、南京华大共赢一号创业投资企业（有限合伙）和青岛 </w:t>
      </w:r>
      <w:r>
        <w:rPr>
          <w:color w:val="000000"/>
          <w:spacing w:val="0"/>
          <w:w w:val="100"/>
          <w:position w:val="0"/>
        </w:rPr>
        <w:t>华大共赢二号创业投资基金合伙企业（有限合伙）的财务和经营决策，因此，本公司对上述企业不具有重大影响。</w:t>
      </w:r>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单项履约义务的确定</w:t>
      </w:r>
    </w:p>
    <w:p>
      <w:pPr>
        <w:pStyle w:val="Style17"/>
        <w:keepNext w:val="0"/>
        <w:keepLines w:val="0"/>
        <w:widowControl w:val="0"/>
        <w:shd w:val="clear" w:color="auto" w:fill="auto"/>
        <w:bidi w:val="0"/>
        <w:spacing w:before="0" w:after="300" w:line="314" w:lineRule="exact"/>
        <w:ind w:left="0" w:right="0"/>
        <w:jc w:val="both"/>
      </w:pPr>
      <w:r>
        <w:rPr>
          <w:color w:val="000000"/>
          <w:spacing w:val="0"/>
          <w:w w:val="100"/>
          <w:position w:val="0"/>
        </w:rPr>
        <w:t>本公司多组学大数据服务与合成业务，包含有各批次样本的测序分析等多项服务承诺，由于客户能够分别从该多项服务 中单独受益或与其他易于获得的资源一起使用中受益，且该多项服务承诺分别与其他服务承诺可单独区分，该上述各项服务 承诺分别构成单项履约义务。</w:t>
      </w:r>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估计的不确定性</w:t>
      </w:r>
    </w:p>
    <w:p>
      <w:pPr>
        <w:pStyle w:val="Style1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以下为于资产负债表日有关未来的关键假设以及估计不确定性的其他关键来源，可能会导致未来会计期间资产和负债 账面金额重大调整。</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金融工具减值</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本公司采用预期信用损失模型对金融工具的减值进行评估，应用预期信用损失模型需要做出重大判断和估计，需考虑所 有合理且有依据的信息，包括前瞻性信息。在做出这些判断和估计时，本公司根据历史还款数据结合经济政策、宏观经济指 标、行业风险等因素推断债务人信用风险的预期变动。不同的估计可能会影响减值准备的计提，已计提的减值准备可能并不 等于未来实际的减值损失金额。</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除金融资产之外的非流动资产减值（除商誉外）</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表明其账面金额不可收回时，进行减值测试。当资产或资产组的账面价值高于可收回金额，即公允价值减去处置费用后的净 额和预计未来现金流量的现值中的较高者，表明发生了减值。公允价值减去处置费用后的净额，参考公平交易中类似资产的 销售协议价格或可观察到的市场价格，减去可直接归属于该资产处置的增量成本确定。预计未来现金流量现值时，管理层必 须估计该项资产或资产组的预计未来现金流量，并选择恰当的折现率确定未来现金流量的现值。</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商誉减值</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率确定未来现金流量的现值。详见</w:t>
      </w:r>
      <w:r>
        <w:rPr>
          <w:rFonts w:ascii="Times New Roman" w:eastAsia="Times New Roman" w:hAnsi="Times New Roman" w:cs="Times New Roman"/>
          <w:color w:val="000000"/>
          <w:spacing w:val="0"/>
          <w:w w:val="100"/>
          <w:position w:val="0"/>
        </w:rPr>
        <w:t>“</w:t>
      </w:r>
      <w:r>
        <w:rPr>
          <w:color w:val="000000"/>
          <w:spacing w:val="0"/>
          <w:w w:val="100"/>
          <w:position w:val="0"/>
        </w:rPr>
        <w:t>附注七、合并财务报表项目注释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“20</w:t>
      </w:r>
      <w:r>
        <w:rPr>
          <w:color w:val="000000"/>
          <w:spacing w:val="0"/>
          <w:w w:val="100"/>
          <w:position w:val="0"/>
        </w:rPr>
        <w:t>、商誉七</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非上市股权投资的公允价值</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本公司对非上市权益投资采用估值技术确定其公允价值，估值技术包括熟悉情况并自愿交易的各方最近进行的市场交 易中使用的价格、市场乘数法和现金流量折现法等。建立估值模型时，需对流动风险、信用风险以及波动性等参数进行估计， 不同的估计可能会影响公允价值的金额。</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开发支出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确定资本化的金额时，管理层必须作出有关资产的预计未来现金流量、适用的折现率以及预计受益期间的假设。</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递延所得税资产</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在很可能有足够的应纳税所得额用以抵扣可抵扣亏损的限度内，应就所有尚未利用的可抵扣亏损确认递延所得税资产。 这需要管理层运用大量的判断来估计未来取得应纳税所得额的时间和金额，结合纳税筹划策略，以决定应确认的递延所得税 资产的金额。</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折旧及摊销</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本公司于资产达到预定可使用状态起按有关的估计使用寿命及净残值以年限平均法计算固定资产的折旧及无形资产的 摊销，反映了管理层就本公司拟从使用该固定资产及无形资产获得未来经济利益的期间的估计。</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预计负债</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对于某些预计很可能发生亏损的合同，管理层根据预算收入和预算成本，结合累计已确认的收入和累计已发生的成本， 计算未来合同亏损对应的预计负债，预计发生亏损的合同，其相关预计负债</w:t>
      </w:r>
      <w:r>
        <w:rPr>
          <w:rFonts w:ascii="Times New Roman" w:eastAsia="Times New Roman" w:hAnsi="Times New Roman" w:cs="Times New Roman"/>
          <w:color w:val="000000"/>
          <w:spacing w:val="0"/>
          <w:w w:val="100"/>
          <w:position w:val="0"/>
        </w:rPr>
        <w:t>=</w:t>
      </w:r>
      <w:r>
        <w:rPr>
          <w:color w:val="000000"/>
          <w:spacing w:val="0"/>
          <w:w w:val="100"/>
          <w:position w:val="0"/>
        </w:rPr>
        <w:t>预计成本</w:t>
      </w:r>
      <w:r>
        <w:rPr>
          <w:rFonts w:ascii="Times New Roman" w:eastAsia="Times New Roman" w:hAnsi="Times New Roman" w:cs="Times New Roman"/>
          <w:color w:val="000000"/>
          <w:spacing w:val="0"/>
          <w:w w:val="100"/>
          <w:position w:val="0"/>
        </w:rPr>
        <w:t>-</w:t>
      </w:r>
      <w:r>
        <w:rPr>
          <w:color w:val="000000"/>
          <w:spacing w:val="0"/>
          <w:w w:val="100"/>
          <w:position w:val="0"/>
        </w:rPr>
        <w:t>预计收入</w:t>
      </w:r>
      <w:r>
        <w:rPr>
          <w:rFonts w:ascii="Times New Roman" w:eastAsia="Times New Roman" w:hAnsi="Times New Roman" w:cs="Times New Roman"/>
          <w:color w:val="000000"/>
          <w:spacing w:val="0"/>
          <w:w w:val="100"/>
          <w:position w:val="0"/>
        </w:rPr>
        <w:t>-</w:t>
      </w:r>
      <w:r>
        <w:rPr>
          <w:color w:val="000000"/>
          <w:spacing w:val="0"/>
          <w:w w:val="100"/>
          <w:position w:val="0"/>
        </w:rPr>
        <w:t>（累计已发生成本</w:t>
      </w:r>
      <w:r>
        <w:rPr>
          <w:rFonts w:ascii="Times New Roman" w:eastAsia="Times New Roman" w:hAnsi="Times New Roman" w:cs="Times New Roman"/>
          <w:color w:val="000000"/>
          <w:spacing w:val="0"/>
          <w:w w:val="100"/>
          <w:position w:val="0"/>
        </w:rPr>
        <w:t>-</w:t>
      </w:r>
      <w:r>
        <w:rPr>
          <w:color w:val="000000"/>
          <w:spacing w:val="0"/>
          <w:w w:val="100"/>
          <w:position w:val="0"/>
        </w:rPr>
        <w:t>累计已 确认收入），在预计负债确认过程，需要管理层运用大量的判断来估计预算成本以及预计收入，以决定本期应确认的预计负 债。</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承租人增量借款利率</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对于无法确定租赁内含利率的租赁，本公司采用承租人增量借款利率作为折现率计算租赁付款额的现值。确定增量借款 利率时，本公司根据所处经济环境，以可观察的利率作为确定增量借款利率的参考基础，在此基础上，根据自身情况、标的 资产情况、租赁期和租赁负债金额等租赁业务具体情况对参考利率进行调整以得出适用的增量借款利率。</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存货减值至可变现净值</w:t>
      </w:r>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存货减值至可变现净值是基于评估存货的可售性及其可变现净值。鉴定存货减值要求管理层在取得确凿证据，并且考虑 持有存货的目的、资产负债表日后事项的影响等因素的基础上作出判断和估计。实际的结果与原先估计的差异将在估计被改 变的期间影响存货的账面价值及存货跌价准备的计提或转回。</w:t>
      </w:r>
    </w:p>
    <w:p>
      <w:pPr>
        <w:pStyle w:val="Style30"/>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、重要会计政策和会计估计变更</w:t>
      </w:r>
      <w:bookmarkEnd w:id="1077"/>
      <w:bookmarkEnd w:id="1078"/>
      <w:bookmarkEnd w:id="1080"/>
    </w:p>
    <w:p>
      <w:pPr>
        <w:pStyle w:val="Style30"/>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77"/>
      <w:bookmarkEnd w:id="1078"/>
      <w:bookmarkEnd w:id="108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539"/>
        <w:gridCol w:w="1982"/>
        <w:gridCol w:w="20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 xml:space="preserve">- </w:t>
            </w:r>
            <w:r>
              <w:rPr>
                <w:color w:val="000000"/>
                <w:spacing w:val="0"/>
                <w:w w:val="100"/>
                <w:position w:val="0"/>
              </w:rPr>
              <w:t>租赁</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号）（以下简称新租赁准则）。根据财 政部上述相关准则及通知规定，公司作为境内上市企业，自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公司董事会审议通过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32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、新租赁准则</w:t>
      </w:r>
    </w:p>
    <w:p>
      <w:pPr>
        <w:pStyle w:val="Style17"/>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年，财政部颁布了修订的《企业会计准则第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），新租赁准则采用与现行融资租 赁会计处理类似的单一模型，要求承租人对除短期租赁和低价值资产租赁以外的所有租赁确认使用权资产和租赁负债，并分 别确认折旧和利息费用。本公司自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日开始按照新修订的租赁准则进行会计处理，对首次执行日前已存在的合同， 选择不重新评估其是否为租赁或者包含租赁，并根据衔接规定，对可比期间信息不予调整，首次执行日新租赁准则与现行租 赁准则的差异追溯调整</w:t>
      </w:r>
      <w:r>
        <w:rPr>
          <w:rFonts w:ascii="Times New Roman" w:eastAsia="Times New Roman" w:hAnsi="Times New Roman" w:cs="Times New Roman"/>
          <w:color w:val="000000"/>
          <w:spacing w:val="0"/>
          <w:w w:val="100"/>
          <w:position w:val="0"/>
        </w:rPr>
        <w:t>2021</w:t>
      </w:r>
      <w:r>
        <w:rPr>
          <w:color w:val="000000"/>
          <w:spacing w:val="0"/>
          <w:w w:val="100"/>
          <w:position w:val="0"/>
        </w:rPr>
        <w:t>年年初留存收益：</w:t>
      </w:r>
    </w:p>
    <w:p>
      <w:pPr>
        <w:pStyle w:val="Style17"/>
        <w:keepNext w:val="0"/>
        <w:keepLines w:val="0"/>
        <w:widowControl w:val="0"/>
        <w:shd w:val="clear" w:color="auto" w:fill="auto"/>
        <w:tabs>
          <w:tab w:pos="879" w:val="left"/>
        </w:tabs>
        <w:bidi w:val="0"/>
        <w:spacing w:before="0" w:after="0" w:line="316" w:lineRule="exact"/>
        <w:ind w:left="0" w:right="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w:t>
        <w:tab/>
        <w:t>对于首次执行日之前的融资租赁，本公司按照融资租入资产和应付融资租赁款的原账面价值，分别计量使用权资 产和租赁负债；</w:t>
      </w:r>
    </w:p>
    <w:p>
      <w:pPr>
        <w:pStyle w:val="Style17"/>
        <w:keepNext w:val="0"/>
        <w:keepLines w:val="0"/>
        <w:widowControl w:val="0"/>
        <w:shd w:val="clear" w:color="auto" w:fill="auto"/>
        <w:tabs>
          <w:tab w:pos="874" w:val="left"/>
        </w:tabs>
        <w:bidi w:val="0"/>
        <w:spacing w:before="0" w:after="0" w:line="316" w:lineRule="exact"/>
        <w:ind w:left="0" w:right="0"/>
        <w:jc w:val="both"/>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w:t>
        <w:tab/>
        <w:t>对于首次执行日之前的经营租赁，本公司根据剩余租赁付款额按首次执行日的增量借款利率折现的现值计量租赁 负债，并根据每项租赁按照与租赁负债相等的金额，并根据预付租金进行必要调整计量使用权资产；</w:t>
      </w:r>
    </w:p>
    <w:p>
      <w:pPr>
        <w:pStyle w:val="Style17"/>
        <w:keepNext w:val="0"/>
        <w:keepLines w:val="0"/>
        <w:widowControl w:val="0"/>
        <w:shd w:val="clear" w:color="auto" w:fill="auto"/>
        <w:tabs>
          <w:tab w:pos="803" w:val="left"/>
        </w:tabs>
        <w:bidi w:val="0"/>
        <w:spacing w:before="0" w:after="300" w:line="316" w:lineRule="exact"/>
        <w:ind w:left="0" w:right="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w:t>
        <w:tab/>
        <w:t>本公司按照附注五</w:t>
      </w:r>
      <w:r>
        <w:rPr>
          <w:rFonts w:ascii="Times New Roman" w:eastAsia="Times New Roman" w:hAnsi="Times New Roman" w:cs="Times New Roman"/>
          <w:color w:val="000000"/>
          <w:spacing w:val="0"/>
          <w:w w:val="100"/>
          <w:position w:val="0"/>
        </w:rPr>
        <w:t>“19</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对使用权资产进行减值测试并进行相应的会计处理。</w:t>
      </w:r>
    </w:p>
    <w:p>
      <w:pPr>
        <w:pStyle w:val="Style17"/>
        <w:keepNext w:val="0"/>
        <w:keepLines w:val="0"/>
        <w:widowControl w:val="0"/>
        <w:shd w:val="clear" w:color="auto" w:fill="auto"/>
        <w:bidi w:val="0"/>
        <w:spacing w:before="0" w:after="0" w:line="331" w:lineRule="exact"/>
        <w:ind w:left="0" w:right="0"/>
        <w:jc w:val="both"/>
      </w:pPr>
      <w:r>
        <w:rPr>
          <w:color w:val="000000"/>
          <w:spacing w:val="0"/>
          <w:w w:val="100"/>
          <w:position w:val="0"/>
        </w:rPr>
        <w:t>本公司对首次执行日之前租赁资产属于低价值资产的经营租赁或将于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个月内完成的经营租赁，采用简化处理，未确认 使用权资产和租赁负债。此外，本公司对于首次执行日之前的经营租赁，采用了下列简化处理：</w:t>
      </w:r>
    </w:p>
    <w:p>
      <w:pPr>
        <w:pStyle w:val="Style17"/>
        <w:keepNext w:val="0"/>
        <w:keepLines w:val="0"/>
        <w:widowControl w:val="0"/>
        <w:shd w:val="clear" w:color="auto" w:fill="auto"/>
        <w:tabs>
          <w:tab w:pos="803" w:val="left"/>
        </w:tabs>
        <w:bidi w:val="0"/>
        <w:spacing w:before="0" w:after="0" w:line="316" w:lineRule="exact"/>
        <w:ind w:left="0" w:right="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1</w:t>
      </w:r>
      <w:r>
        <w:rPr>
          <w:color w:val="000000"/>
          <w:spacing w:val="0"/>
          <w:w w:val="100"/>
          <w:position w:val="0"/>
        </w:rPr>
        <w:t>）</w:t>
        <w:tab/>
        <w:t>计量租赁负债时，具有相似特征的租赁可采用同一折现率；使用权资产的计量可不包含初始直接费用；</w:t>
      </w:r>
    </w:p>
    <w:p>
      <w:pPr>
        <w:pStyle w:val="Style17"/>
        <w:keepNext w:val="0"/>
        <w:keepLines w:val="0"/>
        <w:widowControl w:val="0"/>
        <w:shd w:val="clear" w:color="auto" w:fill="auto"/>
        <w:tabs>
          <w:tab w:pos="803" w:val="left"/>
        </w:tabs>
        <w:bidi w:val="0"/>
        <w:spacing w:before="0" w:after="0" w:line="326" w:lineRule="exact"/>
        <w:ind w:left="0" w:right="0"/>
        <w:jc w:val="both"/>
      </w:pPr>
      <w:bookmarkStart w:id="1087" w:name="bookmark1087"/>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w:t>
        <w:tab/>
        <w:t>存在续租选择权或终止租赁选择权的，本公司根据首次执行日前选择权的实际行使及其他最新情况确定租赁期；</w:t>
      </w:r>
    </w:p>
    <w:p>
      <w:pPr>
        <w:pStyle w:val="Style17"/>
        <w:keepNext w:val="0"/>
        <w:keepLines w:val="0"/>
        <w:widowControl w:val="0"/>
        <w:shd w:val="clear" w:color="auto" w:fill="auto"/>
        <w:tabs>
          <w:tab w:pos="850" w:val="left"/>
        </w:tabs>
        <w:bidi w:val="0"/>
        <w:spacing w:before="0" w:after="0" w:line="326" w:lineRule="exact"/>
        <w:ind w:left="0" w:right="0"/>
        <w:jc w:val="both"/>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rPr>
        <w:t>3</w:t>
      </w:r>
      <w:r>
        <w:rPr>
          <w:color w:val="000000"/>
          <w:spacing w:val="0"/>
          <w:w w:val="100"/>
          <w:position w:val="0"/>
        </w:rPr>
        <w:t>）</w:t>
        <w:tab/>
        <w:t>作为使用权资产减值测试的替代，本公司评估包含租赁的合同在首次执行日前是否为亏损合同，并根据首次执行 日前计入资产负债表的亏损准备金额调整使用权资产；</w:t>
      </w:r>
    </w:p>
    <w:p>
      <w:pPr>
        <w:pStyle w:val="Style17"/>
        <w:keepNext w:val="0"/>
        <w:keepLines w:val="0"/>
        <w:widowControl w:val="0"/>
        <w:shd w:val="clear" w:color="auto" w:fill="auto"/>
        <w:tabs>
          <w:tab w:pos="803" w:val="left"/>
        </w:tabs>
        <w:bidi w:val="0"/>
        <w:spacing w:before="0" w:after="380" w:line="316" w:lineRule="exact"/>
        <w:ind w:left="0" w:right="0"/>
        <w:jc w:val="both"/>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w:t>
        <w:tab/>
        <w:t>首次执行日前的租赁变更，本公司根据租赁变更的最终安排进行会计处理。</w:t>
      </w:r>
    </w:p>
    <w:p>
      <w:pPr>
        <w:pStyle w:val="Style17"/>
        <w:keepNext w:val="0"/>
        <w:keepLines w:val="0"/>
        <w:widowControl w:val="0"/>
        <w:shd w:val="clear" w:color="auto" w:fill="auto"/>
        <w:bidi w:val="0"/>
        <w:spacing w:before="0" w:after="300" w:line="317" w:lineRule="exact"/>
        <w:ind w:left="0" w:right="0"/>
        <w:jc w:val="both"/>
      </w:pPr>
      <w:r>
        <w:rPr>
          <w:color w:val="000000"/>
          <w:spacing w:val="0"/>
          <w:w w:val="100"/>
          <w:position w:val="0"/>
        </w:rPr>
        <w:t>对于首次执行日前作为销售和融资租赁进行会计处理的售后租回交易，本公司作为卖方（承租人）按照与其他融资租赁 相同的方法对租回进行会计处理，并继续在租赁期内摊销相关递延收益或损失。</w:t>
      </w:r>
    </w:p>
    <w:p>
      <w:pPr>
        <w:pStyle w:val="Style17"/>
        <w:keepNext w:val="0"/>
        <w:keepLines w:val="0"/>
        <w:widowControl w:val="0"/>
        <w:shd w:val="clear" w:color="auto" w:fill="auto"/>
        <w:bidi w:val="0"/>
        <w:spacing w:before="0" w:after="380" w:line="317" w:lineRule="exact"/>
        <w:ind w:left="0" w:right="0"/>
        <w:jc w:val="both"/>
      </w:pPr>
      <w:r>
        <w:rPr>
          <w:color w:val="000000"/>
          <w:spacing w:val="0"/>
          <w:w w:val="100"/>
          <w:position w:val="0"/>
        </w:rPr>
        <w:t>对于</w:t>
      </w:r>
      <w:r>
        <w:rPr>
          <w:rFonts w:ascii="Times New Roman" w:eastAsia="Times New Roman" w:hAnsi="Times New Roman" w:cs="Times New Roman"/>
          <w:color w:val="000000"/>
          <w:spacing w:val="0"/>
          <w:w w:val="100"/>
          <w:position w:val="0"/>
        </w:rPr>
        <w:t>2020</w:t>
      </w:r>
      <w:r>
        <w:rPr>
          <w:color w:val="000000"/>
          <w:spacing w:val="0"/>
          <w:w w:val="100"/>
          <w:position w:val="0"/>
        </w:rPr>
        <w:t>年财务报表中披露的重大经营租赁尚未支付的最低租赁付款额，本公司按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日本公司作为承租人的 增量借款利率折现的现值，与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日计入资产负债表的租赁负债的差异调整过程如下：</w:t>
      </w:r>
    </w:p>
    <w:p>
      <w:pPr>
        <w:pStyle w:val="Style38"/>
        <w:keepNext w:val="0"/>
        <w:keepLines w:val="0"/>
        <w:widowControl w:val="0"/>
        <w:shd w:val="clear" w:color="auto" w:fill="auto"/>
        <w:tabs>
          <w:tab w:pos="8309" w:val="right"/>
        </w:tabs>
        <w:bidi w:val="0"/>
        <w:spacing w:before="0" w:after="100" w:line="240" w:lineRule="auto"/>
        <w:ind w:left="0" w:right="0" w:firstLine="38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日重大经营租赁最低租赁付款额</w:t>
        <w:tab/>
      </w:r>
      <w:r>
        <w:rPr>
          <w:color w:val="000000"/>
          <w:spacing w:val="0"/>
          <w:w w:val="100"/>
          <w:position w:val="0"/>
        </w:rPr>
        <w:t>127,012,185.49</w:t>
      </w:r>
    </w:p>
    <w:p>
      <w:pPr>
        <w:pStyle w:val="Style17"/>
        <w:keepNext w:val="0"/>
        <w:keepLines w:val="0"/>
        <w:widowControl w:val="0"/>
        <w:shd w:val="clear" w:color="auto" w:fill="auto"/>
        <w:tabs>
          <w:tab w:pos="8309" w:val="right"/>
        </w:tabs>
        <w:bidi w:val="0"/>
        <w:spacing w:before="0" w:line="240" w:lineRule="auto"/>
        <w:ind w:left="0" w:right="0"/>
        <w:jc w:val="both"/>
      </w:pPr>
      <w:r>
        <w:rPr>
          <w:color w:val="000000"/>
          <w:spacing w:val="0"/>
          <w:w w:val="100"/>
          <w:position w:val="0"/>
        </w:rPr>
        <w:t>减：采用简化处理的租赁付款额</w:t>
        <w:tab/>
      </w:r>
      <w:r>
        <w:rPr>
          <w:rFonts w:ascii="Times New Roman" w:eastAsia="Times New Roman" w:hAnsi="Times New Roman" w:cs="Times New Roman"/>
          <w:color w:val="000000"/>
          <w:spacing w:val="0"/>
          <w:w w:val="100"/>
          <w:position w:val="0"/>
        </w:rPr>
        <w:t>9,328,422.76</w:t>
      </w:r>
    </w:p>
    <w:p>
      <w:pPr>
        <w:pStyle w:val="Style38"/>
        <w:keepNext w:val="0"/>
        <w:keepLines w:val="0"/>
        <w:widowControl w:val="0"/>
        <w:shd w:val="clear" w:color="auto" w:fill="auto"/>
        <w:tabs>
          <w:tab w:pos="8309" w:val="right"/>
        </w:tabs>
        <w:bidi w:val="0"/>
        <w:spacing w:before="0" w:after="100" w:line="240" w:lineRule="auto"/>
        <w:ind w:left="0" w:right="0" w:firstLine="940"/>
        <w:jc w:val="both"/>
      </w:pPr>
      <w:r>
        <w:rPr>
          <w:rFonts w:ascii="SimSun" w:eastAsia="SimSun" w:hAnsi="SimSun" w:cs="SimSun"/>
          <w:color w:val="000000"/>
          <w:spacing w:val="0"/>
          <w:w w:val="100"/>
          <w:position w:val="0"/>
        </w:rPr>
        <w:t>其中：短期租赁</w:t>
        <w:tab/>
      </w:r>
      <w:r>
        <w:rPr>
          <w:color w:val="000000"/>
          <w:spacing w:val="0"/>
          <w:w w:val="100"/>
          <w:position w:val="0"/>
        </w:rPr>
        <w:t>8,636,362.38</w:t>
      </w:r>
    </w:p>
    <w:p>
      <w:pPr>
        <w:pStyle w:val="Style17"/>
        <w:keepNext w:val="0"/>
        <w:keepLines w:val="0"/>
        <w:widowControl w:val="0"/>
        <w:shd w:val="clear" w:color="auto" w:fill="auto"/>
        <w:tabs>
          <w:tab w:pos="6840" w:val="right"/>
        </w:tabs>
        <w:bidi w:val="0"/>
        <w:spacing w:before="0" w:line="240" w:lineRule="auto"/>
        <w:ind w:left="0" w:right="0" w:firstLine="0"/>
        <w:jc w:val="center"/>
      </w:pPr>
      <w:r>
        <w:rPr>
          <w:color w:val="000000"/>
          <w:spacing w:val="0"/>
          <w:w w:val="100"/>
          <w:position w:val="0"/>
        </w:rPr>
        <w:t>剩余租赁期超过</w:t>
      </w:r>
      <w:r>
        <w:rPr>
          <w:rFonts w:ascii="Times New Roman" w:eastAsia="Times New Roman" w:hAnsi="Times New Roman" w:cs="Times New Roman"/>
          <w:color w:val="000000"/>
          <w:spacing w:val="0"/>
          <w:w w:val="100"/>
          <w:position w:val="0"/>
        </w:rPr>
        <w:t>12</w:t>
      </w:r>
      <w:r>
        <w:rPr>
          <w:color w:val="000000"/>
          <w:spacing w:val="0"/>
          <w:w w:val="100"/>
          <w:position w:val="0"/>
        </w:rPr>
        <w:t>个月的低价值资产租赁</w:t>
        <w:tab/>
      </w:r>
      <w:r>
        <w:rPr>
          <w:rFonts w:ascii="Times New Roman" w:eastAsia="Times New Roman" w:hAnsi="Times New Roman" w:cs="Times New Roman"/>
          <w:color w:val="000000"/>
          <w:spacing w:val="0"/>
          <w:w w:val="100"/>
          <w:position w:val="0"/>
        </w:rPr>
        <w:t>692,060.38</w:t>
      </w:r>
    </w:p>
    <w:p>
      <w:pPr>
        <w:pStyle w:val="Style17"/>
        <w:keepNext w:val="0"/>
        <w:keepLines w:val="0"/>
        <w:widowControl w:val="0"/>
        <w:shd w:val="clear" w:color="auto" w:fill="auto"/>
        <w:tabs>
          <w:tab w:pos="7198" w:val="left"/>
        </w:tabs>
        <w:bidi w:val="0"/>
        <w:spacing w:before="0" w:line="240" w:lineRule="auto"/>
        <w:ind w:left="0" w:right="0"/>
        <w:jc w:val="both"/>
      </w:pPr>
      <w:r>
        <w:rPr>
          <w:color w:val="000000"/>
          <w:spacing w:val="0"/>
          <w:w w:val="100"/>
          <w:position w:val="0"/>
        </w:rPr>
        <w:t>力日：未在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日确认但合理确定将行使续租选择权导致的租赁付</w:t>
        <w:tab/>
      </w:r>
      <w:r>
        <w:rPr>
          <w:rFonts w:ascii="Times New Roman" w:eastAsia="Times New Roman" w:hAnsi="Times New Roman" w:cs="Times New Roman"/>
          <w:color w:val="000000"/>
          <w:spacing w:val="0"/>
          <w:w w:val="100"/>
          <w:position w:val="0"/>
        </w:rPr>
        <w:t>46,934,998.16</w:t>
      </w:r>
    </w:p>
    <w:p>
      <w:pPr>
        <w:pStyle w:val="Style17"/>
        <w:keepNext w:val="0"/>
        <w:keepLines w:val="0"/>
        <w:widowControl w:val="0"/>
        <w:shd w:val="clear" w:color="auto" w:fill="auto"/>
        <w:bidi w:val="0"/>
        <w:spacing w:before="0" w:after="480" w:line="240" w:lineRule="auto"/>
        <w:ind w:left="0" w:right="0" w:firstLine="0"/>
        <w:jc w:val="left"/>
      </w:pPr>
      <w:r>
        <w:rPr>
          <w:color w:val="000000"/>
          <w:spacing w:val="0"/>
          <w:w w:val="100"/>
          <w:position w:val="0"/>
        </w:rPr>
        <w:t>款额的增加</w:t>
      </w:r>
    </w:p>
    <w:p>
      <w:pPr>
        <w:pStyle w:val="Style17"/>
        <w:keepNext w:val="0"/>
        <w:keepLines w:val="0"/>
        <w:widowControl w:val="0"/>
        <w:shd w:val="clear" w:color="auto" w:fill="auto"/>
        <w:tabs>
          <w:tab w:pos="8309" w:val="right"/>
        </w:tabs>
        <w:bidi w:val="0"/>
        <w:spacing w:before="0" w:after="140" w:line="240" w:lineRule="auto"/>
        <w:ind w:left="0" w:right="0"/>
        <w:jc w:val="left"/>
      </w:pPr>
      <w:r>
        <w:rPr>
          <w:color w:val="000000"/>
          <w:spacing w:val="0"/>
          <w:w w:val="100"/>
          <w:position w:val="0"/>
        </w:rPr>
        <w:t>加权平均增量借款利率</w:t>
        <w:tab/>
      </w:r>
      <w:r>
        <w:rPr>
          <w:rFonts w:ascii="Times New Roman" w:eastAsia="Times New Roman" w:hAnsi="Times New Roman" w:cs="Times New Roman"/>
          <w:color w:val="000000"/>
          <w:spacing w:val="0"/>
          <w:w w:val="100"/>
          <w:position w:val="0"/>
          <w:u w:val="single"/>
        </w:rPr>
        <w:t>4.75%</w:t>
      </w:r>
    </w:p>
    <w:p>
      <w:pPr>
        <w:pStyle w:val="Style38"/>
        <w:keepNext w:val="0"/>
        <w:keepLines w:val="0"/>
        <w:widowControl w:val="0"/>
        <w:shd w:val="clear" w:color="auto" w:fill="auto"/>
        <w:tabs>
          <w:tab w:pos="8309" w:val="right"/>
        </w:tabs>
        <w:bidi w:val="0"/>
        <w:spacing w:before="0" w:after="100" w:line="240" w:lineRule="auto"/>
        <w:ind w:left="0" w:right="0" w:firstLine="38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日经营租赁付款额现值</w:t>
        <w:tab/>
      </w:r>
      <w:r>
        <w:rPr>
          <w:color w:val="000000"/>
          <w:spacing w:val="0"/>
          <w:w w:val="100"/>
          <w:position w:val="0"/>
        </w:rPr>
        <w:t>154,234,916.08</w:t>
      </w:r>
    </w:p>
    <w:p>
      <w:pPr>
        <w:pStyle w:val="Style38"/>
        <w:keepNext w:val="0"/>
        <w:keepLines w:val="0"/>
        <w:widowControl w:val="0"/>
        <w:shd w:val="clear" w:color="auto" w:fill="auto"/>
        <w:tabs>
          <w:tab w:pos="8309" w:val="right"/>
        </w:tabs>
        <w:bidi w:val="0"/>
        <w:spacing w:before="0" w:after="100" w:line="240" w:lineRule="auto"/>
        <w:ind w:left="0" w:right="0" w:firstLine="380"/>
        <w:jc w:val="left"/>
      </w:pPr>
      <w:r>
        <w:rPr>
          <w:rFonts w:ascii="SimSun" w:eastAsia="SimSun" w:hAnsi="SimSun" w:cs="SimSun"/>
          <w:color w:val="000000"/>
          <w:spacing w:val="0"/>
          <w:w w:val="100"/>
          <w:position w:val="0"/>
        </w:rPr>
        <w:t>加：</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日应付融资租赁款</w:t>
        <w:tab/>
      </w:r>
      <w:r>
        <w:rPr>
          <w:color w:val="000000"/>
          <w:spacing w:val="0"/>
          <w:w w:val="100"/>
          <w:position w:val="0"/>
        </w:rPr>
        <w:t>73,894,553.92</w:t>
      </w:r>
    </w:p>
    <w:p>
      <w:pPr>
        <w:pStyle w:val="Style17"/>
        <w:keepNext w:val="0"/>
        <w:keepLines w:val="0"/>
        <w:widowControl w:val="0"/>
        <w:shd w:val="clear" w:color="auto" w:fill="auto"/>
        <w:tabs>
          <w:tab w:pos="7198" w:val="left"/>
        </w:tabs>
        <w:bidi w:val="0"/>
        <w:spacing w:before="0" w:after="380" w:line="240" w:lineRule="auto"/>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日租赁负债（含一年内到期的其他非流动负债）</w:t>
        <w:tab/>
      </w:r>
      <w:r>
        <w:rPr>
          <w:rFonts w:ascii="Times New Roman" w:eastAsia="Times New Roman" w:hAnsi="Times New Roman" w:cs="Times New Roman"/>
          <w:color w:val="000000"/>
          <w:spacing w:val="0"/>
          <w:w w:val="100"/>
          <w:position w:val="0"/>
        </w:rPr>
        <w:t>228,129,470.00</w:t>
      </w:r>
    </w:p>
    <w:p>
      <w:pPr>
        <w:pStyle w:val="Style26"/>
        <w:keepNext w:val="0"/>
        <w:keepLines w:val="0"/>
        <w:widowControl w:val="0"/>
        <w:shd w:val="clear" w:color="auto" w:fill="auto"/>
        <w:bidi w:val="0"/>
        <w:spacing w:before="0" w:after="0" w:line="331" w:lineRule="exact"/>
        <w:ind w:left="331"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日资产负债表项目的影响如下: 合并资产负债表</w:t>
      </w:r>
    </w:p>
    <w:tbl>
      <w:tblPr>
        <w:tblOverlap w:val="never"/>
        <w:jc w:val="left"/>
        <w:tblLayout w:type="fixed"/>
      </w:tblPr>
      <w:tblGrid>
        <w:gridCol w:w="2702"/>
        <w:gridCol w:w="1867"/>
        <w:gridCol w:w="1867"/>
        <w:gridCol w:w="1877"/>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119,058,920.41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120,648,157.15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-1,589,236.74</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1,138,436,140.80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1,233,992,295.39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-95,556,154.59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251,634,950.41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251,634,950.41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124,881,805.03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81,307,028.86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43,574,776.17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143,937,721.54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143,937,721.54</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625,571,491.44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658,594,430.07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-33,022,938.63</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331" w:right="0" w:firstLine="0"/>
        <w:jc w:val="left"/>
      </w:pPr>
      <w:r>
        <w:rPr>
          <w:color w:val="000000"/>
          <w:spacing w:val="0"/>
          <w:w w:val="100"/>
          <w:position w:val="0"/>
        </w:rPr>
        <w:t>母公司资产负债表</w:t>
      </w:r>
    </w:p>
    <w:tbl>
      <w:tblPr>
        <w:tblOverlap w:val="never"/>
        <w:jc w:val="left"/>
        <w:tblLayout w:type="fixed"/>
      </w:tblPr>
      <w:tblGrid>
        <w:gridCol w:w="2702"/>
        <w:gridCol w:w="1867"/>
        <w:gridCol w:w="1867"/>
        <w:gridCol w:w="187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影响</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8,139,162.39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8,139,162.39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9,239,212.86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5,799,765.98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3,439,446.88</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4,699,715.51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4,699,715.51</w:t>
            </w:r>
          </w:p>
        </w:tc>
      </w:tr>
    </w:tbl>
    <w:p>
      <w:pPr>
        <w:widowControl w:val="0"/>
        <w:spacing w:after="319" w:line="1" w:lineRule="exact"/>
      </w:pPr>
    </w:p>
    <w:p>
      <w:pPr>
        <w:pStyle w:val="Style17"/>
        <w:keepNext w:val="0"/>
        <w:keepLines w:val="0"/>
        <w:widowControl w:val="0"/>
        <w:shd w:val="clear" w:color="auto" w:fill="auto"/>
        <w:bidi w:val="0"/>
        <w:spacing w:before="0" w:after="320" w:line="240" w:lineRule="auto"/>
        <w:ind w:left="0" w:right="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2020</w:t>
      </w:r>
      <w:r>
        <w:rPr>
          <w:color w:val="000000"/>
          <w:spacing w:val="0"/>
          <w:w w:val="100"/>
          <w:position w:val="0"/>
        </w:rPr>
        <w:t>年度本公司及母公司利润表无影响。</w:t>
      </w:r>
    </w:p>
    <w:p>
      <w:pPr>
        <w:pStyle w:val="Style26"/>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日资产负债表及</w:t>
      </w:r>
      <w:r>
        <w:rPr>
          <w:rFonts w:ascii="Times New Roman" w:eastAsia="Times New Roman" w:hAnsi="Times New Roman" w:cs="Times New Roman"/>
          <w:color w:val="000000"/>
          <w:spacing w:val="0"/>
          <w:w w:val="100"/>
          <w:position w:val="0"/>
        </w:rPr>
        <w:t>2021</w:t>
      </w:r>
      <w:r>
        <w:rPr>
          <w:color w:val="000000"/>
          <w:spacing w:val="0"/>
          <w:w w:val="100"/>
          <w:position w:val="0"/>
        </w:rPr>
        <w:t>年度利润表项目的影响如下: 合并资产负债表</w:t>
      </w:r>
    </w:p>
    <w:tbl>
      <w:tblPr>
        <w:tblOverlap w:val="never"/>
        <w:jc w:val="left"/>
        <w:tblLayout w:type="fixed"/>
      </w:tblPr>
      <w:tblGrid>
        <w:gridCol w:w="2702"/>
        <w:gridCol w:w="1867"/>
        <w:gridCol w:w="1867"/>
        <w:gridCol w:w="187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影响</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79,748,902.30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82,467,681.34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-2,718,779.04</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1,167,095,216.51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1,221,590,475.48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-54,495,258.97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194,102,083.43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194,102,083.43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200,286,243.45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200,010,675.84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275,567.61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148,761,716.52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94,582,621.67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54,179,094.85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84,440,855.81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84,440,855.81</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4,318,697,766.05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4,319,747,639.85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-1,049,873.80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122,865,533.67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123,271,997.50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-406,463.83</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331" w:right="0" w:firstLine="0"/>
        <w:jc w:val="left"/>
      </w:pPr>
      <w:r>
        <w:rPr>
          <w:color w:val="000000"/>
          <w:spacing w:val="0"/>
          <w:w w:val="100"/>
          <w:position w:val="0"/>
        </w:rPr>
        <w:t>合并利润表</w:t>
      </w:r>
    </w:p>
    <w:tbl>
      <w:tblPr>
        <w:tblOverlap w:val="never"/>
        <w:jc w:val="left"/>
        <w:tblLayout w:type="fixed"/>
      </w:tblPr>
      <w:tblGrid>
        <w:gridCol w:w="2698"/>
        <w:gridCol w:w="1872"/>
        <w:gridCol w:w="1872"/>
        <w:gridCol w:w="187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2,835,422,580.60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2,837,788,877.10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-2,366,296.50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1,238,310,798.94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1,238,627,970.01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-317,171.07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386,697,353.30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387,835,595.49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-1,138,242.19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487,147,967.73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487,352,963.93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-204,996.20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104,262,117.95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98,503,506.75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5,758,611.20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268,194,830.90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268,470,398.51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-275,567.61</w:t>
            </w: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331" w:right="0" w:firstLine="0"/>
        <w:jc w:val="left"/>
      </w:pPr>
      <w:r>
        <w:rPr>
          <w:color w:val="000000"/>
          <w:spacing w:val="0"/>
          <w:w w:val="100"/>
          <w:position w:val="0"/>
        </w:rPr>
        <w:t>母公司资产负债表</w:t>
      </w:r>
    </w:p>
    <w:tbl>
      <w:tblPr>
        <w:tblOverlap w:val="never"/>
        <w:jc w:val="left"/>
        <w:tblLayout w:type="fixed"/>
      </w:tblPr>
      <w:tblGrid>
        <w:gridCol w:w="2698"/>
        <w:gridCol w:w="1843"/>
        <w:gridCol w:w="1843"/>
        <w:gridCol w:w="193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14,495,660.46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14,495,660.46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2,016,755.08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1,964,210.47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52,544.61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25,332,962.64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20,639,331.49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4,693,631.15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9,511,728.74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9,511,728.74</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781,923,884.66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781,581,039.48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342,845.18</w:t>
            </w: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331" w:right="0" w:firstLine="0"/>
        <w:jc w:val="left"/>
      </w:pPr>
      <w:r>
        <w:rPr>
          <w:color w:val="000000"/>
          <w:spacing w:val="0"/>
          <w:w w:val="100"/>
          <w:position w:val="0"/>
        </w:rPr>
        <w:t>母公司利润表</w:t>
      </w:r>
    </w:p>
    <w:tbl>
      <w:tblPr>
        <w:tblOverlap w:val="never"/>
        <w:jc w:val="left"/>
        <w:tblLayout w:type="fixed"/>
      </w:tblPr>
      <w:tblGrid>
        <w:gridCol w:w="2698"/>
        <w:gridCol w:w="1872"/>
        <w:gridCol w:w="1872"/>
        <w:gridCol w:w="187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报表数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假设按原准则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355,806,872.04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355,859,097.00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-52,224.96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184,985,833.44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185,086,699.09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-100,865.65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101,240,276.32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101,370,670.69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-130,394.37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26,886,360.91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26,207,486.14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678,874.77</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64,959,710.08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65,012,254.69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-52,544.61</w:t>
            </w:r>
          </w:p>
        </w:tc>
      </w:tr>
    </w:tbl>
    <w:p>
      <w:pPr>
        <w:widowControl w:val="0"/>
        <w:spacing w:after="259" w:line="1" w:lineRule="exact"/>
      </w:pPr>
    </w:p>
    <w:p>
      <w:pPr>
        <w:pStyle w:val="Style17"/>
        <w:keepNext w:val="0"/>
        <w:keepLines w:val="0"/>
        <w:widowControl w:val="0"/>
        <w:shd w:val="clear" w:color="auto" w:fill="auto"/>
        <w:bidi w:val="0"/>
        <w:spacing w:before="0" w:after="460" w:line="307" w:lineRule="exact"/>
        <w:ind w:left="0" w:right="0" w:firstLine="360"/>
        <w:jc w:val="both"/>
      </w:pPr>
      <w:r>
        <w:rPr>
          <w:color w:val="000000"/>
          <w:spacing w:val="0"/>
          <w:w w:val="100"/>
          <w:position w:val="0"/>
        </w:rPr>
        <w:t>此外，首次执行日开始本公司将偿还租赁负债本金和利息所支付的现金在现金流量表中计入筹资活动现金流出，支付的 采用简化处理的短期租赁付款额和低价值资产租赁付款额仍然计入经营活动现金流出。</w:t>
      </w:r>
    </w:p>
    <w:p>
      <w:pPr>
        <w:pStyle w:val="Style17"/>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、新冠肺炎疫情相关租金减让会计处理</w:t>
      </w:r>
    </w:p>
    <w:p>
      <w:pPr>
        <w:pStyle w:val="Style17"/>
        <w:keepNext w:val="0"/>
        <w:keepLines w:val="0"/>
        <w:widowControl w:val="0"/>
        <w:shd w:val="clear" w:color="auto" w:fill="auto"/>
        <w:bidi w:val="0"/>
        <w:spacing w:before="0" w:after="360" w:line="315" w:lineRule="exact"/>
        <w:ind w:left="0" w:right="0" w:firstLine="360"/>
        <w:jc w:val="both"/>
      </w:pPr>
      <w:r>
        <w:rPr>
          <w:color w:val="000000"/>
          <w:spacing w:val="0"/>
          <w:w w:val="100"/>
          <w:position w:val="0"/>
        </w:rPr>
        <w:t>本公司作为承租人，于</w:t>
      </w:r>
      <w:r>
        <w:rPr>
          <w:rFonts w:ascii="Times New Roman" w:eastAsia="Times New Roman" w:hAnsi="Times New Roman" w:cs="Times New Roman"/>
          <w:color w:val="000000"/>
          <w:spacing w:val="0"/>
          <w:w w:val="100"/>
          <w:position w:val="0"/>
        </w:rPr>
        <w:t>2020</w:t>
      </w:r>
      <w:r>
        <w:rPr>
          <w:color w:val="000000"/>
          <w:spacing w:val="0"/>
          <w:w w:val="100"/>
          <w:position w:val="0"/>
        </w:rPr>
        <w:t>年选择了《新冠肺炎疫情相关租金减让会计处理规定》中的简化方法对新冠肺炎疫情相关租 金减让进行会计处理。根据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月发布的《关于调整</w:t>
      </w:r>
      <w:r>
        <w:rPr>
          <w:color w:val="000000"/>
          <w:spacing w:val="0"/>
          <w:w w:val="100"/>
          <w:position w:val="0"/>
        </w:rPr>
        <w:t>〈</w:t>
      </w:r>
      <w:r>
        <w:rPr>
          <w:color w:val="000000"/>
          <w:spacing w:val="0"/>
          <w:w w:val="100"/>
          <w:position w:val="0"/>
        </w:rPr>
        <w:t>新冠肺炎疫情相关租金减让会计处理规定</w:t>
      </w:r>
      <w:r>
        <w:rPr>
          <w:color w:val="000000"/>
          <w:spacing w:val="0"/>
          <w:w w:val="100"/>
          <w:position w:val="0"/>
        </w:rPr>
        <w:t>〉</w:t>
      </w:r>
      <w:r>
        <w:rPr>
          <w:color w:val="000000"/>
          <w:spacing w:val="0"/>
          <w:w w:val="100"/>
          <w:position w:val="0"/>
        </w:rPr>
        <w:t>适用范围的通知》，适 用简化方法的租金减让期间调整为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日前的应付租赁付款额七本公司对于简化方法的选择一致应用 于《新冠肺炎疫情相关租金减让会计处理规定》适用范围调整前后符合条件的类似租赁合同。</w:t>
      </w:r>
    </w:p>
    <w:p>
      <w:pPr>
        <w:pStyle w:val="Style30"/>
        <w:keepNext/>
        <w:keepLines/>
        <w:widowControl w:val="0"/>
        <w:shd w:val="clear" w:color="auto" w:fill="auto"/>
        <w:tabs>
          <w:tab w:pos="493" w:val="left"/>
        </w:tabs>
        <w:bidi w:val="0"/>
        <w:spacing w:before="0" w:line="240" w:lineRule="auto"/>
        <w:ind w:left="0" w:right="0" w:firstLine="0"/>
        <w:jc w:val="both"/>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0"/>
      <w:bookmarkEnd w:id="1091"/>
      <w:bookmarkEnd w:id="1093"/>
    </w:p>
    <w:p>
      <w:pPr>
        <w:pStyle w:val="Style17"/>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both"/>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94"/>
      <w:bookmarkEnd w:id="1095"/>
      <w:bookmarkEnd w:id="1097"/>
    </w:p>
    <w:p>
      <w:pPr>
        <w:pStyle w:val="Style17"/>
        <w:keepNext w:val="0"/>
        <w:keepLines w:val="0"/>
        <w:widowControl w:val="0"/>
        <w:shd w:val="clear" w:color="auto" w:fill="auto"/>
        <w:bidi w:val="0"/>
        <w:spacing w:before="0" w:after="36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2131"/>
        <w:gridCol w:w="2122"/>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5,430,072,369.01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5,430,072,369.01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1,559,813,896.50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1,559,813,896.50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12,623,144.00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120,648,157.15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119,058,920.41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-1,589,236.74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117,006,884.72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117,006,884.72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1,009,819,242.27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1,009,819,242.27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163,659,106.21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163,659,106.21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8,416,942,799.86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8,415,353,563.12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-1,589,236.74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10,367,610.96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52,821,620.55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52,821,620.55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211,490,887.11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211,490,887.11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227,434,198.19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227,434,198.19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8"/>
        <w:gridCol w:w="2131"/>
        <w:gridCol w:w="2122"/>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300,021,953.11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300,021,953.11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1,233,992,295.39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1,138,436,140.80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-95,556,154.59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251,634,950.41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251,634,950.41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146,760,803.37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146,760,803.37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32,608,259.29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32,608,259.29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63,279,636.27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63,279,636.27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162,055,460.60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162,055,460.60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236,759,898.35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236,759,898.35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2,778,097,735.73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2,934,176,531.55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156,078,795.82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11,195,040,535.59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11,349,530,094.67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154,489,559.08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563,296,000.00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563,296,000.00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873,230,959.48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873,230,959.48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840,881,739.91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840,881,739.91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620,792,017.00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620,792,017.00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296,577,671.20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296,577,671.20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490,437,489.77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490,437,489.77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8"/>
        <w:gridCol w:w="2131"/>
        <w:gridCol w:w="2122"/>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81,307,028.86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124,881,805.03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43,574,776.17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35,598,505.03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35,598,505.03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3,802,121,411.25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3,845,696,187.42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43,574,776.17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489,502,871.98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489,502,871.98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143,937,721.54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143,937,721.54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658,594,430.07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625,571,491.44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-33,022,938.63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49,101,450.43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49,101,450.43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1,479,429.71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1,479,429.71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1,367,178,182.19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1,478,092,965.10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110,914,782.91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5,169,299,593.44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5,323,789,152.52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154,489,559.08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2,604,989,712.72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2,604,989,712.72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175,887,716.00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-78,609,772.68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-78,609,772.68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139,035,269.90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139,035,269.90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3,020,477,559.59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3,020,477,559.59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5,910,105,053.53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5,910,105,053.53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8"/>
        <w:gridCol w:w="2131"/>
        <w:gridCol w:w="2122"/>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115,635,888.62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115,635,888.62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6,025,740,942.15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6,025,740,942.15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11,195,040,535.59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11,349,530,094.67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154,489,559.08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7"/>
        <w:keepNext w:val="0"/>
        <w:keepLines w:val="0"/>
        <w:widowControl w:val="0"/>
        <w:shd w:val="clear" w:color="auto" w:fill="auto"/>
        <w:bidi w:val="0"/>
        <w:spacing w:before="0" w:after="120" w:line="360" w:lineRule="exact"/>
        <w:ind w:left="0" w:right="0" w:firstLine="360"/>
        <w:jc w:val="left"/>
      </w:pPr>
      <w:r>
        <w:rPr>
          <w:color w:val="000000"/>
          <w:spacing w:val="0"/>
          <w:w w:val="100"/>
          <w:position w:val="0"/>
        </w:rPr>
        <w:t>请参考第十节财务报告附注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“32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）重要会计政策变更匚 母公司资产负债表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2131"/>
        <w:gridCol w:w="2122"/>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382,064,831.06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382,064,831.06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7,371,273.51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7,371,273.51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5,114,951.32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5,114,951.32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2,169,152,385.06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2,169,152,385.06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36,282.37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253,465.09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253,465.09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2,563,993,188.41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2,563,993,188.41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728,445,339.08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728,445,339.08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3,268,074,752.09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3,268,074,752.09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213,213,500.15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213,213,500.15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293,457,473.11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293,457,473.11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13,827,653.69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13,827,653.69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1,600,752.40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1,600,752.40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8"/>
        <w:gridCol w:w="2131"/>
        <w:gridCol w:w="2122"/>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8,139,162.39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8,139,162.39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98,732,422.72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98,732,422.72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2,511,368.59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2,511,368.59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38,038,233.46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38,038,233.46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4,668,269,106.25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4,676,408,268.64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8,139,162.39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7,232,262,294.66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7,240,401,457.05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8,139,162.39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330,996,000.00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15,798,036.72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15,798,036.72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18,231,288.13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18,231,288.13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61,869,171.70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61,869,171.70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46,966,772.52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46,966,772.52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534,428,524.39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534,428,524.39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5,799,765.98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9,239,212.86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3,439,446.88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1,014,089,559.44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1,017,529,006.32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3,439,446.88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489,502,871.98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489,502,871.98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4,699,715.51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4,699,715.51</w:t>
            </w:r>
          </w:p>
        </w:tc>
      </w:tr>
    </w:tbl>
    <w:p>
      <w:pPr>
        <w:spacing w:lineRule="exact" w:line="1"/>
        <w:rPr>
          <w:sz w:val="2"/>
          <w:szCs w:val="2"/>
        </w:rPr>
      </w:pPr>
      <w:r>
        <w:br w:type="page"/>
      </w:r>
    </w:p>
    <w:tbl>
      <w:tblPr>
        <w:tblOverlap w:val="never"/>
        <w:jc w:val="center"/>
        <w:tblLayout w:type="fixed"/>
      </w:tblPr>
      <w:tblGrid>
        <w:gridCol w:w="3408"/>
        <w:gridCol w:w="2131"/>
        <w:gridCol w:w="2122"/>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218,124,542.55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218,124,542.55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1,376,258.38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1,376,258.38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11,632,383.50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11,632,383.50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735,836,056.41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740,535,771.92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4,699,715.51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1,749,925,615.85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1,758,064,778.24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8,139,162.39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4,423,228,910.72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4,423,228,910.72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175,887,716.00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39,557,725.14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39,557,725.14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139,035,269.90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139,035,269.90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656,302,489.05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656,302,489.05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5,482,336,678.81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5,482,336,678.81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7,232,262,294.66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7,240,401,457.05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8,139,162.39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17"/>
        <w:keepNext w:val="0"/>
        <w:keepLines w:val="0"/>
        <w:widowControl w:val="0"/>
        <w:shd w:val="clear" w:color="auto" w:fill="auto"/>
        <w:bidi w:val="0"/>
        <w:spacing w:before="0" w:after="380" w:line="240" w:lineRule="auto"/>
        <w:ind w:left="0" w:right="0"/>
        <w:jc w:val="left"/>
      </w:pPr>
      <w:r>
        <w:rPr>
          <w:color w:val="000000"/>
          <w:spacing w:val="0"/>
          <w:w w:val="100"/>
          <w:position w:val="0"/>
        </w:rPr>
        <w:t>请参考第十节财务报告附注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“32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）重要会计政策变更匚</w:t>
      </w:r>
    </w:p>
    <w:p>
      <w:pPr>
        <w:pStyle w:val="Style30"/>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98"/>
      <w:bookmarkEnd w:id="1099"/>
      <w:bookmarkEnd w:id="1101"/>
    </w:p>
    <w:p>
      <w:pPr>
        <w:pStyle w:val="Style1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1102"/>
      <w:bookmarkEnd w:id="1103"/>
      <w:bookmarkEnd w:id="1105"/>
    </w:p>
    <w:p>
      <w:pPr>
        <w:pStyle w:val="Style24"/>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sz w:val="24"/>
          <w:szCs w:val="24"/>
        </w:rPr>
        <w:t>六</w:t>
      </w:r>
      <w:bookmarkEnd w:id="1108"/>
      <w:r>
        <w:rPr>
          <w:color w:val="000000"/>
          <w:spacing w:val="0"/>
          <w:w w:val="100"/>
          <w:position w:val="0"/>
          <w:sz w:val="24"/>
          <w:szCs w:val="24"/>
        </w:rPr>
        <w:t>、税项</w:t>
      </w:r>
      <w:bookmarkEnd w:id="1106"/>
      <w:bookmarkEnd w:id="1107"/>
      <w:bookmarkEnd w:id="1109"/>
    </w:p>
    <w:p>
      <w:pPr>
        <w:pStyle w:val="Style30"/>
        <w:keepNext/>
        <w:keepLines/>
        <w:widowControl w:val="0"/>
        <w:shd w:val="clear" w:color="auto" w:fill="auto"/>
        <w:bidi w:val="0"/>
        <w:spacing w:before="0" w:after="300" w:line="240" w:lineRule="auto"/>
        <w:ind w:left="0" w:right="0" w:firstLine="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10"/>
      <w:bookmarkEnd w:id="1111"/>
      <w:bookmarkEnd w:id="1112"/>
    </w:p>
    <w:tbl>
      <w:tblPr>
        <w:tblOverlap w:val="never"/>
        <w:jc w:val="center"/>
        <w:tblLayout w:type="fixed"/>
      </w:tblPr>
      <w:tblGrid>
        <w:gridCol w:w="3197"/>
        <w:gridCol w:w="5035"/>
        <w:gridCol w:w="13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销售货物或提供应税劳务过程中产生的增值额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实际缴纳的流转税和当期免抵的增值税税额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3197"/>
        <w:gridCol w:w="5035"/>
        <w:gridCol w:w="13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实际缴纳的流转税和当期免抵的增值税税额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实际缴纳的流转税和当期免抵的增值税税额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公司支付给个人的所得额，由公司依国家规定代扣缴个人所得 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华大基因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武汉医检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深圳医检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华大吉比爱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北京六合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华大科技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天津医检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武汉生物科技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重庆医检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广州医检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云南医学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昆华医检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华大因源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海南科技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西藏医检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香港医学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香港科技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其他国内重要子公司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其他境外子公司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适用当地国家、地区税率</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13"/>
      <w:bookmarkEnd w:id="1114"/>
      <w:bookmarkEnd w:id="1115"/>
    </w:p>
    <w:p>
      <w:pPr>
        <w:pStyle w:val="Style17"/>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企业所得税优惠政策</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根据《中华人民共和国企业所得税法》规定和当地税务主管机关出具的税收优惠事项通知书等文件，以下企业享受企业 所得税优惠：</w:t>
      </w:r>
    </w:p>
    <w:p>
      <w:pPr>
        <w:pStyle w:val="Style17"/>
        <w:keepNext w:val="0"/>
        <w:keepLines w:val="0"/>
        <w:widowControl w:val="0"/>
        <w:shd w:val="clear" w:color="auto" w:fill="auto"/>
        <w:tabs>
          <w:tab w:pos="825" w:val="left"/>
        </w:tabs>
        <w:bidi w:val="0"/>
        <w:spacing w:before="0" w:after="0" w:line="317" w:lineRule="exact"/>
        <w:ind w:left="0" w:right="0"/>
        <w:jc w:val="both"/>
      </w:pPr>
      <w:bookmarkStart w:id="1116" w:name="bookmark1116"/>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w:t>
        <w:tab/>
        <w:t>华大基因</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日，华大基因通过复审并取得编号为</w:t>
      </w:r>
      <w:r>
        <w:rPr>
          <w:rFonts w:ascii="Times New Roman" w:eastAsia="Times New Roman" w:hAnsi="Times New Roman" w:cs="Times New Roman"/>
          <w:color w:val="000000"/>
          <w:spacing w:val="0"/>
          <w:w w:val="100"/>
          <w:position w:val="0"/>
        </w:rPr>
        <w:t>GR202144202394</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年可享受 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825" w:val="left"/>
        </w:tabs>
        <w:bidi w:val="0"/>
        <w:spacing w:before="0" w:after="0" w:line="317" w:lineRule="exact"/>
        <w:ind w:left="0" w:right="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w:t>
        <w:tab/>
        <w:t>武汉医检</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日，武汉医检通过复审并取得编号为</w:t>
      </w:r>
      <w:r>
        <w:rPr>
          <w:rFonts w:ascii="Times New Roman" w:eastAsia="Times New Roman" w:hAnsi="Times New Roman" w:cs="Times New Roman"/>
          <w:color w:val="000000"/>
          <w:spacing w:val="0"/>
          <w:w w:val="100"/>
          <w:position w:val="0"/>
        </w:rPr>
        <w:t>GR201942002844</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年可享受 </w:t>
      </w:r>
      <w:r>
        <w:rPr>
          <w:color w:val="000000"/>
          <w:spacing w:val="0"/>
          <w:w w:val="100"/>
          <w:position w:val="0"/>
        </w:rPr>
        <w:t>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822" w:val="left"/>
        </w:tabs>
        <w:bidi w:val="0"/>
        <w:spacing w:before="0" w:after="0" w:line="313" w:lineRule="exact"/>
        <w:ind w:left="0" w:right="0"/>
        <w:jc w:val="both"/>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rPr>
        <w:t>3</w:t>
      </w:r>
      <w:r>
        <w:rPr>
          <w:color w:val="000000"/>
          <w:spacing w:val="0"/>
          <w:w w:val="100"/>
          <w:position w:val="0"/>
        </w:rPr>
        <w:t>）</w:t>
        <w:tab/>
        <w:t>深圳医检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日，深圳医检通过复审并取得编号为</w:t>
      </w:r>
      <w:r>
        <w:rPr>
          <w:rFonts w:ascii="Times New Roman" w:eastAsia="Times New Roman" w:hAnsi="Times New Roman" w:cs="Times New Roman"/>
          <w:color w:val="000000"/>
          <w:spacing w:val="0"/>
          <w:w w:val="100"/>
          <w:position w:val="0"/>
        </w:rPr>
        <w:t>GR202044205070</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年可享受 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822" w:val="left"/>
        </w:tabs>
        <w:bidi w:val="0"/>
        <w:spacing w:before="0" w:after="0" w:line="313" w:lineRule="exact"/>
        <w:ind w:left="0" w:right="0"/>
        <w:jc w:val="both"/>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w:t>
        <w:tab/>
        <w:t>北京吉比爱</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日，北京吉比爱通过复审并取得编号为</w:t>
      </w:r>
      <w:r>
        <w:rPr>
          <w:rFonts w:ascii="Times New Roman" w:eastAsia="Times New Roman" w:hAnsi="Times New Roman" w:cs="Times New Roman"/>
          <w:color w:val="000000"/>
          <w:spacing w:val="0"/>
          <w:w w:val="100"/>
          <w:position w:val="0"/>
        </w:rPr>
        <w:t>GR20211100458</w:t>
      </w:r>
      <w:r>
        <w:rPr>
          <w:rFonts w:ascii="Times New Roman" w:eastAsia="Times New Roman" w:hAnsi="Times New Roman" w:cs="Times New Roman"/>
          <w:color w:val="000000"/>
          <w:spacing w:val="0"/>
          <w:w w:val="100"/>
          <w:position w:val="0"/>
        </w:rPr>
        <w:t>7</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年可享 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822" w:val="left"/>
        </w:tabs>
        <w:bidi w:val="0"/>
        <w:spacing w:before="0" w:after="0" w:line="313" w:lineRule="exact"/>
        <w:ind w:left="0" w:right="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rPr>
        <w:t>5</w:t>
      </w:r>
      <w:r>
        <w:rPr>
          <w:color w:val="000000"/>
          <w:spacing w:val="0"/>
          <w:w w:val="100"/>
          <w:position w:val="0"/>
        </w:rPr>
        <w:t>）</w:t>
        <w:tab/>
        <w:t>北京六合</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日，北京六合通过复审并取得编号为</w:t>
      </w:r>
      <w:r>
        <w:rPr>
          <w:rFonts w:ascii="Times New Roman" w:eastAsia="Times New Roman" w:hAnsi="Times New Roman" w:cs="Times New Roman"/>
          <w:color w:val="000000"/>
          <w:spacing w:val="0"/>
          <w:w w:val="100"/>
          <w:position w:val="0"/>
        </w:rPr>
        <w:t>GR202111003512</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年可享受 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822" w:val="left"/>
        </w:tabs>
        <w:bidi w:val="0"/>
        <w:spacing w:before="0" w:after="0" w:line="313" w:lineRule="exact"/>
        <w:ind w:left="0" w:right="0"/>
        <w:jc w:val="both"/>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rPr>
        <w:t>6</w:t>
      </w:r>
      <w:r>
        <w:rPr>
          <w:color w:val="000000"/>
          <w:spacing w:val="0"/>
          <w:w w:val="100"/>
          <w:position w:val="0"/>
        </w:rPr>
        <w:t>）</w:t>
        <w:tab/>
        <w:t>华大科技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日，华大科技通过复审并取得编号为</w:t>
      </w:r>
      <w:r>
        <w:rPr>
          <w:rFonts w:ascii="Times New Roman" w:eastAsia="Times New Roman" w:hAnsi="Times New Roman" w:cs="Times New Roman"/>
          <w:color w:val="000000"/>
          <w:spacing w:val="0"/>
          <w:w w:val="100"/>
          <w:position w:val="0"/>
        </w:rPr>
        <w:t>GR20204420599</w:t>
      </w:r>
      <w:r>
        <w:rPr>
          <w:rFonts w:ascii="Times New Roman" w:eastAsia="Times New Roman" w:hAnsi="Times New Roman" w:cs="Times New Roman"/>
          <w:color w:val="000000"/>
          <w:spacing w:val="0"/>
          <w:w w:val="100"/>
          <w:position w:val="0"/>
        </w:rPr>
        <w:t>1</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年可享受 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822" w:val="left"/>
        </w:tabs>
        <w:bidi w:val="0"/>
        <w:spacing w:before="0" w:after="0" w:line="313" w:lineRule="exact"/>
        <w:ind w:left="0" w:right="0"/>
        <w:jc w:val="both"/>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rPr>
        <w:t>7</w:t>
      </w:r>
      <w:r>
        <w:rPr>
          <w:color w:val="000000"/>
          <w:spacing w:val="0"/>
          <w:w w:val="100"/>
          <w:position w:val="0"/>
        </w:rPr>
        <w:t>）</w:t>
        <w:tab/>
        <w:t>天津医检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日，天津医检取得编号为</w:t>
      </w:r>
      <w:r>
        <w:rPr>
          <w:rFonts w:ascii="Times New Roman" w:eastAsia="Times New Roman" w:hAnsi="Times New Roman" w:cs="Times New Roman"/>
          <w:color w:val="000000"/>
          <w:spacing w:val="0"/>
          <w:w w:val="100"/>
          <w:position w:val="0"/>
        </w:rPr>
        <w:t>GR201912000781</w:t>
      </w:r>
      <w:r>
        <w:rPr>
          <w:color w:val="000000"/>
          <w:spacing w:val="0"/>
          <w:w w:val="100"/>
          <w:position w:val="0"/>
        </w:rPr>
        <w:t>的高新技术企业证书，从</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年享受减按</w:t>
      </w:r>
      <w:r>
        <w:rPr>
          <w:rFonts w:ascii="Times New Roman" w:eastAsia="Times New Roman" w:hAnsi="Times New Roman" w:cs="Times New Roman"/>
          <w:color w:val="000000"/>
          <w:spacing w:val="0"/>
          <w:w w:val="100"/>
          <w:position w:val="0"/>
        </w:rPr>
        <w:t>15%</w:t>
      </w:r>
      <w:r>
        <w:rPr>
          <w:color w:val="000000"/>
          <w:spacing w:val="0"/>
          <w:w w:val="100"/>
          <w:position w:val="0"/>
        </w:rPr>
        <w:t>的税 率征收企业所得税的税收优惠。</w:t>
      </w:r>
    </w:p>
    <w:p>
      <w:pPr>
        <w:pStyle w:val="Style17"/>
        <w:keepNext w:val="0"/>
        <w:keepLines w:val="0"/>
        <w:widowControl w:val="0"/>
        <w:shd w:val="clear" w:color="auto" w:fill="auto"/>
        <w:tabs>
          <w:tab w:pos="822" w:val="left"/>
        </w:tabs>
        <w:bidi w:val="0"/>
        <w:spacing w:before="0" w:after="0" w:line="313" w:lineRule="exact"/>
        <w:ind w:left="0" w:right="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8</w:t>
      </w:r>
      <w:r>
        <w:rPr>
          <w:color w:val="000000"/>
          <w:spacing w:val="0"/>
          <w:w w:val="100"/>
          <w:position w:val="0"/>
        </w:rPr>
        <w:t>）</w:t>
        <w:tab/>
        <w:t>武汉生物科技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日，武汉生物科技通过复审并取得编号为</w:t>
      </w:r>
      <w:r>
        <w:rPr>
          <w:rFonts w:ascii="Times New Roman" w:eastAsia="Times New Roman" w:hAnsi="Times New Roman" w:cs="Times New Roman"/>
          <w:color w:val="000000"/>
          <w:spacing w:val="0"/>
          <w:w w:val="100"/>
          <w:position w:val="0"/>
        </w:rPr>
        <w:t>GR20194200176</w:t>
      </w:r>
      <w:r>
        <w:rPr>
          <w:rFonts w:ascii="Times New Roman" w:eastAsia="Times New Roman" w:hAnsi="Times New Roman" w:cs="Times New Roman"/>
          <w:color w:val="000000"/>
          <w:spacing w:val="0"/>
          <w:w w:val="100"/>
          <w:position w:val="0"/>
        </w:rPr>
        <w:t>0</w:t>
      </w:r>
      <w:r>
        <w:rPr>
          <w:color w:val="000000"/>
          <w:spacing w:val="0"/>
          <w:w w:val="100"/>
          <w:position w:val="0"/>
        </w:rPr>
        <w:t>的高新技术企业证书，自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年可 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822" w:val="left"/>
        </w:tabs>
        <w:bidi w:val="0"/>
        <w:spacing w:before="0" w:after="0" w:line="313" w:lineRule="exact"/>
        <w:ind w:left="0" w:right="0"/>
        <w:jc w:val="both"/>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9</w:t>
      </w:r>
      <w:r>
        <w:rPr>
          <w:color w:val="000000"/>
          <w:spacing w:val="0"/>
          <w:w w:val="100"/>
          <w:position w:val="0"/>
        </w:rPr>
        <w:t>）</w:t>
        <w:tab/>
        <w:t>重庆医检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日，根据重庆市渝北区发展和改革委员会</w:t>
      </w:r>
      <w:r>
        <w:rPr>
          <w:rFonts w:ascii="Times New Roman" w:eastAsia="Times New Roman" w:hAnsi="Times New Roman" w:cs="Times New Roman"/>
          <w:color w:val="000000"/>
          <w:spacing w:val="0"/>
          <w:w w:val="100"/>
          <w:position w:val="0"/>
        </w:rPr>
        <w:t>2018-34</w:t>
      </w:r>
      <w:r>
        <w:rPr>
          <w:color w:val="000000"/>
          <w:spacing w:val="0"/>
          <w:w w:val="100"/>
          <w:position w:val="0"/>
        </w:rPr>
        <w:t>号批文，重庆医检主营业务符合西部大开发国家鼓励类 产业，自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913" w:val="left"/>
        </w:tabs>
        <w:bidi w:val="0"/>
        <w:spacing w:before="0" w:after="0" w:line="313" w:lineRule="exact"/>
        <w:ind w:left="0" w:right="0"/>
        <w:jc w:val="both"/>
      </w:pPr>
      <w:bookmarkStart w:id="1125" w:name="bookmark1125"/>
      <w:r>
        <w:rPr>
          <w:color w:val="000000"/>
          <w:spacing w:val="0"/>
          <w:w w:val="100"/>
          <w:position w:val="0"/>
        </w:rPr>
        <w:t>（</w:t>
      </w:r>
      <w:bookmarkEnd w:id="1125"/>
      <w:r>
        <w:rPr>
          <w:rFonts w:ascii="Times New Roman" w:eastAsia="Times New Roman" w:hAnsi="Times New Roman" w:cs="Times New Roman"/>
          <w:color w:val="000000"/>
          <w:spacing w:val="0"/>
          <w:w w:val="100"/>
          <w:position w:val="0"/>
        </w:rPr>
        <w:t>10</w:t>
      </w:r>
      <w:r>
        <w:rPr>
          <w:color w:val="000000"/>
          <w:spacing w:val="0"/>
          <w:w w:val="100"/>
          <w:position w:val="0"/>
        </w:rPr>
        <w:t>）</w:t>
        <w:tab/>
        <w:t>广州医检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日，广州医检通过复审并取得编号为</w:t>
      </w:r>
      <w:r>
        <w:rPr>
          <w:rFonts w:ascii="Times New Roman" w:eastAsia="Times New Roman" w:hAnsi="Times New Roman" w:cs="Times New Roman"/>
          <w:color w:val="000000"/>
          <w:spacing w:val="0"/>
          <w:w w:val="100"/>
          <w:position w:val="0"/>
        </w:rPr>
        <w:t>GR202044008286</w:t>
      </w:r>
      <w:r>
        <w:rPr>
          <w:color w:val="000000"/>
          <w:spacing w:val="0"/>
          <w:w w:val="100"/>
          <w:position w:val="0"/>
        </w:rPr>
        <w:t>的高新技术企业证书，自</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年可享受减 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913" w:val="left"/>
        </w:tabs>
        <w:bidi w:val="0"/>
        <w:spacing w:before="0" w:after="0" w:line="313" w:lineRule="exact"/>
        <w:ind w:left="0" w:right="0"/>
        <w:jc w:val="both"/>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rPr>
        <w:t>11</w:t>
      </w:r>
      <w:r>
        <w:rPr>
          <w:color w:val="000000"/>
          <w:spacing w:val="0"/>
          <w:w w:val="100"/>
          <w:position w:val="0"/>
        </w:rPr>
        <w:t>）</w:t>
        <w:tab/>
        <w:t>云南医学</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日，根据昆发改规划</w:t>
      </w:r>
      <w:r>
        <w:rPr>
          <w:rFonts w:ascii="Times New Roman" w:eastAsia="Times New Roman" w:hAnsi="Times New Roman" w:cs="Times New Roman"/>
          <w:color w:val="000000"/>
          <w:spacing w:val="0"/>
          <w:w w:val="100"/>
          <w:position w:val="0"/>
        </w:rPr>
        <w:t>[2018]249</w:t>
      </w:r>
      <w:r>
        <w:rPr>
          <w:color w:val="000000"/>
          <w:spacing w:val="0"/>
          <w:w w:val="100"/>
          <w:position w:val="0"/>
        </w:rPr>
        <w:t>号批文，云南医学主营业务符合西部大开发国家鼓励类产业，自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日起可享受减按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913" w:val="left"/>
        </w:tabs>
        <w:bidi w:val="0"/>
        <w:spacing w:before="0" w:after="0" w:line="313" w:lineRule="exact"/>
        <w:ind w:left="0" w:right="0"/>
        <w:jc w:val="both"/>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rPr>
        <w:t>12</w:t>
      </w:r>
      <w:r>
        <w:rPr>
          <w:color w:val="000000"/>
          <w:spacing w:val="0"/>
          <w:w w:val="100"/>
          <w:position w:val="0"/>
        </w:rPr>
        <w:t>）</w:t>
        <w:tab/>
        <w:t>昆华医检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日，根据昆发改规划</w:t>
      </w:r>
      <w:r>
        <w:rPr>
          <w:rFonts w:ascii="Times New Roman" w:eastAsia="Times New Roman" w:hAnsi="Times New Roman" w:cs="Times New Roman"/>
          <w:color w:val="000000"/>
          <w:spacing w:val="0"/>
          <w:w w:val="100"/>
          <w:position w:val="0"/>
        </w:rPr>
        <w:t>[2018]209</w:t>
      </w:r>
      <w:r>
        <w:rPr>
          <w:color w:val="000000"/>
          <w:spacing w:val="0"/>
          <w:w w:val="100"/>
          <w:position w:val="0"/>
        </w:rPr>
        <w:t>号批文，昆华医检主营业务符合西部大开发国家鼓励类产业，自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日起可享受减按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913" w:val="left"/>
        </w:tabs>
        <w:bidi w:val="0"/>
        <w:spacing w:before="0" w:after="0" w:line="313" w:lineRule="exact"/>
        <w:ind w:left="0" w:right="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rPr>
        <w:t>13</w:t>
      </w:r>
      <w:r>
        <w:rPr>
          <w:color w:val="000000"/>
          <w:spacing w:val="0"/>
          <w:w w:val="100"/>
          <w:position w:val="0"/>
        </w:rPr>
        <w:t>）</w:t>
        <w:tab/>
        <w:t>华大因源</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根据《财政部国家税务总局关于广东横琴新区福建平潭综合实验区深圳前海深港现代服务业合作区企业所得税优惠政 策及优惠目录的通知》（财税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2014]26</w:t>
      </w:r>
      <w:r>
        <w:rPr>
          <w:color w:val="000000"/>
          <w:spacing w:val="0"/>
          <w:w w:val="100"/>
          <w:position w:val="0"/>
        </w:rPr>
        <w:t>号），华大因源符合设在前海深港现代服务业合作区的鼓励类产业企业，自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日起可享受减按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的税率征收企业所得税的税收优惠。根据《财政部税务总局关于延续深圳前海深港现代服务业合作区 企业所得税优惠政策的通知》（财税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2021]30</w:t>
      </w:r>
      <w:r>
        <w:rPr>
          <w:color w:val="000000"/>
          <w:spacing w:val="0"/>
          <w:w w:val="100"/>
          <w:position w:val="0"/>
        </w:rPr>
        <w:t>号），华大因源符合设在前海深港现代服务业合作区的鼓励类产业企业，</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年继续享受减按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913" w:val="left"/>
        </w:tabs>
        <w:bidi w:val="0"/>
        <w:spacing w:before="0" w:after="0" w:line="313" w:lineRule="exact"/>
        <w:ind w:left="0" w:right="0"/>
        <w:jc w:val="both"/>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rPr>
        <w:t>14</w:t>
      </w:r>
      <w:r>
        <w:rPr>
          <w:color w:val="000000"/>
          <w:spacing w:val="0"/>
          <w:w w:val="100"/>
          <w:position w:val="0"/>
        </w:rPr>
        <w:t>）</w:t>
        <w:tab/>
        <w:t>海南科技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根据《财政部税务总局关于海南自由贸易港企业所得税优惠政策的通知》（财税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2020]31</w:t>
      </w:r>
      <w:r>
        <w:rPr>
          <w:color w:val="000000"/>
          <w:spacing w:val="0"/>
          <w:w w:val="100"/>
          <w:position w:val="0"/>
        </w:rPr>
        <w:t>号），海南科技符合设在海南 自由贸易港并实质性运营的鼓励类产业企业，自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tabs>
          <w:tab w:pos="913" w:val="left"/>
        </w:tabs>
        <w:bidi w:val="0"/>
        <w:spacing w:before="0" w:after="0" w:line="313" w:lineRule="exact"/>
        <w:ind w:left="0" w:right="0"/>
        <w:jc w:val="both"/>
      </w:pPr>
      <w:bookmarkStart w:id="1130" w:name="bookmark1130"/>
      <w:r>
        <w:rPr>
          <w:color w:val="000000"/>
          <w:spacing w:val="0"/>
          <w:w w:val="100"/>
          <w:position w:val="0"/>
        </w:rPr>
        <w:t>（</w:t>
      </w:r>
      <w:bookmarkEnd w:id="1130"/>
      <w:r>
        <w:rPr>
          <w:rFonts w:ascii="Times New Roman" w:eastAsia="Times New Roman" w:hAnsi="Times New Roman" w:cs="Times New Roman"/>
          <w:color w:val="000000"/>
          <w:spacing w:val="0"/>
          <w:w w:val="100"/>
          <w:position w:val="0"/>
        </w:rPr>
        <w:t>15</w:t>
      </w:r>
      <w:r>
        <w:rPr>
          <w:color w:val="000000"/>
          <w:spacing w:val="0"/>
          <w:w w:val="100"/>
          <w:position w:val="0"/>
        </w:rPr>
        <w:t>）</w:t>
        <w:tab/>
        <w:t>西藏医检</w:t>
      </w:r>
    </w:p>
    <w:p>
      <w:pPr>
        <w:pStyle w:val="Style17"/>
        <w:keepNext w:val="0"/>
        <w:keepLines w:val="0"/>
        <w:widowControl w:val="0"/>
        <w:shd w:val="clear" w:color="auto" w:fill="auto"/>
        <w:bidi w:val="0"/>
        <w:spacing w:before="0" w:after="0" w:line="313" w:lineRule="exact"/>
        <w:ind w:left="0" w:right="0"/>
        <w:jc w:val="both"/>
      </w:pPr>
      <w:r>
        <w:rPr>
          <w:color w:val="000000"/>
          <w:spacing w:val="0"/>
          <w:w w:val="100"/>
          <w:position w:val="0"/>
        </w:rPr>
        <w:t>根据《财政部税务总局国家发展改革委关于延续西部大开发企业所得税政策的公告》（财政部公告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号），西 藏医检符合设在西部地区的鼓励类产业企业，自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日起可享受减按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w:t>
      </w:r>
    </w:p>
    <w:p>
      <w:pPr>
        <w:pStyle w:val="Style17"/>
        <w:keepNext w:val="0"/>
        <w:keepLines w:val="0"/>
        <w:widowControl w:val="0"/>
        <w:shd w:val="clear" w:color="auto" w:fill="auto"/>
        <w:bidi w:val="0"/>
        <w:spacing w:before="0" w:after="0" w:line="311" w:lineRule="exact"/>
        <w:ind w:left="0" w:right="0" w:firstLine="0"/>
        <w:jc w:val="both"/>
      </w:pPr>
      <w:r>
        <w:rPr>
          <w:b/>
          <w:bCs/>
          <w:color w:val="000000"/>
          <w:spacing w:val="0"/>
          <w:w w:val="100"/>
          <w:position w:val="0"/>
        </w:rPr>
        <w:t>增值税优惠政策</w:t>
      </w:r>
    </w:p>
    <w:p>
      <w:pPr>
        <w:pStyle w:val="Style17"/>
        <w:keepNext w:val="0"/>
        <w:keepLines w:val="0"/>
        <w:widowControl w:val="0"/>
        <w:shd w:val="clear" w:color="auto" w:fill="auto"/>
        <w:tabs>
          <w:tab w:pos="800" w:val="left"/>
        </w:tabs>
        <w:bidi w:val="0"/>
        <w:spacing w:before="0" w:after="0" w:line="311" w:lineRule="exact"/>
        <w:ind w:left="0" w:right="0"/>
        <w:jc w:val="both"/>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w:t>
        <w:tab/>
        <w:t>华大基因</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根据《深圳市国家税务局增值税、消费税税收优惠备案通知书》（深国税盐减免备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2014]0368</w:t>
      </w:r>
      <w:r>
        <w:rPr>
          <w:color w:val="000000"/>
          <w:spacing w:val="0"/>
          <w:w w:val="100"/>
          <w:position w:val="0"/>
        </w:rPr>
        <w:t>号），华大基因已按《关 于将铁路运输业和邮政业纳入营业税改增值税试点的通知》（财税</w:t>
      </w:r>
      <w:r>
        <w:rPr>
          <w:rFonts w:ascii="Times New Roman" w:eastAsia="Times New Roman" w:hAnsi="Times New Roman" w:cs="Times New Roman"/>
          <w:color w:val="000000"/>
          <w:spacing w:val="0"/>
          <w:w w:val="100"/>
          <w:position w:val="0"/>
        </w:rPr>
        <w:t>[2013]106</w:t>
      </w:r>
      <w:r>
        <w:rPr>
          <w:color w:val="000000"/>
          <w:spacing w:val="0"/>
          <w:w w:val="100"/>
          <w:position w:val="0"/>
        </w:rPr>
        <w:t>号）的规定在深圳市盐田区国家税务局对技术转 让、技术开发及与之相关的技术咨询、技术服务作备案登记。该次备案有效期起：</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日，该优惠项目的增值税进 项税额为单独核算，进项税额核算方式选择后</w:t>
      </w:r>
      <w:r>
        <w:rPr>
          <w:rFonts w:ascii="Times New Roman" w:eastAsia="Times New Roman" w:hAnsi="Times New Roman" w:cs="Times New Roman"/>
          <w:color w:val="000000"/>
          <w:spacing w:val="0"/>
          <w:w w:val="100"/>
          <w:position w:val="0"/>
        </w:rPr>
        <w:t>36</w:t>
      </w:r>
      <w:r>
        <w:rPr>
          <w:color w:val="000000"/>
          <w:spacing w:val="0"/>
          <w:w w:val="100"/>
          <w:position w:val="0"/>
        </w:rPr>
        <w:t>个月内不得变更。</w:t>
      </w:r>
      <w:r>
        <w:rPr>
          <w:rFonts w:ascii="Times New Roman" w:eastAsia="Times New Roman" w:hAnsi="Times New Roman" w:cs="Times New Roman"/>
          <w:color w:val="000000"/>
          <w:spacing w:val="0"/>
          <w:w w:val="100"/>
          <w:position w:val="0"/>
        </w:rPr>
        <w:t>2021</w:t>
      </w:r>
      <w:r>
        <w:rPr>
          <w:color w:val="000000"/>
          <w:spacing w:val="0"/>
          <w:w w:val="100"/>
          <w:position w:val="0"/>
        </w:rPr>
        <w:t>年华大基因对该优惠项目核算方式未发生变更。</w:t>
      </w:r>
    </w:p>
    <w:p>
      <w:pPr>
        <w:pStyle w:val="Style17"/>
        <w:keepNext w:val="0"/>
        <w:keepLines w:val="0"/>
        <w:widowControl w:val="0"/>
        <w:shd w:val="clear" w:color="auto" w:fill="auto"/>
        <w:tabs>
          <w:tab w:pos="800" w:val="left"/>
        </w:tabs>
        <w:bidi w:val="0"/>
        <w:spacing w:before="0" w:after="0" w:line="311" w:lineRule="exact"/>
        <w:ind w:left="0" w:right="0"/>
        <w:jc w:val="both"/>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w:t>
        <w:tab/>
        <w:t>华大科技</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根据《深圳市国家税务局增值税、消费税税收优惠备案通知书》（深国税盐减免备</w:t>
      </w:r>
      <w:r>
        <w:rPr>
          <w:rFonts w:ascii="Times New Roman" w:eastAsia="Times New Roman" w:hAnsi="Times New Roman" w:cs="Times New Roman"/>
          <w:color w:val="000000"/>
          <w:spacing w:val="0"/>
          <w:w w:val="100"/>
          <w:position w:val="0"/>
        </w:rPr>
        <w:t>[2012]0220</w:t>
      </w:r>
      <w:r>
        <w:rPr>
          <w:color w:val="000000"/>
          <w:spacing w:val="0"/>
          <w:w w:val="100"/>
          <w:position w:val="0"/>
        </w:rPr>
        <w:t>号），华大科技已按《关 于在上海市开展交通运输业和部分现代服务业营业税改征增值税试点的通知》（财税</w:t>
      </w:r>
      <w:r>
        <w:rPr>
          <w:rFonts w:ascii="Times New Roman" w:eastAsia="Times New Roman" w:hAnsi="Times New Roman" w:cs="Times New Roman"/>
          <w:color w:val="000000"/>
          <w:spacing w:val="0"/>
          <w:w w:val="100"/>
          <w:position w:val="0"/>
        </w:rPr>
        <w:t>[2011]111</w:t>
      </w:r>
      <w:r>
        <w:rPr>
          <w:color w:val="000000"/>
          <w:spacing w:val="0"/>
          <w:w w:val="100"/>
          <w:position w:val="0"/>
        </w:rPr>
        <w:t>号）、《关于在北京等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 开展交通运输业和部分现代服务业营业税改征增值税试点的通知》（财税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2012]71</w:t>
      </w:r>
      <w:r>
        <w:rPr>
          <w:color w:val="000000"/>
          <w:spacing w:val="0"/>
          <w:w w:val="100"/>
          <w:position w:val="0"/>
        </w:rPr>
        <w:t>号）的规定，在深圳市盐田区国家税务局 对技术转让、技术开发及与之相关的技术咨询、技术服务作备案登记。该优惠项目的增值税进项税额为单独核算，进项税额 核算方式选择后</w:t>
      </w:r>
      <w:r>
        <w:rPr>
          <w:rFonts w:ascii="Times New Roman" w:eastAsia="Times New Roman" w:hAnsi="Times New Roman" w:cs="Times New Roman"/>
          <w:color w:val="000000"/>
          <w:spacing w:val="0"/>
          <w:w w:val="100"/>
          <w:position w:val="0"/>
        </w:rPr>
        <w:t>36</w:t>
      </w:r>
      <w:r>
        <w:rPr>
          <w:color w:val="000000"/>
          <w:spacing w:val="0"/>
          <w:w w:val="100"/>
          <w:position w:val="0"/>
        </w:rPr>
        <w:t>个月内不得变更。</w:t>
      </w:r>
      <w:r>
        <w:rPr>
          <w:rFonts w:ascii="Times New Roman" w:eastAsia="Times New Roman" w:hAnsi="Times New Roman" w:cs="Times New Roman"/>
          <w:color w:val="000000"/>
          <w:spacing w:val="0"/>
          <w:w w:val="100"/>
          <w:position w:val="0"/>
        </w:rPr>
        <w:t>2021</w:t>
      </w:r>
      <w:r>
        <w:rPr>
          <w:color w:val="000000"/>
          <w:spacing w:val="0"/>
          <w:w w:val="100"/>
          <w:position w:val="0"/>
        </w:rPr>
        <w:t>年华大科技对该优惠项目核算方式未发生变更。</w:t>
      </w:r>
    </w:p>
    <w:p>
      <w:pPr>
        <w:pStyle w:val="Style17"/>
        <w:keepNext w:val="0"/>
        <w:keepLines w:val="0"/>
        <w:widowControl w:val="0"/>
        <w:shd w:val="clear" w:color="auto" w:fill="auto"/>
        <w:tabs>
          <w:tab w:pos="800" w:val="left"/>
        </w:tabs>
        <w:bidi w:val="0"/>
        <w:spacing w:before="0" w:after="0" w:line="311" w:lineRule="exact"/>
        <w:ind w:left="0" w:right="0"/>
        <w:jc w:val="both"/>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w:t>
        <w:tab/>
        <w:t>深圳医检</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根据《深圳市国家税务局增值税、消费税税收优惠备案通知书》（深国税盐减免备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2016]0067</w:t>
      </w:r>
      <w:r>
        <w:rPr>
          <w:color w:val="000000"/>
          <w:spacing w:val="0"/>
          <w:w w:val="100"/>
          <w:position w:val="0"/>
        </w:rPr>
        <w:t>号），深圳医检已按《财 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日在深圳市国家税务 局作备案登记。深圳医检自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日起提供的医疗服务免征增值税。该优惠项目的增值税进项税额为单独核算，进项税 额核算方式选择后</w:t>
      </w:r>
      <w:r>
        <w:rPr>
          <w:rFonts w:ascii="Times New Roman" w:eastAsia="Times New Roman" w:hAnsi="Times New Roman" w:cs="Times New Roman"/>
          <w:color w:val="000000"/>
          <w:spacing w:val="0"/>
          <w:w w:val="100"/>
          <w:position w:val="0"/>
        </w:rPr>
        <w:t>36</w:t>
      </w:r>
      <w:r>
        <w:rPr>
          <w:color w:val="000000"/>
          <w:spacing w:val="0"/>
          <w:w w:val="100"/>
          <w:position w:val="0"/>
        </w:rPr>
        <w:t>个月内不得变更。</w:t>
      </w:r>
      <w:r>
        <w:rPr>
          <w:rFonts w:ascii="Times New Roman" w:eastAsia="Times New Roman" w:hAnsi="Times New Roman" w:cs="Times New Roman"/>
          <w:color w:val="000000"/>
          <w:spacing w:val="0"/>
          <w:w w:val="100"/>
          <w:position w:val="0"/>
        </w:rPr>
        <w:t>2021</w:t>
      </w:r>
      <w:r>
        <w:rPr>
          <w:color w:val="000000"/>
          <w:spacing w:val="0"/>
          <w:w w:val="100"/>
          <w:position w:val="0"/>
        </w:rPr>
        <w:t>年深圳医检对该优惠项目的核算方式未发生变更。</w:t>
      </w:r>
    </w:p>
    <w:p>
      <w:pPr>
        <w:pStyle w:val="Style17"/>
        <w:keepNext w:val="0"/>
        <w:keepLines w:val="0"/>
        <w:widowControl w:val="0"/>
        <w:shd w:val="clear" w:color="auto" w:fill="auto"/>
        <w:tabs>
          <w:tab w:pos="800" w:val="left"/>
        </w:tabs>
        <w:bidi w:val="0"/>
        <w:spacing w:before="0" w:after="0" w:line="311" w:lineRule="exact"/>
        <w:ind w:left="0" w:right="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w:t>
        <w:tab/>
        <w:t>广州医检</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根据《广州市番禺区国家税务局税务事项通知书》（穗番国税通</w:t>
      </w:r>
      <w:r>
        <w:rPr>
          <w:rFonts w:ascii="Times New Roman" w:eastAsia="Times New Roman" w:hAnsi="Times New Roman" w:cs="Times New Roman"/>
          <w:color w:val="000000"/>
          <w:spacing w:val="0"/>
          <w:w w:val="100"/>
          <w:position w:val="0"/>
        </w:rPr>
        <w:t>[2016]50681</w:t>
      </w:r>
      <w:r>
        <w:rPr>
          <w:color w:val="000000"/>
          <w:spacing w:val="0"/>
          <w:w w:val="100"/>
          <w:position w:val="0"/>
        </w:rPr>
        <w:t>号），广州医检于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日在广州市 番禺区国家税务局备案登记，广州医检自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年广州医检对该优惠项目的核算 方式未发生变更。</w:t>
      </w:r>
    </w:p>
    <w:p>
      <w:pPr>
        <w:pStyle w:val="Style17"/>
        <w:keepNext w:val="0"/>
        <w:keepLines w:val="0"/>
        <w:widowControl w:val="0"/>
        <w:shd w:val="clear" w:color="auto" w:fill="auto"/>
        <w:tabs>
          <w:tab w:pos="800" w:val="left"/>
        </w:tabs>
        <w:bidi w:val="0"/>
        <w:spacing w:before="0" w:after="0" w:line="311" w:lineRule="exact"/>
        <w:ind w:left="0" w:right="0"/>
        <w:jc w:val="both"/>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5</w:t>
      </w:r>
      <w:r>
        <w:rPr>
          <w:color w:val="000000"/>
          <w:spacing w:val="0"/>
          <w:w w:val="100"/>
          <w:position w:val="0"/>
        </w:rPr>
        <w:t>）</w:t>
        <w:tab/>
        <w:t>南京医检</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根据南京市建邺区国家税务局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日出具的纳税人减免税备案登记表，南京医检自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 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年南京医检对该优惠项目的核算方式未发生变更。</w:t>
      </w:r>
    </w:p>
    <w:p>
      <w:pPr>
        <w:pStyle w:val="Style17"/>
        <w:keepNext w:val="0"/>
        <w:keepLines w:val="0"/>
        <w:widowControl w:val="0"/>
        <w:shd w:val="clear" w:color="auto" w:fill="auto"/>
        <w:tabs>
          <w:tab w:pos="800" w:val="left"/>
        </w:tabs>
        <w:bidi w:val="0"/>
        <w:spacing w:before="0" w:after="0" w:line="311" w:lineRule="exact"/>
        <w:ind w:left="0" w:right="0"/>
        <w:jc w:val="both"/>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rPr>
        <w:t>6</w:t>
      </w:r>
      <w:r>
        <w:rPr>
          <w:color w:val="000000"/>
          <w:spacing w:val="0"/>
          <w:w w:val="100"/>
          <w:position w:val="0"/>
        </w:rPr>
        <w:t>）</w:t>
        <w:tab/>
        <w:t>武汉医检</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根据武汉市东湖新技术开发区国家税务局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日出具的纳税人减免税备案登记表，武汉医检自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年武汉医检对该优惠项目的核算方式未发生变更。</w:t>
      </w:r>
    </w:p>
    <w:p>
      <w:pPr>
        <w:pStyle w:val="Style17"/>
        <w:keepNext w:val="0"/>
        <w:keepLines w:val="0"/>
        <w:widowControl w:val="0"/>
        <w:shd w:val="clear" w:color="auto" w:fill="auto"/>
        <w:tabs>
          <w:tab w:pos="800" w:val="left"/>
        </w:tabs>
        <w:bidi w:val="0"/>
        <w:spacing w:before="0" w:after="0" w:line="311" w:lineRule="exact"/>
        <w:ind w:left="0" w:right="0"/>
        <w:jc w:val="both"/>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7</w:t>
      </w:r>
      <w:r>
        <w:rPr>
          <w:color w:val="000000"/>
          <w:spacing w:val="0"/>
          <w:w w:val="100"/>
          <w:position w:val="0"/>
        </w:rPr>
        <w:t>）</w:t>
        <w:tab/>
        <w:t>优康门诊</w:t>
      </w:r>
    </w:p>
    <w:p>
      <w:pPr>
        <w:pStyle w:val="Style17"/>
        <w:keepNext w:val="0"/>
        <w:keepLines w:val="0"/>
        <w:widowControl w:val="0"/>
        <w:shd w:val="clear" w:color="auto" w:fill="auto"/>
        <w:bidi w:val="0"/>
        <w:spacing w:before="0" w:after="0" w:line="310" w:lineRule="exact"/>
        <w:ind w:left="0" w:right="0"/>
        <w:jc w:val="both"/>
      </w:pPr>
      <w:r>
        <w:rPr>
          <w:color w:val="000000"/>
          <w:spacing w:val="0"/>
          <w:w w:val="100"/>
          <w:position w:val="0"/>
        </w:rPr>
        <w:t>根据《深圳市国家税务局增值税、消费税税收优惠备案通知书》（深国税盐减免备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2016]0068</w:t>
      </w:r>
      <w:r>
        <w:rPr>
          <w:color w:val="000000"/>
          <w:spacing w:val="0"/>
          <w:w w:val="100"/>
          <w:position w:val="0"/>
        </w:rPr>
        <w:t>号），优康门诊于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日在深圳市国家税务局作备案登记，优康门诊自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年优康门诊对该优惠 项目的核算方式未发生变更。</w:t>
      </w:r>
    </w:p>
    <w:p>
      <w:pPr>
        <w:pStyle w:val="Style17"/>
        <w:keepNext w:val="0"/>
        <w:keepLines w:val="0"/>
        <w:widowControl w:val="0"/>
        <w:shd w:val="clear" w:color="auto" w:fill="auto"/>
        <w:tabs>
          <w:tab w:pos="800" w:val="left"/>
        </w:tabs>
        <w:bidi w:val="0"/>
        <w:spacing w:before="0" w:after="0" w:line="311" w:lineRule="exact"/>
        <w:ind w:left="0" w:right="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8</w:t>
      </w:r>
      <w:r>
        <w:rPr>
          <w:color w:val="000000"/>
          <w:spacing w:val="0"/>
          <w:w w:val="100"/>
          <w:position w:val="0"/>
        </w:rPr>
        <w:t>）</w:t>
        <w:tab/>
        <w:t>重庆医检</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根据重庆市渝北区国家税务局</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日出具的纳税人减免税备案登记表，重庆医检自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 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年重庆医检对该优惠项目的核算方式未发生变更。</w:t>
      </w:r>
    </w:p>
    <w:p>
      <w:pPr>
        <w:pStyle w:val="Style17"/>
        <w:keepNext w:val="0"/>
        <w:keepLines w:val="0"/>
        <w:widowControl w:val="0"/>
        <w:shd w:val="clear" w:color="auto" w:fill="auto"/>
        <w:tabs>
          <w:tab w:pos="800" w:val="left"/>
        </w:tabs>
        <w:bidi w:val="0"/>
        <w:spacing w:before="0" w:after="0" w:line="311" w:lineRule="exact"/>
        <w:ind w:left="0" w:right="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9</w:t>
      </w:r>
      <w:r>
        <w:rPr>
          <w:color w:val="000000"/>
          <w:spacing w:val="0"/>
          <w:w w:val="100"/>
          <w:position w:val="0"/>
        </w:rPr>
        <w:t>）</w:t>
        <w:tab/>
        <w:t>安徽医检</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根据安徽省太和县国家税务局</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日出具的纳税人减免税备案登记表，安徽医检自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 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年安徽医检对该优惠项目的核算方式未发生变更。</w:t>
      </w:r>
    </w:p>
    <w:p>
      <w:pPr>
        <w:pStyle w:val="Style17"/>
        <w:keepNext w:val="0"/>
        <w:keepLines w:val="0"/>
        <w:widowControl w:val="0"/>
        <w:shd w:val="clear" w:color="auto" w:fill="auto"/>
        <w:tabs>
          <w:tab w:pos="891" w:val="left"/>
        </w:tabs>
        <w:bidi w:val="0"/>
        <w:spacing w:before="0" w:after="0" w:line="311" w:lineRule="exact"/>
        <w:ind w:left="0" w:right="0"/>
        <w:jc w:val="both"/>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rPr>
        <w:t>10</w:t>
      </w:r>
      <w:r>
        <w:rPr>
          <w:color w:val="000000"/>
          <w:spacing w:val="0"/>
          <w:w w:val="100"/>
          <w:position w:val="0"/>
        </w:rPr>
        <w:t>）</w:t>
        <w:tab/>
        <w:t>上海医检</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根据上海市浦东新区国家税务局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日出具的纳税人减免税备案登记表，上海医检自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 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年上海医检对该优惠项目的核算方式未发生变更。</w:t>
      </w:r>
    </w:p>
    <w:p>
      <w:pPr>
        <w:pStyle w:val="Style17"/>
        <w:keepNext w:val="0"/>
        <w:keepLines w:val="0"/>
        <w:widowControl w:val="0"/>
        <w:shd w:val="clear" w:color="auto" w:fill="auto"/>
        <w:tabs>
          <w:tab w:pos="891" w:val="left"/>
        </w:tabs>
        <w:bidi w:val="0"/>
        <w:spacing w:before="0" w:after="0" w:line="311" w:lineRule="exact"/>
        <w:ind w:left="0" w:right="0"/>
        <w:jc w:val="both"/>
      </w:pPr>
      <w:bookmarkStart w:id="1141" w:name="bookmark1141"/>
      <w:r>
        <w:rPr>
          <w:color w:val="000000"/>
          <w:spacing w:val="0"/>
          <w:w w:val="100"/>
          <w:position w:val="0"/>
        </w:rPr>
        <w:t>（</w:t>
      </w:r>
      <w:bookmarkEnd w:id="1141"/>
      <w:r>
        <w:rPr>
          <w:rFonts w:ascii="Times New Roman" w:eastAsia="Times New Roman" w:hAnsi="Times New Roman" w:cs="Times New Roman"/>
          <w:color w:val="000000"/>
          <w:spacing w:val="0"/>
          <w:w w:val="100"/>
          <w:position w:val="0"/>
        </w:rPr>
        <w:t>11</w:t>
      </w:r>
      <w:r>
        <w:rPr>
          <w:color w:val="000000"/>
          <w:spacing w:val="0"/>
          <w:w w:val="100"/>
          <w:position w:val="0"/>
        </w:rPr>
        <w:t>）</w:t>
        <w:tab/>
        <w:t>天津医检</w:t>
      </w:r>
    </w:p>
    <w:p>
      <w:pPr>
        <w:pStyle w:val="Style17"/>
        <w:keepNext w:val="0"/>
        <w:keepLines w:val="0"/>
        <w:widowControl w:val="0"/>
        <w:shd w:val="clear" w:color="auto" w:fill="auto"/>
        <w:bidi w:val="0"/>
        <w:spacing w:before="0" w:after="40" w:line="311" w:lineRule="exact"/>
        <w:ind w:left="0" w:right="0" w:firstLine="0"/>
        <w:jc w:val="both"/>
      </w:pPr>
      <w:r>
        <w:rPr>
          <w:color w:val="000000"/>
          <w:spacing w:val="0"/>
          <w:w w:val="100"/>
          <w:position w:val="0"/>
        </w:rPr>
        <w:t>根据天津市保税区国家税务局于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日出具的纳税人减免税备案登记表，天津医检自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日止提供的医疗服务免征增值税。根据《财政部国家税务总局关于全面推开营业税改征增值税试点的通知》（财税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2016]36 </w:t>
      </w:r>
      <w:r>
        <w:rPr>
          <w:color w:val="000000"/>
          <w:spacing w:val="0"/>
          <w:w w:val="100"/>
          <w:position w:val="0"/>
        </w:rPr>
        <w:t>号），天津医检自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年天津医检对该优惠项目的核算方式未发生变更。</w:t>
      </w:r>
    </w:p>
    <w:p>
      <w:pPr>
        <w:pStyle w:val="Style17"/>
        <w:keepNext w:val="0"/>
        <w:keepLines w:val="0"/>
        <w:widowControl w:val="0"/>
        <w:shd w:val="clear" w:color="auto" w:fill="auto"/>
        <w:tabs>
          <w:tab w:pos="916" w:val="left"/>
        </w:tabs>
        <w:bidi w:val="0"/>
        <w:spacing w:before="0" w:after="40" w:line="312" w:lineRule="exact"/>
        <w:ind w:left="0" w:right="0"/>
        <w:jc w:val="both"/>
      </w:pPr>
      <w:bookmarkStart w:id="1142" w:name="bookmark1142"/>
      <w:r>
        <w:rPr>
          <w:color w:val="000000"/>
          <w:spacing w:val="0"/>
          <w:w w:val="100"/>
          <w:position w:val="0"/>
        </w:rPr>
        <w:t>（</w:t>
      </w:r>
      <w:bookmarkEnd w:id="1142"/>
      <w:r>
        <w:rPr>
          <w:rFonts w:ascii="Times New Roman" w:eastAsia="Times New Roman" w:hAnsi="Times New Roman" w:cs="Times New Roman"/>
          <w:color w:val="000000"/>
          <w:spacing w:val="0"/>
          <w:w w:val="100"/>
          <w:position w:val="0"/>
        </w:rPr>
        <w:t>12</w:t>
      </w:r>
      <w:r>
        <w:rPr>
          <w:color w:val="000000"/>
          <w:spacing w:val="0"/>
          <w:w w:val="100"/>
          <w:position w:val="0"/>
        </w:rPr>
        <w:t>）</w:t>
        <w:tab/>
        <w:t>本溪医检</w:t>
      </w:r>
    </w:p>
    <w:p>
      <w:pPr>
        <w:pStyle w:val="Style17"/>
        <w:keepNext w:val="0"/>
        <w:keepLines w:val="0"/>
        <w:widowControl w:val="0"/>
        <w:shd w:val="clear" w:color="auto" w:fill="auto"/>
        <w:bidi w:val="0"/>
        <w:spacing w:before="0" w:after="40" w:line="317" w:lineRule="exact"/>
        <w:ind w:left="0" w:right="0" w:firstLine="0"/>
        <w:jc w:val="both"/>
      </w:pPr>
      <w:r>
        <w:rPr>
          <w:color w:val="000000"/>
          <w:spacing w:val="0"/>
          <w:w w:val="100"/>
          <w:position w:val="0"/>
        </w:rPr>
        <w:t>根据本溪高新技术产业开发区国家税务局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日出具的纳税人减免税备案登记表，本溪医检自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日止提供医疗服务免征增值税。根据《财政部国家税务总局关于全面推开营业税改征增值税试点的通知》（财 税</w:t>
      </w:r>
      <w:r>
        <w:rPr>
          <w:rFonts w:ascii="Times New Roman" w:eastAsia="Times New Roman" w:hAnsi="Times New Roman" w:cs="Times New Roman"/>
          <w:color w:val="000000"/>
          <w:spacing w:val="0"/>
          <w:w w:val="100"/>
          <w:position w:val="0"/>
        </w:rPr>
        <w:t>[2016]36</w:t>
      </w:r>
      <w:r>
        <w:rPr>
          <w:color w:val="000000"/>
          <w:spacing w:val="0"/>
          <w:w w:val="100"/>
          <w:position w:val="0"/>
        </w:rPr>
        <w:t>号），本溪医检自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年本溪医检对该优惠项目的核算方式未发生 变更。</w:t>
      </w:r>
    </w:p>
    <w:p>
      <w:pPr>
        <w:pStyle w:val="Style17"/>
        <w:keepNext w:val="0"/>
        <w:keepLines w:val="0"/>
        <w:widowControl w:val="0"/>
        <w:shd w:val="clear" w:color="auto" w:fill="auto"/>
        <w:tabs>
          <w:tab w:pos="916" w:val="left"/>
        </w:tabs>
        <w:bidi w:val="0"/>
        <w:spacing w:before="0" w:after="40" w:line="317" w:lineRule="exact"/>
        <w:ind w:left="0" w:right="0"/>
        <w:jc w:val="both"/>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rPr>
        <w:t>13</w:t>
      </w:r>
      <w:r>
        <w:rPr>
          <w:color w:val="000000"/>
          <w:spacing w:val="0"/>
          <w:w w:val="100"/>
          <w:position w:val="0"/>
        </w:rPr>
        <w:t>）</w:t>
        <w:tab/>
        <w:t>长垣医检</w:t>
      </w: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根据河南省长垣县国家税务局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日出具的纳税人减免税备案登记表，长垣医检自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2 019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日止提供的医疗服务免征增值税。根据《财政部国家税务总局关于全面推开营业税改征增值税试点的通知》（财税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2016]36 </w:t>
      </w:r>
      <w:r>
        <w:rPr>
          <w:color w:val="000000"/>
          <w:spacing w:val="0"/>
          <w:w w:val="100"/>
          <w:position w:val="0"/>
        </w:rPr>
        <w:t>号），长垣医检自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年长垣医检对该优惠项目的核算方式未发生变更。</w:t>
      </w:r>
    </w:p>
    <w:p>
      <w:pPr>
        <w:pStyle w:val="Style17"/>
        <w:keepNext w:val="0"/>
        <w:keepLines w:val="0"/>
        <w:widowControl w:val="0"/>
        <w:shd w:val="clear" w:color="auto" w:fill="auto"/>
        <w:tabs>
          <w:tab w:pos="916" w:val="left"/>
        </w:tabs>
        <w:bidi w:val="0"/>
        <w:spacing w:before="0" w:after="40" w:line="312" w:lineRule="exact"/>
        <w:ind w:left="0" w:right="0"/>
        <w:jc w:val="both"/>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14</w:t>
      </w:r>
      <w:r>
        <w:rPr>
          <w:color w:val="000000"/>
          <w:spacing w:val="0"/>
          <w:w w:val="100"/>
          <w:position w:val="0"/>
        </w:rPr>
        <w:t>）</w:t>
        <w:tab/>
        <w:t>昆华医检</w:t>
      </w:r>
    </w:p>
    <w:p>
      <w:pPr>
        <w:pStyle w:val="Style17"/>
        <w:keepNext w:val="0"/>
        <w:keepLines w:val="0"/>
        <w:widowControl w:val="0"/>
        <w:shd w:val="clear" w:color="auto" w:fill="auto"/>
        <w:bidi w:val="0"/>
        <w:spacing w:before="0" w:after="40" w:line="318" w:lineRule="exact"/>
        <w:ind w:left="0" w:right="0" w:firstLine="0"/>
        <w:jc w:val="both"/>
      </w:pPr>
      <w:r>
        <w:rPr>
          <w:color w:val="000000"/>
          <w:spacing w:val="0"/>
          <w:w w:val="100"/>
          <w:position w:val="0"/>
        </w:rPr>
        <w:t>根据昆明市高新技术产业开发区国家税务局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日出具的纳税人减免税备案登记表，昆华医检自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日起至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日止提供医疗服务免征增值税。根据《财政部国家税务总局关于全面推开营业税改征增值税试点的通知》（财 税</w:t>
      </w:r>
      <w:r>
        <w:rPr>
          <w:rFonts w:ascii="Times New Roman" w:eastAsia="Times New Roman" w:hAnsi="Times New Roman" w:cs="Times New Roman"/>
          <w:color w:val="000000"/>
          <w:spacing w:val="0"/>
          <w:w w:val="100"/>
          <w:position w:val="0"/>
        </w:rPr>
        <w:t>[2016]36</w:t>
      </w:r>
      <w:r>
        <w:rPr>
          <w:color w:val="000000"/>
          <w:spacing w:val="0"/>
          <w:w w:val="100"/>
          <w:position w:val="0"/>
        </w:rPr>
        <w:t>号），昆华医检自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年昆华医检对该优惠项目的核算方式未发生 变更。</w:t>
      </w:r>
    </w:p>
    <w:p>
      <w:pPr>
        <w:pStyle w:val="Style17"/>
        <w:keepNext w:val="0"/>
        <w:keepLines w:val="0"/>
        <w:widowControl w:val="0"/>
        <w:shd w:val="clear" w:color="auto" w:fill="auto"/>
        <w:tabs>
          <w:tab w:pos="916" w:val="left"/>
        </w:tabs>
        <w:bidi w:val="0"/>
        <w:spacing w:before="0" w:after="40" w:line="318" w:lineRule="exact"/>
        <w:ind w:left="0" w:right="0"/>
        <w:jc w:val="both"/>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15</w:t>
      </w:r>
      <w:r>
        <w:rPr>
          <w:color w:val="000000"/>
          <w:spacing w:val="0"/>
          <w:w w:val="100"/>
          <w:position w:val="0"/>
        </w:rPr>
        <w:t>）</w:t>
        <w:tab/>
        <w:t>石家庄医检</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2016]36</w:t>
      </w:r>
      <w:r>
        <w:rPr>
          <w:color w:val="000000"/>
          <w:spacing w:val="0"/>
          <w:w w:val="100"/>
          <w:position w:val="0"/>
        </w:rPr>
        <w:t>号），石家庄医检自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年石家庄医检对该优惠项目的核算方式未发生变更。</w:t>
      </w:r>
    </w:p>
    <w:p>
      <w:pPr>
        <w:pStyle w:val="Style17"/>
        <w:keepNext w:val="0"/>
        <w:keepLines w:val="0"/>
        <w:widowControl w:val="0"/>
        <w:shd w:val="clear" w:color="auto" w:fill="auto"/>
        <w:tabs>
          <w:tab w:pos="916" w:val="left"/>
        </w:tabs>
        <w:bidi w:val="0"/>
        <w:spacing w:before="0" w:after="40" w:line="312" w:lineRule="exact"/>
        <w:ind w:left="0" w:right="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16</w:t>
      </w:r>
      <w:r>
        <w:rPr>
          <w:color w:val="000000"/>
          <w:spacing w:val="0"/>
          <w:w w:val="100"/>
          <w:position w:val="0"/>
        </w:rPr>
        <w:t>）</w:t>
        <w:tab/>
        <w:t>贵州医检</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号），贵州医检自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年贵州医检对该优惠项目的核算方式未发生变更。</w:t>
      </w:r>
    </w:p>
    <w:p>
      <w:pPr>
        <w:pStyle w:val="Style17"/>
        <w:keepNext w:val="0"/>
        <w:keepLines w:val="0"/>
        <w:widowControl w:val="0"/>
        <w:shd w:val="clear" w:color="auto" w:fill="auto"/>
        <w:tabs>
          <w:tab w:pos="916" w:val="left"/>
        </w:tabs>
        <w:bidi w:val="0"/>
        <w:spacing w:before="0" w:after="40" w:line="312" w:lineRule="exact"/>
        <w:ind w:left="0" w:right="0"/>
        <w:jc w:val="both"/>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17</w:t>
      </w:r>
      <w:r>
        <w:rPr>
          <w:color w:val="000000"/>
          <w:spacing w:val="0"/>
          <w:w w:val="100"/>
          <w:position w:val="0"/>
        </w:rPr>
        <w:t>）</w:t>
        <w:tab/>
        <w:t>黑龙江医检</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2016]36</w:t>
      </w:r>
      <w:r>
        <w:rPr>
          <w:color w:val="000000"/>
          <w:spacing w:val="0"/>
          <w:w w:val="100"/>
          <w:position w:val="0"/>
        </w:rPr>
        <w:t>号），黑龙江医检自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年黑龙江医检对该优惠项目的核算方式未发生变更。</w:t>
      </w:r>
    </w:p>
    <w:p>
      <w:pPr>
        <w:pStyle w:val="Style17"/>
        <w:keepNext w:val="0"/>
        <w:keepLines w:val="0"/>
        <w:widowControl w:val="0"/>
        <w:shd w:val="clear" w:color="auto" w:fill="auto"/>
        <w:tabs>
          <w:tab w:pos="916" w:val="left"/>
        </w:tabs>
        <w:bidi w:val="0"/>
        <w:spacing w:before="0" w:after="40" w:line="312" w:lineRule="exact"/>
        <w:ind w:left="0" w:right="0"/>
        <w:jc w:val="both"/>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rPr>
        <w:t>18</w:t>
      </w:r>
      <w:r>
        <w:rPr>
          <w:color w:val="000000"/>
          <w:spacing w:val="0"/>
          <w:w w:val="100"/>
          <w:position w:val="0"/>
        </w:rPr>
        <w:t>）</w:t>
        <w:tab/>
        <w:t>青岛医检</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号），青岛医检自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年青岛医检对该优惠项目的核算方式未发生变更。</w:t>
      </w:r>
    </w:p>
    <w:p>
      <w:pPr>
        <w:pStyle w:val="Style17"/>
        <w:keepNext w:val="0"/>
        <w:keepLines w:val="0"/>
        <w:widowControl w:val="0"/>
        <w:shd w:val="clear" w:color="auto" w:fill="auto"/>
        <w:tabs>
          <w:tab w:pos="916" w:val="left"/>
        </w:tabs>
        <w:bidi w:val="0"/>
        <w:spacing w:before="0" w:after="40" w:line="312" w:lineRule="exact"/>
        <w:ind w:left="0" w:right="0"/>
        <w:jc w:val="both"/>
      </w:pPr>
      <w:bookmarkStart w:id="1149" w:name="bookmark1149"/>
      <w:r>
        <w:rPr>
          <w:color w:val="000000"/>
          <w:spacing w:val="0"/>
          <w:w w:val="100"/>
          <w:position w:val="0"/>
        </w:rPr>
        <w:t>（</w:t>
      </w:r>
      <w:bookmarkEnd w:id="1149"/>
      <w:r>
        <w:rPr>
          <w:rFonts w:ascii="Times New Roman" w:eastAsia="Times New Roman" w:hAnsi="Times New Roman" w:cs="Times New Roman"/>
          <w:color w:val="000000"/>
          <w:spacing w:val="0"/>
          <w:w w:val="100"/>
          <w:position w:val="0"/>
        </w:rPr>
        <w:t>19</w:t>
      </w:r>
      <w:r>
        <w:rPr>
          <w:color w:val="000000"/>
          <w:spacing w:val="0"/>
          <w:w w:val="100"/>
          <w:position w:val="0"/>
        </w:rPr>
        <w:t>）</w:t>
        <w:tab/>
        <w:t>西藏医检</w:t>
      </w:r>
    </w:p>
    <w:p>
      <w:pPr>
        <w:pStyle w:val="Style1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号），西藏医检自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起提供的医疗服务免征增值税。</w:t>
      </w:r>
      <w:r>
        <w:rPr>
          <w:rFonts w:ascii="Times New Roman" w:eastAsia="Times New Roman" w:hAnsi="Times New Roman" w:cs="Times New Roman"/>
          <w:color w:val="000000"/>
          <w:spacing w:val="0"/>
          <w:w w:val="100"/>
          <w:position w:val="0"/>
        </w:rPr>
        <w:t>2021</w:t>
      </w:r>
      <w:r>
        <w:rPr>
          <w:color w:val="000000"/>
          <w:spacing w:val="0"/>
          <w:w w:val="100"/>
          <w:position w:val="0"/>
        </w:rPr>
        <w:t>年西藏医检对该优惠项目的核算方式未发生变更。</w:t>
      </w:r>
    </w:p>
    <w:p>
      <w:pPr>
        <w:pStyle w:val="Style30"/>
        <w:keepNext/>
        <w:keepLines/>
        <w:widowControl w:val="0"/>
        <w:shd w:val="clear" w:color="auto" w:fill="auto"/>
        <w:bidi w:val="0"/>
        <w:spacing w:before="0" w:after="260" w:line="240"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color w:val="000000"/>
          <w:spacing w:val="0"/>
          <w:w w:val="100"/>
          <w:position w:val="0"/>
        </w:rPr>
        <w:t>、其他</w:t>
      </w:r>
      <w:bookmarkEnd w:id="1150"/>
      <w:bookmarkEnd w:id="1151"/>
      <w:bookmarkEnd w:id="1153"/>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both"/>
      </w:pPr>
      <w:bookmarkStart w:id="1154" w:name="bookmark1154"/>
      <w:bookmarkStart w:id="1155" w:name="bookmark1155"/>
      <w:bookmarkStart w:id="1156" w:name="bookmark1156"/>
      <w:bookmarkStart w:id="1157" w:name="bookmark1157"/>
      <w:r>
        <w:rPr>
          <w:color w:val="000000"/>
          <w:spacing w:val="0"/>
          <w:w w:val="100"/>
          <w:position w:val="0"/>
          <w:sz w:val="24"/>
          <w:szCs w:val="24"/>
        </w:rPr>
        <w:t>七</w:t>
      </w:r>
      <w:bookmarkEnd w:id="1156"/>
      <w:r>
        <w:rPr>
          <w:color w:val="000000"/>
          <w:spacing w:val="0"/>
          <w:w w:val="100"/>
          <w:position w:val="0"/>
          <w:sz w:val="24"/>
          <w:szCs w:val="24"/>
        </w:rPr>
        <w:t>、合并财务报表项目注释</w:t>
      </w:r>
      <w:bookmarkEnd w:id="1154"/>
      <w:bookmarkEnd w:id="1155"/>
      <w:bookmarkEnd w:id="1157"/>
    </w:p>
    <w:p>
      <w:pPr>
        <w:pStyle w:val="Style30"/>
        <w:keepNext/>
        <w:keepLines/>
        <w:widowControl w:val="0"/>
        <w:shd w:val="clear" w:color="auto" w:fill="auto"/>
        <w:bidi w:val="0"/>
        <w:spacing w:before="0" w:after="260" w:line="240" w:lineRule="auto"/>
        <w:ind w:left="0" w:right="0" w:firstLine="0"/>
        <w:jc w:val="both"/>
      </w:pPr>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8"/>
      <w:bookmarkEnd w:id="1159"/>
      <w:bookmarkEnd w:id="1160"/>
    </w:p>
    <w:p>
      <w:pPr>
        <w:pStyle w:val="Style17"/>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4829"/>
        <w:gridCol w:w="2410"/>
        <w:gridCol w:w="234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200,749.82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62,097.56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6,491,343,579.43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5,409,931,102.78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98,742,979.98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20,079,168.67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6,590,287,309.23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5,430,072,369.01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3,174,328,551.35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4,238,156,802.98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98,742,979.98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20,007,962.50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316" w:lineRule="exact"/>
        <w:ind w:left="0" w:right="0"/>
        <w:jc w:val="both"/>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日，本公司其他货币资金余额主要包含以下事项：人民币</w:t>
      </w:r>
      <w:r>
        <w:rPr>
          <w:rFonts w:ascii="Times New Roman" w:eastAsia="Times New Roman" w:hAnsi="Times New Roman" w:cs="Times New Roman"/>
          <w:color w:val="000000"/>
          <w:spacing w:val="0"/>
          <w:w w:val="100"/>
          <w:position w:val="0"/>
        </w:rPr>
        <w:t>97,788,486.68</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 民币</w:t>
      </w:r>
      <w:r>
        <w:rPr>
          <w:rFonts w:ascii="Times New Roman" w:eastAsia="Times New Roman" w:hAnsi="Times New Roman" w:cs="Times New Roman"/>
          <w:color w:val="000000"/>
          <w:spacing w:val="0"/>
          <w:w w:val="100"/>
          <w:position w:val="0"/>
        </w:rPr>
        <w:t>18,473,666.38</w:t>
      </w:r>
      <w:r>
        <w:rPr>
          <w:color w:val="000000"/>
          <w:spacing w:val="0"/>
          <w:w w:val="100"/>
          <w:position w:val="0"/>
        </w:rPr>
        <w:t>元）为银行保证金及利息，人民币</w:t>
      </w:r>
      <w:r>
        <w:rPr>
          <w:rFonts w:ascii="Times New Roman" w:eastAsia="Times New Roman" w:hAnsi="Times New Roman" w:cs="Times New Roman"/>
          <w:color w:val="000000"/>
          <w:spacing w:val="0"/>
          <w:w w:val="100"/>
          <w:position w:val="0"/>
        </w:rPr>
        <w:t>469,076.71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48,360.53</w:t>
      </w:r>
      <w:r>
        <w:rPr>
          <w:color w:val="000000"/>
          <w:spacing w:val="0"/>
          <w:w w:val="100"/>
          <w:position w:val="0"/>
        </w:rPr>
        <w:t>元）为证券户金额； 人民币</w:t>
      </w:r>
      <w:r>
        <w:rPr>
          <w:rFonts w:ascii="Times New Roman" w:eastAsia="Times New Roman" w:hAnsi="Times New Roman" w:cs="Times New Roman"/>
          <w:color w:val="000000"/>
          <w:spacing w:val="0"/>
          <w:w w:val="100"/>
          <w:position w:val="0"/>
        </w:rPr>
        <w:t>480,738.4</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日：无）为专项户资金。人民币</w:t>
      </w:r>
      <w:r>
        <w:rPr>
          <w:rFonts w:ascii="Times New Roman" w:eastAsia="Times New Roman" w:hAnsi="Times New Roman" w:cs="Times New Roman"/>
          <w:color w:val="000000"/>
          <w:spacing w:val="0"/>
          <w:w w:val="100"/>
          <w:position w:val="0"/>
        </w:rPr>
        <w:t>4,678.19</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1,557,141.76</w:t>
      </w:r>
      <w:r>
        <w:rPr>
          <w:color w:val="000000"/>
          <w:spacing w:val="0"/>
          <w:w w:val="100"/>
          <w:position w:val="0"/>
        </w:rPr>
        <w:t>元） 为睡眠账户金额。</w:t>
      </w:r>
    </w:p>
    <w:p>
      <w:pPr>
        <w:pStyle w:val="Style17"/>
        <w:keepNext w:val="0"/>
        <w:keepLines w:val="0"/>
        <w:widowControl w:val="0"/>
        <w:shd w:val="clear" w:color="auto" w:fill="auto"/>
        <w:tabs>
          <w:tab w:pos="910" w:val="left"/>
        </w:tabs>
        <w:bidi w:val="0"/>
        <w:spacing w:before="0" w:after="0" w:line="316" w:lineRule="exact"/>
        <w:ind w:left="0" w:right="0"/>
        <w:jc w:val="left"/>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w:t>
        <w:tab/>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日，本公司使用权受到限制的货币资金为人民币</w:t>
      </w:r>
      <w:r>
        <w:rPr>
          <w:rFonts w:ascii="Times New Roman" w:eastAsia="Times New Roman" w:hAnsi="Times New Roman" w:cs="Times New Roman"/>
          <w:color w:val="000000"/>
          <w:spacing w:val="0"/>
          <w:w w:val="100"/>
          <w:position w:val="0"/>
        </w:rPr>
        <w:t>98,742,979.98</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rPr>
        <w:t>20,007,962.50</w:t>
      </w:r>
      <w:r>
        <w:rPr>
          <w:color w:val="000000"/>
          <w:spacing w:val="0"/>
          <w:w w:val="100"/>
          <w:position w:val="0"/>
        </w:rPr>
        <w:t>元），参见第十节财务报告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“64</w:t>
      </w:r>
      <w:r>
        <w:rPr>
          <w:color w:val="000000"/>
          <w:spacing w:val="0"/>
          <w:w w:val="100"/>
          <w:position w:val="0"/>
        </w:rPr>
        <w:t>、所有权或使用权受到限制的资产匚</w:t>
      </w:r>
    </w:p>
    <w:p>
      <w:pPr>
        <w:pStyle w:val="Style17"/>
        <w:keepNext w:val="0"/>
        <w:keepLines w:val="0"/>
        <w:widowControl w:val="0"/>
        <w:shd w:val="clear" w:color="auto" w:fill="auto"/>
        <w:tabs>
          <w:tab w:pos="901" w:val="left"/>
        </w:tabs>
        <w:bidi w:val="0"/>
        <w:spacing w:before="0" w:after="360" w:line="316" w:lineRule="exact"/>
        <w:ind w:left="0" w:right="0"/>
        <w:jc w:val="left"/>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w:t>
        <w:tab/>
        <w:t>银行活期存款按照银行活期存款利率取得利息收入。短期定期存款的存款期分为</w:t>
      </w:r>
      <w:r>
        <w:rPr>
          <w:rFonts w:ascii="Times New Roman" w:eastAsia="Times New Roman" w:hAnsi="Times New Roman" w:cs="Times New Roman"/>
          <w:color w:val="000000"/>
          <w:spacing w:val="0"/>
          <w:w w:val="100"/>
          <w:position w:val="0"/>
        </w:rPr>
        <w:t>1</w:t>
      </w:r>
      <w:r>
        <w:rPr>
          <w:color w:val="000000"/>
          <w:spacing w:val="0"/>
          <w:w w:val="100"/>
          <w:position w:val="0"/>
        </w:rPr>
        <w:t>个月至</w:t>
      </w:r>
      <w:r>
        <w:rPr>
          <w:rFonts w:ascii="Times New Roman" w:eastAsia="Times New Roman" w:hAnsi="Times New Roman" w:cs="Times New Roman"/>
          <w:color w:val="000000"/>
          <w:spacing w:val="0"/>
          <w:w w:val="100"/>
          <w:position w:val="0"/>
        </w:rPr>
        <w:t>3</w:t>
      </w:r>
      <w:r>
        <w:rPr>
          <w:color w:val="000000"/>
          <w:spacing w:val="0"/>
          <w:w w:val="100"/>
          <w:position w:val="0"/>
        </w:rPr>
        <w:t>个月不等，依本公司的 现金需求而定，并按照相应的银行定期存款利率取得利息收入。</w:t>
      </w:r>
    </w:p>
    <w:p>
      <w:pPr>
        <w:pStyle w:val="Style30"/>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64"/>
      <w:bookmarkEnd w:id="1165"/>
      <w:bookmarkEnd w:id="11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9"/>
        <w:gridCol w:w="2410"/>
        <w:gridCol w:w="234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2,049,069,513.70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2,048,375,493.33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694,020.37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2,049,069,513.70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color w:val="000000"/>
          <w:spacing w:val="0"/>
          <w:w w:val="100"/>
          <w:position w:val="0"/>
        </w:rPr>
        <w:t>、应收票据</w:t>
      </w:r>
      <w:bookmarkEnd w:id="1167"/>
      <w:bookmarkEnd w:id="1168"/>
      <w:bookmarkEnd w:id="1170"/>
    </w:p>
    <w:p>
      <w:pPr>
        <w:pStyle w:val="Style30"/>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7"/>
      <w:bookmarkEnd w:id="1168"/>
      <w:bookmarkEnd w:id="11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1,108,971.50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8,267,723.20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9,376,694.70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r>
    </w:tbl>
    <w:p>
      <w:pPr>
        <w:widowControl w:val="0"/>
        <w:spacing w:after="439" w:line="1" w:lineRule="exact"/>
      </w:pP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numPr>
          <w:ilvl w:val="0"/>
          <w:numId w:val="35"/>
        </w:numPr>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期末公司已背书或贴现且在资产负债表日尚未到期的应收票据</w:t>
      </w:r>
      <w:bookmarkEnd w:id="1173"/>
      <w:bookmarkEnd w:id="1174"/>
      <w:bookmarkEnd w:id="11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1,108,971.50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1,108,971.50</w:t>
            </w:r>
          </w:p>
        </w:tc>
      </w:tr>
    </w:tbl>
    <w:p>
      <w:pPr>
        <w:sectPr>
          <w:footnotePr>
            <w:pos w:val="pageBottom"/>
            <w:numFmt w:val="decimal"/>
            <w:numRestart w:val="continuous"/>
          </w:footnotePr>
          <w:pgSz w:w="11900" w:h="16840"/>
          <w:pgMar w:top="1378" w:right="1038" w:bottom="1445" w:left="1080"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4</w:t>
      </w:r>
      <w:bookmarkEnd w:id="1179"/>
      <w:r>
        <w:rPr>
          <w:color w:val="000000"/>
          <w:spacing w:val="0"/>
          <w:w w:val="100"/>
          <w:position w:val="0"/>
        </w:rPr>
        <w:t>、应收账款</w:t>
      </w:r>
      <w:bookmarkEnd w:id="1177"/>
      <w:bookmarkEnd w:id="1178"/>
      <w:bookmarkEnd w:id="1180"/>
    </w:p>
    <w:p>
      <w:pPr>
        <w:pStyle w:val="Style30"/>
        <w:keepNext/>
        <w:keepLines/>
        <w:widowControl w:val="0"/>
        <w:numPr>
          <w:ilvl w:val="0"/>
          <w:numId w:val="37"/>
        </w:numPr>
        <w:shd w:val="clear" w:color="auto" w:fill="auto"/>
        <w:bidi w:val="0"/>
        <w:spacing w:before="0" w:line="240" w:lineRule="auto"/>
        <w:ind w:left="0" w:right="0" w:firstLine="0"/>
        <w:jc w:val="left"/>
      </w:pPr>
      <w:bookmarkStart w:id="1177" w:name="bookmark1177"/>
      <w:bookmarkStart w:id="1178" w:name="bookmark1178"/>
      <w:bookmarkStart w:id="1181" w:name="bookmark1181"/>
      <w:bookmarkStart w:id="1182" w:name="bookmark1182"/>
      <w:bookmarkEnd w:id="1181"/>
      <w:r>
        <w:rPr>
          <w:color w:val="000000"/>
          <w:spacing w:val="0"/>
          <w:w w:val="100"/>
          <w:position w:val="0"/>
        </w:rPr>
        <w:t>应收账款分类披露</w:t>
      </w:r>
      <w:bookmarkEnd w:id="1177"/>
      <w:bookmarkEnd w:id="1178"/>
      <w:bookmarkEnd w:id="1182"/>
    </w:p>
    <w:p>
      <w:pPr>
        <w:pStyle w:val="Style2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2270"/>
        <w:gridCol w:w="1315"/>
        <w:gridCol w:w="989"/>
        <w:gridCol w:w="1186"/>
        <w:gridCol w:w="989"/>
        <w:gridCol w:w="1320"/>
        <w:gridCol w:w="1315"/>
        <w:gridCol w:w="1042"/>
        <w:gridCol w:w="1181"/>
        <w:gridCol w:w="1032"/>
        <w:gridCol w:w="133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按单项计提坏账准备的应收 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125,508,168.88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125,508,168.88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68,844,965.56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68,844,965.56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1,735,056,674.69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520,204,820.17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1,214,851,854.52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2,078,717,317.93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518,903,421.43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1,559,813,896.50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医学板块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1,392,968,811.81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280,367,590.83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1,112,601,220.98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1,665,959,065.19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263,894,314.32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1,402,064,750.87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科服板块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342,087,862.88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239,837,229.34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102,250,633.54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412,758,252.74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255,009,107.11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157,749,145.63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1,860,564,843.57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645,712,989.05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1,214,851,854.52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2,147,562,283.49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587,748,386.99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1,559,813,896.50</w:t>
            </w:r>
          </w:p>
        </w:tc>
      </w:tr>
    </w:tbl>
    <w:p>
      <w:pPr>
        <w:sectPr>
          <w:footnotePr>
            <w:pos w:val="pageBottom"/>
            <w:numFmt w:val="decimal"/>
            <w:numRestart w:val="continuous"/>
          </w:footnotePr>
          <w:pgSz w:w="16840" w:h="11900" w:orient="landscape"/>
          <w:pgMar w:top="1158" w:right="1417" w:bottom="1158" w:left="1436" w:header="0" w:footer="3" w:gutter="0"/>
          <w:cols w:space="720"/>
          <w:noEndnote/>
          <w:rtlGutter w:val="0"/>
          <w:docGrid w:linePitch="360"/>
        </w:sectPr>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416"/>
        <w:gridCol w:w="1421"/>
        <w:gridCol w:w="1416"/>
        <w:gridCol w:w="419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36,194,273.68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36,194,273.68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30,358,196.31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30,358,196.31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12,210,000.00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12,210,000.00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8,857,080.00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8,857,080.00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5,575,159.82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5,575,159.82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2,600,405.66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2,600,405.66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2,584,210.00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2,584,210.00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2,309,160.00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2,309,160.00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2,212,700.00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2,212,700.00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2,200,554.00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2,200,554.00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2,174,460.00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2,174,460.00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1,804,880.45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1,804,880.45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1,801,235.00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1,801,235.00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1,560,989.65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1,560,989.65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1,400,260.69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1,400,260.69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1,441,985.76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1,441,985.76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1,104,160.00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1,104,160.00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970,720.00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970,720.00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883,399.98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883,399.98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853,669.83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853,669.83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840,580.00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840,580.00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740,570.00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740,570.00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736,570.00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736,570.00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640,547.99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640,547.99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628,000.03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628,000.03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431,710.00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431,710.00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385,950.00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385,950.00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282,659.94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282,659.94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bl>
    <w:p>
      <w:pPr>
        <w:spacing w:lineRule="exact" w:line="1"/>
        <w:rPr>
          <w:sz w:val="2"/>
          <w:szCs w:val="2"/>
        </w:rPr>
      </w:pPr>
      <w:r>
        <w:br w:type="page"/>
      </w:r>
    </w:p>
    <w:tbl>
      <w:tblPr>
        <w:tblOverlap w:val="never"/>
        <w:jc w:val="center"/>
        <w:tblLayout w:type="fixed"/>
      </w:tblPr>
      <w:tblGrid>
        <w:gridCol w:w="1142"/>
        <w:gridCol w:w="1416"/>
        <w:gridCol w:w="1421"/>
        <w:gridCol w:w="1416"/>
        <w:gridCol w:w="419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客户三十一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261,380.09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261,380.09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客户三十二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经过减值测试，预计收回存在不确定性</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125,508,168.88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125,508,168.88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1,062,574,425.45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77,259,993.68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244,698,748.11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81,161,466.48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155,853,803.87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99,208,863.82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271,929,697.26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262,574,496.19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1,735,056,674.69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520,204,820.17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对于应收账款，本公司按照整个存续期预期信用损失计量信用损失准备。本公司确定应收账款预期信用损失时考虑历 史的实际减值情况并考虑当前状况及未来经济状况的预测，并将客户分为医学板块和科服板块以确定不同类型客户的预期 信用风险并计算预期信用损失。</w:t>
      </w:r>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按组合计提坏账准备：医学板块</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966,106,366.87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57,966,382.01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205,939,537.86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61,781,861.36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127,370,896.37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76,422,537.82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93,552,010.71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84,196,809.64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1,392,968,811.81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280,367,590.83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按组合计提坏账准备：科服板块</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96,468,058.58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19,293,611.67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38,759,210.25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19,379,605.12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28,482,907.50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22,786,326.00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178,377,686.55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178,377,686.55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342,087,862.88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239,837,229.34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1,066,736,909.89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261,421,676.87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207,190,988.53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325,215,268.28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1,860,564,843.57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83"/>
      <w:bookmarkEnd w:id="1184"/>
      <w:bookmarkEnd w:id="118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587,748,386.99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118,699,801.74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14,143,013.86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46,592,185.82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645,712,989.05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587,748,386.99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118,699,801.74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14,143,013.86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46,592,185.82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645,712,989.05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87"/>
      <w:bookmarkEnd w:id="1188"/>
      <w:bookmarkEnd w:id="11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46,592,185.82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生育健康基础研究 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12,268,415.03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超过信用期确认无 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根据公司相关制度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履行审批程序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精准医学检测综合 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7,936,536.63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超过信用期确认无 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根据公司相关制度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履行审批程序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生育健康基础研究 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5,426,169.21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超过信用期确认无 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根据公司相关制度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履行审批程序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多组学大数据服务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与合成业务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1,827,618.87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超过信用期确认无 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根据公司相关制度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履行审批程序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27,458,739.74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119" w:line="1" w:lineRule="exact"/>
      </w:pPr>
    </w:p>
    <w:p>
      <w:pPr>
        <w:pStyle w:val="Style17"/>
        <w:keepNext w:val="0"/>
        <w:keepLines w:val="0"/>
        <w:widowControl w:val="0"/>
        <w:shd w:val="clear" w:color="auto" w:fill="auto"/>
        <w:bidi w:val="0"/>
        <w:spacing w:before="0" w:after="220" w:line="240" w:lineRule="auto"/>
        <w:ind w:left="0" w:right="0"/>
        <w:jc w:val="left"/>
      </w:pPr>
      <w:r>
        <w:rPr>
          <w:color w:val="000000"/>
          <w:spacing w:val="0"/>
          <w:w w:val="100"/>
          <w:position w:val="0"/>
        </w:rPr>
        <w:t>对于应收账款主体已注销或被吊销的情况，本公司在履行必要的内部核销程序后，对其应收账款进行核销。</w:t>
      </w:r>
      <w:r>
        <w:br w:type="page"/>
      </w:r>
    </w:p>
    <w:p>
      <w:pPr>
        <w:pStyle w:val="Style30"/>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91"/>
      <w:bookmarkEnd w:id="1192"/>
      <w:bookmarkEnd w:id="11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93,904,351.33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11,133,758.20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50,309,676.79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3,018,580.61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40,940,789.28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6,065,789.22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36,194,273.68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36,194,273.68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34,574,361.75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2,074,461.71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255,923,452.83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5</w:t>
      </w:r>
      <w:bookmarkEnd w:id="1197"/>
      <w:r>
        <w:rPr>
          <w:color w:val="000000"/>
          <w:spacing w:val="0"/>
          <w:w w:val="100"/>
          <w:position w:val="0"/>
        </w:rPr>
        <w:t>、应收款项融资</w:t>
      </w:r>
      <w:bookmarkEnd w:id="1195"/>
      <w:bookmarkEnd w:id="1196"/>
      <w:bookmarkEnd w:id="11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19,944,742.50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19,944,742.50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r>
    </w:tbl>
    <w:p>
      <w:pPr>
        <w:pStyle w:val="Style1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应收款项融资本期增减变动及公允价值变动情况</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20" w:line="314" w:lineRule="exact"/>
        <w:ind w:left="0" w:right="0"/>
        <w:jc w:val="both"/>
      </w:pPr>
      <w:r>
        <w:rPr>
          <w:color w:val="000000"/>
          <w:spacing w:val="0"/>
          <w:w w:val="100"/>
          <w:position w:val="0"/>
        </w:rPr>
        <w:t>当应收账款出售只是偶然发生或单独及汇总而言价值非常小，其业务模式依然以收取合同现金流量为目标，以摊余成本 计量；如果企业对应收账款管理的业务模式既以收取合同现金流为目标又以出售为目标，则分类为以公允价值计量且其变动 计入其他综合收益的金融资产，列报为应收款项融资。</w:t>
      </w:r>
    </w:p>
    <w:p>
      <w:pPr>
        <w:pStyle w:val="Style17"/>
        <w:keepNext w:val="0"/>
        <w:keepLines w:val="0"/>
        <w:widowControl w:val="0"/>
        <w:shd w:val="clear" w:color="auto" w:fill="auto"/>
        <w:bidi w:val="0"/>
        <w:spacing w:before="0" w:after="120" w:line="240" w:lineRule="auto"/>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日，本公司无已质押的应收款项融资（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17"/>
        <w:keepNext w:val="0"/>
        <w:keepLines w:val="0"/>
        <w:widowControl w:val="0"/>
        <w:shd w:val="clear" w:color="auto" w:fill="auto"/>
        <w:bidi w:val="0"/>
        <w:spacing w:before="0" w:after="120" w:line="240" w:lineRule="auto"/>
        <w:ind w:left="0" w:right="0"/>
        <w:jc w:val="both"/>
      </w:pPr>
      <w:r>
        <w:rPr>
          <w:color w:val="000000"/>
          <w:spacing w:val="0"/>
          <w:w w:val="100"/>
          <w:position w:val="0"/>
        </w:rPr>
        <w:t>已背书或贴现但在资产负债表日尚未到期的应收款项融资如下：</w:t>
      </w:r>
    </w:p>
    <w:tbl>
      <w:tblPr>
        <w:tblOverlap w:val="never"/>
        <w:jc w:val="left"/>
        <w:tblLayout w:type="fixed"/>
      </w:tblPr>
      <w:tblGrid>
        <w:gridCol w:w="1699"/>
        <w:gridCol w:w="1704"/>
        <w:gridCol w:w="1699"/>
        <w:gridCol w:w="1843"/>
        <w:gridCol w:w="1709"/>
      </w:tblGrid>
      <w:tr>
        <w:trPr>
          <w:trHeight w:val="34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未终止确认</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未终止确认</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1,770,176.40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1,770,176.40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326"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日，本公司无未履约而将票据转为应收账款的情形（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6</w:t>
      </w:r>
      <w:bookmarkEnd w:id="1201"/>
      <w:r>
        <w:rPr>
          <w:color w:val="000000"/>
          <w:spacing w:val="0"/>
          <w:w w:val="100"/>
          <w:position w:val="0"/>
        </w:rPr>
        <w:t>、预付款项</w:t>
      </w:r>
      <w:bookmarkEnd w:id="1199"/>
      <w:bookmarkEnd w:id="1200"/>
      <w:bookmarkEnd w:id="1202"/>
    </w:p>
    <w:p>
      <w:pPr>
        <w:pStyle w:val="Style30"/>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9"/>
      <w:bookmarkEnd w:id="1200"/>
      <w:bookmarkEnd w:id="1204"/>
    </w:p>
    <w:p>
      <w:pPr>
        <w:pStyle w:val="Style17"/>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67,156,583.78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95,004,119.09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79.80%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12,592,318.52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24,054,801.32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79,748,902.30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119,058,920.41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1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一年以上的预付款项为尚未执行完成的外协加工费、材料设备采购款、服务合同预付款。</w:t>
      </w:r>
    </w:p>
    <w:p>
      <w:pPr>
        <w:pStyle w:val="Style30"/>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05"/>
      <w:bookmarkEnd w:id="1206"/>
      <w:bookmarkEnd w:id="1208"/>
    </w:p>
    <w:p>
      <w:pPr>
        <w:pStyle w:val="Style17"/>
        <w:keepNext w:val="0"/>
        <w:keepLines w:val="0"/>
        <w:widowControl w:val="0"/>
        <w:shd w:val="clear" w:color="auto" w:fill="auto"/>
        <w:bidi w:val="0"/>
        <w:spacing w:before="0" w:after="80" w:line="240" w:lineRule="auto"/>
        <w:ind w:left="0" w:right="0" w:firstLine="360"/>
        <w:jc w:val="left"/>
      </w:pPr>
      <w:r>
        <w:rPr>
          <w:color w:val="000000"/>
          <w:spacing w:val="0"/>
          <w:w w:val="100"/>
          <w:position w:val="0"/>
        </w:rPr>
        <w:t>预付款项金额前五名汇总如下：</w:t>
      </w:r>
    </w:p>
    <w:tbl>
      <w:tblPr>
        <w:tblOverlap w:val="never"/>
        <w:jc w:val="center"/>
        <w:tblLayout w:type="fixed"/>
      </w:tblPr>
      <w:tblGrid>
        <w:gridCol w:w="3216"/>
        <w:gridCol w:w="3211"/>
        <w:gridCol w:w="3221"/>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29,003,512.99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68,827,031.29</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占预付款项合计数的比例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57.05%</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7</w:t>
      </w:r>
      <w:bookmarkEnd w:id="1211"/>
      <w:r>
        <w:rPr>
          <w:color w:val="000000"/>
          <w:spacing w:val="0"/>
          <w:w w:val="100"/>
          <w:position w:val="0"/>
        </w:rPr>
        <w:t>、其他应收款</w:t>
      </w:r>
      <w:bookmarkEnd w:id="1209"/>
      <w:bookmarkEnd w:id="1210"/>
      <w:bookmarkEnd w:id="12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49,742,899.87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117,006,884.72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49,742,899.87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117,006,884.72</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13"/>
      <w:bookmarkEnd w:id="1214"/>
      <w:bookmarkEnd w:id="1216"/>
    </w:p>
    <w:p>
      <w:pPr>
        <w:pStyle w:val="Style30"/>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color w:val="000000"/>
          <w:spacing w:val="0"/>
          <w:w w:val="100"/>
          <w:position w:val="0"/>
        </w:rPr>
        <w:t>）其他应收款按款项性质分类情况</w:t>
      </w:r>
      <w:bookmarkEnd w:id="1213"/>
      <w:bookmarkEnd w:id="1214"/>
      <w:bookmarkEnd w:id="12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19,127,317.14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25,362,243.59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20,325,062.26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80,660,134.52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员工借款、备用金等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7,996,739.38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8,872,646.74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3,392,983.02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4,850,731.54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50,842,101.80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119,745,756.39</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color w:val="000000"/>
          <w:spacing w:val="0"/>
          <w:w w:val="100"/>
          <w:position w:val="0"/>
        </w:rPr>
        <w:t>）坏账准备计提情况</w:t>
      </w:r>
      <w:bookmarkEnd w:id="1219"/>
      <w:bookmarkEnd w:id="1220"/>
      <w:bookmarkEnd w:id="12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820,001.48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1,918,870.19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2,738,871.67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138,639.65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138,639.65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220,799.55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220,799.55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1,557,509.84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1,557,509.84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599,201.93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1,099,201.93</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30,271,071.34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4,546,437.06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9,473,812.46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6,550,780.94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50,842,101.80</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3</w:t>
      </w:r>
      <w:bookmarkEnd w:id="1225"/>
      <w:r>
        <w:rPr>
          <w:color w:val="000000"/>
          <w:spacing w:val="0"/>
          <w:w w:val="100"/>
          <w:position w:val="0"/>
        </w:rPr>
        <w:t>）本期计提、收回或转回的坏账准备情况</w:t>
      </w:r>
      <w:bookmarkEnd w:id="1223"/>
      <w:bookmarkEnd w:id="1224"/>
      <w:bookmarkEnd w:id="1226"/>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2,738,871.67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138,639.65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220,799.55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1,557,509.84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1,099,201.93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2,738,871.67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138,639.65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220,799.55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1,557,509.84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1,099,201.93</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color w:val="000000"/>
          <w:spacing w:val="0"/>
          <w:w w:val="100"/>
          <w:position w:val="0"/>
        </w:rPr>
        <w:t>）本期实际核销的其他应收款情况</w:t>
      </w:r>
      <w:bookmarkEnd w:id="1227"/>
      <w:bookmarkEnd w:id="1228"/>
      <w:bookmarkEnd w:id="12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1,557,509.84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30"/>
        <w:keepNext/>
        <w:keepLines/>
        <w:widowControl w:val="0"/>
        <w:shd w:val="clear" w:color="auto" w:fill="auto"/>
        <w:bidi w:val="0"/>
        <w:spacing w:before="0" w:after="34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5</w:t>
      </w:r>
      <w:bookmarkEnd w:id="1233"/>
      <w:r>
        <w:rPr>
          <w:color w:val="000000"/>
          <w:spacing w:val="0"/>
          <w:w w:val="100"/>
          <w:position w:val="0"/>
        </w:rPr>
        <w:t>）按欠款方归集的期末余额前五名的其他应收款情况</w:t>
      </w:r>
      <w:bookmarkEnd w:id="1231"/>
      <w:bookmarkEnd w:id="1232"/>
      <w:bookmarkEnd w:id="12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10,085,280.00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3,776,814.13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2,554,403.53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2,044,000.00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20,460,497.66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22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8</w:t>
      </w:r>
      <w:bookmarkEnd w:id="1237"/>
      <w:r>
        <w:rPr>
          <w:color w:val="000000"/>
          <w:spacing w:val="0"/>
          <w:w w:val="100"/>
          <w:position w:val="0"/>
        </w:rPr>
        <w:t>、存货</w:t>
      </w:r>
      <w:bookmarkEnd w:id="1235"/>
      <w:bookmarkEnd w:id="1236"/>
      <w:bookmarkEnd w:id="1238"/>
    </w:p>
    <w:p>
      <w:pPr>
        <w:pStyle w:val="Style1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公司是否需要遵守房地产行业的披露要求 否</w:t>
      </w:r>
    </w:p>
    <w:p>
      <w:pPr>
        <w:pStyle w:val="Style30"/>
        <w:keepNext/>
        <w:keepLines/>
        <w:widowControl w:val="0"/>
        <w:shd w:val="clear" w:color="auto" w:fill="auto"/>
        <w:bidi w:val="0"/>
        <w:spacing w:before="0" w:after="340" w:line="240" w:lineRule="auto"/>
        <w:ind w:left="0" w:right="0" w:firstLine="0"/>
        <w:jc w:val="left"/>
      </w:pPr>
      <w:bookmarkStart w:id="1239" w:name="bookmark1239"/>
      <w:bookmarkStart w:id="1240" w:name="bookmark1240"/>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9"/>
      <w:bookmarkEnd w:id="1240"/>
      <w:bookmarkEnd w:id="12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存货跌价准备或</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合同履约成本减</w:t>
            </w:r>
          </w:p>
          <w:p>
            <w:pPr>
              <w:pStyle w:val="Style20"/>
              <w:keepNext w:val="0"/>
              <w:keepLines w:val="0"/>
              <w:widowControl w:val="0"/>
              <w:shd w:val="clear" w:color="auto" w:fill="auto"/>
              <w:bidi w:val="0"/>
              <w:spacing w:before="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存货跌价准备或</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合同履约成本减</w:t>
            </w:r>
          </w:p>
          <w:p>
            <w:pPr>
              <w:pStyle w:val="Style20"/>
              <w:keepNext w:val="0"/>
              <w:keepLines w:val="0"/>
              <w:widowControl w:val="0"/>
              <w:shd w:val="clear" w:color="auto" w:fill="auto"/>
              <w:bidi w:val="0"/>
              <w:spacing w:before="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210,745,503.63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210,745,503.63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353,223,034.05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353,223,034.05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46,215,747.24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46,215,747.24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20,117,931.69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20,117,931.69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271,717,286.49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271,717,286.49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460,580,935.56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32,294,902.93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428,286,032.63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88,849,475.10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24,450,192.24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64,399,282.86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100,854,588.90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29,989,940.00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70,864,648.90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284,641,047.42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284,641,047.42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137,327,595.00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137,327,595.00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902,169,059.88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24,450,192.24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877,718,867.64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1,072,104,085.20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62,284,842.93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1,009,819,242.27</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42"/>
      <w:bookmarkEnd w:id="1243"/>
      <w:bookmarkEnd w:id="12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32,294,902.93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32,294,902.93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29,989,940.00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9,844,229.38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15,383,977.14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24,450,192.24</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62,284,842.93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9,844,229.38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47,678,880.07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24,450,192.24</w:t>
            </w:r>
          </w:p>
        </w:tc>
      </w:tr>
    </w:tbl>
    <w:p>
      <w:pPr>
        <w:widowControl w:val="0"/>
        <w:spacing w:after="319" w:line="1" w:lineRule="exact"/>
      </w:pPr>
    </w:p>
    <w:p>
      <w:pPr>
        <w:pStyle w:val="Style30"/>
        <w:keepNext/>
        <w:keepLines/>
        <w:widowControl w:val="0"/>
        <w:numPr>
          <w:ilvl w:val="0"/>
          <w:numId w:val="39"/>
        </w:numPr>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合同履约成本本期摊销金额的说明</w:t>
      </w:r>
      <w:bookmarkEnd w:id="1246"/>
      <w:bookmarkEnd w:id="1247"/>
      <w:bookmarkEnd w:id="1249"/>
    </w:p>
    <w:p>
      <w:pPr>
        <w:pStyle w:val="Style1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存货余额中合同履约成本摊销信息如下：</w:t>
      </w:r>
    </w:p>
    <w:tbl>
      <w:tblPr>
        <w:tblOverlap w:val="never"/>
        <w:jc w:val="center"/>
        <w:tblLayout w:type="fixed"/>
      </w:tblPr>
      <w:tblGrid>
        <w:gridCol w:w="1934"/>
        <w:gridCol w:w="1925"/>
        <w:gridCol w:w="1925"/>
        <w:gridCol w:w="1925"/>
        <w:gridCol w:w="1939"/>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本年摊销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科服板块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100,854,588.90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410,743,344.21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422,748,458.01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88,849,475.10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100,854,588.90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410,743,344.21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422,748,458.01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88,849,475.10</w:t>
            </w:r>
          </w:p>
        </w:tc>
      </w:tr>
    </w:tbl>
    <w:p>
      <w:pPr>
        <w:widowControl w:val="0"/>
        <w:spacing w:after="639" w:line="1" w:lineRule="exact"/>
      </w:pPr>
    </w:p>
    <w:p>
      <w:pPr>
        <w:pStyle w:val="Style30"/>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9</w:t>
      </w:r>
      <w:bookmarkEnd w:id="1252"/>
      <w:r>
        <w:rPr>
          <w:color w:val="000000"/>
          <w:spacing w:val="0"/>
          <w:w w:val="100"/>
          <w:position w:val="0"/>
        </w:rPr>
        <w:t>、其他流动资产</w:t>
      </w:r>
      <w:bookmarkEnd w:id="1250"/>
      <w:bookmarkEnd w:id="1251"/>
      <w:bookmarkEnd w:id="12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21,785,382.07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9,577,628.79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66,364,529.59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50,024,657.72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11,750,101.97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46,416,848.34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一年内到期的银行理财及利息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6,571,220.29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37,547,659.94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57,639,971.36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144,018,893.86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163,659,106.21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0</w:t>
      </w:r>
      <w:r>
        <w:rPr>
          <w:color w:val="000000"/>
          <w:spacing w:val="0"/>
          <w:w w:val="100"/>
          <w:position w:val="0"/>
        </w:rPr>
        <w:t>、债权投资</w:t>
      </w:r>
      <w:bookmarkEnd w:id="1254"/>
      <w:bookmarkEnd w:id="1255"/>
      <w:bookmarkEnd w:id="12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大额定期存单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10,785,610.95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10,785,610.95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10,785,610.95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10,785,610.95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10,367,610.96</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700" w:line="240" w:lineRule="auto"/>
        <w:ind w:left="0" w:right="0" w:firstLine="360"/>
        <w:jc w:val="left"/>
      </w:pPr>
      <w:r>
        <w:rPr>
          <w:color w:val="000000"/>
          <w:spacing w:val="0"/>
          <w:w w:val="100"/>
          <w:position w:val="0"/>
        </w:rPr>
        <w:t>债权投资系本公司以人民币</w:t>
      </w:r>
      <w:r>
        <w:rPr>
          <w:rFonts w:ascii="Times New Roman" w:eastAsia="Times New Roman" w:hAnsi="Times New Roman" w:cs="Times New Roman"/>
          <w:color w:val="000000"/>
          <w:spacing w:val="0"/>
          <w:w w:val="100"/>
          <w:position w:val="0"/>
        </w:rPr>
        <w:t>10,000,000</w:t>
      </w:r>
      <w:r>
        <w:rPr>
          <w:color w:val="000000"/>
          <w:spacing w:val="0"/>
          <w:w w:val="100"/>
          <w:position w:val="0"/>
        </w:rPr>
        <w:t>元购买的浙商银行利率为</w:t>
      </w:r>
      <w:r>
        <w:rPr>
          <w:rFonts w:ascii="Times New Roman" w:eastAsia="Times New Roman" w:hAnsi="Times New Roman" w:cs="Times New Roman"/>
          <w:color w:val="000000"/>
          <w:spacing w:val="0"/>
          <w:w w:val="100"/>
          <w:position w:val="0"/>
        </w:rPr>
        <w:t>4.18%</w:t>
      </w:r>
      <w:r>
        <w:rPr>
          <w:color w:val="000000"/>
          <w:spacing w:val="0"/>
          <w:w w:val="100"/>
          <w:position w:val="0"/>
        </w:rPr>
        <w:t>，到期日为</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日的大额定期存单。</w:t>
      </w:r>
    </w:p>
    <w:p>
      <w:pPr>
        <w:pStyle w:val="Style30"/>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258"/>
      <w:bookmarkEnd w:id="1259"/>
      <w:bookmarkEnd w:id="1261"/>
    </w:p>
    <w:p>
      <w:pPr>
        <w:pStyle w:val="Style30"/>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58"/>
      <w:bookmarkEnd w:id="1259"/>
      <w:bookmarkEnd w:id="1262"/>
    </w:p>
    <w:p>
      <w:pPr>
        <w:pStyle w:val="Style1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11"/>
        <w:gridCol w:w="1166"/>
        <w:gridCol w:w="1166"/>
        <w:gridCol w:w="1166"/>
        <w:gridCol w:w="1166"/>
        <w:gridCol w:w="1171"/>
        <w:gridCol w:w="1162"/>
        <w:gridCol w:w="117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9,856,774.26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9,856,774.26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债券担保保证金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46,549,582.31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46,549,582.31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44,059,044.00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44,059,044.00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9,374,046.17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9,374,046.17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8,762,576.55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8,762,576.55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65,780,402.74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65,780,402.74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52,821,620.55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52,821,620.55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41" w:right="1108" w:bottom="1475" w:left="110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263"/>
      <w:bookmarkEnd w:id="1264"/>
      <w:bookmarkEnd w:id="1266"/>
    </w:p>
    <w:p>
      <w:pPr>
        <w:pStyle w:val="Style2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162"/>
        <w:gridCol w:w="1181"/>
        <w:gridCol w:w="1152"/>
        <w:gridCol w:w="1157"/>
        <w:gridCol w:w="1166"/>
        <w:gridCol w:w="1157"/>
        <w:gridCol w:w="1157"/>
        <w:gridCol w:w="1176"/>
        <w:gridCol w:w="1157"/>
        <w:gridCol w:w="1157"/>
        <w:gridCol w:w="1181"/>
        <w:gridCol w:w="116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宣告发放现金 股利或利润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长沙华大梅溪</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湖医学检验所 有限公司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6,723,805.00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2,342,286.72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9,066,091.72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Bangkok</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Genomics</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Innocation</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Co., Ltd(2)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5,977,221.51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10,304,415.80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-351,725.65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15,929,911.66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泸州恒康华大</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生物科技有限</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746,799.51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328,419.31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1,075,218.82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陕西华大瑞尔 科技有限公司 </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512,182.48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513,554.98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Borneo</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Genomics</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Innovation</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Sdn Bhd(5</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10,701,700.27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8,312,284.32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-514,355.54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18,499,629.05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临沂华大医学</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检验所有限公</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司⑹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2,906,486.90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714,455.08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3,620,941.98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62"/>
        <w:gridCol w:w="1181"/>
        <w:gridCol w:w="1152"/>
        <w:gridCol w:w="1157"/>
        <w:gridCol w:w="1166"/>
        <w:gridCol w:w="1157"/>
        <w:gridCol w:w="1157"/>
        <w:gridCol w:w="1176"/>
        <w:gridCol w:w="1157"/>
        <w:gridCol w:w="1157"/>
        <w:gridCol w:w="1181"/>
        <w:gridCol w:w="1166"/>
      </w:tblGrid>
      <w:tr>
        <w:trPr>
          <w:trHeight w:val="10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武汉古奥基因</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科技有限公司</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7,145,481.58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-141,698.05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7,003,783.53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312" w:lineRule="exact"/>
              <w:ind w:left="0" w:right="0" w:firstLine="0"/>
              <w:jc w:val="both"/>
            </w:pPr>
            <w:r>
              <w:rPr>
                <w:color w:val="000000"/>
                <w:spacing w:val="0"/>
                <w:w w:val="100"/>
                <w:position w:val="0"/>
              </w:rPr>
              <w:t>深圳华每嘉中 企业管理咨询 有限公司</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338,336.72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-338,336.72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35,052,013.97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21,523,198.96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-866,081.19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55,709,131.74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广州中健云康</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网络科技有限</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11,597,299.07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1,137,307.56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4,775,561.44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17,510,168.07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苏州泓迅生物</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科技有限公司</w:t>
            </w:r>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10,105,752.17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-975,903.73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9,117,901.59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山东泰山华大</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医学检验所有</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限公司</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8,541,485.84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8,565,890.32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北京华大通瀛</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科技有限公司</w:t>
            </w:r>
          </w:p>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2,432,467.72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-218,099.31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2,214,368.41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Pryzm Health</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IQ Pty Ltd(13)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12,143,938.11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-292,136.65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-468,321.43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11,383,480.03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恩迪生物科技 河北股份有限 公司</w:t>
            </w: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61,180,517.49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827,240.71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-62,007,758.20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Sunrise</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70,437,412.74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89,658,485.61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-4,498,224.01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37,863,274.34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62"/>
        <w:gridCol w:w="1181"/>
        <w:gridCol w:w="1152"/>
        <w:gridCol w:w="1157"/>
        <w:gridCol w:w="1166"/>
        <w:gridCol w:w="1157"/>
        <w:gridCol w:w="1157"/>
        <w:gridCol w:w="1176"/>
        <w:gridCol w:w="1157"/>
        <w:gridCol w:w="1157"/>
        <w:gridCol w:w="1181"/>
        <w:gridCol w:w="1166"/>
      </w:tblGrid>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Diagnostic</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Centre Ltd</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117,734,400.00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河源巴伐利亚</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健康管理有限</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16</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176,438,873.14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90,161,298.67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117,734,400.00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-62,198,742.20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136,655,082.76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211,490,887.11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111,684,497.63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117,734,400.00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-63,064,823.39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192,364,214.50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35" w:right="1424" w:bottom="1310" w:left="1430" w:header="0" w:footer="3" w:gutter="0"/>
          <w:cols w:space="720"/>
          <w:noEndnote/>
          <w:rtlGutter w:val="0"/>
          <w:docGrid w:linePitch="360"/>
        </w:sectPr>
      </w:pP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40" w:line="315" w:lineRule="exact"/>
        <w:ind w:left="0" w:right="0"/>
        <w:jc w:val="both"/>
      </w:pPr>
      <w:bookmarkStart w:id="1267" w:name="bookmark1267"/>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月与湖南湘江新区发展集团有限公司（以下简称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湘江发展集团</w:t>
      </w:r>
      <w:r>
        <w:rPr>
          <w:rFonts w:ascii="Times New Roman" w:eastAsia="Times New Roman" w:hAnsi="Times New Roman" w:cs="Times New Roman"/>
          <w:color w:val="000000"/>
          <w:spacing w:val="0"/>
          <w:w w:val="100"/>
          <w:position w:val="0"/>
        </w:rPr>
        <w:t>”</w:t>
      </w:r>
      <w:r>
        <w:rPr>
          <w:color w:val="000000"/>
          <w:spacing w:val="0"/>
          <w:w w:val="100"/>
          <w:position w:val="0"/>
        </w:rPr>
        <w:t>）共同签订《关于设立长沙梅溪 湖华大医学检验所有限公司的出资协议》，约定以人民币</w:t>
      </w:r>
      <w:r>
        <w:rPr>
          <w:rFonts w:ascii="Times New Roman" w:eastAsia="Times New Roman" w:hAnsi="Times New Roman" w:cs="Times New Roman"/>
          <w:color w:val="000000"/>
          <w:spacing w:val="0"/>
          <w:w w:val="100"/>
          <w:position w:val="0"/>
        </w:rPr>
        <w:t>15,300,000.00</w:t>
      </w:r>
      <w:r>
        <w:rPr>
          <w:color w:val="000000"/>
          <w:spacing w:val="0"/>
          <w:w w:val="100"/>
          <w:position w:val="0"/>
        </w:rPr>
        <w:t>元出资，持股比例为</w:t>
      </w:r>
      <w:r>
        <w:rPr>
          <w:rFonts w:ascii="Times New Roman" w:eastAsia="Times New Roman" w:hAnsi="Times New Roman" w:cs="Times New Roman"/>
          <w:color w:val="000000"/>
          <w:spacing w:val="0"/>
          <w:w w:val="100"/>
          <w:position w:val="0"/>
        </w:rPr>
        <w:t>51%</w:t>
      </w:r>
      <w:r>
        <w:rPr>
          <w:color w:val="000000"/>
          <w:spacing w:val="0"/>
          <w:w w:val="100"/>
          <w:position w:val="0"/>
        </w:rPr>
        <w:t>，湘江发展集团持股</w:t>
      </w:r>
      <w:r>
        <w:rPr>
          <w:rFonts w:ascii="Times New Roman" w:eastAsia="Times New Roman" w:hAnsi="Times New Roman" w:cs="Times New Roman"/>
          <w:color w:val="000000"/>
          <w:spacing w:val="0"/>
          <w:w w:val="100"/>
          <w:position w:val="0"/>
        </w:rPr>
        <w:t>49%</w:t>
      </w:r>
      <w:r>
        <w:rPr>
          <w:color w:val="000000"/>
          <w:spacing w:val="0"/>
          <w:w w:val="100"/>
          <w:position w:val="0"/>
        </w:rPr>
        <w:t>。 根据出资协议和公司章程，公司的重大事项需要经代表超过三分之二表决权的股东通过方可做出决议，因此公司与湘江发 展集团共同控制长沙华大，将其作为合营企业，用权益法进行后续计量的长期股权投资进行核算。</w:t>
      </w:r>
    </w:p>
    <w:p>
      <w:pPr>
        <w:pStyle w:val="Style17"/>
        <w:keepNext w:val="0"/>
        <w:keepLines w:val="0"/>
        <w:widowControl w:val="0"/>
        <w:shd w:val="clear" w:color="auto" w:fill="auto"/>
        <w:tabs>
          <w:tab w:pos="841" w:val="left"/>
        </w:tabs>
        <w:bidi w:val="0"/>
        <w:spacing w:before="0" w:after="40" w:line="314" w:lineRule="exact"/>
        <w:ind w:left="0" w:right="0"/>
        <w:jc w:val="both"/>
      </w:pPr>
      <w:bookmarkStart w:id="1268" w:name="bookmark1268"/>
      <w:r>
        <w:rPr>
          <w:color w:val="000000"/>
          <w:spacing w:val="0"/>
          <w:w w:val="100"/>
          <w:position w:val="0"/>
        </w:rPr>
        <w:t>（</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月投资</w:t>
      </w:r>
      <w:r>
        <w:rPr>
          <w:rFonts w:ascii="Times New Roman" w:eastAsia="Times New Roman" w:hAnsi="Times New Roman" w:cs="Times New Roman"/>
          <w:color w:val="000000"/>
          <w:spacing w:val="0"/>
          <w:w w:val="100"/>
          <w:position w:val="0"/>
        </w:rPr>
        <w:t>490,000.00</w:t>
      </w:r>
      <w:r>
        <w:rPr>
          <w:color w:val="000000"/>
          <w:spacing w:val="0"/>
          <w:w w:val="100"/>
          <w:position w:val="0"/>
        </w:rPr>
        <w:t>美元（折合人民币</w:t>
      </w:r>
      <w:r>
        <w:rPr>
          <w:rFonts w:ascii="Times New Roman" w:eastAsia="Times New Roman" w:hAnsi="Times New Roman" w:cs="Times New Roman"/>
          <w:color w:val="000000"/>
          <w:spacing w:val="0"/>
          <w:w w:val="100"/>
          <w:position w:val="0"/>
        </w:rPr>
        <w:t>3,086,354.76</w:t>
      </w:r>
      <w:r>
        <w:rPr>
          <w:color w:val="000000"/>
          <w:spacing w:val="0"/>
          <w:w w:val="100"/>
          <w:position w:val="0"/>
        </w:rPr>
        <w:t>元）收购</w:t>
      </w:r>
      <w:r>
        <w:rPr>
          <w:rFonts w:ascii="Times New Roman" w:eastAsia="Times New Roman" w:hAnsi="Times New Roman" w:cs="Times New Roman"/>
          <w:color w:val="000000"/>
          <w:spacing w:val="0"/>
          <w:w w:val="100"/>
          <w:position w:val="0"/>
        </w:rPr>
        <w:t>Bangkok49%</w:t>
      </w:r>
      <w:r>
        <w:rPr>
          <w:color w:val="000000"/>
          <w:spacing w:val="0"/>
          <w:w w:val="100"/>
          <w:position w:val="0"/>
        </w:rPr>
        <w:t>股权。根据股东协议，董事 会由</w:t>
      </w:r>
      <w:r>
        <w:rPr>
          <w:rFonts w:ascii="Times New Roman" w:eastAsia="Times New Roman" w:hAnsi="Times New Roman" w:cs="Times New Roman"/>
          <w:color w:val="000000"/>
          <w:spacing w:val="0"/>
          <w:w w:val="100"/>
          <w:position w:val="0"/>
        </w:rPr>
        <w:t>4</w:t>
      </w:r>
      <w:r>
        <w:rPr>
          <w:color w:val="000000"/>
          <w:spacing w:val="0"/>
          <w:w w:val="100"/>
          <w:position w:val="0"/>
        </w:rPr>
        <w:t>名董事组成，公司在董事会中占有两席席位，董事会会议应当由三名董事以上出席方可召开，且重大事项须经全体董 事同意，故公司与其他股东共同控制</w:t>
      </w:r>
      <w:r>
        <w:rPr>
          <w:rFonts w:ascii="Times New Roman" w:eastAsia="Times New Roman" w:hAnsi="Times New Roman" w:cs="Times New Roman"/>
          <w:color w:val="000000"/>
          <w:spacing w:val="0"/>
          <w:w w:val="100"/>
          <w:position w:val="0"/>
        </w:rPr>
        <w:t>Bangkok</w:t>
      </w:r>
      <w:r>
        <w:rPr>
          <w:color w:val="000000"/>
          <w:spacing w:val="0"/>
          <w:w w:val="100"/>
          <w:position w:val="0"/>
        </w:rPr>
        <w:t>，</w:t>
      </w:r>
      <w:r>
        <w:rPr>
          <w:color w:val="000000"/>
          <w:spacing w:val="0"/>
          <w:w w:val="100"/>
          <w:position w:val="0"/>
        </w:rPr>
        <w:t>将其作为合营企业，用权益法进行后续计量的长期股权投资进行核算。</w:t>
      </w:r>
    </w:p>
    <w:p>
      <w:pPr>
        <w:pStyle w:val="Style17"/>
        <w:keepNext w:val="0"/>
        <w:keepLines w:val="0"/>
        <w:widowControl w:val="0"/>
        <w:shd w:val="clear" w:color="auto" w:fill="auto"/>
        <w:tabs>
          <w:tab w:pos="841" w:val="left"/>
        </w:tabs>
        <w:bidi w:val="0"/>
        <w:spacing w:before="0" w:after="40" w:line="312" w:lineRule="exact"/>
        <w:ind w:left="0" w:right="0"/>
        <w:jc w:val="both"/>
      </w:pPr>
      <w:bookmarkStart w:id="1269" w:name="bookmark1269"/>
      <w:r>
        <w:rPr>
          <w:color w:val="000000"/>
          <w:spacing w:val="0"/>
          <w:w w:val="100"/>
          <w:position w:val="0"/>
        </w:rPr>
        <w:t>（</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月与泸州医疗投资管理有限公司共同签订《深圳华大临床检验中心、泸州医疗投资管理有限公司 投资合作协议》，约定以人民币</w:t>
      </w:r>
      <w:r>
        <w:rPr>
          <w:rFonts w:ascii="Times New Roman" w:eastAsia="Times New Roman" w:hAnsi="Times New Roman" w:cs="Times New Roman"/>
          <w:color w:val="000000"/>
          <w:spacing w:val="0"/>
          <w:w w:val="100"/>
          <w:position w:val="0"/>
        </w:rPr>
        <w:t>4,900,000.00</w:t>
      </w:r>
      <w:r>
        <w:rPr>
          <w:color w:val="000000"/>
          <w:spacing w:val="0"/>
          <w:w w:val="100"/>
          <w:position w:val="0"/>
        </w:rPr>
        <w:t>元出资，持股比例为</w:t>
      </w:r>
      <w:r>
        <w:rPr>
          <w:rFonts w:ascii="Times New Roman" w:eastAsia="Times New Roman" w:hAnsi="Times New Roman" w:cs="Times New Roman"/>
          <w:color w:val="000000"/>
          <w:spacing w:val="0"/>
          <w:w w:val="100"/>
          <w:position w:val="0"/>
        </w:rPr>
        <w:t>49%</w:t>
      </w:r>
      <w:r>
        <w:rPr>
          <w:color w:val="000000"/>
          <w:spacing w:val="0"/>
          <w:w w:val="100"/>
          <w:position w:val="0"/>
        </w:rPr>
        <w:t>。根据出资协议和公司章程，董事会由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 成，公司在董事会中占有两席席位，对于应由董事会决议的重大事项，需要全体董事的三分之二以上通过方可形成决议， 因此公司与泸州医疗投资管理有限公司共同控制泸州华大，将其作为合营企业，用权益法后续计量的长期股权投资进行核 算。</w:t>
      </w:r>
    </w:p>
    <w:p>
      <w:pPr>
        <w:pStyle w:val="Style17"/>
        <w:keepNext w:val="0"/>
        <w:keepLines w:val="0"/>
        <w:widowControl w:val="0"/>
        <w:shd w:val="clear" w:color="auto" w:fill="auto"/>
        <w:tabs>
          <w:tab w:pos="841" w:val="left"/>
        </w:tabs>
        <w:bidi w:val="0"/>
        <w:spacing w:before="0" w:after="40" w:line="312" w:lineRule="exact"/>
        <w:ind w:left="0" w:right="0"/>
        <w:jc w:val="both"/>
      </w:pPr>
      <w:bookmarkStart w:id="1270" w:name="bookmark1270"/>
      <w:r>
        <w:rPr>
          <w:color w:val="000000"/>
          <w:spacing w:val="0"/>
          <w:w w:val="100"/>
          <w:position w:val="0"/>
        </w:rPr>
        <w:t>（</w:t>
      </w:r>
      <w:bookmarkEnd w:id="1270"/>
      <w:r>
        <w:rPr>
          <w:rFonts w:ascii="Times New Roman" w:eastAsia="Times New Roman" w:hAnsi="Times New Roman" w:cs="Times New Roman"/>
          <w:color w:val="000000"/>
          <w:spacing w:val="0"/>
          <w:w w:val="100"/>
          <w:position w:val="0"/>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月与宝鸡市蟠龙新区开发建设有限公司签订《关于设立陕西华大瑞尔科技有限公司的出资协 议》，陕西华大瑞尔于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月正式成立。协议约定，公司以现金出资人民币</w:t>
      </w:r>
      <w:r>
        <w:rPr>
          <w:rFonts w:ascii="Times New Roman" w:eastAsia="Times New Roman" w:hAnsi="Times New Roman" w:cs="Times New Roman"/>
          <w:color w:val="000000"/>
          <w:spacing w:val="0"/>
          <w:w w:val="100"/>
          <w:position w:val="0"/>
        </w:rPr>
        <w:t>5,100,000.00</w:t>
      </w:r>
      <w:r>
        <w:rPr>
          <w:color w:val="000000"/>
          <w:spacing w:val="0"/>
          <w:w w:val="100"/>
          <w:position w:val="0"/>
        </w:rPr>
        <w:t>元，持有</w:t>
      </w:r>
      <w:r>
        <w:rPr>
          <w:rFonts w:ascii="Times New Roman" w:eastAsia="Times New Roman" w:hAnsi="Times New Roman" w:cs="Times New Roman"/>
          <w:color w:val="000000"/>
          <w:spacing w:val="0"/>
          <w:w w:val="100"/>
          <w:position w:val="0"/>
        </w:rPr>
        <w:t>51%</w:t>
      </w:r>
      <w:r>
        <w:rPr>
          <w:color w:val="000000"/>
          <w:spacing w:val="0"/>
          <w:w w:val="100"/>
          <w:position w:val="0"/>
        </w:rPr>
        <w:t>股权。根据协 议，董事会由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名董事组成，公司在董事会中占有三席席位，对于应由董事会决议的重大事项，需要全体董事的三分之二以 上通过方可形成决议，因此公司与宝鸡市蟠龙新区开发建设有限公司共同控制陕西华大瑞尔，将其作为合营企业，用权益 法进行后续计量的长期股权投资进行核算。</w:t>
      </w:r>
    </w:p>
    <w:p>
      <w:pPr>
        <w:pStyle w:val="Style38"/>
        <w:keepNext w:val="0"/>
        <w:keepLines w:val="0"/>
        <w:widowControl w:val="0"/>
        <w:shd w:val="clear" w:color="auto" w:fill="auto"/>
        <w:tabs>
          <w:tab w:pos="841" w:val="left"/>
        </w:tabs>
        <w:bidi w:val="0"/>
        <w:spacing w:before="0" w:after="0" w:line="312" w:lineRule="exact"/>
        <w:ind w:left="0" w:right="0" w:firstLine="380"/>
        <w:jc w:val="both"/>
      </w:pPr>
      <w:bookmarkStart w:id="1271" w:name="bookmark1271"/>
      <w:r>
        <w:rPr>
          <w:rFonts w:ascii="SimSun" w:eastAsia="SimSun" w:hAnsi="SimSun" w:cs="SimSun"/>
          <w:color w:val="000000"/>
          <w:spacing w:val="0"/>
          <w:w w:val="100"/>
          <w:position w:val="0"/>
        </w:rPr>
        <w:t>（</w:t>
      </w:r>
      <w:bookmarkEnd w:id="1271"/>
      <w:r>
        <w:rPr>
          <w:color w:val="000000"/>
          <w:spacing w:val="0"/>
          <w:w w:val="100"/>
          <w:position w:val="0"/>
        </w:rPr>
        <w:t>5</w:t>
      </w:r>
      <w:r>
        <w:rPr>
          <w:rFonts w:ascii="SimSun" w:eastAsia="SimSun" w:hAnsi="SimSun" w:cs="SimSun"/>
          <w:color w:val="000000"/>
          <w:spacing w:val="0"/>
          <w:w w:val="100"/>
          <w:position w:val="0"/>
        </w:rPr>
        <w:t>）</w:t>
        <w:tab/>
        <w:t xml:space="preserve">公司于 </w:t>
      </w: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 xml:space="preserve">月与 </w:t>
      </w:r>
      <w:r>
        <w:rPr>
          <w:color w:val="000000"/>
          <w:spacing w:val="0"/>
          <w:w w:val="100"/>
          <w:position w:val="0"/>
        </w:rPr>
        <w:t xml:space="preserve">I HEALTHCARE Sdn Bhd </w:t>
      </w:r>
      <w:r>
        <w:rPr>
          <w:rFonts w:ascii="SimSun" w:eastAsia="SimSun" w:hAnsi="SimSun" w:cs="SimSun"/>
          <w:color w:val="000000"/>
          <w:spacing w:val="0"/>
          <w:w w:val="100"/>
          <w:position w:val="0"/>
        </w:rPr>
        <w:t>签订《</w:t>
      </w:r>
      <w:r>
        <w:rPr>
          <w:color w:val="000000"/>
          <w:spacing w:val="0"/>
          <w:w w:val="100"/>
          <w:position w:val="0"/>
        </w:rPr>
        <w:t xml:space="preserve">Joint Venture </w:t>
      </w:r>
      <w:r>
        <w:rPr>
          <w:color w:val="000000"/>
          <w:spacing w:val="0"/>
          <w:w w:val="100"/>
          <w:position w:val="0"/>
        </w:rPr>
        <w:t xml:space="preserve">&amp; </w:t>
      </w:r>
      <w:r>
        <w:rPr>
          <w:color w:val="000000"/>
          <w:spacing w:val="0"/>
          <w:w w:val="100"/>
          <w:position w:val="0"/>
        </w:rPr>
        <w:t>Shareholders Agreement</w:t>
      </w:r>
      <w:r>
        <w:rPr>
          <w:rFonts w:ascii="SimSun" w:eastAsia="SimSun" w:hAnsi="SimSun" w:cs="SimSun"/>
          <w:color w:val="000000"/>
          <w:spacing w:val="0"/>
          <w:w w:val="100"/>
          <w:position w:val="0"/>
        </w:rPr>
        <w:t>》。协议约定，公司以 现金出资文莱币</w:t>
      </w:r>
      <w:r>
        <w:rPr>
          <w:color w:val="000000"/>
          <w:spacing w:val="0"/>
          <w:w w:val="100"/>
          <w:position w:val="0"/>
        </w:rPr>
        <w:t>1</w:t>
      </w:r>
      <w:r>
        <w:rPr>
          <w:color w:val="000000"/>
          <w:spacing w:val="0"/>
          <w:w w:val="100"/>
          <w:position w:val="0"/>
        </w:rPr>
        <w:t>,400,000.00</w:t>
      </w:r>
      <w:r>
        <w:rPr>
          <w:rFonts w:ascii="SimSun" w:eastAsia="SimSun" w:hAnsi="SimSun" w:cs="SimSun"/>
          <w:color w:val="000000"/>
          <w:spacing w:val="0"/>
          <w:w w:val="100"/>
          <w:position w:val="0"/>
        </w:rPr>
        <w:t>元（折合人民币</w:t>
      </w:r>
      <w:r>
        <w:rPr>
          <w:color w:val="000000"/>
          <w:spacing w:val="0"/>
          <w:w w:val="100"/>
          <w:position w:val="0"/>
        </w:rPr>
        <w:t>7</w:t>
      </w:r>
      <w:r>
        <w:rPr>
          <w:color w:val="000000"/>
          <w:spacing w:val="0"/>
          <w:w w:val="100"/>
          <w:position w:val="0"/>
        </w:rPr>
        <w:t>,237,135.45</w:t>
      </w:r>
      <w:r>
        <w:rPr>
          <w:rFonts w:ascii="SimSun" w:eastAsia="SimSun" w:hAnsi="SimSun" w:cs="SimSun"/>
          <w:color w:val="000000"/>
          <w:spacing w:val="0"/>
          <w:w w:val="100"/>
          <w:position w:val="0"/>
        </w:rPr>
        <w:t>元），持有</w:t>
      </w:r>
      <w:r>
        <w:rPr>
          <w:color w:val="000000"/>
          <w:spacing w:val="0"/>
          <w:w w:val="100"/>
          <w:position w:val="0"/>
        </w:rPr>
        <w:t>40%</w:t>
      </w:r>
      <w:r>
        <w:rPr>
          <w:rFonts w:ascii="SimSun" w:eastAsia="SimSun" w:hAnsi="SimSun" w:cs="SimSun"/>
          <w:color w:val="000000"/>
          <w:spacing w:val="0"/>
          <w:w w:val="100"/>
          <w:position w:val="0"/>
        </w:rPr>
        <w:t>股权，</w:t>
      </w:r>
      <w:r>
        <w:rPr>
          <w:color w:val="000000"/>
          <w:spacing w:val="0"/>
          <w:w w:val="100"/>
          <w:position w:val="0"/>
        </w:rPr>
        <w:t>Borneo Genomics</w:t>
      </w:r>
      <w:r>
        <w:rPr>
          <w:rFonts w:ascii="SimSun" w:eastAsia="SimSun" w:hAnsi="SimSun" w:cs="SimSun"/>
          <w:color w:val="000000"/>
          <w:spacing w:val="0"/>
          <w:w w:val="100"/>
          <w:position w:val="0"/>
        </w:rPr>
        <w:t>于</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日正式成</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立。根据协议，董事会由</w:t>
      </w:r>
      <w:r>
        <w:rPr>
          <w:rFonts w:ascii="Times New Roman" w:eastAsia="Times New Roman" w:hAnsi="Times New Roman" w:cs="Times New Roman"/>
          <w:color w:val="000000"/>
          <w:spacing w:val="0"/>
          <w:w w:val="100"/>
          <w:position w:val="0"/>
        </w:rPr>
        <w:t>4</w:t>
      </w:r>
      <w:r>
        <w:rPr>
          <w:color w:val="000000"/>
          <w:spacing w:val="0"/>
          <w:w w:val="100"/>
          <w:position w:val="0"/>
        </w:rPr>
        <w:t>名董事组成，公司在董事会中占有两席席位，对于应由董事会决议的重要事项，须经董事会全票 通过方可形成决议，因此公司与</w:t>
      </w:r>
      <w:r>
        <w:rPr>
          <w:rFonts w:ascii="Times New Roman" w:eastAsia="Times New Roman" w:hAnsi="Times New Roman" w:cs="Times New Roman"/>
          <w:color w:val="000000"/>
          <w:spacing w:val="0"/>
          <w:w w:val="100"/>
          <w:position w:val="0"/>
        </w:rPr>
        <w:t>I HEALTHCARE Sdn Bhd</w:t>
      </w:r>
      <w:r>
        <w:rPr>
          <w:color w:val="000000"/>
          <w:spacing w:val="0"/>
          <w:w w:val="100"/>
          <w:position w:val="0"/>
        </w:rPr>
        <w:t>共同控制</w:t>
      </w:r>
      <w:r>
        <w:rPr>
          <w:rFonts w:ascii="Times New Roman" w:eastAsia="Times New Roman" w:hAnsi="Times New Roman" w:cs="Times New Roman"/>
          <w:color w:val="000000"/>
          <w:spacing w:val="0"/>
          <w:w w:val="100"/>
          <w:position w:val="0"/>
        </w:rPr>
        <w:t>Borneo Genomics</w:t>
      </w:r>
      <w:r>
        <w:rPr>
          <w:color w:val="000000"/>
          <w:spacing w:val="0"/>
          <w:w w:val="100"/>
          <w:position w:val="0"/>
        </w:rPr>
        <w:t>，</w:t>
      </w:r>
      <w:r>
        <w:rPr>
          <w:color w:val="000000"/>
          <w:spacing w:val="0"/>
          <w:w w:val="100"/>
          <w:position w:val="0"/>
        </w:rPr>
        <w:t>将其作为合营企业，用权益法进行后 续计量的长期股权投资进行核算。</w:t>
      </w:r>
    </w:p>
    <w:p>
      <w:pPr>
        <w:pStyle w:val="Style17"/>
        <w:keepNext w:val="0"/>
        <w:keepLines w:val="0"/>
        <w:widowControl w:val="0"/>
        <w:shd w:val="clear" w:color="auto" w:fill="auto"/>
        <w:tabs>
          <w:tab w:pos="841" w:val="left"/>
        </w:tabs>
        <w:bidi w:val="0"/>
        <w:spacing w:before="0" w:after="40" w:line="312" w:lineRule="exact"/>
        <w:ind w:left="0" w:right="0"/>
        <w:jc w:val="both"/>
      </w:pPr>
      <w:bookmarkStart w:id="1272" w:name="bookmark1272"/>
      <w:r>
        <w:rPr>
          <w:color w:val="000000"/>
          <w:spacing w:val="0"/>
          <w:w w:val="100"/>
          <w:position w:val="0"/>
        </w:rPr>
        <w:t>（</w:t>
      </w:r>
      <w:bookmarkEnd w:id="1272"/>
      <w:r>
        <w:rPr>
          <w:rFonts w:ascii="Times New Roman" w:eastAsia="Times New Roman" w:hAnsi="Times New Roman" w:cs="Times New Roman"/>
          <w:color w:val="000000"/>
          <w:spacing w:val="0"/>
          <w:w w:val="100"/>
          <w:position w:val="0"/>
        </w:rPr>
        <w:t>6</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月与临沂东部生态城发展有限公司、仁宏医药有限公司签订《关于设立临沂华大医检所有限公司 的出资协议》。协议约定，公司以现金出资人民币</w:t>
      </w:r>
      <w:r>
        <w:rPr>
          <w:rFonts w:ascii="Times New Roman" w:eastAsia="Times New Roman" w:hAnsi="Times New Roman" w:cs="Times New Roman"/>
          <w:color w:val="000000"/>
          <w:spacing w:val="0"/>
          <w:w w:val="100"/>
          <w:position w:val="0"/>
        </w:rPr>
        <w:t>3,500,000.00</w:t>
      </w:r>
      <w:r>
        <w:rPr>
          <w:color w:val="000000"/>
          <w:spacing w:val="0"/>
          <w:w w:val="100"/>
          <w:position w:val="0"/>
        </w:rPr>
        <w:t>元，持有</w:t>
      </w:r>
      <w:r>
        <w:rPr>
          <w:rFonts w:ascii="Times New Roman" w:eastAsia="Times New Roman" w:hAnsi="Times New Roman" w:cs="Times New Roman"/>
          <w:color w:val="000000"/>
          <w:spacing w:val="0"/>
          <w:w w:val="100"/>
          <w:position w:val="0"/>
        </w:rPr>
        <w:t>35%</w:t>
      </w:r>
      <w:r>
        <w:rPr>
          <w:color w:val="000000"/>
          <w:spacing w:val="0"/>
          <w:w w:val="100"/>
          <w:position w:val="0"/>
        </w:rPr>
        <w:t>股权，临沂华大于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日正式成立。 根据协议，董事会由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名董事组成，公司在董事会中占有一席席位，对于应由董事会决议的事项，须经全体董事同意后方可 形成决议。因此公司与临沂东部生态城发展有限公司、仁宏医药有限公司共同控制临沂华大，将其作为合营企业，用权益 法进行后续计量的长期股权投资进行核算。</w:t>
      </w:r>
    </w:p>
    <w:p>
      <w:pPr>
        <w:pStyle w:val="Style17"/>
        <w:keepNext w:val="0"/>
        <w:keepLines w:val="0"/>
        <w:widowControl w:val="0"/>
        <w:shd w:val="clear" w:color="auto" w:fill="auto"/>
        <w:bidi w:val="0"/>
        <w:spacing w:before="0" w:after="40" w:line="319" w:lineRule="exact"/>
        <w:ind w:left="0" w:right="0"/>
        <w:jc w:val="both"/>
      </w:pPr>
      <w:bookmarkStart w:id="1273" w:name="bookmark1273"/>
      <w:r>
        <w:rPr>
          <w:color w:val="000000"/>
          <w:spacing w:val="0"/>
          <w:w w:val="100"/>
          <w:position w:val="0"/>
        </w:rPr>
        <w:t>（</w:t>
      </w:r>
      <w:bookmarkEnd w:id="1273"/>
      <w:r>
        <w:rPr>
          <w:rFonts w:ascii="Times New Roman" w:eastAsia="Times New Roman" w:hAnsi="Times New Roman" w:cs="Times New Roman"/>
          <w:color w:val="000000"/>
          <w:spacing w:val="0"/>
          <w:w w:val="100"/>
          <w:position w:val="0"/>
        </w:rPr>
        <w:t>7</w:t>
      </w:r>
      <w:r>
        <w:rPr>
          <w:color w:val="000000"/>
          <w:spacing w:val="0"/>
          <w:w w:val="100"/>
          <w:position w:val="0"/>
        </w:rPr>
        <w:t>） 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日签订投资协议，以现金出资人民币</w:t>
      </w:r>
      <w:r>
        <w:rPr>
          <w:rFonts w:ascii="Times New Roman" w:eastAsia="Times New Roman" w:hAnsi="Times New Roman" w:cs="Times New Roman"/>
          <w:color w:val="000000"/>
          <w:spacing w:val="0"/>
          <w:w w:val="100"/>
          <w:position w:val="0"/>
        </w:rPr>
        <w:t>8,000,000.00</w:t>
      </w:r>
      <w:r>
        <w:rPr>
          <w:color w:val="000000"/>
          <w:spacing w:val="0"/>
          <w:w w:val="100"/>
          <w:position w:val="0"/>
        </w:rPr>
        <w:t>元，持有古奥基因</w:t>
      </w:r>
      <w:r>
        <w:rPr>
          <w:rFonts w:ascii="Times New Roman" w:eastAsia="Times New Roman" w:hAnsi="Times New Roman" w:cs="Times New Roman"/>
          <w:color w:val="000000"/>
          <w:spacing w:val="0"/>
          <w:w w:val="100"/>
          <w:position w:val="0"/>
        </w:rPr>
        <w:t>9.88%</w:t>
      </w:r>
      <w:r>
        <w:rPr>
          <w:color w:val="000000"/>
          <w:spacing w:val="0"/>
          <w:w w:val="100"/>
          <w:position w:val="0"/>
        </w:rPr>
        <w:t>股权。根据协议， 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名董事组成，公司有权委派一名董事，并且出资三年内重大事项必须取得委派董事的同意，因此公司与原股东共 同控制古奥基因，将其作为合营企业，用权益法进行后续计量的长期股权投资进行核算。</w:t>
      </w:r>
    </w:p>
    <w:p>
      <w:pPr>
        <w:pStyle w:val="Style17"/>
        <w:keepNext w:val="0"/>
        <w:keepLines w:val="0"/>
        <w:widowControl w:val="0"/>
        <w:shd w:val="clear" w:color="auto" w:fill="auto"/>
        <w:bidi w:val="0"/>
        <w:spacing w:before="0" w:after="40" w:line="312" w:lineRule="exact"/>
        <w:ind w:left="0" w:right="0"/>
        <w:jc w:val="both"/>
      </w:pPr>
      <w:bookmarkStart w:id="1274" w:name="bookmark1274"/>
      <w:r>
        <w:rPr>
          <w:color w:val="000000"/>
          <w:spacing w:val="0"/>
          <w:w w:val="100"/>
          <w:position w:val="0"/>
        </w:rPr>
        <w:t>（</w:t>
      </w:r>
      <w:bookmarkEnd w:id="1274"/>
      <w:r>
        <w:rPr>
          <w:rFonts w:ascii="Times New Roman" w:eastAsia="Times New Roman" w:hAnsi="Times New Roman" w:cs="Times New Roman"/>
          <w:color w:val="000000"/>
          <w:spacing w:val="0"/>
          <w:w w:val="100"/>
          <w:position w:val="0"/>
        </w:rPr>
        <w:t>8</w:t>
      </w:r>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日与上海嘉中投资管理咨询有限公司、杭州每刻科技有限公司签订投资协议，以现金出资人 民币</w:t>
      </w:r>
      <w:r>
        <w:rPr>
          <w:rFonts w:ascii="Times New Roman" w:eastAsia="Times New Roman" w:hAnsi="Times New Roman" w:cs="Times New Roman"/>
          <w:color w:val="000000"/>
          <w:spacing w:val="0"/>
          <w:w w:val="100"/>
          <w:position w:val="0"/>
        </w:rPr>
        <w:t>800,000.00</w:t>
      </w:r>
      <w:r>
        <w:rPr>
          <w:color w:val="000000"/>
          <w:spacing w:val="0"/>
          <w:w w:val="100"/>
          <w:position w:val="0"/>
        </w:rPr>
        <w:t>元，持有华每嘉中</w:t>
      </w:r>
      <w:r>
        <w:rPr>
          <w:rFonts w:ascii="Times New Roman" w:eastAsia="Times New Roman" w:hAnsi="Times New Roman" w:cs="Times New Roman"/>
          <w:color w:val="000000"/>
          <w:spacing w:val="0"/>
          <w:w w:val="100"/>
          <w:position w:val="0"/>
        </w:rPr>
        <w:t>40%</w:t>
      </w:r>
      <w:r>
        <w:rPr>
          <w:color w:val="000000"/>
          <w:spacing w:val="0"/>
          <w:w w:val="100"/>
          <w:position w:val="0"/>
        </w:rPr>
        <w:t>股份。根据协议，董事会由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名董事构成，公司有权委派两名董事，对于应由董事会 决议的事项，须经全体董事三分之二以上通过方可形成决议，因此公司与上海嘉中投资管理咨询有限公司共同控制华每嘉 中，将其作为合营企业，用权益法进行后续计量的长期股权投资进行核算。</w:t>
      </w:r>
    </w:p>
    <w:p>
      <w:pPr>
        <w:pStyle w:val="Style17"/>
        <w:keepNext w:val="0"/>
        <w:keepLines w:val="0"/>
        <w:widowControl w:val="0"/>
        <w:shd w:val="clear" w:color="auto" w:fill="auto"/>
        <w:bidi w:val="0"/>
        <w:spacing w:before="0" w:after="40" w:line="315" w:lineRule="exact"/>
        <w:ind w:left="0" w:right="0"/>
        <w:jc w:val="both"/>
      </w:pPr>
      <w:bookmarkStart w:id="1275" w:name="bookmark1275"/>
      <w:r>
        <w:rPr>
          <w:color w:val="000000"/>
          <w:spacing w:val="0"/>
          <w:w w:val="100"/>
          <w:position w:val="0"/>
        </w:rPr>
        <w:t>（</w:t>
      </w:r>
      <w:bookmarkEnd w:id="1275"/>
      <w:r>
        <w:rPr>
          <w:rFonts w:ascii="Times New Roman" w:eastAsia="Times New Roman" w:hAnsi="Times New Roman" w:cs="Times New Roman"/>
          <w:color w:val="000000"/>
          <w:spacing w:val="0"/>
          <w:w w:val="100"/>
          <w:position w:val="0"/>
        </w:rPr>
        <w:t>9</w:t>
      </w:r>
      <w:r>
        <w:rPr>
          <w:color w:val="000000"/>
          <w:spacing w:val="0"/>
          <w:w w:val="100"/>
          <w:position w:val="0"/>
        </w:rPr>
        <w:t>） 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月与杨炎俊、广州中健云康创业投资合伙企业（有限合伙）及其他各方签订投资协议，以现金出 资人民币</w:t>
      </w:r>
      <w:r>
        <w:rPr>
          <w:rFonts w:ascii="Times New Roman" w:eastAsia="Times New Roman" w:hAnsi="Times New Roman" w:cs="Times New Roman"/>
          <w:color w:val="000000"/>
          <w:spacing w:val="0"/>
          <w:w w:val="100"/>
          <w:position w:val="0"/>
        </w:rPr>
        <w:t>5,500,000.00</w:t>
      </w:r>
      <w:r>
        <w:rPr>
          <w:color w:val="000000"/>
          <w:spacing w:val="0"/>
          <w:w w:val="100"/>
          <w:position w:val="0"/>
        </w:rPr>
        <w:t>元，持有</w:t>
      </w:r>
      <w:r>
        <w:rPr>
          <w:rFonts w:ascii="Times New Roman" w:eastAsia="Times New Roman" w:hAnsi="Times New Roman" w:cs="Times New Roman"/>
          <w:color w:val="000000"/>
          <w:spacing w:val="0"/>
          <w:w w:val="100"/>
          <w:position w:val="0"/>
        </w:rPr>
        <w:t>18.33%</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月，公司以现金增资人民币</w:t>
      </w:r>
      <w:r>
        <w:rPr>
          <w:rFonts w:ascii="Times New Roman" w:eastAsia="Times New Roman" w:hAnsi="Times New Roman" w:cs="Times New Roman"/>
          <w:color w:val="000000"/>
          <w:spacing w:val="0"/>
          <w:w w:val="100"/>
          <w:position w:val="0"/>
        </w:rPr>
        <w:t>5,500,000.00</w:t>
      </w:r>
      <w:r>
        <w:rPr>
          <w:color w:val="000000"/>
          <w:spacing w:val="0"/>
          <w:w w:val="100"/>
          <w:position w:val="0"/>
        </w:rPr>
        <w:t xml:space="preserve">元，持股比例增加至 </w:t>
      </w:r>
      <w:r>
        <w:rPr>
          <w:rFonts w:ascii="Times New Roman" w:eastAsia="Times New Roman" w:hAnsi="Times New Roman" w:cs="Times New Roman"/>
          <w:color w:val="000000"/>
          <w:spacing w:val="0"/>
          <w:w w:val="100"/>
          <w:position w:val="0"/>
        </w:rPr>
        <w:t>26.50%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日，广州中健云康新增投资者，公司股权被稀释至</w:t>
      </w:r>
      <w:r>
        <w:rPr>
          <w:rFonts w:ascii="Times New Roman" w:eastAsia="Times New Roman" w:hAnsi="Times New Roman" w:cs="Times New Roman"/>
          <w:color w:val="000000"/>
          <w:spacing w:val="0"/>
          <w:w w:val="100"/>
          <w:position w:val="0"/>
        </w:rPr>
        <w:t>19.56%</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日，广州中健云康新增投 资者增资人民币</w:t>
      </w:r>
      <w:r>
        <w:rPr>
          <w:rFonts w:ascii="Times New Roman" w:eastAsia="Times New Roman" w:hAnsi="Times New Roman" w:cs="Times New Roman"/>
          <w:color w:val="000000"/>
          <w:spacing w:val="0"/>
          <w:w w:val="100"/>
          <w:position w:val="0"/>
        </w:rPr>
        <w:t>30,000,000.00</w:t>
      </w:r>
      <w:r>
        <w:rPr>
          <w:color w:val="000000"/>
          <w:spacing w:val="0"/>
          <w:w w:val="100"/>
          <w:position w:val="0"/>
        </w:rPr>
        <w:t>元，增资后公司股权被稀释至</w:t>
      </w:r>
      <w:r>
        <w:rPr>
          <w:rFonts w:ascii="Times New Roman" w:eastAsia="Times New Roman" w:hAnsi="Times New Roman" w:cs="Times New Roman"/>
          <w:color w:val="000000"/>
          <w:spacing w:val="0"/>
          <w:w w:val="100"/>
          <w:position w:val="0"/>
        </w:rPr>
        <w:t>18.33%</w:t>
      </w:r>
      <w:r>
        <w:rPr>
          <w:color w:val="000000"/>
          <w:spacing w:val="0"/>
          <w:w w:val="100"/>
          <w:position w:val="0"/>
        </w:rPr>
        <w:t>。根据最新的公司章程，董事会由七名董事组成，公司 在董事会中占有一席席位，创始股东占有四席席位，董事会决议需经半数以上董事同意方可通过，因此公司对其生产经营 具有重大影响，本年将其作为联营企业，用权益法进行后续计量的长期股权投资进行核算。</w:t>
      </w:r>
    </w:p>
    <w:p>
      <w:pPr>
        <w:pStyle w:val="Style17"/>
        <w:keepNext w:val="0"/>
        <w:keepLines w:val="0"/>
        <w:widowControl w:val="0"/>
        <w:shd w:val="clear" w:color="auto" w:fill="auto"/>
        <w:tabs>
          <w:tab w:pos="932" w:val="left"/>
        </w:tabs>
        <w:bidi w:val="0"/>
        <w:spacing w:before="0" w:after="0" w:line="326" w:lineRule="exact"/>
        <w:ind w:left="0" w:right="0"/>
        <w:jc w:val="both"/>
      </w:pPr>
      <w:bookmarkStart w:id="1276" w:name="bookmark1276"/>
      <w:r>
        <w:rPr>
          <w:color w:val="000000"/>
          <w:spacing w:val="0"/>
          <w:w w:val="100"/>
          <w:position w:val="0"/>
        </w:rPr>
        <w:t>（</w:t>
      </w:r>
      <w:bookmarkEnd w:id="1276"/>
      <w:r>
        <w:rPr>
          <w:rFonts w:ascii="Times New Roman" w:eastAsia="Times New Roman" w:hAnsi="Times New Roman" w:cs="Times New Roman"/>
          <w:color w:val="000000"/>
          <w:spacing w:val="0"/>
          <w:w w:val="100"/>
          <w:position w:val="0"/>
        </w:rPr>
        <w:t>10</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日，公司持有苏州泓迅</w:t>
      </w:r>
      <w:r>
        <w:rPr>
          <w:rFonts w:ascii="Times New Roman" w:eastAsia="Times New Roman" w:hAnsi="Times New Roman" w:cs="Times New Roman"/>
          <w:color w:val="000000"/>
          <w:spacing w:val="0"/>
          <w:w w:val="100"/>
          <w:position w:val="0"/>
        </w:rPr>
        <w:t>11.08%</w:t>
      </w:r>
      <w:r>
        <w:rPr>
          <w:color w:val="000000"/>
          <w:spacing w:val="0"/>
          <w:w w:val="100"/>
          <w:position w:val="0"/>
        </w:rPr>
        <w:t>股权。根据苏州泓迅最新的公司章程，董事会由</w:t>
      </w:r>
      <w:r>
        <w:rPr>
          <w:rFonts w:ascii="Times New Roman" w:eastAsia="Times New Roman" w:hAnsi="Times New Roman" w:cs="Times New Roman"/>
          <w:color w:val="000000"/>
          <w:spacing w:val="0"/>
          <w:w w:val="100"/>
          <w:position w:val="0"/>
        </w:rPr>
        <w:t>13</w:t>
      </w:r>
      <w:r>
        <w:rPr>
          <w:color w:val="000000"/>
          <w:spacing w:val="0"/>
          <w:w w:val="100"/>
          <w:position w:val="0"/>
        </w:rPr>
        <w:t xml:space="preserve">名董事组 成，公司在董事会中占有两席席位，且重大事项均应有出席董事的三分之二以上通过，因此公司对其生产经营具有重大影 </w:t>
      </w:r>
      <w:r>
        <w:rPr>
          <w:color w:val="000000"/>
          <w:spacing w:val="0"/>
          <w:w w:val="100"/>
          <w:position w:val="0"/>
        </w:rPr>
        <w:t>响，将其作为联营企业，用权益法进行后续计量的长期股权投资进行核算。</w:t>
      </w:r>
    </w:p>
    <w:p>
      <w:pPr>
        <w:pStyle w:val="Style17"/>
        <w:keepNext w:val="0"/>
        <w:keepLines w:val="0"/>
        <w:widowControl w:val="0"/>
        <w:shd w:val="clear" w:color="auto" w:fill="auto"/>
        <w:tabs>
          <w:tab w:pos="932" w:val="left"/>
        </w:tabs>
        <w:bidi w:val="0"/>
        <w:spacing w:before="0" w:after="0" w:line="313" w:lineRule="exact"/>
        <w:ind w:left="0" w:right="0"/>
        <w:jc w:val="left"/>
      </w:pPr>
      <w:bookmarkStart w:id="1277" w:name="bookmark1277"/>
      <w:r>
        <w:rPr>
          <w:color w:val="000000"/>
          <w:spacing w:val="0"/>
          <w:w w:val="100"/>
          <w:position w:val="0"/>
        </w:rPr>
        <w:t>（</w:t>
      </w:r>
      <w:bookmarkEnd w:id="1277"/>
      <w:r>
        <w:rPr>
          <w:rFonts w:ascii="Times New Roman" w:eastAsia="Times New Roman" w:hAnsi="Times New Roman" w:cs="Times New Roman"/>
          <w:color w:val="000000"/>
          <w:spacing w:val="0"/>
          <w:w w:val="100"/>
          <w:position w:val="0"/>
        </w:rPr>
        <w:t>11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月与山东国信健康科技有限公司签订《关于设立山东国信医学检验所有限公司的出资协议》。协 议约定，公司以现金出资人民币</w:t>
      </w:r>
      <w:r>
        <w:rPr>
          <w:rFonts w:ascii="Times New Roman" w:eastAsia="Times New Roman" w:hAnsi="Times New Roman" w:cs="Times New Roman"/>
          <w:color w:val="000000"/>
          <w:spacing w:val="0"/>
          <w:w w:val="100"/>
          <w:position w:val="0"/>
        </w:rPr>
        <w:t>7,000,000.00</w:t>
      </w:r>
      <w:r>
        <w:rPr>
          <w:color w:val="000000"/>
          <w:spacing w:val="0"/>
          <w:w w:val="100"/>
          <w:position w:val="0"/>
        </w:rPr>
        <w:t>元，持有</w:t>
      </w:r>
      <w:r>
        <w:rPr>
          <w:rFonts w:ascii="Times New Roman" w:eastAsia="Times New Roman" w:hAnsi="Times New Roman" w:cs="Times New Roman"/>
          <w:color w:val="000000"/>
          <w:spacing w:val="0"/>
          <w:w w:val="100"/>
          <w:position w:val="0"/>
        </w:rPr>
        <w:t>35%</w:t>
      </w:r>
      <w:r>
        <w:rPr>
          <w:color w:val="000000"/>
          <w:spacing w:val="0"/>
          <w:w w:val="100"/>
          <w:position w:val="0"/>
        </w:rPr>
        <w:t>股权。根据公司章程，董事会由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名董事组成，公司在董事会中 占有两席席位，对于应由董事会决议的事项，须经全体董事三分之二以上通过方可形成决议，同时股东根据实缴出资比例 享有相应的权利和义务，因此公司对其生产经营具有重大影响，将其作为联营企业，用权益法进行后续计量的长期股权投 资进行核算。</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日，山东国信医学检验所有限公司正式更名为山东泰山华大医学检验所有限公司。</w:t>
      </w:r>
    </w:p>
    <w:p>
      <w:pPr>
        <w:pStyle w:val="Style17"/>
        <w:keepNext w:val="0"/>
        <w:keepLines w:val="0"/>
        <w:widowControl w:val="0"/>
        <w:shd w:val="clear" w:color="auto" w:fill="auto"/>
        <w:tabs>
          <w:tab w:pos="932" w:val="left"/>
        </w:tabs>
        <w:bidi w:val="0"/>
        <w:spacing w:before="0" w:after="0" w:line="316" w:lineRule="exact"/>
        <w:ind w:left="0" w:right="0"/>
        <w:jc w:val="left"/>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rPr>
        <w:t>12</w:t>
      </w:r>
      <w:r>
        <w:rPr>
          <w:color w:val="000000"/>
          <w:spacing w:val="0"/>
          <w:w w:val="100"/>
          <w:position w:val="0"/>
        </w:rPr>
        <w:t>）</w:t>
        <w:tab/>
        <w:t>公司子公司北京吉比爱于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月与北京通瀛签订了《华大通瀛与华大吉比爱战略合作协议》。协议约定，北 京吉比爱以现金人民币</w:t>
      </w:r>
      <w:r>
        <w:rPr>
          <w:rFonts w:ascii="Times New Roman" w:eastAsia="Times New Roman" w:hAnsi="Times New Roman" w:cs="Times New Roman"/>
          <w:color w:val="000000"/>
          <w:spacing w:val="0"/>
          <w:w w:val="100"/>
          <w:position w:val="0"/>
        </w:rPr>
        <w:t>3,000,000.00</w:t>
      </w:r>
      <w:r>
        <w:rPr>
          <w:color w:val="000000"/>
          <w:spacing w:val="0"/>
          <w:w w:val="100"/>
          <w:position w:val="0"/>
        </w:rPr>
        <w:t>元入股北京通瀛，并持有</w:t>
      </w:r>
      <w:r>
        <w:rPr>
          <w:rFonts w:ascii="Times New Roman" w:eastAsia="Times New Roman" w:hAnsi="Times New Roman" w:cs="Times New Roman"/>
          <w:color w:val="000000"/>
          <w:spacing w:val="0"/>
          <w:w w:val="100"/>
          <w:position w:val="0"/>
        </w:rPr>
        <w:t>20%</w:t>
      </w:r>
      <w:r>
        <w:rPr>
          <w:color w:val="000000"/>
          <w:spacing w:val="0"/>
          <w:w w:val="100"/>
          <w:position w:val="0"/>
        </w:rPr>
        <w:t>股权。根据公司章程，北京吉比爱在</w:t>
      </w:r>
      <w:r>
        <w:rPr>
          <w:rFonts w:ascii="Times New Roman" w:eastAsia="Times New Roman" w:hAnsi="Times New Roman" w:cs="Times New Roman"/>
          <w:color w:val="000000"/>
          <w:spacing w:val="0"/>
          <w:w w:val="100"/>
          <w:position w:val="0"/>
        </w:rPr>
        <w:t>5</w:t>
      </w:r>
      <w:r>
        <w:rPr>
          <w:color w:val="000000"/>
          <w:spacing w:val="0"/>
          <w:w w:val="100"/>
          <w:position w:val="0"/>
        </w:rPr>
        <w:t>个董事会席位中占 据一席，并可派一名高管参与公司的经营管理，董事会应当有三分之二以上董事出席方能举行，且重大事项应由出席董事 一致通过，因此北京吉比爱对北京通瀛的生产经营具有重大影响，并将其作为联营企业，用权益法进行后续计量的长期股 权投资进行核算。</w:t>
      </w:r>
    </w:p>
    <w:p>
      <w:pPr>
        <w:pStyle w:val="Style17"/>
        <w:keepNext w:val="0"/>
        <w:keepLines w:val="0"/>
        <w:widowControl w:val="0"/>
        <w:shd w:val="clear" w:color="auto" w:fill="auto"/>
        <w:tabs>
          <w:tab w:pos="932" w:val="left"/>
        </w:tabs>
        <w:bidi w:val="0"/>
        <w:spacing w:before="0" w:after="0" w:line="316" w:lineRule="exact"/>
        <w:ind w:left="0" w:right="0"/>
        <w:jc w:val="left"/>
      </w:pPr>
      <w:bookmarkStart w:id="1279" w:name="bookmark1279"/>
      <w:r>
        <w:rPr>
          <w:color w:val="000000"/>
          <w:spacing w:val="0"/>
          <w:w w:val="100"/>
          <w:position w:val="0"/>
        </w:rPr>
        <w:t>（</w:t>
      </w:r>
      <w:bookmarkEnd w:id="1279"/>
      <w:r>
        <w:rPr>
          <w:rFonts w:ascii="Times New Roman" w:eastAsia="Times New Roman" w:hAnsi="Times New Roman" w:cs="Times New Roman"/>
          <w:color w:val="000000"/>
          <w:spacing w:val="0"/>
          <w:w w:val="100"/>
          <w:position w:val="0"/>
        </w:rPr>
        <w:t>13</w:t>
      </w:r>
      <w:r>
        <w:rPr>
          <w:color w:val="000000"/>
          <w:spacing w:val="0"/>
          <w:w w:val="100"/>
          <w:position w:val="0"/>
        </w:rPr>
        <w:t>）</w:t>
        <w:tab/>
        <w:t xml:space="preserve">公司于 </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 xml:space="preserve">月投资 </w:t>
      </w:r>
      <w:r>
        <w:rPr>
          <w:rFonts w:ascii="Times New Roman" w:eastAsia="Times New Roman" w:hAnsi="Times New Roman" w:cs="Times New Roman"/>
          <w:color w:val="000000"/>
          <w:spacing w:val="0"/>
          <w:w w:val="100"/>
          <w:position w:val="0"/>
        </w:rPr>
        <w:t xml:space="preserve">1,999,000.00 </w:t>
      </w:r>
      <w:r>
        <w:rPr>
          <w:color w:val="000000"/>
          <w:spacing w:val="0"/>
          <w:w w:val="100"/>
          <w:position w:val="0"/>
        </w:rPr>
        <w:t xml:space="preserve">美元（折合人民币 </w:t>
      </w:r>
      <w:r>
        <w:rPr>
          <w:rFonts w:ascii="Times New Roman" w:eastAsia="Times New Roman" w:hAnsi="Times New Roman" w:cs="Times New Roman"/>
          <w:color w:val="000000"/>
          <w:spacing w:val="0"/>
          <w:w w:val="100"/>
          <w:position w:val="0"/>
        </w:rPr>
        <w:t>14,047,068.70</w:t>
      </w:r>
      <w:r>
        <w:rPr>
          <w:color w:val="000000"/>
          <w:spacing w:val="0"/>
          <w:w w:val="100"/>
          <w:position w:val="0"/>
        </w:rPr>
        <w:t xml:space="preserve">元），收购 </w:t>
      </w:r>
      <w:r>
        <w:rPr>
          <w:rFonts w:ascii="Times New Roman" w:eastAsia="Times New Roman" w:hAnsi="Times New Roman" w:cs="Times New Roman"/>
          <w:color w:val="000000"/>
          <w:spacing w:val="0"/>
          <w:w w:val="100"/>
          <w:position w:val="0"/>
        </w:rPr>
        <w:t xml:space="preserve">Pryzm Health IQ Pty Ltd15% </w:t>
      </w:r>
      <w:r>
        <w:rPr>
          <w:color w:val="000000"/>
          <w:spacing w:val="0"/>
          <w:w w:val="100"/>
          <w:position w:val="0"/>
        </w:rPr>
        <w:t>的股 权。根据公司章程，董事会由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名董事组成，公司在董事会占有一席席位，对于应由董事会决议的重要事项，需要经出席董 事会并有权对议案表决的多数董事同意，因此公司对其生产经营具有重大影响，将其作为联营企业，用权益法进行后续计 量的长期股权投资进行核算。</w:t>
      </w:r>
    </w:p>
    <w:p>
      <w:pPr>
        <w:pStyle w:val="Style17"/>
        <w:keepNext w:val="0"/>
        <w:keepLines w:val="0"/>
        <w:widowControl w:val="0"/>
        <w:shd w:val="clear" w:color="auto" w:fill="auto"/>
        <w:tabs>
          <w:tab w:pos="937" w:val="left"/>
        </w:tabs>
        <w:bidi w:val="0"/>
        <w:spacing w:before="0" w:after="0" w:line="314" w:lineRule="exact"/>
        <w:ind w:left="0" w:right="0"/>
        <w:jc w:val="left"/>
      </w:pPr>
      <w:bookmarkStart w:id="1280" w:name="bookmark1280"/>
      <w:r>
        <w:rPr>
          <w:color w:val="000000"/>
          <w:spacing w:val="0"/>
          <w:w w:val="100"/>
          <w:position w:val="0"/>
        </w:rPr>
        <w:t>（</w:t>
      </w:r>
      <w:bookmarkEnd w:id="1280"/>
      <w:r>
        <w:rPr>
          <w:rFonts w:ascii="Times New Roman" w:eastAsia="Times New Roman" w:hAnsi="Times New Roman" w:cs="Times New Roman"/>
          <w:color w:val="000000"/>
          <w:spacing w:val="0"/>
          <w:w w:val="100"/>
          <w:position w:val="0"/>
        </w:rPr>
        <w:t>14</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日签订投资协议，以现金出资人民币</w:t>
      </w:r>
      <w:r>
        <w:rPr>
          <w:rFonts w:ascii="Times New Roman" w:eastAsia="Times New Roman" w:hAnsi="Times New Roman" w:cs="Times New Roman"/>
          <w:color w:val="000000"/>
          <w:spacing w:val="0"/>
          <w:w w:val="100"/>
          <w:position w:val="0"/>
        </w:rPr>
        <w:t>60,000,000.00</w:t>
      </w:r>
      <w:r>
        <w:rPr>
          <w:color w:val="000000"/>
          <w:spacing w:val="0"/>
          <w:w w:val="100"/>
          <w:position w:val="0"/>
        </w:rPr>
        <w:t>元，持有恩迪生物</w:t>
      </w:r>
      <w:r>
        <w:rPr>
          <w:rFonts w:ascii="Times New Roman" w:eastAsia="Times New Roman" w:hAnsi="Times New Roman" w:cs="Times New Roman"/>
          <w:color w:val="000000"/>
          <w:spacing w:val="0"/>
          <w:w w:val="100"/>
          <w:position w:val="0"/>
        </w:rPr>
        <w:t>4.22%</w:t>
      </w:r>
      <w:r>
        <w:rPr>
          <w:color w:val="000000"/>
          <w:spacing w:val="0"/>
          <w:w w:val="100"/>
          <w:position w:val="0"/>
        </w:rPr>
        <w:t>股权。根据公司章 程，董事会由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名董事组成，公司有权委派一名董事，董事会会议应有半数的董事出席方可举行董事会作出决议，且必须经 全体董事的过半数通过。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月，恩迪生物科技河北股份有限公司正式更名为北京恩迪生物科技股份有限公司。历史 期间本公司将其作为联营企业，用权益法进行后续计量的长期股权投资进行核算。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日，因新进投资人股东对恩 迪生物投资，本公司未同比例增资，本公司持有恩迪生物的股权比例被稀释至</w:t>
      </w:r>
      <w:r>
        <w:rPr>
          <w:rFonts w:ascii="Times New Roman" w:eastAsia="Times New Roman" w:hAnsi="Times New Roman" w:cs="Times New Roman"/>
          <w:color w:val="000000"/>
          <w:spacing w:val="0"/>
          <w:w w:val="100"/>
          <w:position w:val="0"/>
        </w:rPr>
        <w:t>3.8969%</w:t>
      </w:r>
      <w:r>
        <w:rPr>
          <w:color w:val="000000"/>
          <w:spacing w:val="0"/>
          <w:w w:val="100"/>
          <w:position w:val="0"/>
        </w:rPr>
        <w:t>，恩迪生物完成增资后本公司不再 具有向其派驻董事的权利，本公司退出董事席位，对其生产经营不再具有重大影响，故将其转至其他非流动金融资产核 算。</w:t>
      </w:r>
    </w:p>
    <w:p>
      <w:pPr>
        <w:pStyle w:val="Style17"/>
        <w:keepNext w:val="0"/>
        <w:keepLines w:val="0"/>
        <w:widowControl w:val="0"/>
        <w:shd w:val="clear" w:color="auto" w:fill="auto"/>
        <w:tabs>
          <w:tab w:pos="932" w:val="left"/>
        </w:tabs>
        <w:bidi w:val="0"/>
        <w:spacing w:before="0" w:after="0" w:line="314" w:lineRule="exact"/>
        <w:ind w:left="0" w:right="0"/>
        <w:jc w:val="both"/>
      </w:pPr>
      <w:bookmarkStart w:id="1281" w:name="bookmark1281"/>
      <w:r>
        <w:rPr>
          <w:color w:val="000000"/>
          <w:spacing w:val="0"/>
          <w:w w:val="100"/>
          <w:position w:val="0"/>
        </w:rPr>
        <w:t>（</w:t>
      </w:r>
      <w:bookmarkEnd w:id="1281"/>
      <w:r>
        <w:rPr>
          <w:rFonts w:ascii="Times New Roman" w:eastAsia="Times New Roman" w:hAnsi="Times New Roman" w:cs="Times New Roman"/>
          <w:color w:val="000000"/>
          <w:spacing w:val="0"/>
          <w:w w:val="100"/>
          <w:position w:val="0"/>
        </w:rPr>
        <w:t>15</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日与万隆福国际有限公司、胡定旭签订投资协议，以现金出资港币</w:t>
      </w:r>
      <w:r>
        <w:rPr>
          <w:rFonts w:ascii="Times New Roman" w:eastAsia="Times New Roman" w:hAnsi="Times New Roman" w:cs="Times New Roman"/>
          <w:color w:val="000000"/>
          <w:spacing w:val="0"/>
          <w:w w:val="100"/>
          <w:position w:val="0"/>
        </w:rPr>
        <w:t>40.00</w:t>
      </w:r>
      <w:r>
        <w:rPr>
          <w:color w:val="000000"/>
          <w:spacing w:val="0"/>
          <w:w w:val="100"/>
          <w:position w:val="0"/>
        </w:rPr>
        <w:t xml:space="preserve">元，持有 </w:t>
      </w:r>
      <w:r>
        <w:rPr>
          <w:rFonts w:ascii="Times New Roman" w:eastAsia="Times New Roman" w:hAnsi="Times New Roman" w:cs="Times New Roman"/>
          <w:color w:val="000000"/>
          <w:spacing w:val="0"/>
          <w:w w:val="100"/>
          <w:position w:val="0"/>
        </w:rPr>
        <w:t>Sunnse40%</w:t>
      </w:r>
      <w:r>
        <w:rPr>
          <w:color w:val="000000"/>
          <w:spacing w:val="0"/>
          <w:w w:val="100"/>
          <w:position w:val="0"/>
        </w:rPr>
        <w:t>股份。根据协议，董事会由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名董事构成，公司有权委派两名董事，董事会召开会议必要的法定人数为</w:t>
      </w:r>
      <w:r>
        <w:rPr>
          <w:rFonts w:ascii="Times New Roman" w:eastAsia="Times New Roman" w:hAnsi="Times New Roman" w:cs="Times New Roman"/>
          <w:color w:val="000000"/>
          <w:spacing w:val="0"/>
          <w:w w:val="100"/>
          <w:position w:val="0"/>
        </w:rPr>
        <w:t>2</w:t>
      </w:r>
      <w:r>
        <w:rPr>
          <w:color w:val="000000"/>
          <w:spacing w:val="0"/>
          <w:w w:val="100"/>
          <w:position w:val="0"/>
        </w:rPr>
        <w:t>名董</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事，且该</w:t>
      </w:r>
      <w:r>
        <w:rPr>
          <w:rFonts w:ascii="Times New Roman" w:eastAsia="Times New Roman" w:hAnsi="Times New Roman" w:cs="Times New Roman"/>
          <w:color w:val="000000"/>
          <w:spacing w:val="0"/>
          <w:w w:val="100"/>
          <w:position w:val="0"/>
        </w:rPr>
        <w:t>2</w:t>
      </w:r>
      <w:r>
        <w:rPr>
          <w:color w:val="000000"/>
          <w:spacing w:val="0"/>
          <w:w w:val="100"/>
          <w:position w:val="0"/>
        </w:rPr>
        <w:t>名董事应为公司和万隆福国际有限公司委任的董事，对于应由董事会决议的事项，须经过半数董事通过方可形成 决议，因此公司对其生产经营具有重大影响，将其作为联营企业，用权益法进行后续计量的长期股权投资进行核算。于本 年，公司收到</w:t>
      </w:r>
      <w:r>
        <w:rPr>
          <w:rFonts w:ascii="Times New Roman" w:eastAsia="Times New Roman" w:hAnsi="Times New Roman" w:cs="Times New Roman"/>
          <w:color w:val="000000"/>
          <w:spacing w:val="0"/>
          <w:w w:val="100"/>
          <w:position w:val="0"/>
        </w:rPr>
        <w:t>S unrise</w:t>
      </w:r>
      <w:r>
        <w:rPr>
          <w:color w:val="000000"/>
          <w:spacing w:val="0"/>
          <w:w w:val="100"/>
          <w:position w:val="0"/>
        </w:rPr>
        <w:t>发放的现金股利合计人民币</w:t>
      </w:r>
      <w:r>
        <w:rPr>
          <w:rFonts w:ascii="Times New Roman" w:eastAsia="Times New Roman" w:hAnsi="Times New Roman" w:cs="Times New Roman"/>
          <w:color w:val="000000"/>
          <w:spacing w:val="0"/>
          <w:w w:val="100"/>
          <w:position w:val="0"/>
        </w:rPr>
        <w:t>117,734,400.00</w:t>
      </w:r>
      <w:r>
        <w:rPr>
          <w:color w:val="000000"/>
          <w:spacing w:val="0"/>
          <w:w w:val="100"/>
          <w:position w:val="0"/>
        </w:rPr>
        <w:t>元。本年持有期间其他变动为关联交易产生的未实现损益调 整。</w:t>
      </w:r>
    </w:p>
    <w:p>
      <w:pPr>
        <w:pStyle w:val="Style17"/>
        <w:keepNext w:val="0"/>
        <w:keepLines w:val="0"/>
        <w:widowControl w:val="0"/>
        <w:shd w:val="clear" w:color="auto" w:fill="auto"/>
        <w:tabs>
          <w:tab w:pos="932" w:val="left"/>
        </w:tabs>
        <w:bidi w:val="0"/>
        <w:spacing w:before="0" w:after="380" w:line="316" w:lineRule="exact"/>
        <w:ind w:left="0" w:right="0"/>
        <w:jc w:val="left"/>
      </w:pPr>
      <w:bookmarkStart w:id="1282" w:name="bookmark1282"/>
      <w:r>
        <w:rPr>
          <w:color w:val="000000"/>
          <w:spacing w:val="0"/>
          <w:w w:val="100"/>
          <w:position w:val="0"/>
        </w:rPr>
        <w:t>（</w:t>
      </w:r>
      <w:bookmarkEnd w:id="1282"/>
      <w:r>
        <w:rPr>
          <w:rFonts w:ascii="Times New Roman" w:eastAsia="Times New Roman" w:hAnsi="Times New Roman" w:cs="Times New Roman"/>
          <w:color w:val="000000"/>
          <w:spacing w:val="0"/>
          <w:w w:val="100"/>
          <w:position w:val="0"/>
        </w:rPr>
        <w:t>16</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日与河源巴登新城投资有限公司、翦迪岸和刘斌签订投资协议，以现金出资人民币 </w:t>
      </w:r>
      <w:r>
        <w:rPr>
          <w:rFonts w:ascii="Times New Roman" w:eastAsia="Times New Roman" w:hAnsi="Times New Roman" w:cs="Times New Roman"/>
          <w:color w:val="000000"/>
          <w:spacing w:val="0"/>
          <w:w w:val="100"/>
          <w:position w:val="0"/>
        </w:rPr>
        <w:t>50,000,000.00</w:t>
      </w:r>
      <w:r>
        <w:rPr>
          <w:color w:val="000000"/>
          <w:spacing w:val="0"/>
          <w:w w:val="100"/>
          <w:position w:val="0"/>
        </w:rPr>
        <w:t>元，持有河源巴伐利亚健康管理有限公司</w:t>
      </w:r>
      <w:r>
        <w:rPr>
          <w:rFonts w:ascii="Times New Roman" w:eastAsia="Times New Roman" w:hAnsi="Times New Roman" w:cs="Times New Roman"/>
          <w:color w:val="000000"/>
          <w:spacing w:val="0"/>
          <w:w w:val="100"/>
          <w:position w:val="0"/>
        </w:rPr>
        <w:t>20%</w:t>
      </w:r>
      <w:r>
        <w:rPr>
          <w:color w:val="000000"/>
          <w:spacing w:val="0"/>
          <w:w w:val="100"/>
          <w:position w:val="0"/>
        </w:rPr>
        <w:t>股份。根据协议，董事会由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名董事组成，公司有权委派</w:t>
      </w:r>
      <w:r>
        <w:rPr>
          <w:rFonts w:ascii="Times New Roman" w:eastAsia="Times New Roman" w:hAnsi="Times New Roman" w:cs="Times New Roman"/>
          <w:color w:val="000000"/>
          <w:spacing w:val="0"/>
          <w:w w:val="100"/>
          <w:position w:val="0"/>
        </w:rPr>
        <w:t>1</w:t>
      </w:r>
      <w:r>
        <w:rPr>
          <w:color w:val="000000"/>
          <w:spacing w:val="0"/>
          <w:w w:val="100"/>
          <w:position w:val="0"/>
        </w:rPr>
        <w:t>名董 事，对于应由董事会决议的事项，到会的董事应当超过全体董事人数的三分之二，且须全体董事人数过半数以上通过的前 提下，董事会的决议方为有效，因此公司对其生产经营具有重大影响，将其作为联营企业，用权益法进行后续计量的长期 股权投资进行核算。</w:t>
      </w:r>
    </w:p>
    <w:p>
      <w:pPr>
        <w:pStyle w:val="Style30"/>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、其他权益工具投资</w:t>
      </w:r>
      <w:bookmarkEnd w:id="1283"/>
      <w:bookmarkEnd w:id="1284"/>
      <w:bookmarkEnd w:id="12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北京吉因加科技有限公司（注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198,899,802.72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160,586,460.00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北京聚道科技有限公司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2,781,871.97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14,268,072.00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北京量化健康科技有限公司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560,342.58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5,999,850.00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辽宁何氏眼科医院集团股份有限公司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34,830,000.18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32,359,118.15</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厦门金诺花科学仪器有限公司（注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2,401,608.00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707,503.17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Congenica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1,907,937.58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13,513,194.87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241,381,563.03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227,434,198.19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042"/>
        <w:gridCol w:w="1416"/>
        <w:gridCol w:w="1416"/>
        <w:gridCol w:w="1277"/>
        <w:gridCol w:w="1685"/>
        <w:gridCol w:w="137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 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其他综合收益</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转入留存收益</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指定为以公允价值计</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量且其变动计入其他</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综合收益的原因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北京吉因加科技</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有限公司（注</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100,665,802.72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对被投资单位不控制 或不具有重大影响， 且属于非交易性权益 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北京聚道科技有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8,343,128.03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对被投资单位不控制 或不具有重大影响， 且属于非交易性权益 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北京量化健康科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4,439,657.42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对被投资单位不控制 或不具有重大影响， 且属于非交易性权益 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辽宁何氏眼科医 院集团股份有限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14,830,000.18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对被投资单位不控制 或不具有重大影响， 且属于非交易性权益 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康美华大基因技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对被投资单位不控制 或不具有重大影响， 且属于非交易性权益 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厦门金诺花科学</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仪器有限公司</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1,131,439.44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对被投资单位不控制 或不具有重大影响， 且属于非交易性权益 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Congenica</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6,200,702.89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对被投资单位不控制 或不具有重大影响， 且属于非交易性权益 工具投资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tabs>
          <w:tab w:pos="906" w:val="left"/>
        </w:tabs>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年，公司将其持有的北京吉因加科技有限公司人民币</w:t>
      </w:r>
      <w:r>
        <w:rPr>
          <w:rFonts w:ascii="Times New Roman" w:eastAsia="Times New Roman" w:hAnsi="Times New Roman" w:cs="Times New Roman"/>
          <w:color w:val="000000"/>
          <w:spacing w:val="0"/>
          <w:w w:val="100"/>
          <w:position w:val="0"/>
        </w:rPr>
        <w:t>1,072,831.00</w:t>
      </w:r>
      <w:r>
        <w:rPr>
          <w:color w:val="000000"/>
          <w:spacing w:val="0"/>
          <w:w w:val="100"/>
          <w:position w:val="0"/>
        </w:rPr>
        <w:t>元注册资本对应股权</w:t>
      </w:r>
      <w:r>
        <w:rPr>
          <w:rFonts w:ascii="Times New Roman" w:eastAsia="Times New Roman" w:hAnsi="Times New Roman" w:cs="Times New Roman"/>
          <w:color w:val="000000"/>
          <w:spacing w:val="0"/>
          <w:w w:val="100"/>
          <w:position w:val="0"/>
        </w:rPr>
        <w:t>0.9922%</w:t>
      </w:r>
      <w:r>
        <w:rPr>
          <w:color w:val="000000"/>
          <w:spacing w:val="0"/>
          <w:w w:val="100"/>
          <w:position w:val="0"/>
        </w:rPr>
        <w:t>，以人民币</w:t>
      </w:r>
    </w:p>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29,638,372.57</w:t>
      </w:r>
      <w:r>
        <w:rPr>
          <w:color w:val="000000"/>
          <w:spacing w:val="0"/>
          <w:w w:val="100"/>
          <w:position w:val="0"/>
        </w:rPr>
        <w:t>元转让给其他投资方，转让后公司所持有股份变为</w:t>
      </w:r>
      <w:r>
        <w:rPr>
          <w:rFonts w:ascii="Times New Roman" w:eastAsia="Times New Roman" w:hAnsi="Times New Roman" w:cs="Times New Roman"/>
          <w:color w:val="000000"/>
          <w:spacing w:val="0"/>
          <w:w w:val="100"/>
          <w:position w:val="0"/>
        </w:rPr>
        <w:t>4.85%</w:t>
      </w:r>
      <w:r>
        <w:rPr>
          <w:color w:val="000000"/>
          <w:spacing w:val="0"/>
          <w:w w:val="100"/>
          <w:position w:val="0"/>
        </w:rPr>
        <w:t>，转让价款与对应的投资成本人民币</w:t>
      </w:r>
      <w:r>
        <w:rPr>
          <w:rFonts w:ascii="Times New Roman" w:eastAsia="Times New Roman" w:hAnsi="Times New Roman" w:cs="Times New Roman"/>
          <w:color w:val="000000"/>
          <w:spacing w:val="0"/>
          <w:w w:val="100"/>
          <w:position w:val="0"/>
        </w:rPr>
        <w:t>19,499,080.</w:t>
      </w:r>
      <w:r>
        <w:rPr>
          <w:rFonts w:ascii="Times New Roman" w:eastAsia="Times New Roman" w:hAnsi="Times New Roman" w:cs="Times New Roman"/>
          <w:color w:val="000000"/>
          <w:spacing w:val="0"/>
          <w:w w:val="100"/>
          <w:position w:val="0"/>
        </w:rPr>
        <w:t>27</w:t>
      </w:r>
      <w:r>
        <w:rPr>
          <w:color w:val="000000"/>
          <w:spacing w:val="0"/>
          <w:w w:val="100"/>
          <w:position w:val="0"/>
        </w:rPr>
        <w:t>元与 对应的公允价值变动人民币</w:t>
      </w:r>
      <w:r>
        <w:rPr>
          <w:rFonts w:ascii="Times New Roman" w:eastAsia="Times New Roman" w:hAnsi="Times New Roman" w:cs="Times New Roman"/>
          <w:color w:val="000000"/>
          <w:spacing w:val="0"/>
          <w:w w:val="100"/>
          <w:position w:val="0"/>
        </w:rPr>
        <w:t>10,266,919.73</w:t>
      </w:r>
      <w:r>
        <w:rPr>
          <w:color w:val="000000"/>
          <w:spacing w:val="0"/>
          <w:w w:val="100"/>
          <w:position w:val="0"/>
        </w:rPr>
        <w:t>元的差额，调整盈余公积人民币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2,762.74</w:t>
      </w:r>
      <w:r>
        <w:rPr>
          <w:color w:val="000000"/>
          <w:spacing w:val="0"/>
          <w:w w:val="100"/>
          <w:position w:val="0"/>
        </w:rPr>
        <w:t>元及未分配利润人民币</w:t>
      </w:r>
      <w:r>
        <w:rPr>
          <w:rFonts w:ascii="Times New Roman" w:eastAsia="Times New Roman" w:hAnsi="Times New Roman" w:cs="Times New Roman"/>
          <w:color w:val="000000"/>
          <w:spacing w:val="0"/>
          <w:w w:val="100"/>
          <w:position w:val="0"/>
        </w:rPr>
        <w:t>114,864.69</w:t>
      </w:r>
      <w:r>
        <w:rPr>
          <w:color w:val="000000"/>
          <w:spacing w:val="0"/>
          <w:w w:val="100"/>
          <w:position w:val="0"/>
        </w:rPr>
        <w:t xml:space="preserve">元，同 </w:t>
      </w:r>
      <w:r>
        <w:rPr>
          <w:color w:val="000000"/>
          <w:spacing w:val="0"/>
          <w:w w:val="100"/>
          <w:position w:val="0"/>
        </w:rPr>
        <w:t>时将以前年度确认的其他综合收益人民币</w:t>
      </w:r>
      <w:r>
        <w:rPr>
          <w:rFonts w:ascii="Times New Roman" w:eastAsia="Times New Roman" w:hAnsi="Times New Roman" w:cs="Times New Roman"/>
          <w:color w:val="000000"/>
          <w:spacing w:val="0"/>
          <w:w w:val="100"/>
          <w:position w:val="0"/>
        </w:rPr>
        <w:t>10,266,919.73</w:t>
      </w:r>
      <w:r>
        <w:rPr>
          <w:color w:val="000000"/>
          <w:spacing w:val="0"/>
          <w:w w:val="100"/>
          <w:position w:val="0"/>
        </w:rPr>
        <w:t>元结转至留存收益，增加盈余公积人民币</w:t>
      </w:r>
      <w:r>
        <w:rPr>
          <w:rFonts w:ascii="Times New Roman" w:eastAsia="Times New Roman" w:hAnsi="Times New Roman" w:cs="Times New Roman"/>
          <w:color w:val="000000"/>
          <w:spacing w:val="0"/>
          <w:w w:val="100"/>
          <w:position w:val="0"/>
        </w:rPr>
        <w:t>1,026,691.97</w:t>
      </w:r>
      <w:r>
        <w:rPr>
          <w:color w:val="000000"/>
          <w:spacing w:val="0"/>
          <w:w w:val="100"/>
          <w:position w:val="0"/>
        </w:rPr>
        <w:t>元和未分配利 润</w:t>
      </w:r>
      <w:r>
        <w:rPr>
          <w:rFonts w:ascii="Times New Roman" w:eastAsia="Times New Roman" w:hAnsi="Times New Roman" w:cs="Times New Roman"/>
          <w:color w:val="000000"/>
          <w:spacing w:val="0"/>
          <w:w w:val="100"/>
          <w:position w:val="0"/>
        </w:rPr>
        <w:t>9,240,227.76</w:t>
      </w:r>
      <w:r>
        <w:rPr>
          <w:color w:val="000000"/>
          <w:spacing w:val="0"/>
          <w:w w:val="100"/>
          <w:position w:val="0"/>
        </w:rPr>
        <w:t>元。</w:t>
      </w:r>
    </w:p>
    <w:p>
      <w:pPr>
        <w:pStyle w:val="Style17"/>
        <w:keepNext w:val="0"/>
        <w:keepLines w:val="0"/>
        <w:widowControl w:val="0"/>
        <w:shd w:val="clear" w:color="auto" w:fill="auto"/>
        <w:tabs>
          <w:tab w:pos="891" w:val="left"/>
        </w:tabs>
        <w:bidi w:val="0"/>
        <w:spacing w:before="0" w:after="0" w:line="310"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月，公司将其持有的厦门金诺花科学仪器有限公司人民币</w:t>
      </w:r>
      <w:r>
        <w:rPr>
          <w:rFonts w:ascii="Times New Roman" w:eastAsia="Times New Roman" w:hAnsi="Times New Roman" w:cs="Times New Roman"/>
          <w:color w:val="000000"/>
          <w:spacing w:val="0"/>
          <w:w w:val="100"/>
          <w:position w:val="0"/>
        </w:rPr>
        <w:t>87,999.70</w:t>
      </w:r>
      <w:r>
        <w:rPr>
          <w:color w:val="000000"/>
          <w:spacing w:val="0"/>
          <w:w w:val="100"/>
          <w:position w:val="0"/>
        </w:rPr>
        <w:t>元注册资本对应股权</w:t>
      </w:r>
      <w:r>
        <w:rPr>
          <w:rFonts w:ascii="Times New Roman" w:eastAsia="Times New Roman" w:hAnsi="Times New Roman" w:cs="Times New Roman"/>
          <w:color w:val="000000"/>
          <w:spacing w:val="0"/>
          <w:w w:val="100"/>
          <w:position w:val="0"/>
        </w:rPr>
        <w:t>4%</w:t>
      </w:r>
      <w:r>
        <w:rPr>
          <w:color w:val="000000"/>
          <w:spacing w:val="0"/>
          <w:w w:val="100"/>
          <w:position w:val="0"/>
        </w:rPr>
        <w:t>，以人民币</w:t>
      </w:r>
    </w:p>
    <w:p>
      <w:pPr>
        <w:pStyle w:val="Style17"/>
        <w:keepNext w:val="0"/>
        <w:keepLines w:val="0"/>
        <w:widowControl w:val="0"/>
        <w:shd w:val="clear" w:color="auto" w:fill="auto"/>
        <w:bidi w:val="0"/>
        <w:spacing w:before="0" w:after="360" w:line="310" w:lineRule="exact"/>
        <w:ind w:left="0" w:right="0" w:firstLine="0"/>
        <w:jc w:val="both"/>
      </w:pPr>
      <w:r>
        <w:rPr>
          <w:rFonts w:ascii="Times New Roman" w:eastAsia="Times New Roman" w:hAnsi="Times New Roman" w:cs="Times New Roman"/>
          <w:color w:val="000000"/>
          <w:spacing w:val="0"/>
          <w:w w:val="100"/>
          <w:position w:val="0"/>
        </w:rPr>
        <w:t>4,752,000.00</w:t>
      </w:r>
      <w:r>
        <w:rPr>
          <w:color w:val="000000"/>
          <w:spacing w:val="0"/>
          <w:w w:val="100"/>
          <w:position w:val="0"/>
        </w:rPr>
        <w:t>元转让给其他投资方，转让后公司所持有股份变为</w:t>
      </w:r>
      <w:r>
        <w:rPr>
          <w:rFonts w:ascii="Times New Roman" w:eastAsia="Times New Roman" w:hAnsi="Times New Roman" w:cs="Times New Roman"/>
          <w:color w:val="000000"/>
          <w:spacing w:val="0"/>
          <w:w w:val="100"/>
          <w:position w:val="0"/>
        </w:rPr>
        <w:t>2.0606%</w:t>
      </w:r>
      <w:r>
        <w:rPr>
          <w:color w:val="000000"/>
          <w:spacing w:val="0"/>
          <w:w w:val="100"/>
          <w:position w:val="0"/>
        </w:rPr>
        <w:t>，转让价款与对应的投资成本人民币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,640,002.64</w:t>
      </w:r>
      <w:r>
        <w:rPr>
          <w:color w:val="000000"/>
          <w:spacing w:val="0"/>
          <w:w w:val="100"/>
          <w:position w:val="0"/>
        </w:rPr>
        <w:t>元与 对应的公允价值变动人民币</w:t>
      </w:r>
      <w:r>
        <w:rPr>
          <w:rFonts w:ascii="Times New Roman" w:eastAsia="Times New Roman" w:hAnsi="Times New Roman" w:cs="Times New Roman"/>
          <w:color w:val="000000"/>
          <w:spacing w:val="0"/>
          <w:w w:val="100"/>
          <w:position w:val="0"/>
        </w:rPr>
        <w:t>2,173,050.08</w:t>
      </w:r>
      <w:r>
        <w:rPr>
          <w:color w:val="000000"/>
          <w:spacing w:val="0"/>
          <w:w w:val="100"/>
          <w:position w:val="0"/>
        </w:rPr>
        <w:t>元的差额，调整增加未分配利润人民币</w:t>
      </w:r>
      <w:r>
        <w:rPr>
          <w:rFonts w:ascii="Times New Roman" w:eastAsia="Times New Roman" w:hAnsi="Times New Roman" w:cs="Times New Roman"/>
          <w:color w:val="000000"/>
          <w:spacing w:val="0"/>
          <w:w w:val="100"/>
          <w:position w:val="0"/>
        </w:rPr>
        <w:t>3,642,290,32</w:t>
      </w:r>
      <w:r>
        <w:rPr>
          <w:color w:val="000000"/>
          <w:spacing w:val="0"/>
          <w:w w:val="100"/>
          <w:position w:val="0"/>
        </w:rPr>
        <w:t xml:space="preserve">元及少数股东权益人民币 </w:t>
      </w:r>
      <w:r>
        <w:rPr>
          <w:rFonts w:ascii="Times New Roman" w:eastAsia="Times New Roman" w:hAnsi="Times New Roman" w:cs="Times New Roman"/>
          <w:color w:val="000000"/>
          <w:spacing w:val="0"/>
          <w:w w:val="100"/>
          <w:position w:val="0"/>
        </w:rPr>
        <w:t>642,757.12</w:t>
      </w:r>
      <w:r>
        <w:rPr>
          <w:color w:val="000000"/>
          <w:spacing w:val="0"/>
          <w:w w:val="100"/>
          <w:position w:val="0"/>
        </w:rPr>
        <w:t>元，同时将以前年度确认的其他综合亏损人民币</w:t>
      </w:r>
      <w:r>
        <w:rPr>
          <w:rFonts w:ascii="Times New Roman" w:eastAsia="Times New Roman" w:hAnsi="Times New Roman" w:cs="Times New Roman"/>
          <w:color w:val="000000"/>
          <w:spacing w:val="0"/>
          <w:w w:val="100"/>
          <w:position w:val="0"/>
        </w:rPr>
        <w:t>2,173,050.08</w:t>
      </w:r>
      <w:r>
        <w:rPr>
          <w:color w:val="000000"/>
          <w:spacing w:val="0"/>
          <w:w w:val="100"/>
          <w:position w:val="0"/>
        </w:rPr>
        <w:t>元结转至留存收益，减少未分配利润</w:t>
      </w:r>
      <w:r>
        <w:rPr>
          <w:rFonts w:ascii="Times New Roman" w:eastAsia="Times New Roman" w:hAnsi="Times New Roman" w:cs="Times New Roman"/>
          <w:color w:val="000000"/>
          <w:spacing w:val="0"/>
          <w:w w:val="100"/>
          <w:position w:val="0"/>
        </w:rPr>
        <w:t>2,173,050.08</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、其他非流动金融资产</w:t>
      </w:r>
      <w:bookmarkEnd w:id="1287"/>
      <w:bookmarkEnd w:id="1288"/>
      <w:bookmarkEnd w:id="12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私募基金股权投资（注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350,236,499.55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257,946,385.25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35,511,087.86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非上市公司股权投资（注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98,925,722.00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上市公司股权投资（注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4,517,240.00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6,564,480.00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453,679,461.55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300,021,953.11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tabs>
          <w:tab w:pos="882" w:val="left"/>
        </w:tabs>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年本公司新增对私募基金青岛华大共赢二号创业投资基金合伙企业（有限合伙）股权投资，该事项构成了公</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司的关联交易，详见第十节财务报告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十二、关联方及关联交易</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“5</w:t>
      </w:r>
      <w:r>
        <w:rPr>
          <w:color w:val="000000"/>
          <w:spacing w:val="0"/>
          <w:w w:val="100"/>
          <w:position w:val="0"/>
        </w:rPr>
        <w:t>、关联交易情况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：非上市公司股权投资为对恩迪生物科技河北股份有限公司（以下简称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恩迪生物</w:t>
      </w:r>
      <w:r>
        <w:rPr>
          <w:rFonts w:ascii="Times New Roman" w:eastAsia="Times New Roman" w:hAnsi="Times New Roman" w:cs="Times New Roman"/>
          <w:color w:val="000000"/>
          <w:spacing w:val="0"/>
          <w:w w:val="100"/>
          <w:position w:val="0"/>
        </w:rPr>
        <w:t>”</w:t>
      </w:r>
      <w:r>
        <w:rPr>
          <w:color w:val="000000"/>
          <w:spacing w:val="0"/>
          <w:w w:val="100"/>
          <w:position w:val="0"/>
        </w:rPr>
        <w:t>）和深圳早知道科技有限公司（以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深圳早知道</w:t>
      </w:r>
      <w:r>
        <w:rPr>
          <w:rFonts w:ascii="Times New Roman" w:eastAsia="Times New Roman" w:hAnsi="Times New Roman" w:cs="Times New Roman"/>
          <w:color w:val="000000"/>
          <w:spacing w:val="0"/>
          <w:w w:val="100"/>
          <w:position w:val="0"/>
        </w:rPr>
        <w:t>”</w:t>
      </w:r>
      <w:r>
        <w:rPr>
          <w:color w:val="000000"/>
          <w:spacing w:val="0"/>
          <w:w w:val="100"/>
          <w:position w:val="0"/>
        </w:rPr>
        <w:t>）的股权投资，其中：（</w:t>
      </w:r>
      <w:r>
        <w:rPr>
          <w:rFonts w:ascii="Times New Roman" w:eastAsia="Times New Roman" w:hAnsi="Times New Roman" w:cs="Times New Roman"/>
          <w:color w:val="000000"/>
          <w:spacing w:val="0"/>
          <w:w w:val="100"/>
          <w:position w:val="0"/>
        </w:rPr>
        <w:t>1</w:t>
      </w:r>
      <w:r>
        <w:rPr>
          <w:color w:val="000000"/>
          <w:spacing w:val="0"/>
          <w:w w:val="100"/>
          <w:position w:val="0"/>
        </w:rPr>
        <w:t>）因本公司本年对恩迪生物不再构成重大影响，故本年恩迪生物由长期股权 投资转入其他非流动金融资产核算，转入成本及收益合计人民币</w:t>
      </w:r>
      <w:r>
        <w:rPr>
          <w:rFonts w:ascii="Times New Roman" w:eastAsia="Times New Roman" w:hAnsi="Times New Roman" w:cs="Times New Roman"/>
          <w:color w:val="000000"/>
          <w:spacing w:val="0"/>
          <w:w w:val="100"/>
          <w:position w:val="0"/>
        </w:rPr>
        <w:t>62,007,758.20</w:t>
      </w:r>
      <w:r>
        <w:rPr>
          <w:color w:val="000000"/>
          <w:spacing w:val="0"/>
          <w:w w:val="100"/>
          <w:position w:val="0"/>
        </w:rPr>
        <w:t>元，详见第十节财务报告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 目注释</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“12</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日与深圳早知道签订了《投资协议》，协议约定本公司以其 享有的人民币</w:t>
      </w:r>
      <w:r>
        <w:rPr>
          <w:rFonts w:ascii="Times New Roman" w:eastAsia="Times New Roman" w:hAnsi="Times New Roman" w:cs="Times New Roman"/>
          <w:color w:val="000000"/>
          <w:spacing w:val="0"/>
          <w:w w:val="100"/>
          <w:position w:val="0"/>
        </w:rPr>
        <w:t>35,000,000.00</w:t>
      </w:r>
      <w:r>
        <w:rPr>
          <w:color w:val="000000"/>
          <w:spacing w:val="0"/>
          <w:w w:val="100"/>
          <w:position w:val="0"/>
        </w:rPr>
        <w:t xml:space="preserve">元的可转股债权方式向深圳早知道增资，增资后，本公司持有深圳早知道注册资本人民币 </w:t>
      </w:r>
      <w:r>
        <w:rPr>
          <w:rFonts w:ascii="Times New Roman" w:eastAsia="Times New Roman" w:hAnsi="Times New Roman" w:cs="Times New Roman"/>
          <w:color w:val="000000"/>
          <w:spacing w:val="0"/>
          <w:w w:val="100"/>
          <w:position w:val="0"/>
        </w:rPr>
        <w:t>1,745,356.00</w:t>
      </w:r>
      <w:r>
        <w:rPr>
          <w:color w:val="000000"/>
          <w:spacing w:val="0"/>
          <w:w w:val="100"/>
          <w:position w:val="0"/>
        </w:rPr>
        <w:t>元，对应持股比例</w:t>
      </w:r>
      <w:r>
        <w:rPr>
          <w:rFonts w:ascii="Times New Roman" w:eastAsia="Times New Roman" w:hAnsi="Times New Roman" w:cs="Times New Roman"/>
          <w:color w:val="000000"/>
          <w:spacing w:val="0"/>
          <w:w w:val="100"/>
          <w:position w:val="0"/>
        </w:rPr>
        <w:t>10.9667%</w:t>
      </w:r>
      <w:r>
        <w:rPr>
          <w:color w:val="000000"/>
          <w:spacing w:val="0"/>
          <w:w w:val="100"/>
          <w:position w:val="0"/>
        </w:rPr>
        <w:t>，并且由可转债转入非上市公司股权投资核算。</w:t>
      </w:r>
    </w:p>
    <w:p>
      <w:pPr>
        <w:pStyle w:val="Style17"/>
        <w:keepNext w:val="0"/>
        <w:keepLines w:val="0"/>
        <w:widowControl w:val="0"/>
        <w:shd w:val="clear" w:color="auto" w:fill="auto"/>
        <w:tabs>
          <w:tab w:pos="882" w:val="left"/>
        </w:tabs>
        <w:bidi w:val="0"/>
        <w:spacing w:before="0" w:after="36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年及</w:t>
      </w:r>
      <w:r>
        <w:rPr>
          <w:rFonts w:ascii="Times New Roman" w:eastAsia="Times New Roman" w:hAnsi="Times New Roman" w:cs="Times New Roman"/>
          <w:color w:val="000000"/>
          <w:spacing w:val="0"/>
          <w:w w:val="100"/>
          <w:position w:val="0"/>
        </w:rPr>
        <w:t>2020</w:t>
      </w:r>
      <w:r>
        <w:rPr>
          <w:color w:val="000000"/>
          <w:spacing w:val="0"/>
          <w:w w:val="100"/>
          <w:position w:val="0"/>
        </w:rPr>
        <w:t>年余额为本公司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月购入的中关村科技租赁股份有限公司股票。</w:t>
      </w:r>
    </w:p>
    <w:p>
      <w:pPr>
        <w:pStyle w:val="Style30"/>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291"/>
      <w:bookmarkEnd w:id="1292"/>
      <w:bookmarkEnd w:id="12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1,167,095,216.51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1,138,436,140.80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1,167,095,216.51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1,138,436,140.80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95"/>
      <w:bookmarkEnd w:id="1296"/>
      <w:bookmarkEnd w:id="12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17"/>
        <w:gridCol w:w="1517"/>
        <w:gridCol w:w="1512"/>
        <w:gridCol w:w="1517"/>
        <w:gridCol w:w="152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422,231,732.75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1,198,736,598.80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9,479,826.02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238,506,561.72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1,868,954,719.29</w:t>
            </w:r>
          </w:p>
        </w:tc>
      </w:tr>
    </w:tbl>
    <w:p>
      <w:pPr>
        <w:spacing w:lineRule="exact" w:line="1"/>
        <w:rPr>
          <w:sz w:val="2"/>
          <w:szCs w:val="2"/>
        </w:rPr>
      </w:pPr>
      <w:r>
        <w:br w:type="page"/>
      </w:r>
    </w:p>
    <w:tbl>
      <w:tblPr>
        <w:tblOverlap w:val="never"/>
        <w:jc w:val="center"/>
        <w:tblLayout w:type="fixed"/>
      </w:tblPr>
      <w:tblGrid>
        <w:gridCol w:w="1992"/>
        <w:gridCol w:w="1517"/>
        <w:gridCol w:w="1517"/>
        <w:gridCol w:w="1512"/>
        <w:gridCol w:w="1517"/>
        <w:gridCol w:w="152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237,643,744.25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2,226,049.53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74,328,791.24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314,198,585.02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232,871,010.09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2,226,049.53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74,328,791.24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309,425,850.86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4,772,734.16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4,772,734.16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125,597,951.01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576,619.65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9,904,813.48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136,079,384.14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125,597,951.01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576,619.65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9,904,813.48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136,079,384.14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外币报表折算差额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-3,426,373.99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-11,839,193.28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-1,069,019.02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-16,339,588.57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418,805,358.76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1,298,943,198.76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11,124,253.62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301,861,520.46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2,030,734,331.60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63,871,372.91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533,936,887.55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6,911,732.70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125,798,585.33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730,518,578.49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14,943,864.73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198,154,636.47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924,928.08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31,367,026.32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245,390,455.60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14,943,864.73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198,154,636.47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924,928.08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31,367,026.32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245,390,455.60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96,840,322.74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519,808.33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9,454,488.20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106,814,619.27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96,840,322.74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519,808.33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9,454,488.20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106,814,619.27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外币报表折算差额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-696,489.60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-3,982,531.72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-774,982.64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-5,455,299.73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78,118,748.04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631,268,669.56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7,315,556.68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146,936,140.81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863,639,115.09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340,686,610.72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667,674,529.20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3,808,696.94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154,925,379.65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1,167,095,216.51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358,360,359.84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664,799,711.25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2,568,093.32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112,707,976.39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1,138,436,140.80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298"/>
      <w:bookmarkEnd w:id="1299"/>
      <w:bookmarkEnd w:id="13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3,799,355.34</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line="240" w:lineRule="auto"/>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日，本公司无未办妥产权证的固定资产（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17"/>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95,556,154.59</w:t>
      </w:r>
      <w:r>
        <w:rPr>
          <w:color w:val="000000"/>
          <w:spacing w:val="0"/>
          <w:w w:val="100"/>
          <w:position w:val="0"/>
        </w:rPr>
        <w:t>元的固定资产用于取得融资租赁款抵押。</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年，本公司采用新租 </w:t>
      </w:r>
      <w:r>
        <w:rPr>
          <w:color w:val="000000"/>
          <w:spacing w:val="0"/>
          <w:w w:val="100"/>
          <w:position w:val="0"/>
        </w:rPr>
        <w:t>赁准则，将用于取得融资租赁款抵押的固定资产转移至使用权资产核算。于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br w:type="page"/>
      </w:r>
      <w:r>
        <w:rPr>
          <w:rFonts w:ascii="Times New Roman" w:eastAsia="Times New Roman" w:hAnsi="Times New Roman" w:cs="Times New Roman"/>
          <w:color w:val="000000"/>
          <w:spacing w:val="0"/>
          <w:w w:val="100"/>
          <w:position w:val="0"/>
        </w:rPr>
        <w:t>216,596,797.46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223,288,238.65</w:t>
      </w:r>
      <w:r>
        <w:rPr>
          <w:color w:val="000000"/>
          <w:spacing w:val="0"/>
          <w:w w:val="100"/>
          <w:position w:val="0"/>
        </w:rPr>
        <w:t xml:space="preserve">元）的固定资产用于债券发行反担保抵押，参见第十节财务报告 </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“64</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301"/>
      <w:bookmarkEnd w:id="1302"/>
      <w:bookmarkEnd w:id="13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38,498,106.13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38,498,106.13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05"/>
      <w:bookmarkEnd w:id="1306"/>
      <w:bookmarkEnd w:id="13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138"/>
        <w:gridCol w:w="989"/>
        <w:gridCol w:w="1138"/>
        <w:gridCol w:w="1133"/>
        <w:gridCol w:w="850"/>
        <w:gridCol w:w="121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BGI GENOMICS UK CO LTD </w:t>
            </w:r>
            <w:r>
              <w:rPr>
                <w:rFonts w:ascii="Times New Roman" w:eastAsia="Times New Roman" w:hAnsi="Times New Roman" w:cs="Times New Roman"/>
                <w:color w:val="000000"/>
                <w:spacing w:val="0"/>
                <w:w w:val="100"/>
                <w:position w:val="0"/>
              </w:rPr>
              <w:t>-</w:t>
            </w:r>
            <w:r>
              <w:rPr>
                <w:color w:val="000000"/>
                <w:spacing w:val="0"/>
                <w:w w:val="100"/>
                <w:position w:val="0"/>
              </w:rPr>
              <w:t>装修工 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4,008,593.63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4,008,593.63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18,459,932.63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18,459,932.63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武汉医检</w:t>
            </w:r>
            <w:r>
              <w:rPr>
                <w:rFonts w:ascii="Times New Roman" w:eastAsia="Times New Roman" w:hAnsi="Times New Roman" w:cs="Times New Roman"/>
                <w:color w:val="000000"/>
                <w:spacing w:val="0"/>
                <w:w w:val="100"/>
                <w:position w:val="0"/>
              </w:rPr>
              <w:t>-</w:t>
            </w:r>
            <w:r>
              <w:rPr>
                <w:color w:val="000000"/>
                <w:spacing w:val="0"/>
                <w:w w:val="100"/>
                <w:position w:val="0"/>
              </w:rPr>
              <w:t>实验室智能系统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11,624,185.27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11,624,185.27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BGI HEALTH (HK) CO., LTD </w:t>
            </w:r>
            <w:r>
              <w:rPr>
                <w:rFonts w:ascii="Times New Roman" w:eastAsia="Times New Roman" w:hAnsi="Times New Roman" w:cs="Times New Roman"/>
                <w:color w:val="000000"/>
                <w:spacing w:val="0"/>
                <w:w w:val="100"/>
                <w:position w:val="0"/>
              </w:rPr>
              <w:t>-</w:t>
            </w:r>
            <w:r>
              <w:rPr>
                <w:color w:val="000000"/>
                <w:spacing w:val="0"/>
                <w:w w:val="100"/>
                <w:position w:val="0"/>
              </w:rPr>
              <w:t>实验室 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4,873,812.68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4,873,812.68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6,938,490.71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6,938,490.71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3,805,779.22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3,805,779.22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华大因源</w:t>
            </w:r>
            <w:r>
              <w:rPr>
                <w:rFonts w:ascii="Times New Roman" w:eastAsia="Times New Roman" w:hAnsi="Times New Roman" w:cs="Times New Roman"/>
                <w:color w:val="000000"/>
                <w:spacing w:val="0"/>
                <w:w w:val="100"/>
                <w:position w:val="0"/>
              </w:rPr>
              <w:t>-</w:t>
            </w:r>
            <w:r>
              <w:rPr>
                <w:color w:val="000000"/>
                <w:spacing w:val="0"/>
                <w:w w:val="100"/>
                <w:position w:val="0"/>
              </w:rPr>
              <w:t>大百汇实验室装修工程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3,197,065.08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3,197,065.08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深圳医检</w:t>
            </w:r>
            <w:r>
              <w:rPr>
                <w:rFonts w:ascii="Times New Roman" w:eastAsia="Times New Roman" w:hAnsi="Times New Roman" w:cs="Times New Roman"/>
                <w:color w:val="000000"/>
                <w:spacing w:val="0"/>
                <w:w w:val="100"/>
                <w:position w:val="0"/>
              </w:rPr>
              <w:t>-</w:t>
            </w:r>
            <w:r>
              <w:rPr>
                <w:color w:val="000000"/>
                <w:spacing w:val="0"/>
                <w:w w:val="100"/>
                <w:position w:val="0"/>
              </w:rPr>
              <w:t>实验室装修工程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1,534,186.21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1,534,186.21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2,728,149.80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2,728,149.80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华大基因</w:t>
            </w:r>
            <w:r>
              <w:rPr>
                <w:rFonts w:ascii="Times New Roman" w:eastAsia="Times New Roman" w:hAnsi="Times New Roman" w:cs="Times New Roman"/>
                <w:color w:val="000000"/>
                <w:spacing w:val="0"/>
                <w:w w:val="100"/>
                <w:position w:val="0"/>
              </w:rPr>
              <w:t>-</w:t>
            </w:r>
            <w:r>
              <w:rPr>
                <w:color w:val="000000"/>
                <w:spacing w:val="0"/>
                <w:w w:val="100"/>
                <w:position w:val="0"/>
              </w:rPr>
              <w:t>优康大百汇装修工程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1,600,752.40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1,600,752.40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青岛华大医学检验所有限公司</w:t>
            </w:r>
            <w:r>
              <w:rPr>
                <w:rFonts w:ascii="Times New Roman" w:eastAsia="Times New Roman" w:hAnsi="Times New Roman" w:cs="Times New Roman"/>
                <w:color w:val="000000"/>
                <w:spacing w:val="0"/>
                <w:w w:val="100"/>
                <w:position w:val="0"/>
              </w:rPr>
              <w:t>-</w:t>
            </w:r>
            <w:r>
              <w:rPr>
                <w:color w:val="000000"/>
                <w:spacing w:val="0"/>
                <w:w w:val="100"/>
                <w:position w:val="0"/>
              </w:rPr>
              <w:t>实验 室装修工程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1,453,706.82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1,453,706.82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石家庄华大医学检验实验室有限公司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自动化实验室装修工程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1,408,265.52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1,408,265.52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北京吉比爱</w:t>
            </w:r>
            <w:r>
              <w:rPr>
                <w:rFonts w:ascii="Times New Roman" w:eastAsia="Times New Roman" w:hAnsi="Times New Roman" w:cs="Times New Roman"/>
                <w:color w:val="000000"/>
                <w:spacing w:val="0"/>
                <w:w w:val="100"/>
                <w:position w:val="0"/>
              </w:rPr>
              <w:t>-</w:t>
            </w:r>
            <w:r>
              <w:rPr>
                <w:color w:val="000000"/>
                <w:spacing w:val="0"/>
                <w:w w:val="100"/>
                <w:position w:val="0"/>
              </w:rPr>
              <w:t>新</w:t>
            </w:r>
            <w:r>
              <w:rPr>
                <w:rFonts w:ascii="Times New Roman" w:eastAsia="Times New Roman" w:hAnsi="Times New Roman" w:cs="Times New Roman"/>
                <w:color w:val="000000"/>
                <w:spacing w:val="0"/>
                <w:w w:val="100"/>
                <w:position w:val="0"/>
              </w:rPr>
              <w:t>Lis</w:t>
            </w:r>
            <w:r>
              <w:rPr>
                <w:color w:val="000000"/>
                <w:spacing w:val="0"/>
                <w:w w:val="100"/>
                <w:position w:val="0"/>
              </w:rPr>
              <w:t>系统开发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武汉医检</w:t>
            </w:r>
            <w:r>
              <w:rPr>
                <w:rFonts w:ascii="Times New Roman" w:eastAsia="Times New Roman" w:hAnsi="Times New Roman" w:cs="Times New Roman"/>
                <w:color w:val="000000"/>
                <w:spacing w:val="0"/>
                <w:w w:val="100"/>
                <w:position w:val="0"/>
              </w:rPr>
              <w:t>-</w:t>
            </w:r>
            <w:r>
              <w:rPr>
                <w:color w:val="000000"/>
                <w:spacing w:val="0"/>
                <w:w w:val="100"/>
                <w:position w:val="0"/>
              </w:rPr>
              <w:t>医学主线系统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9,646,953.84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9,646,953.84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北京吉比爱</w:t>
            </w:r>
            <w:r>
              <w:rPr>
                <w:rFonts w:ascii="Times New Roman" w:eastAsia="Times New Roman" w:hAnsi="Times New Roman" w:cs="Times New Roman"/>
                <w:color w:val="000000"/>
                <w:spacing w:val="0"/>
                <w:w w:val="100"/>
                <w:position w:val="0"/>
              </w:rPr>
              <w:t>-</w:t>
            </w:r>
            <w:r>
              <w:rPr>
                <w:color w:val="000000"/>
                <w:spacing w:val="0"/>
                <w:w w:val="100"/>
                <w:position w:val="0"/>
              </w:rPr>
              <w:t>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3,702,622.00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武汉医检</w:t>
            </w:r>
            <w:r>
              <w:rPr>
                <w:rFonts w:ascii="Times New Roman" w:eastAsia="Times New Roman" w:hAnsi="Times New Roman" w:cs="Times New Roman"/>
                <w:color w:val="000000"/>
                <w:spacing w:val="0"/>
                <w:w w:val="100"/>
                <w:position w:val="0"/>
              </w:rPr>
              <w:t>-B2</w:t>
            </w:r>
            <w:r>
              <w:rPr>
                <w:color w:val="000000"/>
                <w:spacing w:val="0"/>
                <w:w w:val="100"/>
                <w:position w:val="0"/>
              </w:rPr>
              <w:t>栋</w:t>
            </w:r>
            <w:r>
              <w:rPr>
                <w:rFonts w:ascii="Times New Roman" w:eastAsia="Times New Roman" w:hAnsi="Times New Roman" w:cs="Times New Roman"/>
                <w:color w:val="000000"/>
                <w:spacing w:val="0"/>
                <w:w w:val="100"/>
                <w:position w:val="0"/>
              </w:rPr>
              <w:t>4</w:t>
            </w:r>
            <w:r>
              <w:rPr>
                <w:color w:val="000000"/>
                <w:spacing w:val="0"/>
                <w:w w:val="100"/>
                <w:position w:val="0"/>
              </w:rPr>
              <w:t>楼实验室装修工程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1,031,780.50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1,031,780.50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武汉生物科技</w:t>
            </w:r>
            <w:r>
              <w:rPr>
                <w:rFonts w:ascii="Times New Roman" w:eastAsia="Times New Roman" w:hAnsi="Times New Roman" w:cs="Times New Roman"/>
                <w:color w:val="000000"/>
                <w:spacing w:val="0"/>
                <w:w w:val="100"/>
                <w:position w:val="0"/>
              </w:rPr>
              <w:t>-</w:t>
            </w:r>
            <w:r>
              <w:rPr>
                <w:color w:val="000000"/>
                <w:spacing w:val="0"/>
                <w:w w:val="100"/>
                <w:position w:val="0"/>
              </w:rPr>
              <w:t>试剂生产厂房改造工程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1,720,972.42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1,720,972.42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青岛青西华大</w:t>
            </w:r>
            <w:r>
              <w:rPr>
                <w:rFonts w:ascii="Times New Roman" w:eastAsia="Times New Roman" w:hAnsi="Times New Roman" w:cs="Times New Roman"/>
                <w:color w:val="000000"/>
                <w:spacing w:val="0"/>
                <w:w w:val="100"/>
                <w:position w:val="0"/>
              </w:rPr>
              <w:t>-</w:t>
            </w:r>
            <w:r>
              <w:rPr>
                <w:color w:val="000000"/>
                <w:spacing w:val="0"/>
                <w:w w:val="100"/>
                <w:position w:val="0"/>
              </w:rPr>
              <w:t>健康医疗产业园项目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6,136,835.80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6,136,835.80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华大数极</w:t>
            </w:r>
            <w:r>
              <w:rPr>
                <w:rFonts w:ascii="Times New Roman" w:eastAsia="Times New Roman" w:hAnsi="Times New Roman" w:cs="Times New Roman"/>
                <w:color w:val="000000"/>
                <w:spacing w:val="0"/>
                <w:w w:val="100"/>
                <w:position w:val="0"/>
              </w:rPr>
              <w:t>-</w:t>
            </w:r>
            <w:r>
              <w:rPr>
                <w:color w:val="000000"/>
                <w:spacing w:val="0"/>
                <w:w w:val="100"/>
                <w:position w:val="0"/>
              </w:rPr>
              <w:t>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2,602,379.77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2,602,379.77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3,944,062.02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3,944,062.02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38,498,106.13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38,498,106.13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53,395,711.44</w:t>
            </w:r>
          </w:p>
        </w:tc>
      </w:tr>
    </w:tbl>
    <w:p>
      <w:pPr>
        <w:sectPr>
          <w:footnotePr>
            <w:pos w:val="pageBottom"/>
            <w:numFmt w:val="decimal"/>
            <w:numRestart w:val="continuous"/>
          </w:footnotePr>
          <w:pgSz w:w="11900" w:h="16840"/>
          <w:pgMar w:top="1383" w:right="1058" w:bottom="1551" w:left="1064"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08"/>
      <w:bookmarkEnd w:id="1309"/>
      <w:bookmarkEnd w:id="1310"/>
    </w:p>
    <w:p>
      <w:pPr>
        <w:pStyle w:val="Style2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056"/>
        <w:gridCol w:w="1181"/>
        <w:gridCol w:w="1090"/>
        <w:gridCol w:w="1090"/>
        <w:gridCol w:w="1056"/>
        <w:gridCol w:w="1090"/>
        <w:gridCol w:w="1090"/>
        <w:gridCol w:w="1051"/>
        <w:gridCol w:w="1051"/>
        <w:gridCol w:w="1056"/>
        <w:gridCol w:w="1051"/>
        <w:gridCol w:w="1051"/>
        <w:gridCol w:w="1056"/>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本期转入固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工程累计投</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入占预算比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工程进度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利息资本化 累计金额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利息资本化</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本期利息资 本化率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GENOMICS</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UK CO LTD</w:t>
            </w:r>
          </w:p>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26,823,000.00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18,459,932.63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1,876,388.59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16,327,727.59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4,008,593.63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武汉医检</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实验室智能 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18,139,898.00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11,624,185.27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6,139,427.93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17,763,613.20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募股资金及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BGI</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HEALTH</w:t>
            </w:r>
          </w:p>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(HK) CO., LTD </w:t>
            </w:r>
            <w:r>
              <w:rPr>
                <w:rFonts w:ascii="Times New Roman" w:eastAsia="Times New Roman" w:hAnsi="Times New Roman" w:cs="Times New Roman"/>
                <w:color w:val="000000"/>
                <w:spacing w:val="0"/>
                <w:w w:val="100"/>
                <w:position w:val="0"/>
              </w:rPr>
              <w:t>-</w:t>
            </w:r>
            <w:r>
              <w:rPr>
                <w:color w:val="000000"/>
                <w:spacing w:val="0"/>
                <w:w w:val="100"/>
                <w:position w:val="0"/>
              </w:rPr>
              <w:t>实验 室装修工程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5,865,923.97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4,873,812.68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206,470.46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976,330.57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4,103,952.57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华大因源</w:t>
            </w:r>
            <w:r>
              <w:rPr>
                <w:rFonts w:ascii="Times New Roman" w:eastAsia="Times New Roman" w:hAnsi="Times New Roman" w:cs="Times New Roman"/>
                <w:color w:val="000000"/>
                <w:spacing w:val="0"/>
                <w:w w:val="100"/>
                <w:position w:val="0"/>
              </w:rPr>
              <w:t xml:space="preserve">- </w:t>
            </w:r>
            <w:r>
              <w:rPr>
                <w:color w:val="000000"/>
                <w:spacing w:val="0"/>
                <w:w w:val="100"/>
                <w:position w:val="0"/>
              </w:rPr>
              <w:t>大百汇实验 室装修工程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5,300,255.12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3,197,065.08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1,291,499.25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4,488,564.33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深圳医检</w:t>
            </w:r>
            <w:r>
              <w:rPr>
                <w:rFonts w:ascii="Times New Roman" w:eastAsia="Times New Roman" w:hAnsi="Times New Roman" w:cs="Times New Roman"/>
                <w:color w:val="000000"/>
                <w:spacing w:val="0"/>
                <w:w w:val="100"/>
                <w:position w:val="0"/>
              </w:rPr>
              <w:t xml:space="preserve">- </w:t>
            </w:r>
            <w:r>
              <w:rPr>
                <w:color w:val="000000"/>
                <w:spacing w:val="0"/>
                <w:w w:val="100"/>
                <w:position w:val="0"/>
              </w:rPr>
              <w:t>实验室装修 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7,981,466.00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2,728,149.80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5,217,564.85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6,411,528.44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1,534,186.21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华大基因</w:t>
            </w:r>
            <w:r>
              <w:rPr>
                <w:rFonts w:ascii="Times New Roman" w:eastAsia="Times New Roman" w:hAnsi="Times New Roman" w:cs="Times New Roman"/>
                <w:color w:val="000000"/>
                <w:spacing w:val="0"/>
                <w:w w:val="100"/>
                <w:position w:val="0"/>
              </w:rPr>
              <w:t xml:space="preserve">- </w:t>
            </w:r>
            <w:r>
              <w:rPr>
                <w:color w:val="000000"/>
                <w:spacing w:val="0"/>
                <w:w w:val="100"/>
                <w:position w:val="0"/>
              </w:rPr>
              <w:t>优康大百汇 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1,600,752.40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31,510.03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1,632,262.43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2,472,844.70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1,453,706.82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746,150.70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2,199,857.52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1056"/>
        <w:gridCol w:w="1181"/>
        <w:gridCol w:w="1090"/>
        <w:gridCol w:w="1090"/>
        <w:gridCol w:w="1056"/>
        <w:gridCol w:w="1090"/>
        <w:gridCol w:w="1090"/>
        <w:gridCol w:w="1051"/>
        <w:gridCol w:w="1051"/>
        <w:gridCol w:w="1056"/>
        <w:gridCol w:w="1051"/>
        <w:gridCol w:w="1051"/>
        <w:gridCol w:w="1056"/>
      </w:tblGrid>
      <w:tr>
        <w:trPr>
          <w:trHeight w:val="13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学检验所有 限公司</w:t>
            </w:r>
            <w:r>
              <w:rPr>
                <w:rFonts w:ascii="Times New Roman" w:eastAsia="Times New Roman" w:hAnsi="Times New Roman" w:cs="Times New Roman"/>
                <w:color w:val="000000"/>
                <w:spacing w:val="0"/>
                <w:w w:val="100"/>
                <w:position w:val="0"/>
              </w:rPr>
              <w:t>-</w:t>
            </w:r>
            <w:r>
              <w:rPr>
                <w:color w:val="000000"/>
                <w:spacing w:val="0"/>
                <w:w w:val="100"/>
                <w:position w:val="0"/>
              </w:rPr>
              <w:t>实 验室装修工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石家庄华大 医学检验实 验室有限公 司</w:t>
            </w:r>
            <w:r>
              <w:rPr>
                <w:rFonts w:ascii="Times New Roman" w:eastAsia="Times New Roman" w:hAnsi="Times New Roman" w:cs="Times New Roman"/>
                <w:color w:val="000000"/>
                <w:spacing w:val="0"/>
                <w:w w:val="100"/>
                <w:position w:val="0"/>
              </w:rPr>
              <w:t>-</w:t>
            </w:r>
            <w:r>
              <w:rPr>
                <w:color w:val="000000"/>
                <w:spacing w:val="0"/>
                <w:w w:val="100"/>
                <w:position w:val="0"/>
              </w:rPr>
              <w:t>自动化 实验室装修 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1,928,775.88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1,408,265.52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246,825.75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1,655,091.27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北京吉比爱 </w:t>
            </w:r>
            <w:r>
              <w:rPr>
                <w:rFonts w:ascii="Times New Roman" w:eastAsia="Times New Roman" w:hAnsi="Times New Roman" w:cs="Times New Roman"/>
                <w:color w:val="000000"/>
                <w:spacing w:val="0"/>
                <w:w w:val="100"/>
                <w:position w:val="0"/>
              </w:rPr>
              <w:t>-</w:t>
            </w:r>
            <w:r>
              <w:rPr>
                <w:color w:val="000000"/>
                <w:spacing w:val="0"/>
                <w:w w:val="100"/>
                <w:position w:val="0"/>
              </w:rPr>
              <w:t>新</w:t>
            </w:r>
            <w:r>
              <w:rPr>
                <w:rFonts w:ascii="Times New Roman" w:eastAsia="Times New Roman" w:hAnsi="Times New Roman" w:cs="Times New Roman"/>
                <w:color w:val="000000"/>
                <w:spacing w:val="0"/>
                <w:w w:val="100"/>
                <w:position w:val="0"/>
              </w:rPr>
              <w:t>Lis</w:t>
            </w:r>
            <w:r>
              <w:rPr>
                <w:color w:val="000000"/>
                <w:spacing w:val="0"/>
                <w:w w:val="100"/>
                <w:position w:val="0"/>
              </w:rPr>
              <w:t>系 统开发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工程初期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武汉医检</w:t>
            </w:r>
            <w:r>
              <w:rPr>
                <w:rFonts w:ascii="Times New Roman" w:eastAsia="Times New Roman" w:hAnsi="Times New Roman" w:cs="Times New Roman"/>
                <w:color w:val="000000"/>
                <w:spacing w:val="0"/>
                <w:w w:val="100"/>
                <w:position w:val="0"/>
              </w:rPr>
              <w:t xml:space="preserve">- </w:t>
            </w:r>
            <w:r>
              <w:rPr>
                <w:color w:val="000000"/>
                <w:spacing w:val="0"/>
                <w:w w:val="100"/>
                <w:position w:val="0"/>
              </w:rPr>
              <w:t>医学主线系 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11,002,903.31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9,646,953.84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9,646,953.84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工程尾期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募股资金及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北京吉比爱</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3,702,622.00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3,702,622.00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武汉医检</w:t>
            </w:r>
            <w:r>
              <w:rPr>
                <w:rFonts w:ascii="Times New Roman" w:eastAsia="Times New Roman" w:hAnsi="Times New Roman" w:cs="Times New Roman"/>
                <w:color w:val="000000"/>
                <w:spacing w:val="0"/>
                <w:w w:val="100"/>
                <w:position w:val="0"/>
              </w:rPr>
              <w:t>-B2</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栋</w:t>
            </w:r>
            <w:r>
              <w:rPr>
                <w:rFonts w:ascii="Times New Roman" w:eastAsia="Times New Roman" w:hAnsi="Times New Roman" w:cs="Times New Roman"/>
                <w:color w:val="000000"/>
                <w:spacing w:val="0"/>
                <w:w w:val="100"/>
                <w:position w:val="0"/>
              </w:rPr>
              <w:t>4</w:t>
            </w:r>
            <w:r>
              <w:rPr>
                <w:color w:val="000000"/>
                <w:spacing w:val="0"/>
                <w:w w:val="100"/>
                <w:position w:val="0"/>
              </w:rPr>
              <w:t>楼实验</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室装修工程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1,031,780.50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1,031,780.50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武汉医检</w:t>
            </w:r>
            <w:r>
              <w:rPr>
                <w:rFonts w:ascii="Times New Roman" w:eastAsia="Times New Roman" w:hAnsi="Times New Roman" w:cs="Times New Roman"/>
                <w:color w:val="000000"/>
                <w:spacing w:val="0"/>
                <w:w w:val="100"/>
                <w:position w:val="0"/>
              </w:rPr>
              <w:t>-</w:t>
            </w:r>
            <w:r>
              <w:rPr>
                <w:color w:val="000000"/>
                <w:spacing w:val="0"/>
                <w:w w:val="100"/>
                <w:position w:val="0"/>
              </w:rPr>
              <w:t>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房建设工程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4,507,513.27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4,507,513.27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武汉生物科 技</w:t>
            </w:r>
            <w:r>
              <w:rPr>
                <w:rFonts w:ascii="Times New Roman" w:eastAsia="Times New Roman" w:hAnsi="Times New Roman" w:cs="Times New Roman"/>
                <w:color w:val="000000"/>
                <w:spacing w:val="0"/>
                <w:w w:val="100"/>
                <w:position w:val="0"/>
              </w:rPr>
              <w:t>-</w:t>
            </w:r>
            <w:r>
              <w:rPr>
                <w:color w:val="000000"/>
                <w:spacing w:val="0"/>
                <w:w w:val="100"/>
                <w:position w:val="0"/>
              </w:rPr>
              <w:t>试剂生产 厂房改造工 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2,876,423.20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1,720,972.42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1,720,972.42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天津医检所</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w:t>
            </w:r>
          </w:p>
        </w:tc>
      </w:tr>
    </w:tbl>
    <w:p>
      <w:pPr>
        <w:spacing w:lineRule="exact" w:line="1"/>
        <w:rPr>
          <w:sz w:val="2"/>
          <w:szCs w:val="2"/>
        </w:rPr>
      </w:pPr>
      <w:r>
        <w:br w:type="page"/>
      </w:r>
    </w:p>
    <w:tbl>
      <w:tblPr>
        <w:tblOverlap w:val="never"/>
        <w:jc w:val="center"/>
        <w:tblLayout w:type="fixed"/>
      </w:tblPr>
      <w:tblGrid>
        <w:gridCol w:w="1056"/>
        <w:gridCol w:w="1181"/>
        <w:gridCol w:w="1090"/>
        <w:gridCol w:w="1090"/>
        <w:gridCol w:w="1056"/>
        <w:gridCol w:w="1090"/>
        <w:gridCol w:w="1090"/>
        <w:gridCol w:w="1051"/>
        <w:gridCol w:w="1051"/>
        <w:gridCol w:w="1056"/>
        <w:gridCol w:w="1051"/>
        <w:gridCol w:w="1051"/>
        <w:gridCol w:w="1056"/>
      </w:tblGrid>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四楼妇幼实</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验室装修工</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青岛青西华 大</w:t>
            </w:r>
            <w:r>
              <w:rPr>
                <w:rFonts w:ascii="Times New Roman" w:eastAsia="Times New Roman" w:hAnsi="Times New Roman" w:cs="Times New Roman"/>
                <w:color w:val="000000"/>
                <w:spacing w:val="0"/>
                <w:w w:val="100"/>
                <w:position w:val="0"/>
              </w:rPr>
              <w:t>-</w:t>
            </w:r>
            <w:r>
              <w:rPr>
                <w:color w:val="000000"/>
                <w:spacing w:val="0"/>
                <w:w w:val="100"/>
                <w:position w:val="0"/>
              </w:rPr>
              <w:t>健康医疗 产业园项目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797,593,800.00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800,134.51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5,336,701.29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6,136,835.80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工程初期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华大数极</w:t>
            </w:r>
            <w:r>
              <w:rPr>
                <w:rFonts w:ascii="Times New Roman" w:eastAsia="Times New Roman" w:hAnsi="Times New Roman" w:cs="Times New Roman"/>
                <w:color w:val="000000"/>
                <w:spacing w:val="0"/>
                <w:w w:val="100"/>
                <w:position w:val="0"/>
              </w:rPr>
              <w:t>-</w:t>
            </w:r>
            <w:r>
              <w:rPr>
                <w:color w:val="000000"/>
                <w:spacing w:val="0"/>
                <w:w w:val="100"/>
                <w:position w:val="0"/>
              </w:rPr>
              <w:t>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875,291.25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875,291.25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工程初期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青岛华大医 学检验所有 限公司</w:t>
            </w:r>
            <w:r>
              <w:rPr>
                <w:rFonts w:ascii="Times New Roman" w:eastAsia="Times New Roman" w:hAnsi="Times New Roman" w:cs="Times New Roman"/>
                <w:color w:val="000000"/>
                <w:spacing w:val="0"/>
                <w:w w:val="100"/>
                <w:position w:val="0"/>
              </w:rPr>
              <w:t>-</w:t>
            </w:r>
            <w:r>
              <w:rPr>
                <w:color w:val="000000"/>
                <w:spacing w:val="0"/>
                <w:w w:val="100"/>
                <w:position w:val="0"/>
              </w:rPr>
              <w:t>宿舍 公寓装修工 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1,478,372.16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1,478,372.16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3,805,779.22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6,938,490.71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3,796,403.59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6,938,490.71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3,143,927.51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2,659,506.88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3,201,054.62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2,602,379.77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907,068,290.18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53,395,711.44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57,449,041.88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4,772,734.16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67,573,913.03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38,498,106.13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6840" w:h="11900" w:orient="landscape"/>
          <w:pgMar w:top="1118" w:right="1424" w:bottom="1236" w:left="1430" w:header="0" w:footer="3" w:gutter="0"/>
          <w:cols w:space="720"/>
          <w:noEndnote/>
          <w:rtlGutter w:val="0"/>
          <w:docGrid w:linePitch="360"/>
        </w:sectPr>
      </w:pPr>
    </w:p>
    <w:p>
      <w:pPr>
        <w:pStyle w:val="Style30"/>
        <w:keepNext/>
        <w:keepLines/>
        <w:widowControl w:val="0"/>
        <w:shd w:val="clear" w:color="auto" w:fill="auto"/>
        <w:bidi w:val="0"/>
        <w:spacing w:before="8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311"/>
      <w:bookmarkEnd w:id="1312"/>
      <w:bookmarkEnd w:id="13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156,078,795.82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195,642,923.03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351,721,718.85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41,905,989.68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41,905,989.68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879,159.09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34,109,070.00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34,988,229.09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外币折算差额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-3,828,059.16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-195,033.91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-4,023,093.07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193,277,567.25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161,338,819.12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354,616,386.37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100,086,768.44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100,086,768.44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54,687,108.90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37,136,017.89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91,823,126.79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54,687,108.90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37,136,017.89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91,823,126.79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859,554.55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30,378,307.22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31,237,861.77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859,554.55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30,378,307.22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31,237,861.77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外币折算差额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-156,811.56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-157,730.52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53,670,742.79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106,843,560.15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160,514,302.94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139,606,824.46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54,495,258.97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194,102,083.43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156,078,795.82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95,556,154.59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251,634,950.41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315"/>
      <w:bookmarkEnd w:id="1316"/>
      <w:bookmarkEnd w:id="1318"/>
    </w:p>
    <w:p>
      <w:pPr>
        <w:pStyle w:val="Style30"/>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5"/>
      <w:bookmarkEnd w:id="1316"/>
      <w:bookmarkEnd w:id="13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373"/>
        <w:gridCol w:w="1373"/>
        <w:gridCol w:w="1378"/>
        <w:gridCol w:w="1373"/>
        <w:gridCol w:w="138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02"/>
        <w:gridCol w:w="1373"/>
        <w:gridCol w:w="1373"/>
        <w:gridCol w:w="1378"/>
        <w:gridCol w:w="1373"/>
        <w:gridCol w:w="138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20,754,316.29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207,350,000.00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20,796,238.43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30,362,517.14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279,263,071.86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28,669,160.00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109,311,966.50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37,181,775.33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175,162,901.83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28,669,160.00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19,418,162.13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48,087,322.13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9,895,365.70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9,895,365.70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17,763,613.20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17,763,613.20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）其他非流动资产转入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99,416,600.80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99,416,600.80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49,423,476.29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207,350,000.00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130,108,204.93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67,544,292.47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454,425,973.69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537,015.87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112,979,167.74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10,939,451.12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8,046,633.76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132,502,268.49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609,456.13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15,949,999.93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9,287,122.09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7,540,437.22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33,387,015.37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609,456.13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15,949,999.93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9,287,122.09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7,540,437.22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33,387,015.37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1,146,472.00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128,929,167.67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20,226,573.21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15,587,070.98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165,889,283.86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43,080,438.96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43,080,438.96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）其他非流动资产转入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43,080,438.96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43,080,438.96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43,080,438.96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43,080,438.96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48,277,004.29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78,420,832.33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66,801,192.76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51,957,221.49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245,456,250.87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20,217,300.42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94,370,832.26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9,856,787.31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22,315,883.38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146,760,803.37</w:t>
            </w:r>
          </w:p>
        </w:tc>
      </w:tr>
    </w:tbl>
    <w:p>
      <w:pPr>
        <w:pStyle w:val="Style26"/>
        <w:keepNext w:val="0"/>
        <w:keepLines w:val="0"/>
        <w:widowControl w:val="0"/>
        <w:shd w:val="clear" w:color="auto" w:fill="auto"/>
        <w:bidi w:val="0"/>
        <w:spacing w:before="0" w:after="0" w:line="240" w:lineRule="auto"/>
        <w:ind w:left="317"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4.03%</w:t>
      </w:r>
      <w:r>
        <w:rPr>
          <w:color w:val="000000"/>
          <w:spacing w:val="0"/>
          <w:w w:val="100"/>
          <w:position w:val="0"/>
        </w:rPr>
        <w:t>。</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314"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日，本公司无未办妥产权证书的无形资产（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17"/>
        <w:keepNext w:val="0"/>
        <w:keepLines w:val="0"/>
        <w:widowControl w:val="0"/>
        <w:shd w:val="clear" w:color="auto" w:fill="auto"/>
        <w:bidi w:val="0"/>
        <w:spacing w:before="0" w:after="0" w:line="322"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日，账面价值为人民币</w:t>
      </w:r>
      <w:r>
        <w:rPr>
          <w:rFonts w:ascii="Times New Roman" w:eastAsia="Times New Roman" w:hAnsi="Times New Roman" w:cs="Times New Roman"/>
          <w:color w:val="000000"/>
          <w:spacing w:val="0"/>
          <w:w w:val="100"/>
          <w:position w:val="0"/>
        </w:rPr>
        <w:t>19,803,999.56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20,217,300.42</w:t>
      </w:r>
      <w:r>
        <w:rPr>
          <w:color w:val="000000"/>
          <w:spacing w:val="0"/>
          <w:w w:val="100"/>
          <w:position w:val="0"/>
        </w:rPr>
        <w:t>元）的无形资产用于债 券发行反担保抵押，参见第十节财务报告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“64</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0" w:line="307" w:lineRule="exact"/>
        <w:ind w:left="0" w:right="0"/>
        <w:jc w:val="left"/>
      </w:pPr>
      <w:r>
        <w:rPr>
          <w:color w:val="000000"/>
          <w:spacing w:val="0"/>
          <w:w w:val="100"/>
          <w:position w:val="0"/>
        </w:rPr>
        <w:t>报告期内，原值为人民币</w:t>
      </w:r>
      <w:r>
        <w:rPr>
          <w:rFonts w:ascii="Times New Roman" w:eastAsia="Times New Roman" w:hAnsi="Times New Roman" w:cs="Times New Roman"/>
          <w:color w:val="000000"/>
          <w:spacing w:val="0"/>
          <w:w w:val="100"/>
          <w:position w:val="0"/>
        </w:rPr>
        <w:t>4,315,141.88</w:t>
      </w:r>
      <w:r>
        <w:rPr>
          <w:color w:val="000000"/>
          <w:spacing w:val="0"/>
          <w:w w:val="100"/>
          <w:position w:val="0"/>
        </w:rPr>
        <w:t>元的胎儿染色体非整倍体</w:t>
      </w:r>
      <w:r>
        <w:rPr>
          <w:color w:val="000000"/>
          <w:spacing w:val="0"/>
          <w:w w:val="100"/>
          <w:position w:val="0"/>
        </w:rPr>
        <w:t>（</w:t>
      </w:r>
      <w:r>
        <w:rPr>
          <w:rFonts w:ascii="Times New Roman" w:eastAsia="Times New Roman" w:hAnsi="Times New Roman" w:cs="Times New Roman"/>
          <w:color w:val="000000"/>
          <w:spacing w:val="0"/>
          <w:w w:val="100"/>
          <w:position w:val="0"/>
        </w:rPr>
        <w:t>T21</w:t>
      </w:r>
      <w:r>
        <w:rPr>
          <w:color w:val="000000"/>
          <w:spacing w:val="0"/>
          <w:w w:val="100"/>
          <w:position w:val="0"/>
        </w:rPr>
        <w:t>、</w:t>
      </w:r>
      <w:r>
        <w:rPr>
          <w:rFonts w:ascii="Times New Roman" w:eastAsia="Times New Roman" w:hAnsi="Times New Roman" w:cs="Times New Roman"/>
          <w:color w:val="000000"/>
          <w:spacing w:val="0"/>
          <w:w w:val="100"/>
          <w:position w:val="0"/>
        </w:rPr>
        <w:t>T18</w:t>
      </w:r>
      <w:r>
        <w:rPr>
          <w:color w:val="000000"/>
          <w:spacing w:val="0"/>
          <w:w w:val="100"/>
          <w:position w:val="0"/>
        </w:rPr>
        <w:t>、</w:t>
      </w:r>
      <w:r>
        <w:rPr>
          <w:rFonts w:ascii="Times New Roman" w:eastAsia="Times New Roman" w:hAnsi="Times New Roman" w:cs="Times New Roman"/>
          <w:color w:val="000000"/>
          <w:spacing w:val="0"/>
          <w:w w:val="100"/>
          <w:position w:val="0"/>
        </w:rPr>
        <w:t>T13</w:t>
      </w:r>
      <w:r>
        <w:rPr>
          <w:color w:val="000000"/>
          <w:spacing w:val="0"/>
          <w:w w:val="100"/>
          <w:position w:val="0"/>
        </w:rPr>
        <w:t>）</w:t>
      </w:r>
      <w:r>
        <w:rPr>
          <w:color w:val="000000"/>
          <w:spacing w:val="0"/>
          <w:w w:val="100"/>
          <w:position w:val="0"/>
        </w:rPr>
        <w:t>检测试剂盒（联合探针锚定聚合测序 法）和原值为人民币</w:t>
      </w:r>
      <w:r>
        <w:rPr>
          <w:rFonts w:ascii="Times New Roman" w:eastAsia="Times New Roman" w:hAnsi="Times New Roman" w:cs="Times New Roman"/>
          <w:color w:val="000000"/>
          <w:spacing w:val="0"/>
          <w:w w:val="100"/>
          <w:position w:val="0"/>
        </w:rPr>
        <w:t>5,580,223.8</w:t>
      </w:r>
      <w:r>
        <w:rPr>
          <w:rFonts w:ascii="Times New Roman" w:eastAsia="Times New Roman" w:hAnsi="Times New Roman" w:cs="Times New Roman"/>
          <w:color w:val="000000"/>
          <w:spacing w:val="0"/>
          <w:w w:val="100"/>
          <w:position w:val="0"/>
        </w:rPr>
        <w:t>2</w:t>
      </w:r>
      <w:r>
        <w:rPr>
          <w:color w:val="000000"/>
          <w:spacing w:val="0"/>
          <w:w w:val="100"/>
          <w:position w:val="0"/>
        </w:rPr>
        <w:t>元的乙型肝炎病毒基因分型检测试剂盒</w:t>
      </w:r>
      <w:r>
        <w:rPr>
          <w:color w:val="000000"/>
          <w:spacing w:val="0"/>
          <w:w w:val="100"/>
          <w:position w:val="0"/>
        </w:rPr>
        <w:t>（</w:t>
      </w:r>
      <w:r>
        <w:rPr>
          <w:rFonts w:ascii="Times New Roman" w:eastAsia="Times New Roman" w:hAnsi="Times New Roman" w:cs="Times New Roman"/>
          <w:color w:val="000000"/>
          <w:spacing w:val="0"/>
          <w:w w:val="100"/>
          <w:position w:val="0"/>
        </w:rPr>
        <w:t>PCR</w:t>
      </w:r>
      <w:r>
        <w:rPr>
          <w:rFonts w:ascii="Times New Roman" w:eastAsia="Times New Roman" w:hAnsi="Times New Roman" w:cs="Times New Roman"/>
          <w:color w:val="000000"/>
          <w:spacing w:val="0"/>
          <w:w w:val="100"/>
          <w:position w:val="0"/>
        </w:rPr>
        <w:t>-</w:t>
      </w:r>
      <w:r>
        <w:rPr>
          <w:color w:val="000000"/>
          <w:spacing w:val="0"/>
          <w:w w:val="100"/>
          <w:position w:val="0"/>
        </w:rPr>
        <w:t>荧光探针法）由开发支出转入无形资产。</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报告期内，原值为人民币</w:t>
      </w:r>
      <w:r>
        <w:rPr>
          <w:rFonts w:ascii="Times New Roman" w:eastAsia="Times New Roman" w:hAnsi="Times New Roman" w:cs="Times New Roman"/>
          <w:color w:val="000000"/>
          <w:spacing w:val="0"/>
          <w:w w:val="100"/>
          <w:position w:val="0"/>
        </w:rPr>
        <w:t>99,416,600.80</w:t>
      </w:r>
      <w:r>
        <w:rPr>
          <w:color w:val="000000"/>
          <w:spacing w:val="0"/>
          <w:w w:val="100"/>
          <w:position w:val="0"/>
        </w:rPr>
        <w:t xml:space="preserve">元的肿瘤基因检测技术相关的预付专利款转入无形资产，对应的人民币 </w:t>
      </w:r>
      <w:r>
        <w:rPr>
          <w:rFonts w:ascii="Times New Roman" w:eastAsia="Times New Roman" w:hAnsi="Times New Roman" w:cs="Times New Roman"/>
          <w:color w:val="000000"/>
          <w:spacing w:val="0"/>
          <w:w w:val="100"/>
          <w:position w:val="0"/>
        </w:rPr>
        <w:t>43,080,438.96</w:t>
      </w:r>
      <w:r>
        <w:rPr>
          <w:color w:val="000000"/>
          <w:spacing w:val="0"/>
          <w:w w:val="100"/>
          <w:position w:val="0"/>
        </w:rPr>
        <w:t>元的减值准备结转至无形资产减值准备。本公司对该肿瘤基因检测技术无形资产进行减值测试。无形资产的可 收回金额按照预计未来现金流量的现值计算，具体为按照该无形资产剩余的八年预测期对无形资产进行现金流量预测并评 估其可收回金额，该期间内现金流量预测所用的折现率是</w:t>
      </w:r>
      <w:r>
        <w:rPr>
          <w:rFonts w:ascii="Times New Roman" w:eastAsia="Times New Roman" w:hAnsi="Times New Roman" w:cs="Times New Roman"/>
          <w:color w:val="000000"/>
          <w:spacing w:val="0"/>
          <w:w w:val="100"/>
          <w:position w:val="0"/>
        </w:rPr>
        <w:t>15.02%</w:t>
      </w:r>
      <w:r>
        <w:rPr>
          <w:color w:val="000000"/>
          <w:spacing w:val="0"/>
          <w:w w:val="100"/>
          <w:position w:val="0"/>
        </w:rPr>
        <w:t>。减值测试中采用的关键假设包括：收入增长率、折现率等。 管理层根据历史经验及对市场发展的预测确定相关关键假设。评估中关键的假设如下：</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收入增长率</w:t>
      </w:r>
      <w:r>
        <w:rPr>
          <w:color w:val="000000"/>
          <w:spacing w:val="0"/>
          <w:w w:val="100"/>
          <w:position w:val="0"/>
        </w:rPr>
        <w:t>一</w:t>
      </w:r>
      <w:r>
        <w:rPr>
          <w:color w:val="000000"/>
          <w:spacing w:val="0"/>
          <w:w w:val="100"/>
          <w:position w:val="0"/>
        </w:rPr>
        <w:t>确定基础是公司所处市场的平均增长率及公司的业务发展水平</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折现率</w:t>
      </w:r>
      <w:r>
        <w:rPr>
          <w:color w:val="000000"/>
          <w:spacing w:val="0"/>
          <w:w w:val="100"/>
          <w:position w:val="0"/>
        </w:rPr>
        <w:t>一</w:t>
      </w:r>
      <w:r>
        <w:rPr>
          <w:color w:val="000000"/>
          <w:spacing w:val="0"/>
          <w:w w:val="100"/>
          <w:position w:val="0"/>
        </w:rPr>
        <w:t>采用的折现率是反映相关资产组组合特定风险的税前折现率</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根据无形资产减值测算结果，本年该项无形资产无需计提减值。</w:t>
      </w:r>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无形资产的关键假设金额与本公司历史经验及外部相关行业信息一致。</w:t>
      </w:r>
    </w:p>
    <w:p>
      <w:pPr>
        <w:pStyle w:val="Style30"/>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320"/>
      <w:bookmarkEnd w:id="1321"/>
      <w:bookmarkEnd w:id="13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78"/>
        <w:gridCol w:w="1373"/>
        <w:gridCol w:w="1378"/>
        <w:gridCol w:w="1373"/>
        <w:gridCol w:w="1378"/>
        <w:gridCol w:w="1387"/>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32,608,259.29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542,190,239.79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9,895,365.70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487,147,967.73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77,755,165.65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32,608,259.29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542,190,239.79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9,895,365.70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487,147,967.73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77,755,165.65</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240" w:lineRule="auto"/>
        <w:ind w:left="0" w:right="0"/>
        <w:jc w:val="both"/>
      </w:pPr>
      <w:r>
        <w:rPr>
          <w:color w:val="000000"/>
          <w:spacing w:val="0"/>
          <w:w w:val="100"/>
          <w:position w:val="0"/>
        </w:rPr>
        <w:t>公司相应项目以临床试验阶段开始时点作为资本化时点。</w:t>
      </w:r>
    </w:p>
    <w:p>
      <w:pPr>
        <w:pStyle w:val="Style30"/>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0</w:t>
      </w:r>
      <w:r>
        <w:rPr>
          <w:color w:val="000000"/>
          <w:spacing w:val="0"/>
          <w:w w:val="100"/>
          <w:position w:val="0"/>
        </w:rPr>
        <w:t>、商誉</w:t>
      </w:r>
      <w:bookmarkEnd w:id="1324"/>
      <w:bookmarkEnd w:id="1325"/>
      <w:bookmarkEnd w:id="1327"/>
    </w:p>
    <w:p>
      <w:pPr>
        <w:pStyle w:val="Style30"/>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24"/>
      <w:bookmarkEnd w:id="1325"/>
      <w:bookmarkEnd w:id="13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1"/>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华大青兰生物科技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47,109,401.10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47,109,401.10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47,109,401.10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47,109,401.10</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1329" w:name="bookmark1329"/>
      <w:bookmarkStart w:id="1330" w:name="bookmark1330"/>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29"/>
      <w:bookmarkEnd w:id="1330"/>
      <w:bookmarkEnd w:id="1331"/>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商誉所在资产组或资产组组合的相关信息</w:t>
      </w:r>
    </w:p>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日收购华大青兰生物科技（无锡）有限公司（以下简称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无锡青兰</w:t>
      </w:r>
      <w:r>
        <w:rPr>
          <w:rFonts w:ascii="Times New Roman" w:eastAsia="Times New Roman" w:hAnsi="Times New Roman" w:cs="Times New Roman"/>
          <w:color w:val="000000"/>
          <w:spacing w:val="0"/>
          <w:w w:val="100"/>
          <w:position w:val="0"/>
        </w:rPr>
        <w:t>”</w:t>
      </w:r>
      <w:r>
        <w:rPr>
          <w:color w:val="000000"/>
          <w:spacing w:val="0"/>
          <w:w w:val="100"/>
          <w:position w:val="0"/>
        </w:rPr>
        <w:t>），形成商誉人民币</w:t>
      </w:r>
      <w:r>
        <w:rPr>
          <w:rFonts w:ascii="Times New Roman" w:eastAsia="Times New Roman" w:hAnsi="Times New Roman" w:cs="Times New Roman"/>
          <w:color w:val="000000"/>
          <w:spacing w:val="0"/>
          <w:w w:val="100"/>
          <w:position w:val="0"/>
        </w:rPr>
        <w:t xml:space="preserve">47,109,401.10 </w:t>
      </w:r>
      <w:r>
        <w:rPr>
          <w:color w:val="000000"/>
          <w:spacing w:val="0"/>
          <w:w w:val="100"/>
          <w:position w:val="0"/>
        </w:rPr>
        <w:t>元。</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企业合并取得的商誉已经分配至下列资产组以进行减值测试：</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基因合成资产组</w:t>
      </w:r>
    </w:p>
    <w:p>
      <w:pPr>
        <w:pStyle w:val="Style17"/>
        <w:keepNext w:val="0"/>
        <w:keepLines w:val="0"/>
        <w:widowControl w:val="0"/>
        <w:shd w:val="clear" w:color="auto" w:fill="auto"/>
        <w:bidi w:val="0"/>
        <w:spacing w:before="0" w:after="120" w:line="312" w:lineRule="exact"/>
        <w:ind w:left="0" w:right="0"/>
        <w:jc w:val="both"/>
      </w:pPr>
      <w:r>
        <w:rPr>
          <w:color w:val="000000"/>
          <w:spacing w:val="0"/>
          <w:w w:val="100"/>
          <w:position w:val="0"/>
        </w:rPr>
        <w:t>基因合成资产组主要由购买无锡青兰时形成，与购买日所确定的资产组一致。无锡青兰于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年在江苏省宜兴市成立， 致力于基因合成以及合成生物学在生命科学领域的应用，主要业务为全基因合成技术服务。对无锡青兰收购的协同效应受益 对象是整个基因合成资产组，且难以分摊至各资产组，所以将商誉分摊至基因合成资产组。基因合成资产组含商誉的账面价 </w:t>
      </w:r>
      <w:r>
        <w:rPr>
          <w:color w:val="000000"/>
          <w:spacing w:val="0"/>
          <w:w w:val="100"/>
          <w:position w:val="0"/>
        </w:rPr>
        <w:t>值为人民币</w:t>
      </w:r>
      <w:r>
        <w:rPr>
          <w:rFonts w:ascii="Times New Roman" w:eastAsia="Times New Roman" w:hAnsi="Times New Roman" w:cs="Times New Roman"/>
          <w:color w:val="000000"/>
          <w:spacing w:val="0"/>
          <w:w w:val="100"/>
          <w:position w:val="0"/>
        </w:rPr>
        <w:t>48,721,472.38</w:t>
      </w:r>
      <w:r>
        <w:rPr>
          <w:color w:val="000000"/>
          <w:spacing w:val="0"/>
          <w:w w:val="100"/>
          <w:position w:val="0"/>
        </w:rPr>
        <w:t>元，可收回金额采用资产组的预计未来现金流量的现值，根据管理层批准的</w:t>
      </w:r>
      <w:r>
        <w:rPr>
          <w:rFonts w:ascii="Times New Roman" w:eastAsia="Times New Roman" w:hAnsi="Times New Roman" w:cs="Times New Roman"/>
          <w:color w:val="000000"/>
          <w:spacing w:val="0"/>
          <w:w w:val="100"/>
          <w:position w:val="0"/>
        </w:rPr>
        <w:t>5</w:t>
      </w:r>
      <w:r>
        <w:rPr>
          <w:color w:val="000000"/>
          <w:spacing w:val="0"/>
          <w:w w:val="100"/>
          <w:position w:val="0"/>
        </w:rPr>
        <w:t>年期财务预算基础上 的现金流量预测来确定。该期间内现金流量预测所用的折现率是</w:t>
      </w:r>
      <w:r>
        <w:rPr>
          <w:rFonts w:ascii="Times New Roman" w:eastAsia="Times New Roman" w:hAnsi="Times New Roman" w:cs="Times New Roman"/>
          <w:color w:val="000000"/>
          <w:spacing w:val="0"/>
          <w:w w:val="100"/>
          <w:position w:val="0"/>
        </w:rPr>
        <w:t>16.75%</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16.65%</w:t>
      </w:r>
      <w:r>
        <w:rPr>
          <w:color w:val="000000"/>
          <w:spacing w:val="0"/>
          <w:w w:val="100"/>
          <w:position w:val="0"/>
        </w:rPr>
        <w:t>），用于推断</w:t>
      </w:r>
      <w:r>
        <w:rPr>
          <w:rFonts w:ascii="Times New Roman" w:eastAsia="Times New Roman" w:hAnsi="Times New Roman" w:cs="Times New Roman"/>
          <w:color w:val="000000"/>
          <w:spacing w:val="0"/>
          <w:w w:val="100"/>
          <w:position w:val="0"/>
        </w:rPr>
        <w:t>5</w:t>
      </w:r>
      <w:r>
        <w:rPr>
          <w:color w:val="000000"/>
          <w:spacing w:val="0"/>
          <w:w w:val="100"/>
          <w:position w:val="0"/>
        </w:rPr>
        <w:t>年以后永续增长期 间基因合成资产组现金流量的增长率是</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）。本公司认为该基因合成资产组内部开发的新技术提高了生产效 率，缩短生产周期，预测期间的增长率是合理的。</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商誉的账面金额，按照资产组的公允价值占相关资产组的公允价值总额的比例进行分摊，情况如下:</w:t>
      </w:r>
    </w:p>
    <w:tbl>
      <w:tblPr>
        <w:tblOverlap w:val="never"/>
        <w:jc w:val="center"/>
        <w:tblLayout w:type="fixed"/>
      </w:tblPr>
      <w:tblGrid>
        <w:gridCol w:w="2419"/>
        <w:gridCol w:w="1925"/>
        <w:gridCol w:w="1786"/>
        <w:gridCol w:w="1742"/>
        <w:gridCol w:w="1776"/>
      </w:tblGrid>
      <w:tr>
        <w:trPr>
          <w:trHeight w:val="36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基因合成资产组</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47,109,401.10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47,109,401.10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47,109,401.10</w:t>
            </w:r>
          </w:p>
        </w:tc>
      </w:tr>
    </w:tbl>
    <w:p>
      <w:pPr>
        <w:widowControl w:val="0"/>
        <w:spacing w:after="299" w:line="1" w:lineRule="exact"/>
      </w:pP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17"/>
        <w:keepNext w:val="0"/>
        <w:keepLines w:val="0"/>
        <w:widowControl w:val="0"/>
        <w:shd w:val="clear" w:color="auto" w:fill="auto"/>
        <w:bidi w:val="0"/>
        <w:spacing w:before="0" w:after="40" w:line="310" w:lineRule="exact"/>
        <w:ind w:left="0" w:right="0"/>
        <w:jc w:val="both"/>
      </w:pPr>
      <w:r>
        <w:rPr>
          <w:color w:val="000000"/>
          <w:spacing w:val="0"/>
          <w:w w:val="100"/>
          <w:position w:val="0"/>
        </w:rPr>
        <w:t>报告期内，本公司对收购无锡青兰产生的商誉进行减值测试。商誉的可收回金额按照预计未来现金流量的现值计算。按 照五年预测期和永续期对资产组进行现金流量预测并评估其可收回金额。减值测试中采用的关键假设包括：永续期收入增长 率、毛利率、折现率等。管理层根据历史经验及对市场发展的预测确定相关关键假设。评估中关键的假设如下：</w:t>
      </w:r>
    </w:p>
    <w:p>
      <w:pPr>
        <w:pStyle w:val="Style17"/>
        <w:keepNext w:val="0"/>
        <w:keepLines w:val="0"/>
        <w:widowControl w:val="0"/>
        <w:shd w:val="clear" w:color="auto" w:fill="auto"/>
        <w:bidi w:val="0"/>
        <w:spacing w:before="0" w:after="40" w:line="311" w:lineRule="exact"/>
        <w:ind w:left="0" w:right="0"/>
        <w:jc w:val="both"/>
      </w:pPr>
      <w:r>
        <w:rPr>
          <w:color w:val="000000"/>
          <w:spacing w:val="0"/>
          <w:w w:val="100"/>
          <w:position w:val="0"/>
        </w:rPr>
        <w:t>毛利率</w:t>
      </w:r>
      <w:r>
        <w:rPr>
          <w:color w:val="000000"/>
          <w:spacing w:val="0"/>
          <w:w w:val="100"/>
          <w:position w:val="0"/>
        </w:rPr>
        <w:t>一</w:t>
      </w:r>
      <w:r>
        <w:rPr>
          <w:color w:val="000000"/>
          <w:spacing w:val="0"/>
          <w:w w:val="100"/>
          <w:position w:val="0"/>
        </w:rPr>
        <w:t>确定基础是历史业绩、行业相关水平及对市场发展的预期</w:t>
      </w:r>
    </w:p>
    <w:p>
      <w:pPr>
        <w:pStyle w:val="Style17"/>
        <w:keepNext w:val="0"/>
        <w:keepLines w:val="0"/>
        <w:widowControl w:val="0"/>
        <w:shd w:val="clear" w:color="auto" w:fill="auto"/>
        <w:bidi w:val="0"/>
        <w:spacing w:before="0" w:after="40" w:line="311" w:lineRule="exact"/>
        <w:ind w:left="0" w:right="0"/>
        <w:jc w:val="left"/>
      </w:pPr>
      <w:r>
        <w:rPr>
          <w:color w:val="000000"/>
          <w:spacing w:val="0"/>
          <w:w w:val="100"/>
          <w:position w:val="0"/>
        </w:rPr>
        <w:t>永续期收入增长率</w:t>
      </w:r>
      <w:r>
        <w:rPr>
          <w:color w:val="000000"/>
          <w:spacing w:val="0"/>
          <w:w w:val="100"/>
          <w:position w:val="0"/>
        </w:rPr>
        <w:t>一</w:t>
      </w:r>
      <w:r>
        <w:rPr>
          <w:color w:val="000000"/>
          <w:spacing w:val="0"/>
          <w:w w:val="100"/>
          <w:position w:val="0"/>
        </w:rPr>
        <w:t>确定基础是资产组所处市场的长期平均增长率及公司的业务发展水平</w:t>
      </w:r>
    </w:p>
    <w:p>
      <w:pPr>
        <w:pStyle w:val="Style17"/>
        <w:keepNext w:val="0"/>
        <w:keepLines w:val="0"/>
        <w:widowControl w:val="0"/>
        <w:shd w:val="clear" w:color="auto" w:fill="auto"/>
        <w:bidi w:val="0"/>
        <w:spacing w:before="0" w:after="40" w:line="311" w:lineRule="exact"/>
        <w:ind w:left="0" w:right="0"/>
        <w:jc w:val="left"/>
      </w:pPr>
      <w:r>
        <w:rPr>
          <w:color w:val="000000"/>
          <w:spacing w:val="0"/>
          <w:w w:val="100"/>
          <w:position w:val="0"/>
        </w:rPr>
        <w:t>折现率</w:t>
      </w:r>
      <w:r>
        <w:rPr>
          <w:color w:val="000000"/>
          <w:spacing w:val="0"/>
          <w:w w:val="100"/>
          <w:position w:val="0"/>
        </w:rPr>
        <w:t>一</w:t>
      </w:r>
      <w:r>
        <w:rPr>
          <w:color w:val="000000"/>
          <w:spacing w:val="0"/>
          <w:w w:val="100"/>
          <w:position w:val="0"/>
        </w:rPr>
        <w:t>采用的折现率是反映相关资产组组合特定风险的税前折现率</w:t>
      </w:r>
    </w:p>
    <w:p>
      <w:pPr>
        <w:pStyle w:val="Style17"/>
        <w:keepNext w:val="0"/>
        <w:keepLines w:val="0"/>
        <w:widowControl w:val="0"/>
        <w:shd w:val="clear" w:color="auto" w:fill="auto"/>
        <w:bidi w:val="0"/>
        <w:spacing w:before="0" w:after="40" w:line="311" w:lineRule="exact"/>
        <w:ind w:left="0" w:right="0"/>
        <w:jc w:val="left"/>
      </w:pPr>
      <w:r>
        <w:rPr>
          <w:color w:val="000000"/>
          <w:spacing w:val="0"/>
          <w:w w:val="100"/>
          <w:position w:val="0"/>
        </w:rPr>
        <w:t>根据商誉减值测算结果，本年商誉未发生减值。</w:t>
      </w:r>
    </w:p>
    <w:p>
      <w:pPr>
        <w:pStyle w:val="Style17"/>
        <w:keepNext w:val="0"/>
        <w:keepLines w:val="0"/>
        <w:widowControl w:val="0"/>
        <w:shd w:val="clear" w:color="auto" w:fill="auto"/>
        <w:bidi w:val="0"/>
        <w:spacing w:before="0" w:after="380" w:line="311" w:lineRule="exact"/>
        <w:ind w:left="0" w:right="0"/>
        <w:jc w:val="left"/>
      </w:pPr>
      <w:r>
        <w:rPr>
          <w:color w:val="000000"/>
          <w:spacing w:val="0"/>
          <w:w w:val="100"/>
          <w:position w:val="0"/>
        </w:rPr>
        <w:t>分配至上述资产组的关键假设的金额与本公司历史经验及外部信息一致。</w:t>
      </w:r>
    </w:p>
    <w:p>
      <w:pPr>
        <w:pStyle w:val="Style30"/>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332"/>
      <w:bookmarkEnd w:id="1333"/>
      <w:bookmarkEnd w:id="13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63,279,636.27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64,457,429.21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25,822,308.57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2,016,316.93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99,898,439.98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63,279,636.27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64,457,429.21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25,822,308.57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2,016,316.93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99,898,439.98</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6"/>
      <w:bookmarkEnd w:id="1337"/>
      <w:bookmarkEnd w:id="1339"/>
    </w:p>
    <w:p>
      <w:pPr>
        <w:pStyle w:val="Style30"/>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36"/>
      <w:bookmarkEnd w:id="1337"/>
      <w:bookmarkEnd w:id="13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164,889,316.23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27,118,503.87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142,486,477.30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23,202,382.31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159,950,637.11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36,016,636.28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94,982,151.02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18,523,500.18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122,478,992.43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19,106,022.67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104,988,732.20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15,761,460.61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593,275,133.47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94,126,869.96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541,375,540.99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86,927,819.93</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因源回购义务（注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193,050,000.00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28,957,500.00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193,050,000.00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28,957,500.00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65,215,146.56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9,782,271.98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148,040,156.84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22,206,023.53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198,312,725.71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30,915,482.20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131,151,995.29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20,969,037.11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64,820,383.88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19,446,115.17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34,201,905.91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10,260,571.77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9,038,264.68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1,355,739.70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14,746,642.00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2,211,996.30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20,055,393.04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3,047,406.02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12,618,552.04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1,910,136.62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1,713,961.22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270,223.04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942,156.72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164,314.36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112,780,771.92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22,028,201.39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1,705,580,726.25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292,170,972.28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1,418,584,310.31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231,094,742.72</w:t>
            </w:r>
          </w:p>
        </w:tc>
      </w:tr>
    </w:tbl>
    <w:p>
      <w:pPr>
        <w:pStyle w:val="Style17"/>
        <w:keepNext w:val="0"/>
        <w:keepLines w:val="0"/>
        <w:widowControl w:val="0"/>
        <w:shd w:val="clear" w:color="auto" w:fill="auto"/>
        <w:bidi w:val="0"/>
        <w:spacing w:before="0" w:after="0" w:line="319"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年将所持华大因源</w:t>
      </w:r>
      <w:r>
        <w:rPr>
          <w:rFonts w:ascii="Times New Roman" w:eastAsia="Times New Roman" w:hAnsi="Times New Roman" w:cs="Times New Roman"/>
          <w:color w:val="000000"/>
          <w:spacing w:val="0"/>
          <w:w w:val="100"/>
          <w:position w:val="0"/>
        </w:rPr>
        <w:t>3.39%</w:t>
      </w:r>
      <w:r>
        <w:rPr>
          <w:color w:val="000000"/>
          <w:spacing w:val="0"/>
          <w:w w:val="100"/>
          <w:position w:val="0"/>
        </w:rPr>
        <w:t>的股权转让给机构投资者，收到股权转让款人民币</w:t>
      </w:r>
      <w:r>
        <w:rPr>
          <w:rFonts w:ascii="Times New Roman" w:eastAsia="Times New Roman" w:hAnsi="Times New Roman" w:cs="Times New Roman"/>
          <w:color w:val="000000"/>
          <w:spacing w:val="0"/>
          <w:w w:val="100"/>
          <w:position w:val="0"/>
        </w:rPr>
        <w:t>40,000,000.00</w:t>
      </w:r>
      <w:r>
        <w:rPr>
          <w:color w:val="000000"/>
          <w:spacing w:val="0"/>
          <w:w w:val="100"/>
          <w:position w:val="0"/>
        </w:rPr>
        <w:t xml:space="preserve">元，于 </w:t>
      </w:r>
      <w:r>
        <w:rPr>
          <w:rFonts w:ascii="Times New Roman" w:eastAsia="Times New Roman" w:hAnsi="Times New Roman" w:cs="Times New Roman"/>
          <w:color w:val="000000"/>
          <w:spacing w:val="0"/>
          <w:w w:val="100"/>
          <w:position w:val="0"/>
        </w:rPr>
        <w:t>2020</w:t>
      </w:r>
      <w:r>
        <w:rPr>
          <w:color w:val="000000"/>
          <w:spacing w:val="0"/>
          <w:w w:val="100"/>
          <w:position w:val="0"/>
        </w:rPr>
        <w:t>年将所持华大因源</w:t>
      </w:r>
      <w:r>
        <w:rPr>
          <w:rFonts w:ascii="Times New Roman" w:eastAsia="Times New Roman" w:hAnsi="Times New Roman" w:cs="Times New Roman"/>
          <w:color w:val="000000"/>
          <w:spacing w:val="0"/>
          <w:w w:val="100"/>
          <w:position w:val="0"/>
        </w:rPr>
        <w:t>12.75%</w:t>
      </w:r>
      <w:r>
        <w:rPr>
          <w:color w:val="000000"/>
          <w:spacing w:val="0"/>
          <w:w w:val="100"/>
          <w:position w:val="0"/>
        </w:rPr>
        <w:t>的股权转让给机构投资者，收到股权转让款人民币</w:t>
      </w:r>
      <w:r>
        <w:rPr>
          <w:rFonts w:ascii="Times New Roman" w:eastAsia="Times New Roman" w:hAnsi="Times New Roman" w:cs="Times New Roman"/>
          <w:color w:val="000000"/>
          <w:spacing w:val="0"/>
          <w:w w:val="100"/>
          <w:position w:val="0"/>
        </w:rPr>
        <w:t>155,000,000.00</w:t>
      </w:r>
      <w:r>
        <w:rPr>
          <w:color w:val="000000"/>
          <w:spacing w:val="0"/>
          <w:w w:val="100"/>
          <w:position w:val="0"/>
        </w:rPr>
        <w:t>元。本公司将该普通股的 回购义务全额确认负债。由于该部分股权工商变更已完成，本公司产生纳税义务，并就该纳税义务确认递延所得税资产。</w:t>
      </w:r>
    </w:p>
    <w:p>
      <w:pPr>
        <w:pStyle w:val="Style17"/>
        <w:keepNext w:val="0"/>
        <w:keepLines w:val="0"/>
        <w:widowControl w:val="0"/>
        <w:shd w:val="clear" w:color="auto" w:fill="auto"/>
        <w:bidi w:val="0"/>
        <w:spacing w:before="0" w:after="38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：于</w:t>
      </w:r>
      <w:r>
        <w:rPr>
          <w:rFonts w:ascii="Times New Roman" w:eastAsia="Times New Roman" w:hAnsi="Times New Roman" w:cs="Times New Roman"/>
          <w:color w:val="000000"/>
          <w:spacing w:val="0"/>
          <w:w w:val="100"/>
          <w:position w:val="0"/>
        </w:rPr>
        <w:t>2013</w:t>
      </w:r>
      <w:r>
        <w:rPr>
          <w:color w:val="000000"/>
          <w:spacing w:val="0"/>
          <w:w w:val="100"/>
          <w:position w:val="0"/>
        </w:rPr>
        <w:t>年，本公司的科技服务业务板块进行业务重组。作为一揽子重组交易的一部分，华大科技向深圳华大生 命科学研究院（“华大研究院”）和华大控股购买了与基因测序相关的专利技术及计算机软件著作权。该专利技术及著作权 在华大研究院的原有会计账面价值为零，其评估价值为人民币</w:t>
      </w:r>
      <w:r>
        <w:rPr>
          <w:rFonts w:ascii="Times New Roman" w:eastAsia="Times New Roman" w:hAnsi="Times New Roman" w:cs="Times New Roman"/>
          <w:color w:val="000000"/>
          <w:spacing w:val="0"/>
          <w:w w:val="100"/>
          <w:position w:val="0"/>
        </w:rPr>
        <w:t>5,708</w:t>
      </w:r>
      <w:r>
        <w:rPr>
          <w:color w:val="000000"/>
          <w:spacing w:val="0"/>
          <w:w w:val="100"/>
          <w:position w:val="0"/>
        </w:rPr>
        <w:t>万元，华大科技以该专利及著作权的公允价值作为支 付对价购入，因此其计税基础等于其公允价值。而由于该交易是同一控制下的业务重组，因此合并层面资产的入账价值应 以转出方账面价值计算，即会计账面价值为零，因此专利及著作权的计税基础与账面价值产生暂时性差异。本公司初始确 认时对该暂时性差异确认了递延所得税资产人民币</w:t>
      </w:r>
      <w:r>
        <w:rPr>
          <w:rFonts w:ascii="Times New Roman" w:eastAsia="Times New Roman" w:hAnsi="Times New Roman" w:cs="Times New Roman"/>
          <w:color w:val="000000"/>
          <w:spacing w:val="0"/>
          <w:w w:val="100"/>
          <w:position w:val="0"/>
        </w:rPr>
        <w:t>1,154</w:t>
      </w:r>
      <w:r>
        <w:rPr>
          <w:color w:val="000000"/>
          <w:spacing w:val="0"/>
          <w:w w:val="100"/>
          <w:position w:val="0"/>
        </w:rPr>
        <w:t>万元，并在以后会计期间逐年转回。</w:t>
      </w:r>
    </w:p>
    <w:p>
      <w:pPr>
        <w:pStyle w:val="Style30"/>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41"/>
      <w:bookmarkEnd w:id="1342"/>
      <w:bookmarkEnd w:id="13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其他权益工具投资公允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92,830,875.12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13,718,476.78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48,650,557.72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7,049,402.29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262,266,688.61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41,377,264.93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359,627,647.51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57,512,259.05</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交易性金融资产（不含</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15,069,513.69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3,589,781.87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111,329,509.32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16,637,844.47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39,932,491.11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5,957,050.49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111,508,563.69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21,752,633.78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593,005,150.43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97,076,001.83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448,210,696.34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70,518,711.83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44"/>
      <w:bookmarkEnd w:id="1345"/>
      <w:bookmarkEnd w:id="13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91,884,728.83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200,286,243.45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69,039,282.12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162,055,460.60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91,884,728.83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5,191,273.00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69,039,282.12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1,479,429.71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48"/>
      <w:bookmarkEnd w:id="1349"/>
      <w:bookmarkEnd w:id="13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111,632,644.89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67,588,400.68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318,821,753.65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272,555,094.53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430,454,398.54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340,143,495.21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52"/>
      <w:bookmarkEnd w:id="1353"/>
      <w:bookmarkEnd w:id="135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5,224,431.15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4,233,706.58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6,801,389.59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25,963,504.01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30,673,634.91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13,044,885.09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19,212,478.05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58,752,679.50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205,190,611.13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年以后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216,826,978.47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5,452,549.70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318,821,753.65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272,555,094.53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312" w:lineRule="exact"/>
        <w:ind w:left="0" w:right="0"/>
        <w:jc w:val="left"/>
      </w:pPr>
      <w:r>
        <w:rPr>
          <w:color w:val="000000"/>
          <w:spacing w:val="0"/>
          <w:w w:val="100"/>
          <w:position w:val="0"/>
        </w:rPr>
        <w:t>由于产生上述亏损的相关公司预计在未来盈利的可能性较低，不存在可足以抵扣亏损的盈利，公司并未对上述税务亏 损确认递延所得税资产。</w:t>
      </w:r>
    </w:p>
    <w:p>
      <w:pPr>
        <w:pStyle w:val="Style30"/>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3</w:t>
      </w:r>
      <w:r>
        <w:rPr>
          <w:color w:val="000000"/>
          <w:spacing w:val="0"/>
          <w:w w:val="100"/>
          <w:position w:val="0"/>
        </w:rPr>
        <w:t>、其他非流动资产</w:t>
      </w:r>
      <w:bookmarkEnd w:id="1356"/>
      <w:bookmarkEnd w:id="1357"/>
      <w:bookmarkEnd w:id="13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6"/>
        <w:gridCol w:w="1666"/>
        <w:gridCol w:w="1090"/>
        <w:gridCol w:w="1181"/>
        <w:gridCol w:w="1181"/>
        <w:gridCol w:w="1094"/>
        <w:gridCol w:w="119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预付专利款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176,971,283.23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99,670,813.99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77,300,469.24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263,446,084.03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80,201,634.37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183,244,449.66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38,869,523.30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38,869,523.30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46,442,921.41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46,442,921.41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13,957,399.18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13,957,399.18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7,072,527.28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7,072,527.28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一年以上的押金和保证金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54,950,400.00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284,748,605.71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99,670,813.99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185,077,791.72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316,961,532.72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80,201,634.37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236,759,898.35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40" w:line="317" w:lineRule="exact"/>
        <w:ind w:left="0" w:right="0"/>
        <w:jc w:val="left"/>
      </w:pPr>
      <w:r>
        <w:rPr>
          <w:color w:val="000000"/>
          <w:spacing w:val="0"/>
          <w:w w:val="100"/>
          <w:position w:val="0"/>
        </w:rPr>
        <w:t>预付专利款系本公司向美国</w:t>
      </w:r>
      <w:r>
        <w:rPr>
          <w:rFonts w:ascii="Times New Roman" w:eastAsia="Times New Roman" w:hAnsi="Times New Roman" w:cs="Times New Roman"/>
          <w:color w:val="000000"/>
          <w:spacing w:val="0"/>
          <w:w w:val="100"/>
          <w:position w:val="0"/>
        </w:rPr>
        <w:t>Natera, Inc</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“Natera</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）购买肿瘤基因检测技术及生育健康基因检测技术的使 用权，并将该技术相关的产品商业化的预付专利许可费与使用费。该专利使用权合同总金额约</w:t>
      </w:r>
      <w:r>
        <w:rPr>
          <w:rFonts w:ascii="Times New Roman" w:eastAsia="Times New Roman" w:hAnsi="Times New Roman" w:cs="Times New Roman"/>
          <w:color w:val="000000"/>
          <w:spacing w:val="0"/>
          <w:w w:val="100"/>
          <w:position w:val="0"/>
        </w:rPr>
        <w:t>5,000.00</w:t>
      </w:r>
      <w:r>
        <w:rPr>
          <w:color w:val="000000"/>
          <w:spacing w:val="0"/>
          <w:w w:val="100"/>
          <w:position w:val="0"/>
        </w:rPr>
        <w:t>万美元。</w:t>
      </w:r>
    </w:p>
    <w:p>
      <w:pPr>
        <w:pStyle w:val="Style17"/>
        <w:keepNext w:val="0"/>
        <w:keepLines w:val="0"/>
        <w:widowControl w:val="0"/>
        <w:shd w:val="clear" w:color="auto" w:fill="auto"/>
        <w:bidi w:val="0"/>
        <w:spacing w:before="0" w:after="60" w:line="310" w:lineRule="exact"/>
        <w:ind w:left="0" w:right="0"/>
        <w:jc w:val="both"/>
      </w:pPr>
      <w:r>
        <w:rPr>
          <w:color w:val="000000"/>
          <w:spacing w:val="0"/>
          <w:w w:val="100"/>
          <w:position w:val="0"/>
        </w:rPr>
        <w:t>报告期内，本公司已完成向</w:t>
      </w:r>
      <w:r>
        <w:rPr>
          <w:rFonts w:ascii="Times New Roman" w:eastAsia="Times New Roman" w:hAnsi="Times New Roman" w:cs="Times New Roman"/>
          <w:color w:val="000000"/>
          <w:spacing w:val="0"/>
          <w:w w:val="100"/>
          <w:position w:val="0"/>
        </w:rPr>
        <w:t>Netera</w:t>
      </w:r>
      <w:r>
        <w:rPr>
          <w:color w:val="000000"/>
          <w:spacing w:val="0"/>
          <w:w w:val="100"/>
          <w:position w:val="0"/>
        </w:rPr>
        <w:t>公司购买肿瘤基因检测技术的产品技术转移及商业化，本公司将预付肿瘤基因检测技 术使用权对应的原值从其他非流动资产结转至无形资产，其原值金额为人民币</w:t>
      </w:r>
      <w:r>
        <w:rPr>
          <w:rFonts w:ascii="Times New Roman" w:eastAsia="Times New Roman" w:hAnsi="Times New Roman" w:cs="Times New Roman"/>
          <w:color w:val="000000"/>
          <w:spacing w:val="0"/>
          <w:w w:val="100"/>
          <w:position w:val="0"/>
        </w:rPr>
        <w:t>99,416,600.80</w:t>
      </w:r>
      <w:r>
        <w:rPr>
          <w:color w:val="000000"/>
          <w:spacing w:val="0"/>
          <w:w w:val="100"/>
          <w:position w:val="0"/>
        </w:rPr>
        <w:t>元，同时将其减值准备结转至无 形资产减值准备，减值金额为人民币</w:t>
      </w:r>
      <w:r>
        <w:rPr>
          <w:rFonts w:ascii="Times New Roman" w:eastAsia="Times New Roman" w:hAnsi="Times New Roman" w:cs="Times New Roman"/>
          <w:color w:val="000000"/>
          <w:spacing w:val="0"/>
          <w:w w:val="100"/>
          <w:position w:val="0"/>
        </w:rPr>
        <w:t>43,080,438.96</w:t>
      </w:r>
      <w:r>
        <w:rPr>
          <w:color w:val="000000"/>
          <w:spacing w:val="0"/>
          <w:w w:val="100"/>
          <w:position w:val="0"/>
        </w:rPr>
        <w:t xml:space="preserve">元。肿瘤基因检测技术相关的预付专利许可费对应的原值人民币 </w:t>
      </w:r>
      <w:r>
        <w:rPr>
          <w:rFonts w:ascii="Times New Roman" w:eastAsia="Times New Roman" w:hAnsi="Times New Roman" w:cs="Times New Roman"/>
          <w:color w:val="000000"/>
          <w:spacing w:val="0"/>
          <w:w w:val="100"/>
          <w:position w:val="0"/>
        </w:rPr>
        <w:t>77,300,469.24</w:t>
      </w:r>
      <w:r>
        <w:rPr>
          <w:color w:val="000000"/>
          <w:spacing w:val="0"/>
          <w:w w:val="100"/>
          <w:position w:val="0"/>
        </w:rPr>
        <w:t>元在其他非流动资产核算，将在该产品销售期间内按销售量结转到营业成本。</w:t>
      </w:r>
    </w:p>
    <w:p>
      <w:pPr>
        <w:pStyle w:val="Style17"/>
        <w:keepNext w:val="0"/>
        <w:keepLines w:val="0"/>
        <w:widowControl w:val="0"/>
        <w:shd w:val="clear" w:color="auto" w:fill="auto"/>
        <w:bidi w:val="0"/>
        <w:spacing w:before="0" w:after="360" w:line="310" w:lineRule="exact"/>
        <w:ind w:left="0" w:right="0"/>
        <w:jc w:val="both"/>
      </w:pPr>
      <w:r>
        <w:rPr>
          <w:color w:val="000000"/>
          <w:spacing w:val="0"/>
          <w:w w:val="100"/>
          <w:position w:val="0"/>
        </w:rPr>
        <w:t>由于市场发生变化，与</w:t>
      </w:r>
      <w:r>
        <w:rPr>
          <w:rFonts w:ascii="Times New Roman" w:eastAsia="Times New Roman" w:hAnsi="Times New Roman" w:cs="Times New Roman"/>
          <w:color w:val="000000"/>
          <w:spacing w:val="0"/>
          <w:w w:val="100"/>
          <w:position w:val="0"/>
        </w:rPr>
        <w:t>Natera</w:t>
      </w:r>
      <w:r>
        <w:rPr>
          <w:color w:val="000000"/>
          <w:spacing w:val="0"/>
          <w:w w:val="100"/>
          <w:position w:val="0"/>
        </w:rPr>
        <w:t>公司就生育健康基因检测技术的合作尚不明朗，本公司对生育健康基因检测技术使用权的 预付专利款全额计提减值。本年生育健康基因检测技术使用权的预付专利款减值金额为人民币</w:t>
      </w:r>
      <w:r>
        <w:rPr>
          <w:rFonts w:ascii="Times New Roman" w:eastAsia="Times New Roman" w:hAnsi="Times New Roman" w:cs="Times New Roman"/>
          <w:color w:val="000000"/>
          <w:spacing w:val="0"/>
          <w:w w:val="100"/>
          <w:position w:val="0"/>
        </w:rPr>
        <w:t>99,670,813.99</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日：人民币</w:t>
      </w:r>
      <w:r>
        <w:rPr>
          <w:rFonts w:ascii="Times New Roman" w:eastAsia="Times New Roman" w:hAnsi="Times New Roman" w:cs="Times New Roman"/>
          <w:color w:val="000000"/>
          <w:spacing w:val="0"/>
          <w:w w:val="100"/>
          <w:position w:val="0"/>
        </w:rPr>
        <w:t>37,121,195.4</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1360"/>
      <w:bookmarkEnd w:id="1361"/>
      <w:bookmarkEnd w:id="1363"/>
    </w:p>
    <w:p>
      <w:pPr>
        <w:pStyle w:val="Style30"/>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60"/>
      <w:bookmarkEnd w:id="1361"/>
      <w:bookmarkEnd w:id="13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212,300,000.00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5,005,576.39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350,996,000.00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5,005,576.39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563,296,000.00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99" w:line="1" w:lineRule="exact"/>
      </w:pPr>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日，上述借款的年利率为</w:t>
      </w:r>
      <w:r>
        <w:rPr>
          <w:rFonts w:ascii="Times New Roman" w:eastAsia="Times New Roman" w:hAnsi="Times New Roman" w:cs="Times New Roman"/>
          <w:color w:val="000000"/>
          <w:spacing w:val="0"/>
          <w:w w:val="100"/>
          <w:position w:val="0"/>
        </w:rPr>
        <w:t>3.65%</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rFonts w:ascii="Times New Roman" w:eastAsia="Times New Roman" w:hAnsi="Times New Roman" w:cs="Times New Roman"/>
          <w:color w:val="000000"/>
          <w:spacing w:val="0"/>
          <w:w w:val="100"/>
          <w:position w:val="0"/>
        </w:rPr>
        <w:t>5</w:t>
      </w:r>
      <w:r>
        <w:rPr>
          <w:color w:val="000000"/>
          <w:spacing w:val="0"/>
          <w:w w:val="100"/>
          <w:position w:val="0"/>
        </w:rPr>
        <w:t>、交易性金融负债</w:t>
      </w:r>
      <w:bookmarkEnd w:id="1365"/>
      <w:bookmarkEnd w:id="1366"/>
      <w:bookmarkEnd w:id="13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369"/>
      <w:bookmarkEnd w:id="1370"/>
      <w:bookmarkEnd w:id="13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345,560,375.00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345,560,375.00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373"/>
      <w:bookmarkEnd w:id="1374"/>
      <w:bookmarkEnd w:id="1376"/>
    </w:p>
    <w:p>
      <w:pPr>
        <w:pStyle w:val="Style30"/>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73"/>
      <w:bookmarkEnd w:id="1374"/>
      <w:bookmarkEnd w:id="1377"/>
    </w:p>
    <w:p>
      <w:pPr>
        <w:pStyle w:val="Style1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371,362,680.93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848,959,327.69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88,398,698.29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24,271,631.79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459,761,379.22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873,230,959.48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8"/>
      <w:bookmarkEnd w:id="1379"/>
      <w:bookmarkEnd w:id="13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57,126,899.64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材料款和特许权使用费尚未结算</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4,673,100.00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材料款尚未结算</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2,378,640.78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材料款尚未结算</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64,178,640.42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7"/>
        <w:keepNext w:val="0"/>
        <w:keepLines w:val="0"/>
        <w:widowControl w:val="0"/>
        <w:shd w:val="clear" w:color="auto" w:fill="auto"/>
        <w:bidi w:val="0"/>
        <w:spacing w:before="0" w:after="380" w:line="240" w:lineRule="auto"/>
        <w:ind w:left="0" w:right="0"/>
        <w:jc w:val="left"/>
      </w:pPr>
      <w:r>
        <w:rPr>
          <w:color w:val="000000"/>
          <w:spacing w:val="0"/>
          <w:w w:val="100"/>
          <w:position w:val="0"/>
        </w:rPr>
        <w:t>应付账款不计息，并通常在一年以内清偿。</w:t>
      </w:r>
    </w:p>
    <w:p>
      <w:pPr>
        <w:pStyle w:val="Style30"/>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81"/>
      <w:bookmarkEnd w:id="1382"/>
      <w:bookmarkEnd w:id="13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1,409,524,891.35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840,881,739.91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1,409,524,891.35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840,881,739.91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568,643,151.44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海外业务增加相关销售预收款项所致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568,643,151.44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合同负债主要涉及客户销售合同中收取的预收款项，该合同的相关收入将在履行履约义务后确认。</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85"/>
      <w:bookmarkEnd w:id="1386"/>
      <w:bookmarkEnd w:id="1388"/>
    </w:p>
    <w:p>
      <w:pPr>
        <w:pStyle w:val="Style30"/>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5"/>
      <w:bookmarkEnd w:id="1386"/>
      <w:bookmarkEnd w:id="13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620,204,469.12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1,156,294,510.09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1,555,002,196.88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221,496,782.33</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571,966.88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76,035,427.74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74,674,037.36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1,933,357.26</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5,101,671.13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5,117,252.13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620,792,017.00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1,237,431,608.96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1,634,793,486.37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223,430,139.59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0"/>
      <w:bookmarkEnd w:id="1391"/>
      <w:bookmarkEnd w:id="13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617,802,031.48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991,646,189.29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1,389,870,365.93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219,577,854.84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247,708.49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58,894,653.93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58,754,742.72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387,619.70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828,629.92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41,717,298.22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41,815,357.16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730,570.98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819,391.27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38,643,313.52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38,804,221.52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658,483.27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1,275,604.57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1,214,768.35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67,160.55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1,798,380.13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1,796,367.29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4,927.16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757,428.61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55,675,813.16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56,127,596.50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305,645.27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568,670.62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8,360,555.49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8,434,134.57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495,091.54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620,204,469.12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1,156,294,510.09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1,555,002,196.88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221,496,782.33</w:t>
            </w:r>
          </w:p>
        </w:tc>
      </w:tr>
    </w:tbl>
    <w:p>
      <w:pPr>
        <w:widowControl w:val="0"/>
        <w:spacing w:after="319" w:line="1" w:lineRule="exact"/>
      </w:pPr>
    </w:p>
    <w:p>
      <w:pPr>
        <w:pStyle w:val="Style30"/>
        <w:keepNext/>
        <w:keepLines/>
        <w:widowControl w:val="0"/>
        <w:numPr>
          <w:ilvl w:val="0"/>
          <w:numId w:val="41"/>
        </w:numPr>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设定提存计划列示</w:t>
      </w:r>
      <w:bookmarkEnd w:id="1393"/>
      <w:bookmarkEnd w:id="1394"/>
      <w:bookmarkEnd w:id="13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490,064.11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74,321,304.67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72,999,918.48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1,811,450.30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1,714,123.07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1,674,118.88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121,906.96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571,966.88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76,035,427.74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74,674,037.36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1,933,357.26</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3</w:t>
      </w:r>
      <w:bookmarkEnd w:id="1399"/>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97"/>
      <w:bookmarkEnd w:id="1398"/>
      <w:bookmarkEnd w:id="14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16,952,353.36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52,113,351.37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167,828,465.43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147,020,523.84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40,625,978.35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85,532,387.20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7,959,063.64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11,911,408.79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233,365,860.78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296,577,671.20</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01"/>
      <w:bookmarkEnd w:id="1402"/>
      <w:bookmarkEnd w:id="14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536,219,283.41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490,437,489.77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536,219,283.41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490,437,489.77</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05"/>
      <w:bookmarkEnd w:id="1406"/>
      <w:bookmarkEnd w:id="1407"/>
    </w:p>
    <w:p>
      <w:pPr>
        <w:pStyle w:val="Style30"/>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color w:val="000000"/>
          <w:spacing w:val="0"/>
          <w:w w:val="100"/>
          <w:position w:val="0"/>
        </w:rPr>
        <w:t>）按款项性质列示其他应付款</w:t>
      </w:r>
      <w:bookmarkEnd w:id="1405"/>
      <w:bookmarkEnd w:id="1406"/>
      <w:bookmarkEnd w:id="14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289,994,726.43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186,623,283.43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103,004,567.13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78,792,748.62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32,676,045.83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23,706,744.28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627,231.47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3,760,862.34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应付其他员工福利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9,354,173.73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7,403,942.34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员工持股计划回购义务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87,941,338.00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175,882,676.00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12,621,200.82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14,267,232.76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536,219,283.41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490,437,489.77</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0"/>
      <w:bookmarkEnd w:id="1411"/>
      <w:bookmarkEnd w:id="14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26,285,280.04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21,079,130.00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182,225.23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48,615,935.27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、一年内到期的非流动负债</w:t>
      </w:r>
      <w:bookmarkEnd w:id="1414"/>
      <w:bookmarkEnd w:id="1415"/>
      <w:bookmarkEnd w:id="14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11,938,356.16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5,660,377.35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40,871,615.29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90,604,700.80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43,574,776.17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尚未支付的投资款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1,758,282.21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1,735,413.57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148,761,716.52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124,881,805.03</w:t>
            </w:r>
          </w:p>
        </w:tc>
      </w:tr>
    </w:tbl>
    <w:p>
      <w:pPr>
        <w:pStyle w:val="Style17"/>
        <w:keepNext w:val="0"/>
        <w:keepLines w:val="0"/>
        <w:widowControl w:val="0"/>
        <w:shd w:val="clear" w:color="auto" w:fill="auto"/>
        <w:bidi w:val="0"/>
        <w:spacing w:before="0" w:after="120" w:line="307" w:lineRule="exact"/>
        <w:ind w:left="0" w:right="0"/>
        <w:jc w:val="both"/>
      </w:pPr>
      <w:r>
        <w:rPr>
          <w:color w:val="000000"/>
          <w:spacing w:val="0"/>
          <w:w w:val="100"/>
          <w:position w:val="0"/>
        </w:rPr>
        <w:t>注：预计负债是指本公司履行部分合同义务不可避免会发生的成本超过该合同预期经济利益的合同。预计负债的计算需 要对合同预计收入以及未来需要发生的不可避免成本作出预计。本公司持续对预计负债金额估计标准进行复核，必要时进行 调整。</w:t>
      </w:r>
    </w:p>
    <w:p>
      <w:pPr>
        <w:pStyle w:val="Style26"/>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bl>
      <w:tblPr>
        <w:tblOverlap w:val="never"/>
        <w:jc w:val="center"/>
        <w:tblLayout w:type="fixed"/>
      </w:tblPr>
      <w:tblGrid>
        <w:gridCol w:w="1800"/>
        <w:gridCol w:w="1406"/>
        <w:gridCol w:w="1574"/>
        <w:gridCol w:w="1589"/>
        <w:gridCol w:w="1718"/>
        <w:gridCol w:w="1560"/>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年末余额</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待执行亏损合同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1,735,413.57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1,755,902.88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1,733,034.24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1,758,282.21</w:t>
            </w:r>
          </w:p>
        </w:tc>
      </w:tr>
    </w:tbl>
    <w:p>
      <w:pPr>
        <w:widowControl w:val="0"/>
        <w:spacing w:after="419" w:line="1" w:lineRule="exact"/>
      </w:pPr>
    </w:p>
    <w:p>
      <w:pPr>
        <w:pStyle w:val="Style26"/>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1800"/>
        <w:gridCol w:w="1411"/>
        <w:gridCol w:w="1570"/>
        <w:gridCol w:w="1589"/>
        <w:gridCol w:w="1723"/>
        <w:gridCol w:w="1555"/>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会计政策变更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年末余额</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待执行亏损合同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8,999,491.61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-1,435,259.95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1,664,868.41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7,493,686.50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1,735,413.57</w:t>
            </w:r>
          </w:p>
        </w:tc>
      </w:tr>
    </w:tbl>
    <w:p>
      <w:pPr>
        <w:widowControl w:val="0"/>
        <w:spacing w:after="679" w:line="1" w:lineRule="exact"/>
      </w:pPr>
    </w:p>
    <w:p>
      <w:pPr>
        <w:pStyle w:val="Style30"/>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、其他流动负债</w:t>
      </w:r>
      <w:bookmarkEnd w:id="1418"/>
      <w:bookmarkEnd w:id="1419"/>
      <w:bookmarkEnd w:id="14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20,723,731.75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35,298,505.03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未终止确认的已背书未到期的应收票据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1,108,971.50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21,832,703.25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35,598,505.03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4</w:t>
      </w:r>
      <w:r>
        <w:rPr>
          <w:color w:val="000000"/>
          <w:spacing w:val="0"/>
          <w:w w:val="100"/>
          <w:position w:val="0"/>
        </w:rPr>
        <w:t>、长期借款</w:t>
      </w:r>
      <w:bookmarkEnd w:id="1422"/>
      <w:bookmarkEnd w:id="1423"/>
      <w:bookmarkEnd w:id="1425"/>
    </w:p>
    <w:p>
      <w:pPr>
        <w:pStyle w:val="Style30"/>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6" w:name="bookmark14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2"/>
      <w:bookmarkEnd w:id="1423"/>
      <w:bookmarkEnd w:id="14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132,098,728.75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153,300,000.00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12,824,267.22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144,922,995.97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168,500,000.00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widowControl w:val="0"/>
        <w:spacing w:after="119" w:line="1" w:lineRule="exact"/>
      </w:pPr>
    </w:p>
    <w:p>
      <w:pPr>
        <w:pStyle w:val="Style38"/>
        <w:keepNext w:val="0"/>
        <w:keepLines w:val="0"/>
        <w:widowControl w:val="0"/>
        <w:shd w:val="clear" w:color="auto" w:fill="auto"/>
        <w:bidi w:val="0"/>
        <w:spacing w:before="0" w:after="380" w:line="240" w:lineRule="auto"/>
        <w:ind w:left="0" w:right="0" w:firstLine="380"/>
        <w:jc w:val="left"/>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日，上述借款的年利率为</w:t>
      </w:r>
      <w:r>
        <w:rPr>
          <w:color w:val="000000"/>
          <w:spacing w:val="0"/>
          <w:w w:val="100"/>
          <w:position w:val="0"/>
        </w:rPr>
        <w:t>4.19%-5.23%</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4.19%-5.23%</w:t>
      </w:r>
      <w:r>
        <w:rPr>
          <w:rFonts w:ascii="SimSun" w:eastAsia="SimSun" w:hAnsi="SimSun" w:cs="SimSun"/>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5</w:t>
      </w:r>
      <w:r>
        <w:rPr>
          <w:color w:val="000000"/>
          <w:spacing w:val="0"/>
          <w:w w:val="100"/>
          <w:position w:val="0"/>
        </w:rPr>
        <w:t>、应付债券</w:t>
      </w:r>
      <w:bookmarkEnd w:id="1427"/>
      <w:bookmarkEnd w:id="1428"/>
      <w:bookmarkEnd w:id="1430"/>
    </w:p>
    <w:p>
      <w:pPr>
        <w:pStyle w:val="Style30"/>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27"/>
      <w:bookmarkEnd w:id="1428"/>
      <w:bookmarkEnd w:id="14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292,223,491.82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293,701,723.19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公司债券</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194,815,661.21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195,801,148.79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487,039,153.03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489,502,871.98</w:t>
            </w:r>
          </w:p>
        </w:tc>
      </w:tr>
    </w:tbl>
    <w:p>
      <w:pPr>
        <w:sectPr>
          <w:footnotePr>
            <w:pos w:val="pageBottom"/>
            <w:numFmt w:val="decimal"/>
            <w:numRestart w:val="continuous"/>
          </w:footnotePr>
          <w:pgSz w:w="11900" w:h="16840"/>
          <w:pgMar w:top="1383" w:right="1056" w:bottom="1465" w:left="1066" w:header="0" w:footer="3" w:gutter="0"/>
          <w:cols w:space="720"/>
          <w:noEndnote/>
          <w:rtlGutter w:val="0"/>
          <w:docGrid w:linePitch="360"/>
        </w:sectPr>
      </w:pPr>
    </w:p>
    <w:p>
      <w:pPr>
        <w:pStyle w:val="Style30"/>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32"/>
      <w:bookmarkEnd w:id="1433"/>
      <w:bookmarkEnd w:id="1434"/>
    </w:p>
    <w:p>
      <w:pPr>
        <w:pStyle w:val="Style2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1162"/>
        <w:gridCol w:w="1181"/>
        <w:gridCol w:w="1152"/>
        <w:gridCol w:w="1152"/>
        <w:gridCol w:w="1186"/>
        <w:gridCol w:w="1181"/>
        <w:gridCol w:w="1152"/>
        <w:gridCol w:w="1152"/>
        <w:gridCol w:w="1152"/>
        <w:gridCol w:w="1152"/>
        <w:gridCol w:w="1157"/>
        <w:gridCol w:w="11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按面值计提利 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溢折价摊销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本期偿还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未来一年内偿 还的利息</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293,701,723.19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5,684,782.33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7,163,013.70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292,223,491.82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195,801,148.79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3,789,854.88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4,775,342.46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194,815,661.21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489,502,871.98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9,474,637.21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11,938,356.16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487,039,153.03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314" w:lineRule="exact"/>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日，本公司发行</w:t>
      </w:r>
      <w:r>
        <w:rPr>
          <w:rFonts w:ascii="Times New Roman" w:eastAsia="Times New Roman" w:hAnsi="Times New Roman" w:cs="Times New Roman"/>
          <w:color w:val="000000"/>
          <w:spacing w:val="0"/>
          <w:w w:val="100"/>
          <w:position w:val="0"/>
        </w:rPr>
        <w:t>2020</w:t>
      </w:r>
      <w:r>
        <w:rPr>
          <w:color w:val="000000"/>
          <w:spacing w:val="0"/>
          <w:w w:val="100"/>
          <w:position w:val="0"/>
        </w:rPr>
        <w:t>年公司债券（第一期），发行总额为人民币</w:t>
      </w:r>
      <w:r>
        <w:rPr>
          <w:rFonts w:ascii="Times New Roman" w:eastAsia="Times New Roman" w:hAnsi="Times New Roman" w:cs="Times New Roman"/>
          <w:color w:val="000000"/>
          <w:spacing w:val="0"/>
          <w:w w:val="100"/>
          <w:position w:val="0"/>
        </w:rPr>
        <w:t>5</w:t>
      </w:r>
      <w:r>
        <w:rPr>
          <w:color w:val="000000"/>
          <w:spacing w:val="0"/>
          <w:w w:val="100"/>
          <w:position w:val="0"/>
        </w:rPr>
        <w:t>亿元，分为两个品种，品种一发行面值人民币</w:t>
      </w:r>
      <w:r>
        <w:rPr>
          <w:rFonts w:ascii="Times New Roman" w:eastAsia="Times New Roman" w:hAnsi="Times New Roman" w:cs="Times New Roman"/>
          <w:color w:val="000000"/>
          <w:spacing w:val="0"/>
          <w:w w:val="100"/>
          <w:position w:val="0"/>
        </w:rPr>
        <w:t>3</w:t>
      </w:r>
      <w:r>
        <w:rPr>
          <w:color w:val="000000"/>
          <w:spacing w:val="0"/>
          <w:w w:val="100"/>
          <w:position w:val="0"/>
        </w:rPr>
        <w:t>亿元，为</w:t>
      </w:r>
      <w:r>
        <w:rPr>
          <w:rFonts w:ascii="Times New Roman" w:eastAsia="Times New Roman" w:hAnsi="Times New Roman" w:cs="Times New Roman"/>
          <w:color w:val="000000"/>
          <w:spacing w:val="0"/>
          <w:w w:val="100"/>
          <w:position w:val="0"/>
        </w:rPr>
        <w:t>3</w:t>
      </w:r>
      <w:r>
        <w:rPr>
          <w:color w:val="000000"/>
          <w:spacing w:val="0"/>
          <w:w w:val="100"/>
          <w:position w:val="0"/>
        </w:rPr>
        <w:t>年期，票面利率</w:t>
      </w:r>
      <w:r>
        <w:rPr>
          <w:rFonts w:ascii="Times New Roman" w:eastAsia="Times New Roman" w:hAnsi="Times New Roman" w:cs="Times New Roman"/>
          <w:color w:val="000000"/>
          <w:spacing w:val="0"/>
          <w:w w:val="100"/>
          <w:position w:val="0"/>
        </w:rPr>
        <w:t>3.5%</w:t>
      </w:r>
      <w:r>
        <w:rPr>
          <w:color w:val="000000"/>
          <w:spacing w:val="0"/>
          <w:w w:val="100"/>
          <w:position w:val="0"/>
        </w:rPr>
        <w:t>；品种二发行面 值人民币</w:t>
      </w:r>
      <w:r>
        <w:rPr>
          <w:rFonts w:ascii="Times New Roman" w:eastAsia="Times New Roman" w:hAnsi="Times New Roman" w:cs="Times New Roman"/>
          <w:color w:val="000000"/>
          <w:spacing w:val="0"/>
          <w:w w:val="100"/>
          <w:position w:val="0"/>
        </w:rPr>
        <w:t>2</w:t>
      </w:r>
      <w:r>
        <w:rPr>
          <w:color w:val="000000"/>
          <w:spacing w:val="0"/>
          <w:w w:val="100"/>
          <w:position w:val="0"/>
        </w:rPr>
        <w:t>亿元，为</w:t>
      </w:r>
      <w:r>
        <w:rPr>
          <w:rFonts w:ascii="Times New Roman" w:eastAsia="Times New Roman" w:hAnsi="Times New Roman" w:cs="Times New Roman"/>
          <w:color w:val="000000"/>
          <w:spacing w:val="0"/>
          <w:w w:val="100"/>
          <w:position w:val="0"/>
        </w:rPr>
        <w:t>3</w:t>
      </w:r>
      <w:r>
        <w:rPr>
          <w:color w:val="000000"/>
          <w:spacing w:val="0"/>
          <w:w w:val="100"/>
          <w:position w:val="0"/>
        </w:rPr>
        <w:t>年期，票面利率</w:t>
      </w:r>
      <w:r>
        <w:rPr>
          <w:rFonts w:ascii="Times New Roman" w:eastAsia="Times New Roman" w:hAnsi="Times New Roman" w:cs="Times New Roman"/>
          <w:color w:val="000000"/>
          <w:spacing w:val="0"/>
          <w:w w:val="100"/>
          <w:position w:val="0"/>
        </w:rPr>
        <w:t>3.5%</w:t>
      </w:r>
      <w:r>
        <w:rPr>
          <w:color w:val="000000"/>
          <w:spacing w:val="0"/>
          <w:w w:val="100"/>
          <w:position w:val="0"/>
        </w:rPr>
        <w:t>。本期债券票面利率采取单利按年计息，不计复利，每年付息一次，到期一次还本，最后一期利息随本金的兑付一起支付。本期债券已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日在深圳证券交易所上市。</w:t>
      </w:r>
    </w:p>
    <w:p>
      <w:pPr>
        <w:pStyle w:val="Style17"/>
        <w:keepNext w:val="0"/>
        <w:keepLines w:val="0"/>
        <w:widowControl w:val="0"/>
        <w:shd w:val="clear" w:color="auto" w:fill="auto"/>
        <w:bidi w:val="0"/>
        <w:spacing w:before="0" w:after="180" w:line="314" w:lineRule="exact"/>
        <w:ind w:left="0" w:right="0" w:firstLine="360"/>
        <w:jc w:val="left"/>
        <w:sectPr>
          <w:footnotePr>
            <w:pos w:val="pageBottom"/>
            <w:numFmt w:val="decimal"/>
            <w:numRestart w:val="continuous"/>
          </w:footnotePr>
          <w:pgSz w:w="16840" w:h="11900" w:orient="landscape"/>
          <w:pgMar w:top="1158" w:right="1417" w:bottom="1158" w:left="1422" w:header="0" w:footer="3" w:gutter="0"/>
          <w:cols w:space="720"/>
          <w:noEndnote/>
          <w:rtlGutter w:val="0"/>
          <w:docGrid w:linePitch="360"/>
        </w:sectPr>
      </w:pPr>
      <w:r>
        <w:rPr>
          <w:color w:val="000000"/>
          <w:spacing w:val="0"/>
          <w:w w:val="100"/>
          <w:position w:val="0"/>
        </w:rPr>
        <w:t>本公司与深圳高新投融资担保有限公司和深圳担保集团有限公司签订担保合同，由其为债券提供连带责任保证担保。本公司向深圳高新投融资担保有限公司提供账面价值为 人民币</w:t>
      </w:r>
      <w:r>
        <w:rPr>
          <w:rFonts w:ascii="Times New Roman" w:eastAsia="Times New Roman" w:hAnsi="Times New Roman" w:cs="Times New Roman"/>
          <w:color w:val="000000"/>
          <w:spacing w:val="0"/>
          <w:w w:val="100"/>
          <w:position w:val="0"/>
        </w:rPr>
        <w:t>216,596,797.46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223,288,238.65</w:t>
      </w:r>
      <w:r>
        <w:rPr>
          <w:color w:val="000000"/>
          <w:spacing w:val="0"/>
          <w:w w:val="100"/>
          <w:position w:val="0"/>
        </w:rPr>
        <w:t>元）的固定资产及发行面值</w:t>
      </w:r>
      <w:r>
        <w:rPr>
          <w:rFonts w:ascii="Times New Roman" w:eastAsia="Times New Roman" w:hAnsi="Times New Roman" w:cs="Times New Roman"/>
          <w:color w:val="000000"/>
          <w:spacing w:val="0"/>
          <w:w w:val="100"/>
          <w:position w:val="0"/>
        </w:rPr>
        <w:t>10%</w:t>
      </w:r>
      <w:r>
        <w:rPr>
          <w:color w:val="000000"/>
          <w:spacing w:val="0"/>
          <w:w w:val="100"/>
          <w:position w:val="0"/>
        </w:rPr>
        <w:t>的金额用于品种一债券发行担保的反向担保。本公司向深圳担保集团有限公司提 供账面价值为人民币</w:t>
      </w:r>
      <w:r>
        <w:rPr>
          <w:rFonts w:ascii="Times New Roman" w:eastAsia="Times New Roman" w:hAnsi="Times New Roman" w:cs="Times New Roman"/>
          <w:color w:val="000000"/>
          <w:spacing w:val="0"/>
          <w:w w:val="100"/>
          <w:position w:val="0"/>
        </w:rPr>
        <w:t>19,803,999.56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20,217,300.4</w:t>
      </w:r>
      <w:r>
        <w:rPr>
          <w:rFonts w:ascii="Times New Roman" w:eastAsia="Times New Roman" w:hAnsi="Times New Roman" w:cs="Times New Roman"/>
          <w:color w:val="000000"/>
          <w:spacing w:val="0"/>
          <w:w w:val="100"/>
          <w:position w:val="0"/>
        </w:rPr>
        <w:t>2</w:t>
      </w:r>
      <w:r>
        <w:rPr>
          <w:color w:val="000000"/>
          <w:spacing w:val="0"/>
          <w:w w:val="100"/>
          <w:position w:val="0"/>
        </w:rPr>
        <w:t>元）的无形资产及发行面值</w:t>
      </w:r>
      <w:r>
        <w:rPr>
          <w:rFonts w:ascii="Times New Roman" w:eastAsia="Times New Roman" w:hAnsi="Times New Roman" w:cs="Times New Roman"/>
          <w:color w:val="000000"/>
          <w:spacing w:val="0"/>
          <w:w w:val="100"/>
          <w:position w:val="0"/>
        </w:rPr>
        <w:t>10%</w:t>
      </w:r>
      <w:r>
        <w:rPr>
          <w:color w:val="000000"/>
          <w:spacing w:val="0"/>
          <w:w w:val="100"/>
          <w:position w:val="0"/>
        </w:rPr>
        <w:t>的金额用于品种二债券发行担保的反向担保，同时华大控股、汪建及 杨焕明提供连带责任保证。</w:t>
      </w:r>
    </w:p>
    <w:p>
      <w:pPr>
        <w:pStyle w:val="Style30"/>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6</w:t>
      </w:r>
      <w:r>
        <w:rPr>
          <w:color w:val="000000"/>
          <w:spacing w:val="0"/>
          <w:w w:val="100"/>
          <w:position w:val="0"/>
        </w:rPr>
        <w:t>、租赁负债</w:t>
      </w:r>
      <w:bookmarkEnd w:id="1435"/>
      <w:bookmarkEnd w:id="1436"/>
      <w:bookmarkEnd w:id="14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84,440,855.81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143,937,721.54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84,440,855.81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143,937,721.54</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39"/>
      <w:bookmarkEnd w:id="1440"/>
      <w:bookmarkEnd w:id="14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671,571,748.12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625,571,491.44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671,571,748.12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625,571,491.44</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43"/>
      <w:bookmarkEnd w:id="1444"/>
      <w:bookmarkEnd w:id="14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9,056,603.77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股权回购义务（注）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671,571,748.12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616,514,887.67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671,571,748.12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625,571,491.44</w:t>
            </w:r>
          </w:p>
        </w:tc>
      </w:tr>
    </w:tbl>
    <w:p>
      <w:pPr>
        <w:pStyle w:val="Style17"/>
        <w:keepNext w:val="0"/>
        <w:keepLines w:val="0"/>
        <w:widowControl w:val="0"/>
        <w:shd w:val="clear" w:color="auto" w:fill="auto"/>
        <w:bidi w:val="0"/>
        <w:spacing w:before="0" w:after="0" w:line="313" w:lineRule="exact"/>
        <w:ind w:left="0" w:right="0"/>
        <w:jc w:val="left"/>
      </w:pPr>
      <w:r>
        <w:rPr>
          <w:color w:val="000000"/>
          <w:spacing w:val="0"/>
          <w:w w:val="100"/>
          <w:position w:val="0"/>
        </w:rPr>
        <w:t>注：本公司于</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年将所持子公司华大因源</w:t>
      </w:r>
      <w:r>
        <w:rPr>
          <w:rFonts w:ascii="Times New Roman" w:eastAsia="Times New Roman" w:hAnsi="Times New Roman" w:cs="Times New Roman"/>
          <w:color w:val="000000"/>
          <w:spacing w:val="0"/>
          <w:w w:val="100"/>
          <w:position w:val="0"/>
        </w:rPr>
        <w:t>14.66%</w:t>
      </w:r>
      <w:r>
        <w:rPr>
          <w:color w:val="000000"/>
          <w:spacing w:val="0"/>
          <w:w w:val="100"/>
          <w:position w:val="0"/>
        </w:rPr>
        <w:t xml:space="preserve">的股权转让给机构投资者，累计收到股权转让款人民币 </w:t>
      </w:r>
      <w:r>
        <w:rPr>
          <w:rFonts w:ascii="Times New Roman" w:eastAsia="Times New Roman" w:hAnsi="Times New Roman" w:cs="Times New Roman"/>
          <w:color w:val="000000"/>
          <w:spacing w:val="0"/>
          <w:w w:val="100"/>
          <w:position w:val="0"/>
        </w:rPr>
        <w:t>195,000,000.00</w:t>
      </w:r>
      <w:r>
        <w:rPr>
          <w:color w:val="000000"/>
          <w:spacing w:val="0"/>
          <w:w w:val="100"/>
          <w:position w:val="0"/>
        </w:rPr>
        <w:t>元。同时，机构投资者以人民币</w:t>
      </w:r>
      <w:r>
        <w:rPr>
          <w:rFonts w:ascii="Times New Roman" w:eastAsia="Times New Roman" w:hAnsi="Times New Roman" w:cs="Times New Roman"/>
          <w:color w:val="000000"/>
          <w:spacing w:val="0"/>
          <w:w w:val="100"/>
          <w:position w:val="0"/>
        </w:rPr>
        <w:t>330,000,000.00</w:t>
      </w:r>
      <w:r>
        <w:rPr>
          <w:color w:val="000000"/>
          <w:spacing w:val="0"/>
          <w:w w:val="100"/>
          <w:position w:val="0"/>
        </w:rPr>
        <w:t>元向华大因源增资，取得华大因源</w:t>
      </w:r>
      <w:r>
        <w:rPr>
          <w:rFonts w:ascii="Times New Roman" w:eastAsia="Times New Roman" w:hAnsi="Times New Roman" w:cs="Times New Roman"/>
          <w:color w:val="000000"/>
          <w:spacing w:val="0"/>
          <w:w w:val="100"/>
          <w:position w:val="0"/>
        </w:rPr>
        <w:t>24.81%</w:t>
      </w:r>
      <w:r>
        <w:rPr>
          <w:color w:val="000000"/>
          <w:spacing w:val="0"/>
          <w:w w:val="100"/>
          <w:position w:val="0"/>
        </w:rPr>
        <w:t>的股权。根据投资 协议，本公司在普通股权利以外赋予了投资人在触发回购条件时有权要求本集团回购的权利，整体承担了不能无条件避免 回购自身权益工具的现金支付义务。回购价款为按单利</w:t>
      </w:r>
      <w:r>
        <w:rPr>
          <w:rFonts w:ascii="Times New Roman" w:eastAsia="Times New Roman" w:hAnsi="Times New Roman" w:cs="Times New Roman"/>
          <w:color w:val="000000"/>
          <w:spacing w:val="0"/>
          <w:w w:val="100"/>
          <w:position w:val="0"/>
        </w:rPr>
        <w:t>12%</w:t>
      </w:r>
      <w:r>
        <w:rPr>
          <w:color w:val="000000"/>
          <w:spacing w:val="0"/>
          <w:w w:val="100"/>
          <w:position w:val="0"/>
        </w:rPr>
        <w:t>的年回报率计算的投资本金加利息。本公司将该普通股的回购 义务全额确认负债。截至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日，账面余额为人民币</w:t>
      </w:r>
      <w:r>
        <w:rPr>
          <w:rFonts w:ascii="Times New Roman" w:eastAsia="Times New Roman" w:hAnsi="Times New Roman" w:cs="Times New Roman"/>
          <w:color w:val="000000"/>
          <w:spacing w:val="0"/>
          <w:w w:val="100"/>
          <w:position w:val="0"/>
        </w:rPr>
        <w:t>630,351,598.19</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 xml:space="preserve">578,698,373.22 </w:t>
      </w:r>
      <w:r>
        <w:rPr>
          <w:color w:val="000000"/>
          <w:spacing w:val="0"/>
          <w:w w:val="100"/>
          <w:position w:val="0"/>
        </w:rPr>
        <w:t>元）。</w:t>
      </w:r>
    </w:p>
    <w:p>
      <w:pPr>
        <w:pStyle w:val="Style17"/>
        <w:keepNext w:val="0"/>
        <w:keepLines w:val="0"/>
        <w:widowControl w:val="0"/>
        <w:shd w:val="clear" w:color="auto" w:fill="auto"/>
        <w:bidi w:val="0"/>
        <w:spacing w:before="0" w:after="360" w:line="313"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年和</w:t>
      </w:r>
      <w:r>
        <w:rPr>
          <w:rFonts w:ascii="Times New Roman" w:eastAsia="Times New Roman" w:hAnsi="Times New Roman" w:cs="Times New Roman"/>
          <w:color w:val="000000"/>
          <w:spacing w:val="0"/>
          <w:w w:val="100"/>
          <w:position w:val="0"/>
        </w:rPr>
        <w:t>2020</w:t>
      </w:r>
      <w:r>
        <w:rPr>
          <w:color w:val="000000"/>
          <w:spacing w:val="0"/>
          <w:w w:val="100"/>
          <w:position w:val="0"/>
        </w:rPr>
        <w:t>年，机构投资者以人民币</w:t>
      </w:r>
      <w:r>
        <w:rPr>
          <w:rFonts w:ascii="Times New Roman" w:eastAsia="Times New Roman" w:hAnsi="Times New Roman" w:cs="Times New Roman"/>
          <w:color w:val="000000"/>
          <w:spacing w:val="0"/>
          <w:w w:val="100"/>
          <w:position w:val="0"/>
        </w:rPr>
        <w:t>24,350,000.00</w:t>
      </w:r>
      <w:r>
        <w:rPr>
          <w:color w:val="000000"/>
          <w:spacing w:val="0"/>
          <w:w w:val="100"/>
          <w:position w:val="0"/>
        </w:rPr>
        <w:t>元增加华大数极生物科技（深圳）有限公司（</w:t>
      </w:r>
      <w:r>
        <w:rPr>
          <w:rFonts w:ascii="Times New Roman" w:eastAsia="Times New Roman" w:hAnsi="Times New Roman" w:cs="Times New Roman"/>
          <w:color w:val="000000"/>
          <w:spacing w:val="0"/>
          <w:w w:val="100"/>
          <w:position w:val="0"/>
        </w:rPr>
        <w:t>“</w:t>
      </w:r>
      <w:r>
        <w:rPr>
          <w:color w:val="000000"/>
          <w:spacing w:val="0"/>
          <w:w w:val="100"/>
          <w:position w:val="0"/>
        </w:rPr>
        <w:t>华大数极</w:t>
      </w:r>
      <w:r>
        <w:rPr>
          <w:rFonts w:ascii="Times New Roman" w:eastAsia="Times New Roman" w:hAnsi="Times New Roman" w:cs="Times New Roman"/>
          <w:color w:val="000000"/>
          <w:spacing w:val="0"/>
          <w:w w:val="100"/>
          <w:position w:val="0"/>
        </w:rPr>
        <w:t>”</w:t>
      </w:r>
      <w:r>
        <w:rPr>
          <w:color w:val="000000"/>
          <w:spacing w:val="0"/>
          <w:w w:val="100"/>
          <w:position w:val="0"/>
        </w:rPr>
        <w:t>）注 册资本，取得华大数极</w:t>
      </w:r>
      <w:r>
        <w:rPr>
          <w:rFonts w:ascii="Times New Roman" w:eastAsia="Times New Roman" w:hAnsi="Times New Roman" w:cs="Times New Roman"/>
          <w:color w:val="000000"/>
          <w:spacing w:val="0"/>
          <w:w w:val="100"/>
          <w:position w:val="0"/>
        </w:rPr>
        <w:t>15.65%</w:t>
      </w:r>
      <w:r>
        <w:rPr>
          <w:color w:val="000000"/>
          <w:spacing w:val="0"/>
          <w:w w:val="100"/>
          <w:position w:val="0"/>
        </w:rPr>
        <w:t>的股权。根据投资协议，本公司在普通股权利以外赋予了投资人在触发回购条件时有权要求 本公司回购的权利，整体承担了不能无条件避免回购自身权益工具的现金支付义务。回购价款为按单利</w:t>
      </w:r>
      <w:r>
        <w:rPr>
          <w:rFonts w:ascii="Times New Roman" w:eastAsia="Times New Roman" w:hAnsi="Times New Roman" w:cs="Times New Roman"/>
          <w:color w:val="000000"/>
          <w:spacing w:val="0"/>
          <w:w w:val="100"/>
          <w:position w:val="0"/>
        </w:rPr>
        <w:t>12%</w:t>
      </w:r>
      <w:r>
        <w:rPr>
          <w:color w:val="000000"/>
          <w:spacing w:val="0"/>
          <w:w w:val="100"/>
          <w:position w:val="0"/>
        </w:rPr>
        <w:t>的年回报率计 算的投资本金加利息。本公司将该普通股的回购义务全额确认负债。截至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日，账面余额为人民币 </w:t>
      </w:r>
      <w:r>
        <w:rPr>
          <w:rFonts w:ascii="Times New Roman" w:eastAsia="Times New Roman" w:hAnsi="Times New Roman" w:cs="Times New Roman"/>
          <w:color w:val="000000"/>
          <w:spacing w:val="0"/>
          <w:w w:val="100"/>
          <w:position w:val="0"/>
        </w:rPr>
        <w:t>41,220,149.93</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日：人民币</w:t>
      </w:r>
      <w:r>
        <w:rPr>
          <w:rFonts w:ascii="Times New Roman" w:eastAsia="Times New Roman" w:hAnsi="Times New Roman" w:cs="Times New Roman"/>
          <w:color w:val="000000"/>
          <w:spacing w:val="0"/>
          <w:w w:val="100"/>
          <w:position w:val="0"/>
        </w:rPr>
        <w:t>37,816,514.45</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446"/>
      <w:bookmarkEnd w:id="1447"/>
      <w:bookmarkEnd w:id="14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44,111,013.79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38,462,957.16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51,122,240.52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31,451,730.43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红十字会捐赠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4,990,436.64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368,409.98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4,622,026.66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49,101,450.43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38,462,957.16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51,490,650.50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36,073,757.09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70" w:right="1110" w:bottom="1537" w:left="1100" w:header="0" w:footer="3" w:gutter="0"/>
          <w:cols w:space="720"/>
          <w:noEndnote/>
          <w:rtlGutter w:val="0"/>
          <w:docGrid w:linePitch="360"/>
        </w:sectPr>
      </w:pPr>
      <w:r>
        <w:rPr>
          <w:color w:val="000000"/>
          <w:spacing w:val="0"/>
          <w:w w:val="100"/>
          <w:position w:val="0"/>
        </w:rPr>
        <w:t>涉及政府补助的项目:</w:t>
      </w:r>
    </w:p>
    <w:p>
      <w:pPr>
        <w:pStyle w:val="Style26"/>
        <w:keepNext w:val="0"/>
        <w:keepLines w:val="0"/>
        <w:widowControl w:val="0"/>
        <w:shd w:val="clear" w:color="auto" w:fill="auto"/>
        <w:bidi w:val="0"/>
        <w:spacing w:before="0" w:after="0" w:line="240" w:lineRule="auto"/>
        <w:ind w:left="13224" w:right="0" w:firstLine="0"/>
        <w:jc w:val="left"/>
      </w:pPr>
      <w:r>
        <w:rPr>
          <w:color w:val="000000"/>
          <w:spacing w:val="0"/>
          <w:w w:val="100"/>
          <w:position w:val="0"/>
        </w:rPr>
        <w:t>单位：元</w:t>
      </w:r>
    </w:p>
    <w:tbl>
      <w:tblPr>
        <w:tblOverlap w:val="never"/>
        <w:jc w:val="center"/>
        <w:tblLayout w:type="fixed"/>
      </w:tblPr>
      <w:tblGrid>
        <w:gridCol w:w="2722"/>
        <w:gridCol w:w="1550"/>
        <w:gridCol w:w="1416"/>
        <w:gridCol w:w="1411"/>
        <w:gridCol w:w="1555"/>
        <w:gridCol w:w="1411"/>
        <w:gridCol w:w="1118"/>
        <w:gridCol w:w="1315"/>
        <w:gridCol w:w="146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本期计入其他收益</w:t>
            </w:r>
          </w:p>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本期冲减成本费 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CG</w:t>
            </w:r>
            <w:r>
              <w:rPr>
                <w:color w:val="000000"/>
                <w:spacing w:val="0"/>
                <w:w w:val="100"/>
                <w:position w:val="0"/>
              </w:rPr>
              <w:t>测序仪生产基地补助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基于宏基因组学的感染诊断系统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平台和试剂盒研发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4,736,017.56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1,111,900.00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4,997,267.56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850,650.00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云南省精准医学检测公共服务平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3,481,750.00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1,023,999.96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2,457,750.04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滨海华大基因产业研究院建设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3,330,798.62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3,294,528.60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36,270.02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基于宏基因组学高通量测序技术 的新型冠状病毒超敏鉴别试剂盒 产业化应用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1,054,661.44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1,945,338.56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华大基因展厅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2,178,741.44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901,548.12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1,277,193.32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北京市经信局中小平台补助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2,102,965.97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548,382.42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1,554,583.55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基于新生儿遗传代谢病筛查和诊 断的基因检测产品的研发及应用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1,981,919.57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1,981,919.57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PB</w:t>
            </w:r>
            <w:r>
              <w:rPr>
                <w:color w:val="000000"/>
                <w:spacing w:val="0"/>
                <w:w w:val="100"/>
                <w:position w:val="0"/>
              </w:rPr>
              <w:t>级生物基因数据处理的国民健 康服务平台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1,879,806.69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712,990.04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1,166,816.65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定量蛋白质组临床级质谱仪和配 套试剂的研发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1,316,684.94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1,219,123.48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基于国产单管长片段</w:t>
            </w:r>
            <w:r>
              <w:rPr>
                <w:color w:val="000000"/>
                <w:spacing w:val="0"/>
                <w:w w:val="100"/>
                <w:position w:val="0"/>
              </w:rPr>
              <w:t>（</w:t>
            </w:r>
            <w:r>
              <w:rPr>
                <w:rFonts w:ascii="Times New Roman" w:eastAsia="Times New Roman" w:hAnsi="Times New Roman" w:cs="Times New Roman"/>
                <w:color w:val="000000"/>
                <w:spacing w:val="0"/>
                <w:w w:val="100"/>
                <w:position w:val="0"/>
              </w:rPr>
              <w:t>stLFR</w:t>
            </w:r>
            <w:r>
              <w:rPr>
                <w:color w:val="000000"/>
                <w:spacing w:val="0"/>
                <w:w w:val="100"/>
                <w:position w:val="0"/>
              </w:rPr>
              <w:t>）</w:t>
            </w:r>
            <w:r>
              <w:rPr>
                <w:color w:val="000000"/>
                <w:spacing w:val="0"/>
                <w:w w:val="100"/>
                <w:position w:val="0"/>
              </w:rPr>
              <w:t>的 肠道菌群组装算法和产品开发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49,455.86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2,100,544.14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重</w:t>
            </w:r>
            <w:r>
              <w:rPr>
                <w:rFonts w:ascii="Times New Roman" w:eastAsia="Times New Roman" w:hAnsi="Times New Roman" w:cs="Times New Roman"/>
                <w:color w:val="000000"/>
                <w:spacing w:val="0"/>
                <w:w w:val="100"/>
                <w:position w:val="0"/>
              </w:rPr>
              <w:t>20170470</w:t>
            </w:r>
            <w:r>
              <w:rPr>
                <w:color w:val="000000"/>
                <w:spacing w:val="0"/>
                <w:w w:val="100"/>
                <w:position w:val="0"/>
              </w:rPr>
              <w:t>靶向新筛肿瘤抗原的 免疫细胞治疗技术研发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1,002,868.97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1,002,868.97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基因测序在生育健康检测中应用 开发及产业化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916,666.68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916,666.68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722"/>
        <w:gridCol w:w="1550"/>
        <w:gridCol w:w="1416"/>
        <w:gridCol w:w="1411"/>
        <w:gridCol w:w="1555"/>
        <w:gridCol w:w="1411"/>
        <w:gridCol w:w="1118"/>
        <w:gridCol w:w="1315"/>
        <w:gridCol w:w="1469"/>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重要病媒生物反向病原学研究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837,763.55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601,620.61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1,116,142.94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太和县建立</w:t>
            </w:r>
            <w:r>
              <w:rPr>
                <w:rFonts w:ascii="Times New Roman" w:eastAsia="Times New Roman" w:hAnsi="Times New Roman" w:cs="Times New Roman"/>
                <w:color w:val="000000"/>
                <w:spacing w:val="0"/>
                <w:w w:val="100"/>
                <w:position w:val="0"/>
              </w:rPr>
              <w:t>“</w:t>
            </w:r>
            <w:r>
              <w:rPr>
                <w:color w:val="000000"/>
                <w:spacing w:val="0"/>
                <w:w w:val="100"/>
                <w:position w:val="0"/>
              </w:rPr>
              <w:t>一院一所两中心</w:t>
            </w:r>
            <w:r>
              <w:rPr>
                <w:rFonts w:ascii="Times New Roman" w:eastAsia="Times New Roman" w:hAnsi="Times New Roman" w:cs="Times New Roman"/>
                <w:color w:val="000000"/>
                <w:spacing w:val="0"/>
                <w:w w:val="100"/>
                <w:position w:val="0"/>
              </w:rPr>
              <w:t>”</w:t>
            </w:r>
            <w:r>
              <w:rPr>
                <w:color w:val="000000"/>
                <w:spacing w:val="0"/>
                <w:w w:val="100"/>
                <w:position w:val="0"/>
              </w:rPr>
              <w:t>实 验室装修项目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833,333.16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建立长垣华大产业综合示范区协 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833,333.15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本溪华大政策扶持协议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601,689.11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601,689.11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基因检测关键共性技术平台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呼吸道感染病原体多联核酸检测</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POCT</w:t>
            </w:r>
            <w:r>
              <w:rPr>
                <w:color w:val="000000"/>
                <w:spacing w:val="0"/>
                <w:w w:val="100"/>
                <w:position w:val="0"/>
              </w:rPr>
              <w:t>产品开发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育种</w:t>
            </w:r>
            <w:r>
              <w:rPr>
                <w:rFonts w:ascii="Times New Roman" w:eastAsia="Times New Roman" w:hAnsi="Times New Roman" w:cs="Times New Roman"/>
                <w:color w:val="000000"/>
                <w:spacing w:val="0"/>
                <w:w w:val="100"/>
                <w:position w:val="0"/>
              </w:rPr>
              <w:t>SNP</w:t>
            </w:r>
            <w:r>
              <w:rPr>
                <w:color w:val="000000"/>
                <w:spacing w:val="0"/>
                <w:w w:val="100"/>
                <w:position w:val="0"/>
              </w:rPr>
              <w:t>芯片研发与检测项目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2019-nCoV</w:t>
            </w:r>
            <w:r>
              <w:rPr>
                <w:color w:val="000000"/>
                <w:spacing w:val="0"/>
                <w:w w:val="100"/>
                <w:position w:val="0"/>
              </w:rPr>
              <w:t>溯源和传播途径研究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非金属活性中心人工霉的构筑及 手性生物合成研究</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472,117.75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-472,117.75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基于二代测序的结构鉴定与多线 耐药基因检测平台的产业化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451,020.37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554,593.37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211,527.00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基于高通量测序方法的地中海贫 血基因检测试剂盒开发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360,814.05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高品质道地中药材甘草、黄苓、 金养麦规模化种植及精准扶贫示 范研究（甘草、黄苓、金养麦新 品种选育）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370,857.50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502,611.68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结核病多重组合诊断技术的多中 心评估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345,514.42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345,514.42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实验室装修补贴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340,798.20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w:t>
            </w:r>
            <w:r>
              <w:rPr>
                <w:rFonts w:ascii="Times New Roman" w:eastAsia="Times New Roman" w:hAnsi="Times New Roman" w:cs="Times New Roman"/>
                <w:color w:val="000000"/>
                <w:spacing w:val="0"/>
                <w:w w:val="100"/>
                <w:position w:val="0"/>
              </w:rPr>
              <w:t>20170442</w:t>
            </w:r>
            <w:r>
              <w:rPr>
                <w:color w:val="000000"/>
                <w:spacing w:val="0"/>
                <w:w w:val="100"/>
                <w:position w:val="0"/>
              </w:rPr>
              <w:t>外泌</w:t>
            </w:r>
            <w:r>
              <w:rPr>
                <w:rFonts w:ascii="Times New Roman" w:eastAsia="Times New Roman" w:hAnsi="Times New Roman" w:cs="Times New Roman"/>
                <w:color w:val="000000"/>
                <w:spacing w:val="0"/>
                <w:w w:val="100"/>
                <w:position w:val="0"/>
              </w:rPr>
              <w:t>miRNA</w:t>
            </w:r>
            <w:r>
              <w:rPr>
                <w:color w:val="000000"/>
                <w:spacing w:val="0"/>
                <w:w w:val="100"/>
                <w:position w:val="0"/>
              </w:rPr>
              <w:t>用于急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性心肌梗死早筛的关键技术研发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337,549.49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337,549.49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722"/>
        <w:gridCol w:w="1550"/>
        <w:gridCol w:w="1416"/>
        <w:gridCol w:w="1411"/>
        <w:gridCol w:w="1555"/>
        <w:gridCol w:w="1411"/>
        <w:gridCol w:w="1118"/>
        <w:gridCol w:w="1315"/>
        <w:gridCol w:w="1469"/>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传染病诊断产品的认证与推广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310,071.48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深圳市福田区新生儿遗传性耳聋 基因检测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280,869.91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280,869.91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基于高通量测序检测感染性疾病 血流感染病原学新技术开发及其 临床应用研究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194,395.95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CRISPR</w:t>
            </w:r>
            <w:r>
              <w:rPr>
                <w:color w:val="000000"/>
                <w:spacing w:val="0"/>
                <w:w w:val="100"/>
                <w:position w:val="0"/>
              </w:rPr>
              <w:t>核酸快检数字微流控一体 机与试剂研发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173,538.12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172,567.45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3551</w:t>
            </w:r>
            <w:r>
              <w:rPr>
                <w:color w:val="000000"/>
                <w:spacing w:val="0"/>
                <w:w w:val="100"/>
                <w:position w:val="0"/>
              </w:rPr>
              <w:t>光谷人才计划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科技创新平台补助</w:t>
            </w:r>
            <w:r>
              <w:rPr>
                <w:rFonts w:ascii="Times New Roman" w:eastAsia="Times New Roman" w:hAnsi="Times New Roman" w:cs="Times New Roman"/>
                <w:color w:val="000000"/>
                <w:spacing w:val="0"/>
                <w:w w:val="100"/>
                <w:position w:val="0"/>
              </w:rPr>
              <w:t>-（</w:t>
            </w:r>
            <w:r>
              <w:rPr>
                <w:color w:val="000000"/>
                <w:spacing w:val="0"/>
                <w:w w:val="100"/>
                <w:position w:val="0"/>
              </w:rPr>
              <w:t>市科技局</w:t>
            </w:r>
            <w:r>
              <w:rPr>
                <w:rFonts w:ascii="Times New Roman" w:eastAsia="Times New Roman" w:hAnsi="Times New Roman" w:cs="Times New Roman"/>
                <w:color w:val="000000"/>
                <w:spacing w:val="0"/>
                <w:w w:val="100"/>
                <w:position w:val="0"/>
              </w:rPr>
              <w:t>“</w:t>
            </w:r>
            <w:r>
              <w:rPr>
                <w:color w:val="000000"/>
                <w:spacing w:val="0"/>
                <w:w w:val="100"/>
                <w:position w:val="0"/>
              </w:rPr>
              <w:t>企 业研发中心</w:t>
            </w:r>
            <w:r>
              <w:rPr>
                <w:rFonts w:ascii="Times New Roman" w:eastAsia="Times New Roman" w:hAnsi="Times New Roman" w:cs="Times New Roman"/>
                <w:color w:val="000000"/>
                <w:spacing w:val="0"/>
                <w:w w:val="100"/>
                <w:position w:val="0"/>
              </w:rPr>
              <w:t>”</w:t>
            </w:r>
            <w:r>
              <w:rPr>
                <w:color w:val="000000"/>
                <w:spacing w:val="0"/>
                <w:w w:val="100"/>
                <w:position w:val="0"/>
              </w:rPr>
              <w:t>项目</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中肿结直肠癌综合防治研究专项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125,750.17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环科园管委会</w:t>
            </w:r>
            <w:r>
              <w:rPr>
                <w:rFonts w:ascii="Times New Roman" w:eastAsia="Times New Roman" w:hAnsi="Times New Roman" w:cs="Times New Roman"/>
                <w:color w:val="000000"/>
                <w:spacing w:val="0"/>
                <w:w w:val="100"/>
                <w:position w:val="0"/>
              </w:rPr>
              <w:t>"</w:t>
            </w:r>
            <w:r>
              <w:rPr>
                <w:color w:val="000000"/>
                <w:spacing w:val="0"/>
                <w:w w:val="100"/>
                <w:position w:val="0"/>
              </w:rPr>
              <w:t>陶都英才</w:t>
            </w:r>
            <w:r>
              <w:rPr>
                <w:rFonts w:ascii="Times New Roman" w:eastAsia="Times New Roman" w:hAnsi="Times New Roman" w:cs="Times New Roman"/>
                <w:color w:val="000000"/>
                <w:spacing w:val="0"/>
                <w:w w:val="100"/>
                <w:position w:val="0"/>
              </w:rPr>
              <w:t>"</w:t>
            </w:r>
            <w:r>
              <w:rPr>
                <w:color w:val="000000"/>
                <w:spacing w:val="0"/>
                <w:w w:val="100"/>
                <w:position w:val="0"/>
              </w:rPr>
              <w:t>工程专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122,366.64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106,454.13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出站博士后科研资助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120,081.55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222,981.71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关于基于高效图处理的基因拼接 分析研究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99,215.57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99,215.57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年度省纺织新冠肺炎科技攻 关应急补助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济宁市产学研合作开发项目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84,534.64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56,263.75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贯穿组在出生缺陷防控及肿瘤早 期诊断与个体化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62,572.54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广东特支计划百千万工程青年拔 尖人才专项经费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59,573.44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宿主基因与消化道菌群定植对婴 儿湿疹的影响</w:t>
            </w:r>
            <w:r>
              <w:rPr>
                <w:rFonts w:ascii="Times New Roman" w:eastAsia="Times New Roman" w:hAnsi="Times New Roman" w:cs="Times New Roman"/>
                <w:color w:val="000000"/>
                <w:spacing w:val="0"/>
                <w:w w:val="100"/>
                <w:position w:val="0"/>
              </w:rPr>
              <w:t>-</w:t>
            </w:r>
            <w:r>
              <w:rPr>
                <w:color w:val="000000"/>
                <w:spacing w:val="0"/>
                <w:w w:val="100"/>
                <w:position w:val="0"/>
              </w:rPr>
              <w:t>基于广州出生队列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58,750.98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53,625.69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722"/>
        <w:gridCol w:w="1550"/>
        <w:gridCol w:w="1416"/>
        <w:gridCol w:w="1411"/>
        <w:gridCol w:w="1555"/>
        <w:gridCol w:w="1411"/>
        <w:gridCol w:w="1118"/>
        <w:gridCol w:w="1315"/>
        <w:gridCol w:w="1469"/>
      </w:tblGrid>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的巢式病例对照研究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基于宏基因组技术快速检测病原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体早期诊断</w:t>
            </w:r>
            <w:r>
              <w:rPr>
                <w:rFonts w:ascii="Times New Roman" w:eastAsia="Times New Roman" w:hAnsi="Times New Roman" w:cs="Times New Roman"/>
                <w:color w:val="000000"/>
                <w:spacing w:val="0"/>
                <w:w w:val="100"/>
                <w:position w:val="0"/>
              </w:rPr>
              <w:t>SBP</w:t>
            </w:r>
            <w:r>
              <w:rPr>
                <w:color w:val="000000"/>
                <w:spacing w:val="0"/>
                <w:w w:val="100"/>
                <w:position w:val="0"/>
              </w:rPr>
              <w:t>的新策略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34,427.44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十三五专项肝炎课题病专项款结 转至递延收益</w:t>
            </w:r>
            <w:r>
              <w:rPr>
                <w:color w:val="000000"/>
                <w:spacing w:val="0"/>
                <w:w w:val="100"/>
                <w:position w:val="0"/>
              </w:rPr>
              <w:t>一</w:t>
            </w:r>
            <w:r>
              <w:rPr>
                <w:color w:val="000000"/>
                <w:spacing w:val="0"/>
                <w:w w:val="100"/>
                <w:position w:val="0"/>
              </w:rPr>
              <w:t>传染病专项平台</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HBV</w:t>
            </w:r>
            <w:r>
              <w:rPr>
                <w:color w:val="000000"/>
                <w:spacing w:val="0"/>
                <w:w w:val="100"/>
                <w:position w:val="0"/>
              </w:rPr>
              <w:t>分型检测试剂和肝癌类检测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31,388.73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基因大数据分析与产业化研究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30,530.12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30,530.12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生物标志物指导肺癌精准预防早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诊研究项目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29,977.99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传染病专项平台</w:t>
            </w:r>
            <w:r>
              <w:rPr>
                <w:rFonts w:ascii="Times New Roman" w:eastAsia="Times New Roman" w:hAnsi="Times New Roman" w:cs="Times New Roman"/>
                <w:color w:val="000000"/>
                <w:spacing w:val="0"/>
                <w:w w:val="100"/>
                <w:position w:val="0"/>
              </w:rPr>
              <w:t>-</w:t>
            </w:r>
            <w:r>
              <w:rPr>
                <w:color w:val="000000"/>
                <w:spacing w:val="0"/>
                <w:w w:val="100"/>
                <w:position w:val="0"/>
              </w:rPr>
              <w:t>突发急性传染病 诊断试剂的研制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18,247.94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肾移植抗体介导反应的无创诊断 与综合生物治疗研究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16,885.89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磷酸氯喹入组患者生物样本的测 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12,344.75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济宁市产学研合作开发项目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生物标志物谱指导的肺癌精准预 后判断和真实世界大数据研究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深圳市基因组学大数据工程技术 研究中心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1,493,545.46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高原</w:t>
            </w:r>
            <w:r>
              <w:rPr>
                <w:rFonts w:ascii="Times New Roman" w:eastAsia="Times New Roman" w:hAnsi="Times New Roman" w:cs="Times New Roman"/>
                <w:color w:val="000000"/>
                <w:spacing w:val="0"/>
                <w:w w:val="100"/>
                <w:position w:val="0"/>
              </w:rPr>
              <w:t>“</w:t>
            </w:r>
            <w:r>
              <w:rPr>
                <w:color w:val="000000"/>
                <w:spacing w:val="0"/>
                <w:w w:val="100"/>
                <w:position w:val="0"/>
              </w:rPr>
              <w:t>火眼</w:t>
            </w:r>
            <w:r>
              <w:rPr>
                <w:rFonts w:ascii="Times New Roman" w:eastAsia="Times New Roman" w:hAnsi="Times New Roman" w:cs="Times New Roman"/>
                <w:color w:val="000000"/>
                <w:spacing w:val="0"/>
                <w:w w:val="100"/>
                <w:position w:val="0"/>
              </w:rPr>
              <w:t>”</w:t>
            </w:r>
            <w:r>
              <w:rPr>
                <w:color w:val="000000"/>
                <w:spacing w:val="0"/>
                <w:w w:val="100"/>
                <w:position w:val="0"/>
              </w:rPr>
              <w:t>实验室装修改造项目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高灵敏度、高通量新冠病毒检测 一体化综合解决方案国际合作研 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w:t>
            </w:r>
            <w:r>
              <w:rPr>
                <w:color w:val="000000"/>
                <w:spacing w:val="0"/>
                <w:w w:val="100"/>
                <w:position w:val="0"/>
              </w:rPr>
              <w:t>创新性人才培养补贴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722"/>
        <w:gridCol w:w="1550"/>
        <w:gridCol w:w="1416"/>
        <w:gridCol w:w="1411"/>
        <w:gridCol w:w="1555"/>
        <w:gridCol w:w="1411"/>
        <w:gridCol w:w="1118"/>
        <w:gridCol w:w="1315"/>
        <w:gridCol w:w="1469"/>
      </w:tblGrid>
      <w:tr>
        <w:trPr>
          <w:trHeight w:val="74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第六批</w:t>
            </w:r>
            <w:r>
              <w:rPr>
                <w:rFonts w:ascii="Times New Roman" w:eastAsia="Times New Roman" w:hAnsi="Times New Roman" w:cs="Times New Roman"/>
                <w:color w:val="000000"/>
                <w:spacing w:val="0"/>
                <w:w w:val="100"/>
                <w:position w:val="0"/>
              </w:rPr>
              <w:t>“131”</w:t>
            </w:r>
            <w:r>
              <w:rPr>
                <w:color w:val="000000"/>
                <w:spacing w:val="0"/>
                <w:w w:val="100"/>
                <w:position w:val="0"/>
              </w:rPr>
              <w:t>创新型人才团队第</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265,877.00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自然流产胎儿全外显子测序鉴定 单基因致病原因研究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河北民生项目大数据分析研究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新冠病毒免疫检测原料开发和工 艺优化</w:t>
            </w:r>
            <w:r>
              <w:rPr>
                <w:color w:val="000000"/>
                <w:spacing w:val="0"/>
                <w:w w:val="100"/>
                <w:position w:val="0"/>
              </w:rPr>
              <w:t>一</w:t>
            </w:r>
            <w:r>
              <w:rPr>
                <w:color w:val="000000"/>
                <w:spacing w:val="0"/>
                <w:w w:val="100"/>
                <w:position w:val="0"/>
              </w:rPr>
              <w:t>新冠病毒免疫检测原料开 发和工艺优化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新型冠状病毒</w:t>
            </w:r>
            <w:r>
              <w:rPr>
                <w:color w:val="000000"/>
                <w:spacing w:val="0"/>
                <w:w w:val="100"/>
                <w:position w:val="0"/>
              </w:rPr>
              <w:t>(</w:t>
            </w:r>
            <w:r>
              <w:rPr>
                <w:rFonts w:ascii="Times New Roman" w:eastAsia="Times New Roman" w:hAnsi="Times New Roman" w:cs="Times New Roman"/>
                <w:color w:val="000000"/>
                <w:spacing w:val="0"/>
                <w:w w:val="100"/>
                <w:position w:val="0"/>
              </w:rPr>
              <w:t>2019-nCoV</w:t>
            </w:r>
            <w:r>
              <w:rPr>
                <w:color w:val="000000"/>
                <w:spacing w:val="0"/>
                <w:w w:val="100"/>
                <w:position w:val="0"/>
              </w:rPr>
              <w:t>)</w:t>
            </w:r>
            <w:r>
              <w:rPr>
                <w:color w:val="000000"/>
                <w:spacing w:val="0"/>
                <w:w w:val="100"/>
                <w:position w:val="0"/>
              </w:rPr>
              <w:t>中和 抗体检测方法标准化及临床应用 研究</w:t>
            </w:r>
            <w:r>
              <w:rPr>
                <w:rFonts w:ascii="Times New Roman" w:eastAsia="Times New Roman" w:hAnsi="Times New Roman" w:cs="Times New Roman"/>
                <w:color w:val="000000"/>
                <w:spacing w:val="0"/>
                <w:w w:val="100"/>
                <w:position w:val="0"/>
              </w:rPr>
              <w:t>GB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606,582.89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893,417.11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保税区储备人才补贴拨款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150,429.75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3,349,570.25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建设精准医学中心提升诊疗及科 研水平的研究与应用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出生缺陷领域防控与精准治疗研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天津市</w:t>
            </w:r>
            <w:r>
              <w:rPr>
                <w:rFonts w:ascii="Times New Roman" w:eastAsia="Times New Roman" w:hAnsi="Times New Roman" w:cs="Times New Roman"/>
                <w:color w:val="000000"/>
                <w:spacing w:val="0"/>
                <w:w w:val="100"/>
                <w:position w:val="0"/>
              </w:rPr>
              <w:t>“131”</w:t>
            </w:r>
            <w:r>
              <w:rPr>
                <w:color w:val="000000"/>
                <w:spacing w:val="0"/>
                <w:w w:val="100"/>
                <w:position w:val="0"/>
              </w:rPr>
              <w:t>创新型人才培养工程 第二层次资助经费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产业资金资助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15,711,478.21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15,711,478.21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研发经费补助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2,319,830.00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就业计划补贴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626,112.78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1,763,980.84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1,763,980.84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722"/>
        <w:gridCol w:w="1550"/>
        <w:gridCol w:w="1416"/>
        <w:gridCol w:w="1411"/>
        <w:gridCol w:w="1555"/>
        <w:gridCol w:w="1411"/>
        <w:gridCol w:w="1118"/>
        <w:gridCol w:w="1315"/>
        <w:gridCol w:w="1469"/>
      </w:tblGrid>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对外贸易发展专项款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进口贴息资金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141,280.00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44,111,013.79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38,462,957.16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51,122,240.52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31,451,730.43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注：为本年度转拨至其他单位的政府补助。</w:t>
      </w:r>
    </w:p>
    <w:p>
      <w:pPr>
        <w:widowControl w:val="0"/>
        <w:spacing w:after="159" w:line="1" w:lineRule="exact"/>
      </w:pP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line="312" w:lineRule="exact"/>
        <w:ind w:left="0" w:right="0"/>
        <w:jc w:val="both"/>
        <w:sectPr>
          <w:footnotePr>
            <w:pos w:val="pageBottom"/>
            <w:numFmt w:val="decimal"/>
            <w:numRestart w:val="continuous"/>
          </w:footnotePr>
          <w:pgSz w:w="16840" w:h="11900" w:orient="landscape"/>
          <w:pgMar w:top="1140" w:right="1426" w:bottom="1256" w:left="1426" w:header="0" w:footer="3" w:gutter="0"/>
          <w:cols w:space="720"/>
          <w:noEndnote/>
          <w:rtlGutter w:val="0"/>
          <w:docGrid w:linePitch="360"/>
        </w:sectPr>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日，本公司采用净额法核算的政府补助金额为人民币</w:t>
      </w:r>
      <w:r>
        <w:rPr>
          <w:rFonts w:ascii="Times New Roman" w:eastAsia="Times New Roman" w:hAnsi="Times New Roman" w:cs="Times New Roman"/>
          <w:color w:val="000000"/>
          <w:spacing w:val="0"/>
          <w:w w:val="100"/>
          <w:position w:val="0"/>
        </w:rPr>
        <w:t>474,875.00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2,992,936.36</w:t>
      </w:r>
      <w:r>
        <w:rPr>
          <w:color w:val="000000"/>
          <w:spacing w:val="0"/>
          <w:w w:val="100"/>
          <w:position w:val="0"/>
        </w:rPr>
        <w:t>元），参见附注</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 xml:space="preserve">中的 </w:t>
      </w:r>
      <w:r>
        <w:rPr>
          <w:rFonts w:ascii="Times New Roman" w:eastAsia="Times New Roman" w:hAnsi="Times New Roman" w:cs="Times New Roman"/>
          <w:color w:val="000000"/>
          <w:spacing w:val="0"/>
          <w:w w:val="100"/>
          <w:position w:val="0"/>
        </w:rPr>
        <w:t>“66</w:t>
      </w:r>
      <w:r>
        <w:rPr>
          <w:color w:val="000000"/>
          <w:spacing w:val="0"/>
          <w:w w:val="100"/>
          <w:position w:val="0"/>
        </w:rPr>
        <w:t>、政府补助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24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9</w:t>
      </w:r>
      <w:r>
        <w:rPr>
          <w:color w:val="000000"/>
          <w:spacing w:val="0"/>
          <w:w w:val="100"/>
          <w:position w:val="0"/>
        </w:rPr>
        <w:t>、股本</w:t>
      </w:r>
      <w:bookmarkEnd w:id="1450"/>
      <w:bookmarkEnd w:id="1451"/>
      <w:bookmarkEnd w:id="14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400,100,000.00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13,814,325.00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13,814,325.00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413,914,325.00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80" w:line="312" w:lineRule="exact"/>
        <w:ind w:left="240" w:right="0" w:firstLine="36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日收到中国证券监督管理委员会《关于同意深圳华大基因股份有限公司向特定对象发行股票注 册的批复》（证监许可</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3580</w:t>
      </w:r>
      <w:r>
        <w:rPr>
          <w:color w:val="000000"/>
          <w:spacing w:val="0"/>
          <w:w w:val="100"/>
          <w:position w:val="0"/>
        </w:rPr>
        <w:t>号），核准本公司于</w:t>
      </w:r>
      <w:r>
        <w:rPr>
          <w:rFonts w:ascii="Times New Roman" w:eastAsia="Times New Roman" w:hAnsi="Times New Roman" w:cs="Times New Roman"/>
          <w:color w:val="000000"/>
          <w:spacing w:val="0"/>
          <w:w w:val="100"/>
          <w:position w:val="0"/>
        </w:rPr>
        <w:t>2021</w:t>
      </w:r>
      <w:r>
        <w:rPr>
          <w:color w:val="000000"/>
          <w:spacing w:val="0"/>
          <w:w w:val="100"/>
          <w:position w:val="0"/>
        </w:rPr>
        <w:t>年向特定对象发行人民币普通股</w:t>
      </w:r>
      <w:r>
        <w:rPr>
          <w:rFonts w:ascii="Times New Roman" w:eastAsia="Times New Roman" w:hAnsi="Times New Roman" w:cs="Times New Roman"/>
          <w:color w:val="000000"/>
          <w:spacing w:val="0"/>
          <w:w w:val="100"/>
          <w:position w:val="0"/>
        </w:rPr>
        <w:t>13,814,325</w:t>
      </w:r>
      <w:r>
        <w:rPr>
          <w:color w:val="000000"/>
          <w:spacing w:val="0"/>
          <w:w w:val="100"/>
          <w:position w:val="0"/>
        </w:rPr>
        <w:t xml:space="preserve">股，发行价格为 </w:t>
      </w:r>
      <w:r>
        <w:rPr>
          <w:rFonts w:ascii="Times New Roman" w:eastAsia="Times New Roman" w:hAnsi="Times New Roman" w:cs="Times New Roman"/>
          <w:color w:val="000000"/>
          <w:spacing w:val="0"/>
          <w:w w:val="100"/>
          <w:position w:val="0"/>
        </w:rPr>
        <w:t>145.00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股，本次发行的募集资金总额为</w:t>
      </w:r>
      <w:r>
        <w:rPr>
          <w:rFonts w:ascii="Times New Roman" w:eastAsia="Times New Roman" w:hAnsi="Times New Roman" w:cs="Times New Roman"/>
          <w:color w:val="000000"/>
          <w:spacing w:val="0"/>
          <w:w w:val="100"/>
          <w:position w:val="0"/>
        </w:rPr>
        <w:t>2,003,077,125.00</w:t>
      </w:r>
      <w:r>
        <w:rPr>
          <w:color w:val="000000"/>
          <w:spacing w:val="0"/>
          <w:w w:val="100"/>
          <w:position w:val="0"/>
        </w:rPr>
        <w:t>元，扣除不含税承销及保荐费人民币</w:t>
      </w:r>
      <w:r>
        <w:rPr>
          <w:rFonts w:ascii="Times New Roman" w:eastAsia="Times New Roman" w:hAnsi="Times New Roman" w:cs="Times New Roman"/>
          <w:color w:val="000000"/>
          <w:spacing w:val="0"/>
          <w:w w:val="100"/>
          <w:position w:val="0"/>
        </w:rPr>
        <w:t>24,036,925.50</w:t>
      </w:r>
      <w:r>
        <w:rPr>
          <w:color w:val="000000"/>
          <w:spacing w:val="0"/>
          <w:w w:val="100"/>
          <w:position w:val="0"/>
        </w:rPr>
        <w:t>元、其他不含 税发行费用人民币</w:t>
      </w:r>
      <w:r>
        <w:rPr>
          <w:rFonts w:ascii="Times New Roman" w:eastAsia="Times New Roman" w:hAnsi="Times New Roman" w:cs="Times New Roman"/>
          <w:color w:val="000000"/>
          <w:spacing w:val="0"/>
          <w:w w:val="100"/>
          <w:position w:val="0"/>
        </w:rPr>
        <w:t>2,395,465.8</w:t>
      </w:r>
      <w:r>
        <w:rPr>
          <w:rFonts w:ascii="Times New Roman" w:eastAsia="Times New Roman" w:hAnsi="Times New Roman" w:cs="Times New Roman"/>
          <w:color w:val="000000"/>
          <w:spacing w:val="0"/>
          <w:w w:val="100"/>
          <w:position w:val="0"/>
        </w:rPr>
        <w:t>7</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rPr>
        <w:t>1,976,644,733.63</w:t>
      </w:r>
      <w:r>
        <w:rPr>
          <w:color w:val="000000"/>
          <w:spacing w:val="0"/>
          <w:w w:val="100"/>
          <w:position w:val="0"/>
        </w:rPr>
        <w:t xml:space="preserve">元，计入股本和资本公积股本溢价的金额分别为 人民币 </w:t>
      </w:r>
      <w:r>
        <w:rPr>
          <w:rFonts w:ascii="Times New Roman" w:eastAsia="Times New Roman" w:hAnsi="Times New Roman" w:cs="Times New Roman"/>
          <w:color w:val="000000"/>
          <w:spacing w:val="0"/>
          <w:w w:val="100"/>
          <w:position w:val="0"/>
        </w:rPr>
        <w:t xml:space="preserve">13,814,325.00 </w:t>
      </w:r>
      <w:r>
        <w:rPr>
          <w:color w:val="000000"/>
          <w:spacing w:val="0"/>
          <w:w w:val="100"/>
          <w:position w:val="0"/>
        </w:rPr>
        <w:t xml:space="preserve">元和人民币 </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,962,830,408.63 </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24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4</w:t>
      </w:r>
      <w:bookmarkEnd w:id="1456"/>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454"/>
      <w:bookmarkEnd w:id="1455"/>
      <w:bookmarkEnd w:id="14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2,290,300,804.13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1,962,830,408.63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8,094,852.89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4,245,036,359.87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314,688,908.59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97,493,249.59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412,182,158.18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2,604,989,712.72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2,060,323,658.22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8,094,852.89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4,657,218,518.05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7"/>
        <w:keepNext w:val="0"/>
        <w:keepLines w:val="0"/>
        <w:widowControl w:val="0"/>
        <w:shd w:val="clear" w:color="auto" w:fill="auto"/>
        <w:tabs>
          <w:tab w:pos="879" w:val="left"/>
        </w:tabs>
        <w:bidi w:val="0"/>
        <w:spacing w:before="0" w:after="0" w:line="313" w:lineRule="exact"/>
        <w:ind w:left="240" w:right="0" w:firstLine="360"/>
        <w:jc w:val="left"/>
      </w:pPr>
      <w:bookmarkStart w:id="1458" w:name="bookmark1458"/>
      <w:r>
        <w:rPr>
          <w:rFonts w:ascii="Times New Roman" w:eastAsia="Times New Roman" w:hAnsi="Times New Roman" w:cs="Times New Roman"/>
          <w:color w:val="000000"/>
          <w:spacing w:val="0"/>
          <w:w w:val="100"/>
          <w:position w:val="0"/>
        </w:rPr>
        <w:t>1</w:t>
      </w:r>
      <w:bookmarkEnd w:id="1458"/>
      <w:r>
        <w:rPr>
          <w:color w:val="000000"/>
          <w:spacing w:val="0"/>
          <w:w w:val="100"/>
          <w:position w:val="0"/>
        </w:rPr>
        <w:t>、</w:t>
        <w:tab/>
        <w:t>股份支付计入股东权益的金额增加资本公积人民币</w:t>
      </w:r>
      <w:r>
        <w:rPr>
          <w:rFonts w:ascii="Times New Roman" w:eastAsia="Times New Roman" w:hAnsi="Times New Roman" w:cs="Times New Roman"/>
          <w:color w:val="000000"/>
          <w:spacing w:val="0"/>
          <w:w w:val="100"/>
          <w:position w:val="0"/>
        </w:rPr>
        <w:t>92,717,688.15</w:t>
      </w:r>
      <w:r>
        <w:rPr>
          <w:color w:val="000000"/>
          <w:spacing w:val="0"/>
          <w:w w:val="100"/>
          <w:position w:val="0"/>
        </w:rPr>
        <w:t>元，其中，本年确认权益结算的股份支付计入其他 资本公积金额人民币</w:t>
      </w:r>
      <w:r>
        <w:rPr>
          <w:rFonts w:ascii="Times New Roman" w:eastAsia="Times New Roman" w:hAnsi="Times New Roman" w:cs="Times New Roman"/>
          <w:color w:val="000000"/>
          <w:spacing w:val="0"/>
          <w:w w:val="100"/>
          <w:position w:val="0"/>
        </w:rPr>
        <w:t>100,529,688.15</w:t>
      </w:r>
      <w:r>
        <w:rPr>
          <w:color w:val="000000"/>
          <w:spacing w:val="0"/>
          <w:w w:val="100"/>
          <w:position w:val="0"/>
        </w:rPr>
        <w:t>元；于年末，本公司根据股票的公允价格与员工授予支付价格的差额及数量计算出的暂 时性差异转回以前年度确认的递延所得税资产，同时减少其他资本公积人民币</w:t>
      </w:r>
      <w:r>
        <w:rPr>
          <w:rFonts w:ascii="Times New Roman" w:eastAsia="Times New Roman" w:hAnsi="Times New Roman" w:cs="Times New Roman"/>
          <w:color w:val="000000"/>
          <w:spacing w:val="0"/>
          <w:w w:val="100"/>
          <w:position w:val="0"/>
        </w:rPr>
        <w:t>7,812,000.00</w:t>
      </w:r>
      <w:r>
        <w:rPr>
          <w:color w:val="000000"/>
          <w:spacing w:val="0"/>
          <w:w w:val="100"/>
          <w:position w:val="0"/>
        </w:rPr>
        <w:t>元。</w:t>
      </w:r>
    </w:p>
    <w:p>
      <w:pPr>
        <w:pStyle w:val="Style17"/>
        <w:keepNext w:val="0"/>
        <w:keepLines w:val="0"/>
        <w:widowControl w:val="0"/>
        <w:shd w:val="clear" w:color="auto" w:fill="auto"/>
        <w:tabs>
          <w:tab w:pos="889" w:val="left"/>
        </w:tabs>
        <w:bidi w:val="0"/>
        <w:spacing w:before="0" w:after="0" w:line="313" w:lineRule="exact"/>
        <w:ind w:left="240" w:right="0" w:firstLine="360"/>
        <w:jc w:val="left"/>
      </w:pPr>
      <w:bookmarkStart w:id="1459" w:name="bookmark1459"/>
      <w:r>
        <w:rPr>
          <w:rFonts w:ascii="Times New Roman" w:eastAsia="Times New Roman" w:hAnsi="Times New Roman" w:cs="Times New Roman"/>
          <w:color w:val="000000"/>
          <w:spacing w:val="0"/>
          <w:w w:val="100"/>
          <w:position w:val="0"/>
        </w:rPr>
        <w:t>2</w:t>
      </w:r>
      <w:bookmarkEnd w:id="1459"/>
      <w:r>
        <w:rPr>
          <w:color w:val="000000"/>
          <w:spacing w:val="0"/>
          <w:w w:val="100"/>
          <w:position w:val="0"/>
        </w:rPr>
        <w:t>、</w:t>
        <w:tab/>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日收到中国证券监督管理委员会《关于同意深圳华大基因股份有限公司向特定对象发行股票 注册的批复》（证监许可</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3580</w:t>
      </w:r>
      <w:r>
        <w:rPr>
          <w:color w:val="000000"/>
          <w:spacing w:val="0"/>
          <w:w w:val="100"/>
          <w:position w:val="0"/>
        </w:rPr>
        <w:t>号），核准本公司向特定对象发行人民币普通股</w:t>
      </w:r>
      <w:r>
        <w:rPr>
          <w:rFonts w:ascii="Times New Roman" w:eastAsia="Times New Roman" w:hAnsi="Times New Roman" w:cs="Times New Roman"/>
          <w:color w:val="000000"/>
          <w:spacing w:val="0"/>
          <w:w w:val="100"/>
          <w:position w:val="0"/>
        </w:rPr>
        <w:t>13,814,325</w:t>
      </w:r>
      <w:r>
        <w:rPr>
          <w:color w:val="000000"/>
          <w:spacing w:val="0"/>
          <w:w w:val="100"/>
          <w:position w:val="0"/>
        </w:rPr>
        <w:t>股，发行价格为</w:t>
      </w:r>
      <w:r>
        <w:rPr>
          <w:rFonts w:ascii="Times New Roman" w:eastAsia="Times New Roman" w:hAnsi="Times New Roman" w:cs="Times New Roman"/>
          <w:color w:val="000000"/>
          <w:spacing w:val="0"/>
          <w:w w:val="100"/>
          <w:position w:val="0"/>
        </w:rPr>
        <w:t>145.00</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股，本次发行的募集资金总额为</w:t>
      </w:r>
      <w:r>
        <w:rPr>
          <w:rFonts w:ascii="Times New Roman" w:eastAsia="Times New Roman" w:hAnsi="Times New Roman" w:cs="Times New Roman"/>
          <w:color w:val="000000"/>
          <w:spacing w:val="0"/>
          <w:w w:val="100"/>
          <w:position w:val="0"/>
        </w:rPr>
        <w:t>2,003,077,125.00</w:t>
      </w:r>
      <w:r>
        <w:rPr>
          <w:color w:val="000000"/>
          <w:spacing w:val="0"/>
          <w:w w:val="100"/>
          <w:position w:val="0"/>
        </w:rPr>
        <w:t>元，扣除不含税承销及保荐费人民币</w:t>
      </w:r>
      <w:r>
        <w:rPr>
          <w:rFonts w:ascii="Times New Roman" w:eastAsia="Times New Roman" w:hAnsi="Times New Roman" w:cs="Times New Roman"/>
          <w:color w:val="000000"/>
          <w:spacing w:val="0"/>
          <w:w w:val="100"/>
          <w:position w:val="0"/>
        </w:rPr>
        <w:t>24,036,925.50</w:t>
      </w:r>
      <w:r>
        <w:rPr>
          <w:color w:val="000000"/>
          <w:spacing w:val="0"/>
          <w:w w:val="100"/>
          <w:position w:val="0"/>
        </w:rPr>
        <w:t>元、其他不含税发行费 用人民币</w:t>
      </w:r>
      <w:r>
        <w:rPr>
          <w:rFonts w:ascii="Times New Roman" w:eastAsia="Times New Roman" w:hAnsi="Times New Roman" w:cs="Times New Roman"/>
          <w:color w:val="000000"/>
          <w:spacing w:val="0"/>
          <w:w w:val="100"/>
          <w:position w:val="0"/>
        </w:rPr>
        <w:t>2,395,465.8</w:t>
      </w:r>
      <w:r>
        <w:rPr>
          <w:rFonts w:ascii="Times New Roman" w:eastAsia="Times New Roman" w:hAnsi="Times New Roman" w:cs="Times New Roman"/>
          <w:color w:val="000000"/>
          <w:spacing w:val="0"/>
          <w:w w:val="100"/>
          <w:position w:val="0"/>
        </w:rPr>
        <w:t>7</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rPr>
        <w:t>1,976,644,733.63</w:t>
      </w:r>
      <w:r>
        <w:rPr>
          <w:color w:val="000000"/>
          <w:spacing w:val="0"/>
          <w:w w:val="100"/>
          <w:position w:val="0"/>
        </w:rPr>
        <w:t xml:space="preserve">元，计入股本和资本公积股本溢价的金额分别为人民币 </w:t>
      </w:r>
      <w:r>
        <w:rPr>
          <w:rFonts w:ascii="Times New Roman" w:eastAsia="Times New Roman" w:hAnsi="Times New Roman" w:cs="Times New Roman"/>
          <w:color w:val="000000"/>
          <w:spacing w:val="0"/>
          <w:w w:val="100"/>
          <w:position w:val="0"/>
        </w:rPr>
        <w:t>13,814,325.00</w:t>
      </w:r>
      <w:r>
        <w:rPr>
          <w:color w:val="000000"/>
          <w:spacing w:val="0"/>
          <w:w w:val="100"/>
          <w:position w:val="0"/>
        </w:rPr>
        <w:t xml:space="preserve">元和人民币 </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,962,830,408.63 </w:t>
      </w:r>
      <w:r>
        <w:rPr>
          <w:color w:val="000000"/>
          <w:spacing w:val="0"/>
          <w:w w:val="100"/>
          <w:position w:val="0"/>
        </w:rPr>
        <w:t>元。</w:t>
      </w:r>
    </w:p>
    <w:p>
      <w:pPr>
        <w:pStyle w:val="Style17"/>
        <w:keepNext w:val="0"/>
        <w:keepLines w:val="0"/>
        <w:widowControl w:val="0"/>
        <w:shd w:val="clear" w:color="auto" w:fill="auto"/>
        <w:tabs>
          <w:tab w:pos="894" w:val="left"/>
        </w:tabs>
        <w:bidi w:val="0"/>
        <w:spacing w:before="0" w:after="0" w:line="313" w:lineRule="exact"/>
        <w:ind w:left="240" w:right="0" w:firstLine="360"/>
        <w:jc w:val="left"/>
      </w:pPr>
      <w:bookmarkStart w:id="1460" w:name="bookmark1460"/>
      <w:r>
        <w:rPr>
          <w:rFonts w:ascii="Times New Roman" w:eastAsia="Times New Roman" w:hAnsi="Times New Roman" w:cs="Times New Roman"/>
          <w:color w:val="000000"/>
          <w:spacing w:val="0"/>
          <w:w w:val="100"/>
          <w:position w:val="0"/>
        </w:rPr>
        <w:t>3</w:t>
      </w:r>
      <w:bookmarkEnd w:id="1460"/>
      <w:r>
        <w:rPr>
          <w:color w:val="000000"/>
          <w:spacing w:val="0"/>
          <w:w w:val="100"/>
          <w:position w:val="0"/>
        </w:rPr>
        <w:t>、</w:t>
        <w:tab/>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日以自有资金人民币</w:t>
      </w:r>
      <w:r>
        <w:rPr>
          <w:rFonts w:ascii="Times New Roman" w:eastAsia="Times New Roman" w:hAnsi="Times New Roman" w:cs="Times New Roman"/>
          <w:color w:val="000000"/>
          <w:spacing w:val="0"/>
          <w:w w:val="100"/>
          <w:position w:val="0"/>
        </w:rPr>
        <w:t>14,950,000.00</w:t>
      </w:r>
      <w:r>
        <w:rPr>
          <w:color w:val="000000"/>
          <w:spacing w:val="0"/>
          <w:w w:val="100"/>
          <w:position w:val="0"/>
        </w:rPr>
        <w:t>元和人民币</w:t>
      </w:r>
      <w:r>
        <w:rPr>
          <w:rFonts w:ascii="Times New Roman" w:eastAsia="Times New Roman" w:hAnsi="Times New Roman" w:cs="Times New Roman"/>
          <w:color w:val="000000"/>
          <w:spacing w:val="0"/>
          <w:w w:val="100"/>
          <w:position w:val="0"/>
        </w:rPr>
        <w:t>2,370,000.00</w:t>
      </w:r>
      <w:r>
        <w:rPr>
          <w:color w:val="000000"/>
          <w:spacing w:val="0"/>
          <w:w w:val="100"/>
          <w:position w:val="0"/>
        </w:rPr>
        <w:t>元受让北京华大基因研究中心有限公 司持有的深圳医检</w:t>
      </w:r>
      <w:r>
        <w:rPr>
          <w:rFonts w:ascii="Times New Roman" w:eastAsia="Times New Roman" w:hAnsi="Times New Roman" w:cs="Times New Roman"/>
          <w:color w:val="000000"/>
          <w:spacing w:val="0"/>
          <w:w w:val="100"/>
          <w:position w:val="0"/>
        </w:rPr>
        <w:t>2.5%</w:t>
      </w:r>
      <w:r>
        <w:rPr>
          <w:color w:val="000000"/>
          <w:spacing w:val="0"/>
          <w:w w:val="100"/>
          <w:position w:val="0"/>
        </w:rPr>
        <w:t>和北京华大医学检验所有限公司</w:t>
      </w:r>
      <w:r>
        <w:rPr>
          <w:rFonts w:ascii="Times New Roman" w:eastAsia="Times New Roman" w:hAnsi="Times New Roman" w:cs="Times New Roman"/>
          <w:color w:val="000000"/>
          <w:spacing w:val="0"/>
          <w:w w:val="100"/>
          <w:position w:val="0"/>
        </w:rPr>
        <w:t>1%</w:t>
      </w:r>
      <w:r>
        <w:rPr>
          <w:color w:val="000000"/>
          <w:spacing w:val="0"/>
          <w:w w:val="100"/>
          <w:position w:val="0"/>
        </w:rPr>
        <w:t>的少数股权，因购买少数股权新取得的长期股权投资与按照新增 持股比例计算应享有子公司自购买日或合并日开始持续计算的净资产之间的差额，冲减资本公积人民币</w:t>
      </w:r>
      <w:r>
        <w:rPr>
          <w:rFonts w:ascii="Times New Roman" w:eastAsia="Times New Roman" w:hAnsi="Times New Roman" w:cs="Times New Roman"/>
          <w:color w:val="000000"/>
          <w:spacing w:val="0"/>
          <w:w w:val="100"/>
          <w:position w:val="0"/>
        </w:rPr>
        <w:t>7,835,666.85</w:t>
      </w:r>
      <w:r>
        <w:rPr>
          <w:color w:val="000000"/>
          <w:spacing w:val="0"/>
          <w:w w:val="100"/>
          <w:position w:val="0"/>
        </w:rPr>
        <w:t>元。</w:t>
      </w:r>
    </w:p>
    <w:p>
      <w:pPr>
        <w:pStyle w:val="Style38"/>
        <w:keepNext w:val="0"/>
        <w:keepLines w:val="0"/>
        <w:widowControl w:val="0"/>
        <w:shd w:val="clear" w:color="auto" w:fill="auto"/>
        <w:tabs>
          <w:tab w:pos="894" w:val="left"/>
        </w:tabs>
        <w:bidi w:val="0"/>
        <w:spacing w:before="0" w:after="0" w:line="313" w:lineRule="exact"/>
        <w:ind w:left="240" w:right="0" w:firstLine="360"/>
        <w:jc w:val="left"/>
      </w:pPr>
      <w:bookmarkStart w:id="1461" w:name="bookmark1461"/>
      <w:r>
        <w:rPr>
          <w:color w:val="000000"/>
          <w:spacing w:val="0"/>
          <w:w w:val="100"/>
          <w:position w:val="0"/>
        </w:rPr>
        <w:t>4</w:t>
      </w:r>
      <w:bookmarkEnd w:id="1461"/>
      <w:r>
        <w:rPr>
          <w:rFonts w:ascii="SimSun" w:eastAsia="SimSun" w:hAnsi="SimSun" w:cs="SimSun"/>
          <w:color w:val="000000"/>
          <w:spacing w:val="0"/>
          <w:w w:val="100"/>
          <w:position w:val="0"/>
        </w:rPr>
        <w:t>、</w:t>
        <w:tab/>
        <w:t>本公司于</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月在香港注销控股子公司</w:t>
      </w:r>
      <w:r>
        <w:rPr>
          <w:color w:val="000000"/>
          <w:spacing w:val="0"/>
          <w:w w:val="100"/>
          <w:position w:val="0"/>
        </w:rPr>
        <w:t>CHINA HONG KONG INTERNATIONAL MEDICAL CENTRE CO., LIMITED</w:t>
      </w:r>
      <w:r>
        <w:rPr>
          <w:rFonts w:ascii="SimSun" w:eastAsia="SimSun" w:hAnsi="SimSun" w:cs="SimSun"/>
          <w:color w:val="000000"/>
          <w:spacing w:val="0"/>
          <w:w w:val="100"/>
          <w:position w:val="0"/>
        </w:rPr>
        <w:t>，冲减资本公积人民币</w:t>
      </w:r>
      <w:r>
        <w:rPr>
          <w:color w:val="000000"/>
          <w:spacing w:val="0"/>
          <w:w w:val="100"/>
          <w:position w:val="0"/>
        </w:rPr>
        <w:t>259,186.04</w:t>
      </w:r>
      <w:r>
        <w:rPr>
          <w:rFonts w:ascii="SimSun" w:eastAsia="SimSun" w:hAnsi="SimSun" w:cs="SimSun"/>
          <w:color w:val="000000"/>
          <w:spacing w:val="0"/>
          <w:w w:val="100"/>
          <w:position w:val="0"/>
        </w:rPr>
        <w:t>元。</w:t>
      </w:r>
    </w:p>
    <w:p>
      <w:pPr>
        <w:pStyle w:val="Style17"/>
        <w:keepNext w:val="0"/>
        <w:keepLines w:val="0"/>
        <w:widowControl w:val="0"/>
        <w:shd w:val="clear" w:color="auto" w:fill="auto"/>
        <w:bidi w:val="0"/>
        <w:spacing w:before="0" w:after="380" w:line="313" w:lineRule="exact"/>
        <w:ind w:left="240" w:right="0" w:firstLine="360"/>
        <w:jc w:val="left"/>
      </w:pPr>
      <w:bookmarkStart w:id="1462" w:name="bookmark1462"/>
      <w:r>
        <w:rPr>
          <w:rFonts w:ascii="Times New Roman" w:eastAsia="Times New Roman" w:hAnsi="Times New Roman" w:cs="Times New Roman"/>
          <w:color w:val="000000"/>
          <w:spacing w:val="0"/>
          <w:w w:val="100"/>
          <w:position w:val="0"/>
        </w:rPr>
        <w:t>5</w:t>
      </w:r>
      <w:bookmarkEnd w:id="1462"/>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日，本公司联营企业广州中健云康新增投资者增资人民币</w:t>
      </w:r>
      <w:r>
        <w:rPr>
          <w:rFonts w:ascii="Times New Roman" w:eastAsia="Times New Roman" w:hAnsi="Times New Roman" w:cs="Times New Roman"/>
          <w:color w:val="000000"/>
          <w:spacing w:val="0"/>
          <w:w w:val="100"/>
          <w:position w:val="0"/>
        </w:rPr>
        <w:t>30,00,000.00</w:t>
      </w:r>
      <w:r>
        <w:rPr>
          <w:color w:val="000000"/>
          <w:spacing w:val="0"/>
          <w:w w:val="100"/>
          <w:position w:val="0"/>
        </w:rPr>
        <w:t>元，本公司根据持股比例相应增 加资本公积人民币</w:t>
      </w:r>
      <w:r>
        <w:rPr>
          <w:rFonts w:ascii="Times New Roman" w:eastAsia="Times New Roman" w:hAnsi="Times New Roman" w:cs="Times New Roman"/>
          <w:color w:val="000000"/>
          <w:spacing w:val="0"/>
          <w:w w:val="100"/>
          <w:position w:val="0"/>
        </w:rPr>
        <w:t>4,775,561.44</w:t>
      </w:r>
      <w:r>
        <w:rPr>
          <w:color w:val="000000"/>
          <w:spacing w:val="0"/>
          <w:w w:val="100"/>
          <w:position w:val="0"/>
        </w:rPr>
        <w:t>元。</w:t>
      </w:r>
    </w:p>
    <w:p>
      <w:pPr>
        <w:pStyle w:val="Style30"/>
        <w:keepNext/>
        <w:keepLines/>
        <w:widowControl w:val="0"/>
        <w:shd w:val="clear" w:color="auto" w:fill="auto"/>
        <w:bidi w:val="0"/>
        <w:spacing w:before="0" w:after="260" w:line="240" w:lineRule="auto"/>
        <w:ind w:left="0" w:right="0" w:firstLine="24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4</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、库存股</w:t>
      </w:r>
      <w:bookmarkEnd w:id="1463"/>
      <w:bookmarkEnd w:id="1464"/>
      <w:bookmarkEnd w:id="1466"/>
    </w:p>
    <w:p>
      <w:pPr>
        <w:pStyle w:val="Style17"/>
        <w:keepNext w:val="0"/>
        <w:keepLines w:val="0"/>
        <w:widowControl w:val="0"/>
        <w:shd w:val="clear" w:color="auto" w:fill="auto"/>
        <w:bidi w:val="0"/>
        <w:spacing w:before="0" w:line="313" w:lineRule="exact"/>
        <w:ind w:left="0" w:right="44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87,941,338.00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87,946,378.00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175,887,716.00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87,941,338.00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87,946,378.00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17"/>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月，本公司部分员工持股计划份额对应的标的股票解锁，转出库存股人民币</w:t>
      </w:r>
      <w:r>
        <w:rPr>
          <w:rFonts w:ascii="Times New Roman" w:eastAsia="Times New Roman" w:hAnsi="Times New Roman" w:cs="Times New Roman"/>
          <w:color w:val="000000"/>
          <w:spacing w:val="0"/>
          <w:w w:val="100"/>
          <w:position w:val="0"/>
        </w:rPr>
        <w:t>87,941,338.00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24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67"/>
      <w:bookmarkEnd w:id="1468"/>
      <w:bookmarkEnd w:id="14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7"/>
        <w:gridCol w:w="1277"/>
        <w:gridCol w:w="1133"/>
        <w:gridCol w:w="850"/>
        <w:gridCol w:w="1138"/>
        <w:gridCol w:w="1272"/>
        <w:gridCol w:w="1138"/>
        <w:gridCol w:w="128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本期所得税前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 分类进损益 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41,971,561.32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44,180,317.40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8,093,869.65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6,669,074.49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29,010,753.45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406,619.81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70,982,314.77</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580"/>
              <w:jc w:val="both"/>
            </w:pPr>
            <w:r>
              <w:rPr>
                <w:color w:val="000000"/>
                <w:spacing w:val="0"/>
                <w:w w:val="100"/>
                <w:position w:val="0"/>
              </w:rPr>
              <w:t>其他</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权益工具投</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资公允价值</w:t>
            </w:r>
          </w:p>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41,971,561.32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44,180,317.40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8,093,869.65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6,669,074.49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29,010,753.45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406,619.81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70,982,314.77</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二、将重分 类进损益的 其他综合收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-120,581,334.00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-104,470,282.73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-102,967,455.06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-1,502,827.67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-223,548,789.06</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其中：权益</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法下可转损 益的其他综 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-25,914.09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-11,946.85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-36,774.97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外币 财务报表折 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-120,555,419.91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-104,458,335.88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-102,956,594.18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-1,501,741.70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-223,512,014.09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-78,609,772.68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-60,289,965.33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8,093,869.65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6,669,074.49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-73,956,701.61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-1,096,207.86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-152,566,474.29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4</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471"/>
      <w:bookmarkEnd w:id="1472"/>
      <w:bookmarkEnd w:id="1474"/>
    </w:p>
    <w:p>
      <w:pPr>
        <w:pStyle w:val="Style17"/>
        <w:keepNext w:val="0"/>
        <w:keepLines w:val="0"/>
        <w:widowControl w:val="0"/>
        <w:shd w:val="clear" w:color="auto" w:fill="auto"/>
        <w:bidi w:val="0"/>
        <w:spacing w:before="0" w:after="80" w:line="240" w:lineRule="auto"/>
        <w:ind w:left="0" w:right="46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139,035,269.90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30,054,599.41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169,089,869.31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139,035,269.90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30,054,599.41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169,089,869.31</w:t>
            </w:r>
          </w:p>
        </w:tc>
      </w:tr>
    </w:tbl>
    <w:p>
      <w:pPr>
        <w:widowControl w:val="0"/>
        <w:spacing w:after="79" w:line="1" w:lineRule="exact"/>
      </w:pPr>
    </w:p>
    <w:p>
      <w:pPr>
        <w:pStyle w:val="Style17"/>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盈余公积说明，包括本期增减变动情况、变动原因说明：</w:t>
      </w:r>
    </w:p>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根据公司法、本公司章程的规定，本公司按弥补以前年度亏损后净利润的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w:t>
      </w:r>
    </w:p>
    <w:p>
      <w:pPr>
        <w:pStyle w:val="Style17"/>
        <w:keepNext w:val="0"/>
        <w:keepLines w:val="0"/>
        <w:widowControl w:val="0"/>
        <w:shd w:val="clear" w:color="auto" w:fill="auto"/>
        <w:bidi w:val="0"/>
        <w:spacing w:before="0" w:after="0" w:line="312" w:lineRule="exact"/>
        <w:ind w:left="0" w:right="0" w:firstLine="240"/>
        <w:jc w:val="left"/>
      </w:pPr>
      <w:r>
        <w:rPr>
          <w:color w:val="000000"/>
          <w:spacing w:val="0"/>
          <w:w w:val="100"/>
          <w:position w:val="0"/>
        </w:rPr>
        <w:t>计额为本公司注册资本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以上的，可不再提取。于</w:t>
      </w:r>
      <w:r>
        <w:rPr>
          <w:rFonts w:ascii="Times New Roman" w:eastAsia="Times New Roman" w:hAnsi="Times New Roman" w:cs="Times New Roman"/>
          <w:color w:val="000000"/>
          <w:spacing w:val="0"/>
          <w:w w:val="100"/>
          <w:position w:val="0"/>
        </w:rPr>
        <w:t>2021</w:t>
      </w:r>
      <w:r>
        <w:rPr>
          <w:color w:val="000000"/>
          <w:spacing w:val="0"/>
          <w:w w:val="100"/>
          <w:position w:val="0"/>
        </w:rPr>
        <w:t>年，本公司提取盈余公积人民币</w:t>
      </w:r>
      <w:r>
        <w:rPr>
          <w:rFonts w:ascii="Times New Roman" w:eastAsia="Times New Roman" w:hAnsi="Times New Roman" w:cs="Times New Roman"/>
          <w:color w:val="000000"/>
          <w:spacing w:val="0"/>
          <w:w w:val="100"/>
          <w:position w:val="0"/>
        </w:rPr>
        <w:t>29,040,670.18</w:t>
      </w:r>
      <w:r>
        <w:rPr>
          <w:color w:val="000000"/>
          <w:spacing w:val="0"/>
          <w:w w:val="100"/>
          <w:position w:val="0"/>
        </w:rPr>
        <w:t>元。</w:t>
      </w:r>
    </w:p>
    <w:p>
      <w:pPr>
        <w:pStyle w:val="Style17"/>
        <w:keepNext w:val="0"/>
        <w:keepLines w:val="0"/>
        <w:widowControl w:val="0"/>
        <w:shd w:val="clear" w:color="auto" w:fill="auto"/>
        <w:bidi w:val="0"/>
        <w:spacing w:before="0" w:after="380" w:line="312" w:lineRule="exact"/>
        <w:ind w:left="24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年，本公司处置持有的其他权益工具投资，将以前年度确认的其他综合收益结转至留存收益，增加盈余公积人 民币人民币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,026,691.97</w:t>
      </w:r>
      <w:r>
        <w:rPr>
          <w:color w:val="000000"/>
          <w:spacing w:val="0"/>
          <w:w w:val="100"/>
          <w:position w:val="0"/>
        </w:rPr>
        <w:t>元，同时处置价款与其他权益工具投资账面价值的差异减少盈余公积人民币</w:t>
      </w:r>
      <w:r>
        <w:rPr>
          <w:rFonts w:ascii="Times New Roman" w:eastAsia="Times New Roman" w:hAnsi="Times New Roman" w:cs="Times New Roman"/>
          <w:color w:val="000000"/>
          <w:spacing w:val="0"/>
          <w:w w:val="100"/>
          <w:position w:val="0"/>
        </w:rPr>
        <w:t>12,762.74</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24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475"/>
      <w:bookmarkEnd w:id="1476"/>
      <w:bookmarkEnd w:id="14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3,020,477,559.59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974,196,660.64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52,914,366.35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3,020,477,559.59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1,027,111,026.99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1,461,536,272.38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2,090,285,273.48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29,040,670.18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56,908,927.20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144,869,999.05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40,009,813.68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加：处置其他权益工具投资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10,594,603.31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4,318,697,766.05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3,020,477,559.59</w:t>
            </w:r>
          </w:p>
        </w:tc>
      </w:tr>
    </w:tbl>
    <w:p>
      <w:pPr>
        <w:pStyle w:val="Style17"/>
        <w:keepNext w:val="0"/>
        <w:keepLines w:val="0"/>
        <w:widowControl w:val="0"/>
        <w:shd w:val="clear" w:color="auto" w:fill="auto"/>
        <w:bidi w:val="0"/>
        <w:spacing w:before="0" w:after="0" w:line="312" w:lineRule="exact"/>
        <w:ind w:left="0" w:right="0" w:firstLine="240"/>
        <w:jc w:val="left"/>
      </w:pPr>
      <w:r>
        <w:rPr>
          <w:color w:val="000000"/>
          <w:spacing w:val="0"/>
          <w:w w:val="100"/>
          <w:position w:val="0"/>
        </w:rPr>
        <w:t>调整期初未分配利润明细：</w:t>
      </w:r>
    </w:p>
    <w:p>
      <w:pPr>
        <w:pStyle w:val="Style17"/>
        <w:keepNext w:val="0"/>
        <w:keepLines w:val="0"/>
        <w:widowControl w:val="0"/>
        <w:shd w:val="clear" w:color="auto" w:fill="auto"/>
        <w:tabs>
          <w:tab w:pos="930" w:val="left"/>
        </w:tabs>
        <w:bidi w:val="0"/>
        <w:spacing w:before="0" w:after="0" w:line="312" w:lineRule="exact"/>
        <w:ind w:left="0" w:right="0" w:firstLine="600"/>
        <w:jc w:val="left"/>
      </w:pPr>
      <w:bookmarkStart w:id="1479" w:name="bookmark1479"/>
      <w:r>
        <w:rPr>
          <w:rFonts w:ascii="Times New Roman" w:eastAsia="Times New Roman" w:hAnsi="Times New Roman" w:cs="Times New Roman"/>
          <w:color w:val="000000"/>
          <w:spacing w:val="0"/>
          <w:w w:val="100"/>
          <w:position w:val="0"/>
        </w:rPr>
        <w:t>1</w:t>
      </w:r>
      <w:bookmarkEnd w:id="147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949" w:val="left"/>
        </w:tabs>
        <w:bidi w:val="0"/>
        <w:spacing w:before="0" w:after="0" w:line="312" w:lineRule="exact"/>
        <w:ind w:left="0" w:right="0" w:firstLine="600"/>
        <w:jc w:val="left"/>
      </w:pPr>
      <w:bookmarkStart w:id="1480" w:name="bookmark1480"/>
      <w:r>
        <w:rPr>
          <w:rFonts w:ascii="Times New Roman" w:eastAsia="Times New Roman" w:hAnsi="Times New Roman" w:cs="Times New Roman"/>
          <w:color w:val="000000"/>
          <w:spacing w:val="0"/>
          <w:w w:val="100"/>
          <w:position w:val="0"/>
        </w:rPr>
        <w:t>2</w:t>
      </w:r>
      <w:bookmarkEnd w:id="148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949" w:val="left"/>
        </w:tabs>
        <w:bidi w:val="0"/>
        <w:spacing w:before="0" w:after="0" w:line="312" w:lineRule="exact"/>
        <w:ind w:left="0" w:right="0" w:firstLine="600"/>
        <w:jc w:val="left"/>
      </w:pPr>
      <w:bookmarkStart w:id="1481" w:name="bookmark1481"/>
      <w:r>
        <w:rPr>
          <w:rFonts w:ascii="Times New Roman" w:eastAsia="Times New Roman" w:hAnsi="Times New Roman" w:cs="Times New Roman"/>
          <w:color w:val="000000"/>
          <w:spacing w:val="0"/>
          <w:w w:val="100"/>
          <w:position w:val="0"/>
        </w:rPr>
        <w:t>3</w:t>
      </w:r>
      <w:bookmarkEnd w:id="148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949" w:val="left"/>
        </w:tabs>
        <w:bidi w:val="0"/>
        <w:spacing w:before="0" w:after="0" w:line="312" w:lineRule="exact"/>
        <w:ind w:left="0" w:right="0" w:firstLine="600"/>
        <w:jc w:val="left"/>
      </w:pPr>
      <w:bookmarkStart w:id="1482" w:name="bookmark1482"/>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tabs>
          <w:tab w:pos="949" w:val="left"/>
        </w:tabs>
        <w:bidi w:val="0"/>
        <w:spacing w:before="0" w:after="0" w:line="312" w:lineRule="exact"/>
        <w:ind w:left="0" w:right="0" w:firstLine="600"/>
        <w:jc w:val="left"/>
      </w:pPr>
      <w:bookmarkStart w:id="1483" w:name="bookmark1483"/>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bidi w:val="0"/>
        <w:spacing w:before="0" w:after="380" w:line="312" w:lineRule="exact"/>
        <w:ind w:left="240" w:right="0" w:firstLine="36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年，本公司处置持有的其他权益工具投资，将以前年度确认的其他综合收益结转至留存收益，增加年初未分配 利润人民币人民币</w:t>
      </w:r>
      <w:r>
        <w:rPr>
          <w:rFonts w:ascii="Times New Roman" w:eastAsia="Times New Roman" w:hAnsi="Times New Roman" w:cs="Times New Roman"/>
          <w:color w:val="000000"/>
          <w:spacing w:val="0"/>
          <w:w w:val="100"/>
          <w:position w:val="0"/>
        </w:rPr>
        <w:t>7,067,177.68</w:t>
      </w:r>
      <w:r>
        <w:rPr>
          <w:color w:val="000000"/>
          <w:spacing w:val="0"/>
          <w:w w:val="100"/>
          <w:position w:val="0"/>
        </w:rPr>
        <w:t xml:space="preserve">元，同时处置价款与其他权益工具投资账面价值的差异增加年初未分配利润人民币 </w:t>
      </w:r>
      <w:r>
        <w:rPr>
          <w:rFonts w:ascii="Times New Roman" w:eastAsia="Times New Roman" w:hAnsi="Times New Roman" w:cs="Times New Roman"/>
          <w:color w:val="000000"/>
          <w:spacing w:val="0"/>
          <w:w w:val="100"/>
          <w:position w:val="0"/>
        </w:rPr>
        <w:t xml:space="preserve">3,527,425.63 </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24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484"/>
      <w:bookmarkEnd w:id="1485"/>
      <w:bookmarkEnd w:id="14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6,754,390,875.00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2,830,239,069.83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8,386,922,285.47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3,349,228,393.13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11,746,440.11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5,183,510.77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3,817,970.83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6,766,137,315.11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2,835,422,580.60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8,397,230,002.83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3,353,046,363.96</w:t>
            </w:r>
          </w:p>
        </w:tc>
      </w:tr>
    </w:tbl>
    <w:p>
      <w:pPr>
        <w:spacing w:lineRule="exact" w:line="1"/>
        <w:rPr>
          <w:sz w:val="2"/>
          <w:szCs w:val="2"/>
        </w:rPr>
      </w:pPr>
      <w:r>
        <w:br w:type="page"/>
      </w:r>
    </w:p>
    <w:p>
      <w:pPr>
        <w:pStyle w:val="Style1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经审计扣除非经常损益前后净利润孰低是否为负值</w:t>
      </w:r>
    </w:p>
    <w:p>
      <w:pPr>
        <w:pStyle w:val="Style1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收入相关信息：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1"/>
        <w:gridCol w:w="3206"/>
        <w:gridCol w:w="322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与客户之间的合同产生的收入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6,762,166,135.06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6,762,166,135.06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3,971,180.05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3,971,180.05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中国大陆（不含中国港澳台）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2,884,583,106.73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2,884,583,106.73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欧洲及非洲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938,752,055.65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938,752,055.65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432,133,047.25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432,133,047.25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亚洲（含中国港澳台）及大洋洲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2,510,669,105.48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2,510,669,105.48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生育健康基础研究和临床应用服务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1,192,492,862.98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1,192,492,862.98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肿瘤防控及转化医学类服务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379,778,659.87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379,778,659.87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感染防控基础研究和临床应用服务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1,158,406,959.48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1,158,406,959.48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多组学大数据服务与合成业务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641,590,091.11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641,590,091.11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精准医学检测综合方案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3,382,122,301.56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3,382,122,301.56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11,746,440.11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11,746,440.11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6,758,809,084.53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6,758,809,084.53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7,328,230.58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7,328,230.58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6,766,137,315.11</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生育健康基础研究和临床应用服务、肿瘤防控及转化医学类服务、感染防控基础研究和临床应用服务</w:t>
      </w:r>
    </w:p>
    <w:p>
      <w:pPr>
        <w:pStyle w:val="Style17"/>
        <w:keepNext w:val="0"/>
        <w:keepLines w:val="0"/>
        <w:widowControl w:val="0"/>
        <w:shd w:val="clear" w:color="auto" w:fill="auto"/>
        <w:bidi w:val="0"/>
        <w:spacing w:before="0" w:after="0" w:line="317" w:lineRule="exact"/>
        <w:ind w:left="0" w:right="0" w:firstLine="600"/>
        <w:jc w:val="left"/>
      </w:pPr>
      <w:r>
        <w:rPr>
          <w:color w:val="000000"/>
          <w:spacing w:val="0"/>
          <w:w w:val="100"/>
          <w:position w:val="0"/>
        </w:rPr>
        <w:t>向客户交付样本检测报告时完成履约义务。合同价款结算以合同约定为准。</w:t>
      </w:r>
    </w:p>
    <w:p>
      <w:pPr>
        <w:pStyle w:val="Style17"/>
        <w:keepNext w:val="0"/>
        <w:keepLines w:val="0"/>
        <w:widowControl w:val="0"/>
        <w:shd w:val="clear" w:color="auto" w:fill="auto"/>
        <w:bidi w:val="0"/>
        <w:spacing w:before="0" w:after="0" w:line="317" w:lineRule="exact"/>
        <w:ind w:left="0" w:right="0" w:firstLine="240"/>
        <w:jc w:val="both"/>
      </w:pPr>
      <w:r>
        <w:rPr>
          <w:b/>
          <w:bCs/>
          <w:color w:val="000000"/>
          <w:spacing w:val="0"/>
          <w:w w:val="100"/>
          <w:position w:val="0"/>
        </w:rPr>
        <w:t>多组学大数据服务与合成业务</w:t>
      </w:r>
    </w:p>
    <w:p>
      <w:pPr>
        <w:pStyle w:val="Style17"/>
        <w:keepNext w:val="0"/>
        <w:keepLines w:val="0"/>
        <w:widowControl w:val="0"/>
        <w:shd w:val="clear" w:color="auto" w:fill="auto"/>
        <w:bidi w:val="0"/>
        <w:spacing w:before="0" w:after="0" w:line="317" w:lineRule="exact"/>
        <w:ind w:left="0" w:right="0" w:firstLine="600"/>
        <w:jc w:val="left"/>
      </w:pPr>
      <w:r>
        <w:rPr>
          <w:color w:val="000000"/>
          <w:spacing w:val="0"/>
          <w:w w:val="100"/>
          <w:position w:val="0"/>
        </w:rPr>
        <w:t>向客户交付测序分析结果，取得客户结算确认依据时完成履约义务。合同价款结算以合同约定为准。</w:t>
      </w:r>
    </w:p>
    <w:p>
      <w:pPr>
        <w:pStyle w:val="Style17"/>
        <w:keepNext w:val="0"/>
        <w:keepLines w:val="0"/>
        <w:widowControl w:val="0"/>
        <w:shd w:val="clear" w:color="auto" w:fill="auto"/>
        <w:bidi w:val="0"/>
        <w:spacing w:before="0" w:after="0" w:line="317" w:lineRule="exact"/>
        <w:ind w:left="0" w:right="0" w:firstLine="240"/>
        <w:jc w:val="both"/>
      </w:pPr>
      <w:r>
        <w:rPr>
          <w:b/>
          <w:bCs/>
          <w:color w:val="000000"/>
          <w:spacing w:val="0"/>
          <w:w w:val="100"/>
          <w:position w:val="0"/>
        </w:rPr>
        <w:t>精准医学检测综合方案</w:t>
      </w:r>
    </w:p>
    <w:p>
      <w:pPr>
        <w:pStyle w:val="Style17"/>
        <w:keepNext w:val="0"/>
        <w:keepLines w:val="0"/>
        <w:widowControl w:val="0"/>
        <w:shd w:val="clear" w:color="auto" w:fill="auto"/>
        <w:bidi w:val="0"/>
        <w:spacing w:before="0" w:after="0" w:line="317" w:lineRule="exact"/>
        <w:ind w:left="240" w:right="0" w:firstLine="360"/>
        <w:jc w:val="left"/>
      </w:pPr>
      <w:r>
        <w:rPr>
          <w:color w:val="000000"/>
          <w:spacing w:val="0"/>
          <w:w w:val="100"/>
          <w:position w:val="0"/>
        </w:rPr>
        <w:t>货物送至客户指定收货地点，完成货物交付并取得客户关于货物签收或验收的证据时完成履约义务。合同价款结算以 合同约定为准。</w:t>
      </w:r>
    </w:p>
    <w:p>
      <w:pPr>
        <w:pStyle w:val="Style17"/>
        <w:keepNext w:val="0"/>
        <w:keepLines w:val="0"/>
        <w:widowControl w:val="0"/>
        <w:shd w:val="clear" w:color="auto" w:fill="auto"/>
        <w:bidi w:val="0"/>
        <w:spacing w:before="0" w:after="140" w:line="317" w:lineRule="exact"/>
        <w:ind w:left="0" w:right="0" w:firstLine="240"/>
        <w:jc w:val="left"/>
      </w:pPr>
      <w:r>
        <w:rPr>
          <w:color w:val="000000"/>
          <w:spacing w:val="0"/>
          <w:w w:val="100"/>
          <w:position w:val="0"/>
        </w:rPr>
        <w:t>与分摊至剩余履约义务的交易价格相关的信息：</w:t>
      </w:r>
      <w:r>
        <w:br w:type="page"/>
      </w:r>
    </w:p>
    <w:p>
      <w:pPr>
        <w:pStyle w:val="Style17"/>
        <w:keepNext w:val="0"/>
        <w:keepLines w:val="0"/>
        <w:widowControl w:val="0"/>
        <w:shd w:val="clear" w:color="auto" w:fill="auto"/>
        <w:bidi w:val="0"/>
        <w:spacing w:before="0" w:after="40" w:line="307" w:lineRule="exact"/>
        <w:ind w:left="240" w:right="0" w:firstLine="36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1,891,251,921.24</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1,891,251,921.24</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p>
    <w:p>
      <w:pPr>
        <w:pStyle w:val="Style17"/>
        <w:keepNext w:val="0"/>
        <w:keepLines w:val="0"/>
        <w:widowControl w:val="0"/>
        <w:shd w:val="clear" w:color="auto" w:fill="auto"/>
        <w:bidi w:val="0"/>
        <w:spacing w:before="0" w:after="120" w:line="307" w:lineRule="exact"/>
        <w:ind w:left="0" w:right="0" w:firstLine="24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336" w:right="0" w:firstLine="0"/>
        <w:jc w:val="left"/>
      </w:pPr>
      <w:r>
        <w:rPr>
          <w:color w:val="000000"/>
          <w:spacing w:val="0"/>
          <w:w w:val="100"/>
          <w:position w:val="0"/>
        </w:rPr>
        <w:t>当年确认的包括在合同负债年初账面价值中的收入如下:</w:t>
      </w:r>
    </w:p>
    <w:tbl>
      <w:tblPr>
        <w:tblOverlap w:val="never"/>
        <w:jc w:val="left"/>
        <w:tblLayout w:type="fixed"/>
      </w:tblPr>
      <w:tblGrid>
        <w:gridCol w:w="4262"/>
        <w:gridCol w:w="2045"/>
        <w:gridCol w:w="205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销售商品和提供劳务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509,476,146.44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128,056,303.73</w:t>
            </w:r>
          </w:p>
        </w:tc>
      </w:tr>
    </w:tbl>
    <w:p>
      <w:pPr>
        <w:widowControl w:val="0"/>
        <w:spacing w:after="639" w:line="1" w:lineRule="exact"/>
      </w:pPr>
    </w:p>
    <w:p>
      <w:pPr>
        <w:pStyle w:val="Style30"/>
        <w:keepNext/>
        <w:keepLines/>
        <w:widowControl w:val="0"/>
        <w:shd w:val="clear" w:color="auto" w:fill="auto"/>
        <w:bidi w:val="0"/>
        <w:spacing w:before="0" w:line="240" w:lineRule="auto"/>
        <w:ind w:left="0" w:right="0" w:firstLine="24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4</w:t>
      </w:r>
      <w:bookmarkEnd w:id="1490"/>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488"/>
      <w:bookmarkEnd w:id="1489"/>
      <w:bookmarkEnd w:id="14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1,193,785.33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1,325,795.32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9,019,751.40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20,395,271.70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6,020,364.06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13,250,245.96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3,055,944.13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1,644,344.94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4,394,430.18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4,810,783.03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677,847.76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284,426.83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24,362,122.86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41,710,867.78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24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92"/>
      <w:bookmarkEnd w:id="1493"/>
      <w:bookmarkEnd w:id="14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443,464,034.05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678,884,134.19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589,467,890.22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251,747,272.66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43,057,492.94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30,908,660.66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30,943,297.22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27,574,275.61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42,574,025.13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22,824,219.60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35,304,459.33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20,959,634.22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16,732,681.59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15,522,352.04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15,426,314.89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9,584,621.95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未纳入租赁负债计量的租金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2,847,785.15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8,011,569.59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18,492,818.42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12,427,368.07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1,238,310,798.94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1,078,444,108.59</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24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96"/>
      <w:bookmarkEnd w:id="1497"/>
      <w:bookmarkEnd w:id="14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196,832,232.88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391,216,383.79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64,464,553.24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52,736,086.85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34,561,430.82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35,489,048.08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25,564,088.27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19,329,505.91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未纳入租赁负债计量的租金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7,513,856.51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6,356,408.55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11,413,852.86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5,364,801.25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6,532,612.12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5,332,747.20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3,049,836.70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3,633,532.76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36,764,889.90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23,692,039.05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386,697,353.30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543,150,553.44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500"/>
      <w:bookmarkEnd w:id="1501"/>
      <w:bookmarkEnd w:id="15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275,509,034.49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424,602,642.09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85,933,066.54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67,748,111.59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59,778,520.87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58,628,111.97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9,777,150.46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23,735,527.58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外协加工费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10,146,932.97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11,559,691.33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9,603,705.01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8,566,260.90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未纳入租赁负债计量的租金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12,360,757.33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8,322,644.41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4,776,269.45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4,367,528.60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4,924,204.10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2,636,362.70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注册检验费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3,582,347.03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1,337,101.02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988,881.13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393,925.71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9,767,098.35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7,744,451.44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487,147,967.73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619,642,359.34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5</w:t>
      </w:r>
      <w:bookmarkEnd w:id="1506"/>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504"/>
      <w:bookmarkEnd w:id="1505"/>
      <w:bookmarkEnd w:id="1507"/>
    </w:p>
    <w:p>
      <w:pPr>
        <w:pStyle w:val="Style17"/>
        <w:keepNext w:val="0"/>
        <w:keepLines w:val="0"/>
        <w:widowControl w:val="0"/>
        <w:shd w:val="clear" w:color="auto" w:fill="auto"/>
        <w:bidi w:val="0"/>
        <w:spacing w:before="0" w:after="380" w:line="240" w:lineRule="auto"/>
        <w:ind w:left="0" w:right="44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104,716,372.37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89,042,161.73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-44,344,892.89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-18,099,044.29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39,764,647.51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138,509,473.27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4,125,990.96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3,336,709.18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104,262,117.95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212,789,299.89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5</w:t>
      </w:r>
      <w:bookmarkEnd w:id="1510"/>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508"/>
      <w:bookmarkEnd w:id="1509"/>
      <w:bookmarkEnd w:id="15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51,122,240.52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50,688,110.19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红十字会捐赠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368,409.98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9,563.36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409,582.01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493,090.13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1,522,425.38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751,178.77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53,422,657.89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51,941,942.45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512"/>
      <w:bookmarkEnd w:id="1513"/>
      <w:bookmarkEnd w:id="15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111,684,497.63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100,383,704.19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8,977,145.92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18,798,813.48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处置交易性金融资产</w:t>
            </w:r>
            <w:r>
              <w:rPr>
                <w:rFonts w:ascii="Times New Roman" w:eastAsia="Times New Roman" w:hAnsi="Times New Roman" w:cs="Times New Roman"/>
                <w:color w:val="000000"/>
                <w:spacing w:val="0"/>
                <w:w w:val="100"/>
                <w:position w:val="0"/>
              </w:rPr>
              <w:t>/</w:t>
            </w:r>
            <w:r>
              <w:rPr>
                <w:color w:val="000000"/>
                <w:spacing w:val="0"/>
                <w:w w:val="100"/>
                <w:position w:val="0"/>
              </w:rPr>
              <w:t>负债的投资收益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（损 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44,105,626.41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-21,172,635.00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417,999.99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367,610.96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处置或注销子公司产生的投资收益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4,254,535.17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长期股权投资转其他非流动金融资产核算</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1,406,875.94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210,055.39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其他非流动金融资产在持有期间取得的投 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2,971,803.88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2,641,509.43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-109,770.81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173,818,484.94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101,119,287.64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、公允价值变动收益</w:t>
      </w:r>
      <w:bookmarkEnd w:id="1516"/>
      <w:bookmarkEnd w:id="1517"/>
      <w:bookmarkEnd w:id="1519"/>
    </w:p>
    <w:p>
      <w:pPr>
        <w:pStyle w:val="Style17"/>
        <w:keepNext w:val="0"/>
        <w:keepLines w:val="0"/>
        <w:widowControl w:val="0"/>
        <w:shd w:val="clear" w:color="auto" w:fill="auto"/>
        <w:bidi w:val="0"/>
        <w:spacing w:before="0" w:after="340" w:line="240" w:lineRule="auto"/>
        <w:ind w:left="0" w:right="44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15,069,513.69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71,397,018.21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52,203,638.42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86,411,750.20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52,203,638.42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4</w:t>
      </w:r>
      <w:r>
        <w:rPr>
          <w:color w:val="000000"/>
          <w:spacing w:val="0"/>
          <w:w w:val="100"/>
          <w:position w:val="0"/>
        </w:rPr>
        <w:t>、信用减值损失</w:t>
      </w:r>
      <w:bookmarkEnd w:id="1520"/>
      <w:bookmarkEnd w:id="1521"/>
      <w:bookmarkEnd w:id="15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82,159.90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-1,050,243.92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-104,556,787.88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-140,864,173.51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-104,474,627.98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-141,914,417.43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524"/>
      <w:bookmarkEnd w:id="1525"/>
      <w:bookmarkEnd w:id="15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一、存货跌价损失及合同履约成本减值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-9,844,229.38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-29,190,332.92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-62,549,618.58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-80,201,634.37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-72,393,847.96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-109,391,967.29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7"/>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其他为其他非流动资产减值损失。</w:t>
      </w:r>
    </w:p>
    <w:p>
      <w:pPr>
        <w:pStyle w:val="Style30"/>
        <w:keepNext/>
        <w:keepLines/>
        <w:widowControl w:val="0"/>
        <w:shd w:val="clear" w:color="auto" w:fill="auto"/>
        <w:bidi w:val="0"/>
        <w:spacing w:before="0" w:after="380" w:line="240" w:lineRule="auto"/>
        <w:ind w:left="0" w:right="0" w:firstLine="24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5</w:t>
      </w:r>
      <w:bookmarkEnd w:id="1530"/>
      <w:r>
        <w:rPr>
          <w:rFonts w:ascii="Times New Roman" w:eastAsia="Times New Roman" w:hAnsi="Times New Roman" w:cs="Times New Roman"/>
          <w:color w:val="000000"/>
          <w:spacing w:val="0"/>
          <w:w w:val="100"/>
          <w:position w:val="0"/>
        </w:rPr>
        <w:t>6</w:t>
      </w:r>
      <w:r>
        <w:rPr>
          <w:color w:val="000000"/>
          <w:spacing w:val="0"/>
          <w:w w:val="100"/>
          <w:position w:val="0"/>
        </w:rPr>
        <w:t>、资产处置收益</w:t>
      </w:r>
      <w:bookmarkEnd w:id="1528"/>
      <w:bookmarkEnd w:id="1529"/>
      <w:bookmarkEnd w:id="15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-3,883,987.14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-4,231,402.18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5</w:t>
      </w:r>
      <w:bookmarkEnd w:id="1534"/>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532"/>
      <w:bookmarkEnd w:id="1533"/>
      <w:bookmarkEnd w:id="15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1,049,156.04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1,049,156.04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2,934,412.13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263,467.39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2,934,412.13</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3,983,568.17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267,547.39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3,983,568.17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536"/>
      <w:bookmarkEnd w:id="1537"/>
      <w:bookmarkEnd w:id="15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35,982,283.75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23,539,351.42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35,982,283.75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39,690,910.35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24,819,247.00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39,690,910.35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和解金支出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4,474,599.99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4,474,599.99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777,143.29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7,770,148.76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777,143.29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80,924,937.38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56,147,173.09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80,924,937.38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540"/>
      <w:bookmarkEnd w:id="1541"/>
      <w:bookmarkEnd w:id="1543"/>
    </w:p>
    <w:p>
      <w:pPr>
        <w:pStyle w:val="Style30"/>
        <w:keepNext/>
        <w:keepLines/>
        <w:widowControl w:val="0"/>
        <w:shd w:val="clear" w:color="auto" w:fill="auto"/>
        <w:bidi w:val="0"/>
        <w:spacing w:before="0" w:after="380" w:line="240" w:lineRule="auto"/>
        <w:ind w:left="0" w:right="0" w:firstLine="240"/>
        <w:jc w:val="left"/>
      </w:pPr>
      <w:bookmarkStart w:id="1540" w:name="bookmark1540"/>
      <w:bookmarkStart w:id="1541" w:name="bookmark1541"/>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0"/>
      <w:bookmarkEnd w:id="1541"/>
      <w:bookmarkEnd w:id="15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317,194,844.95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424,737,694.91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-49,000,014.05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-84,496,144.23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268,194,830.90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340,241,550.68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45"/>
      <w:bookmarkEnd w:id="1546"/>
      <w:bookmarkEnd w:id="15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1,745,893,434.47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436,473,358.62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-98,350,664.12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1,578,341.20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-67,685,877.19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17,926,142.74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-25,082,541.21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33,503,185.16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可加计扣除的研发费用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-30,167,114.30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268,194,830.90</w:t>
            </w:r>
          </w:p>
        </w:tc>
      </w:tr>
    </w:tbl>
    <w:p>
      <w:pPr>
        <w:pStyle w:val="Style17"/>
        <w:keepNext w:val="0"/>
        <w:keepLines w:val="0"/>
        <w:widowControl w:val="0"/>
        <w:shd w:val="clear" w:color="auto" w:fill="auto"/>
        <w:bidi w:val="0"/>
        <w:spacing w:before="0" w:after="40" w:line="307" w:lineRule="exact"/>
        <w:ind w:left="0" w:right="0" w:firstLine="240"/>
        <w:jc w:val="left"/>
      </w:pPr>
      <w:r>
        <w:rPr>
          <w:color w:val="000000"/>
          <w:spacing w:val="0"/>
          <w:w w:val="100"/>
          <w:position w:val="0"/>
        </w:rPr>
        <w:t>其他说明</w:t>
      </w:r>
    </w:p>
    <w:p>
      <w:pPr>
        <w:pStyle w:val="Style17"/>
        <w:keepNext w:val="0"/>
        <w:keepLines w:val="0"/>
        <w:widowControl w:val="0"/>
        <w:shd w:val="clear" w:color="auto" w:fill="auto"/>
        <w:bidi w:val="0"/>
        <w:spacing w:before="0" w:after="380" w:line="307" w:lineRule="exact"/>
        <w:ind w:left="240" w:right="0" w:firstLine="360"/>
        <w:jc w:val="left"/>
      </w:pPr>
      <w:r>
        <w:rPr>
          <w:color w:val="000000"/>
          <w:spacing w:val="0"/>
          <w:w w:val="100"/>
          <w:position w:val="0"/>
        </w:rPr>
        <w:t>本公司所得税按在中国境内取得的估计应纳税所得额及法定税率计提。源于其他地区应纳税所得的税项根据本公司经 营所在国家</w:t>
      </w:r>
      <w:r>
        <w:rPr>
          <w:rFonts w:ascii="Times New Roman" w:eastAsia="Times New Roman" w:hAnsi="Times New Roman" w:cs="Times New Roman"/>
          <w:color w:val="000000"/>
          <w:spacing w:val="0"/>
          <w:w w:val="100"/>
          <w:position w:val="0"/>
        </w:rPr>
        <w:t>/</w:t>
      </w:r>
      <w:r>
        <w:rPr>
          <w:color w:val="000000"/>
          <w:spacing w:val="0"/>
          <w:w w:val="100"/>
          <w:position w:val="0"/>
        </w:rPr>
        <w:t>所受管辖区域的现行法律、解释公告和惯例，按照适用税率计算。</w:t>
      </w:r>
    </w:p>
    <w:p>
      <w:pPr>
        <w:pStyle w:val="Style30"/>
        <w:keepNext/>
        <w:keepLines/>
        <w:widowControl w:val="0"/>
        <w:shd w:val="clear" w:color="auto" w:fill="auto"/>
        <w:tabs>
          <w:tab w:pos="723" w:val="left"/>
        </w:tabs>
        <w:bidi w:val="0"/>
        <w:spacing w:before="0" w:after="260" w:line="240" w:lineRule="auto"/>
        <w:ind w:left="0" w:right="0" w:firstLine="24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6</w:t>
      </w:r>
      <w:bookmarkEnd w:id="1550"/>
      <w:r>
        <w:rPr>
          <w:rFonts w:ascii="Times New Roman" w:eastAsia="Times New Roman" w:hAnsi="Times New Roman" w:cs="Times New Roman"/>
          <w:color w:val="000000"/>
          <w:spacing w:val="0"/>
          <w:w w:val="100"/>
          <w:position w:val="0"/>
        </w:rPr>
        <w:t>0</w:t>
      </w:r>
      <w:r>
        <w:rPr>
          <w:color w:val="000000"/>
          <w:spacing w:val="0"/>
          <w:w w:val="100"/>
          <w:position w:val="0"/>
        </w:rPr>
        <w:t>、</w:t>
        <w:tab/>
        <w:t>其他综合收益</w:t>
      </w:r>
      <w:bookmarkEnd w:id="1548"/>
      <w:bookmarkEnd w:id="1549"/>
      <w:bookmarkEnd w:id="1551"/>
    </w:p>
    <w:p>
      <w:pPr>
        <w:pStyle w:val="Style17"/>
        <w:keepNext w:val="0"/>
        <w:keepLines w:val="0"/>
        <w:widowControl w:val="0"/>
        <w:shd w:val="clear" w:color="auto" w:fill="auto"/>
        <w:bidi w:val="0"/>
        <w:spacing w:before="0" w:after="380" w:line="307" w:lineRule="exact"/>
        <w:ind w:left="0" w:right="0" w:firstLine="60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w:t>
      </w:r>
      <w:r>
        <w:rPr>
          <w:color w:val="000000"/>
          <w:spacing w:val="0"/>
          <w:w w:val="100"/>
          <w:position w:val="0"/>
        </w:rPr>
        <w:t>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“42</w:t>
      </w:r>
      <w:r>
        <w:rPr>
          <w:color w:val="000000"/>
          <w:spacing w:val="0"/>
          <w:w w:val="100"/>
          <w:position w:val="0"/>
        </w:rPr>
        <w:t>、其他综合收益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723" w:val="left"/>
        </w:tabs>
        <w:bidi w:val="0"/>
        <w:spacing w:before="0" w:after="380" w:line="240" w:lineRule="auto"/>
        <w:ind w:left="0" w:right="0" w:firstLine="24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6</w:t>
      </w:r>
      <w:bookmarkEnd w:id="1554"/>
      <w:r>
        <w:rPr>
          <w:rFonts w:ascii="Times New Roman" w:eastAsia="Times New Roman" w:hAnsi="Times New Roman" w:cs="Times New Roman"/>
          <w:color w:val="000000"/>
          <w:spacing w:val="0"/>
          <w:w w:val="100"/>
          <w:position w:val="0"/>
        </w:rPr>
        <w:t>1</w:t>
      </w:r>
      <w:r>
        <w:rPr>
          <w:color w:val="000000"/>
          <w:spacing w:val="0"/>
          <w:w w:val="100"/>
          <w:position w:val="0"/>
        </w:rPr>
        <w:t>、</w:t>
        <w:tab/>
        <w:t>现金流量表项目</w:t>
      </w:r>
      <w:bookmarkEnd w:id="1552"/>
      <w:bookmarkEnd w:id="1553"/>
      <w:bookmarkEnd w:id="1555"/>
    </w:p>
    <w:p>
      <w:pPr>
        <w:pStyle w:val="Style30"/>
        <w:keepNext/>
        <w:keepLines/>
        <w:widowControl w:val="0"/>
        <w:shd w:val="clear" w:color="auto" w:fill="auto"/>
        <w:bidi w:val="0"/>
        <w:spacing w:before="0" w:after="380" w:line="240" w:lineRule="auto"/>
        <w:ind w:left="0" w:right="0" w:firstLine="240"/>
        <w:jc w:val="left"/>
      </w:pPr>
      <w:bookmarkStart w:id="1552" w:name="bookmark1552"/>
      <w:bookmarkStart w:id="1553" w:name="bookmark1553"/>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52"/>
      <w:bookmarkEnd w:id="1553"/>
      <w:bookmarkEnd w:id="15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38,650,832.16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52,034,128.91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39,757,854.76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15,513,057.59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145,886,774.44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73,069,970.34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224,295,461.36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140,617,156.84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57"/>
      <w:bookmarkEnd w:id="1558"/>
      <w:bookmarkEnd w:id="15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1,001,301,982.10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690,383,584.80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104,551,612.40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26,738,898.58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1,105,853,594.50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717,122,483.38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60"/>
      <w:bookmarkEnd w:id="1561"/>
      <w:bookmarkEnd w:id="15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96,521.39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收回交易性金融负债保证金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989,308,390.17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29,095,192.75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989,308,390.17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29,191,714.14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64"/>
      <w:bookmarkEnd w:id="1565"/>
      <w:bookmarkEnd w:id="15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支付交易性金融负债保证金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1,009,656,288.01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31,379,040.00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1,009,656,288.01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31,379,040.00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68"/>
      <w:bookmarkEnd w:id="1569"/>
      <w:bookmarkEnd w:id="15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收回银行承兑汇票保证金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61,759,512.00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收回融资性保函保证金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认缴员工持股计划款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175,882,676.00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因源融资款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155,000,000.00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61,759,512.00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338,382,676.00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72"/>
      <w:bookmarkEnd w:id="1573"/>
      <w:bookmarkEnd w:id="157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482,320,015.14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支付公司债券保证金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支付公司债券发行手续费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12,450,000.00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103,207,810.44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35,159,058.99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向特定对象发行股票的费用及相关税费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26,104,955.36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支付银行承兑汇票保证金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117,544,957.00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267,777,722.80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579,929,074.13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6</w:t>
      </w:r>
      <w:bookmarkEnd w:id="1578"/>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576"/>
      <w:bookmarkEnd w:id="1577"/>
      <w:bookmarkEnd w:id="1579"/>
    </w:p>
    <w:p>
      <w:pPr>
        <w:pStyle w:val="Style30"/>
        <w:keepNext/>
        <w:keepLines/>
        <w:widowControl w:val="0"/>
        <w:shd w:val="clear" w:color="auto" w:fill="auto"/>
        <w:bidi w:val="0"/>
        <w:spacing w:before="0" w:after="380" w:line="240" w:lineRule="auto"/>
        <w:ind w:left="0" w:right="0" w:firstLine="240"/>
        <w:jc w:val="left"/>
      </w:pPr>
      <w:bookmarkStart w:id="1576" w:name="bookmark1576"/>
      <w:bookmarkStart w:id="1577" w:name="bookmark1577"/>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6"/>
      <w:bookmarkEnd w:id="1577"/>
      <w:bookmarkEnd w:id="15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1,477,698,603.57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2,102,052,355.06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176,868,475.94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251,306,384.72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245,390,455.60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280,598,074.29</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91,823,126.79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33,387,015.37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21,732,648.15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25,822,308.57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25,887,994.15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3,883,987.14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4,231,402.18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39,690,910.35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24,819,247.00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-86,411,750.20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-52,203,638.42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104,716,372.37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89,042,161.73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-173,818,484.94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-101,119,287.64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740"/>
              <w:jc w:val="both"/>
            </w:pPr>
            <w:r>
              <w:rPr>
                <w:color w:val="000000"/>
                <w:spacing w:val="0"/>
                <w:w w:val="100"/>
                <w:position w:val="0"/>
              </w:rPr>
              <w:t>递延所得税资产减少（增加以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-38,230,782.85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-83,668,086.72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740"/>
              <w:jc w:val="left"/>
            </w:pPr>
            <w:r>
              <w:rPr>
                <w:color w:val="000000"/>
                <w:spacing w:val="0"/>
                <w:w w:val="100"/>
                <w:position w:val="0"/>
              </w:rPr>
              <w:t>递延所得税负债增加（减少以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3,711,843.29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-1,533,891.63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169,935,025.32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-603,698,758.12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740"/>
              <w:jc w:val="left"/>
            </w:pPr>
            <w:r>
              <w:rPr>
                <w:color w:val="000000"/>
                <w:spacing w:val="0"/>
                <w:w w:val="100"/>
                <w:position w:val="0"/>
              </w:rPr>
              <w:t>经营性应收项目的减少（增加以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254,154,340.69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-471,962,759.96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147,510,936.89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2,117,208,686.51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2,476,132,383.90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3,602,692,531.30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6,491,544,329.25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5,410,064,406.51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5,410,064,406.51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725,483,521.45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1,081,479,922.74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4,684,580,885.06</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581"/>
      <w:bookmarkEnd w:id="1582"/>
      <w:bookmarkEnd w:id="15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厦门华大吉比爱科学仪器有限公司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5,905,000.00</w:t>
            </w:r>
          </w:p>
        </w:tc>
      </w:tr>
    </w:tbl>
    <w:p>
      <w:pPr>
        <w:widowControl w:val="0"/>
        <w:spacing w:after="319" w:line="1" w:lineRule="exact"/>
      </w:pPr>
    </w:p>
    <w:p>
      <w:pPr>
        <w:pStyle w:val="Style30"/>
        <w:keepNext/>
        <w:keepLines/>
        <w:widowControl w:val="0"/>
        <w:numPr>
          <w:ilvl w:val="0"/>
          <w:numId w:val="43"/>
        </w:numPr>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现金和现金等价物的构成</w:t>
      </w:r>
      <w:bookmarkEnd w:id="1584"/>
      <w:bookmarkEnd w:id="1585"/>
      <w:bookmarkEnd w:id="158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6,491,544,329.25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5,410,064,406.51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200,749.82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62,097.56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6,491,343,579.43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5,409,931,102.78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71,206.17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6,491,544,329.25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5,410,064,406.51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不涉及现金的重大投资和筹资活动:</w:t>
      </w:r>
    </w:p>
    <w:tbl>
      <w:tblPr>
        <w:tblOverlap w:val="never"/>
        <w:jc w:val="center"/>
        <w:tblLayout w:type="fixed"/>
      </w:tblPr>
      <w:tblGrid>
        <w:gridCol w:w="5376"/>
        <w:gridCol w:w="2112"/>
        <w:gridCol w:w="2117"/>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承担租赁负债方式取得使用权资产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41,905,989.68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票据背书转让:</w:t>
      </w:r>
    </w:p>
    <w:tbl>
      <w:tblPr>
        <w:tblOverlap w:val="never"/>
        <w:jc w:val="center"/>
        <w:tblLayout w:type="fixed"/>
      </w:tblPr>
      <w:tblGrid>
        <w:gridCol w:w="5395"/>
        <w:gridCol w:w="2122"/>
        <w:gridCol w:w="2131"/>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销售商品、提供劳务收到的银行承兑汇票背书转让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7,297,658.40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3,815,787.54</w:t>
            </w:r>
          </w:p>
        </w:tc>
      </w:tr>
    </w:tbl>
    <w:p>
      <w:pPr>
        <w:widowControl w:val="0"/>
        <w:spacing w:after="639" w:line="1" w:lineRule="exact"/>
      </w:pPr>
    </w:p>
    <w:p>
      <w:pPr>
        <w:pStyle w:val="Style30"/>
        <w:keepNext/>
        <w:keepLines/>
        <w:widowControl w:val="0"/>
        <w:shd w:val="clear" w:color="auto" w:fill="auto"/>
        <w:tabs>
          <w:tab w:pos="483" w:val="left"/>
        </w:tabs>
        <w:bidi w:val="0"/>
        <w:spacing w:before="0" w:after="32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6</w:t>
      </w:r>
      <w:bookmarkEnd w:id="1590"/>
      <w:r>
        <w:rPr>
          <w:rFonts w:ascii="Times New Roman" w:eastAsia="Times New Roman" w:hAnsi="Times New Roman" w:cs="Times New Roman"/>
          <w:color w:val="000000"/>
          <w:spacing w:val="0"/>
          <w:w w:val="100"/>
          <w:position w:val="0"/>
        </w:rPr>
        <w:t>3</w:t>
      </w:r>
      <w:r>
        <w:rPr>
          <w:color w:val="000000"/>
          <w:spacing w:val="0"/>
          <w:w w:val="100"/>
          <w:position w:val="0"/>
        </w:rPr>
        <w:t>、</w:t>
        <w:tab/>
        <w:t>所有者权益变动表项目注释</w:t>
      </w:r>
      <w:bookmarkEnd w:id="1588"/>
      <w:bookmarkEnd w:id="1589"/>
      <w:bookmarkEnd w:id="1591"/>
    </w:p>
    <w:p>
      <w:pPr>
        <w:pStyle w:val="Style1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17"/>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6</w:t>
      </w:r>
      <w:bookmarkEnd w:id="1594"/>
      <w:r>
        <w:rPr>
          <w:rFonts w:ascii="Times New Roman" w:eastAsia="Times New Roman" w:hAnsi="Times New Roman" w:cs="Times New Roman"/>
          <w:color w:val="000000"/>
          <w:spacing w:val="0"/>
          <w:w w:val="100"/>
          <w:position w:val="0"/>
        </w:rPr>
        <w:t>4</w:t>
      </w:r>
      <w:r>
        <w:rPr>
          <w:color w:val="000000"/>
          <w:spacing w:val="0"/>
          <w:w w:val="100"/>
          <w:position w:val="0"/>
        </w:rPr>
        <w:t>、</w:t>
        <w:tab/>
        <w:t>所有权或使用权受到限制的资产</w:t>
      </w:r>
      <w:bookmarkEnd w:id="1592"/>
      <w:bookmarkEnd w:id="1593"/>
      <w:bookmarkEnd w:id="15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98,742,979.98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216,596,797.46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19,803,999.56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335,143,777.00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319" w:lineRule="exact"/>
        <w:ind w:left="0" w:right="0" w:firstLine="380"/>
        <w:jc w:val="both"/>
      </w:pPr>
      <w:r>
        <w:rPr>
          <w:rFonts w:ascii="SimSun" w:eastAsia="SimSun" w:hAnsi="SimSun" w:cs="SimSun"/>
          <w:color w:val="000000"/>
          <w:spacing w:val="0"/>
          <w:w w:val="100"/>
          <w:position w:val="0"/>
        </w:rPr>
        <w:t>注</w:t>
      </w:r>
      <w:r>
        <w:rPr>
          <w:color w:val="000000"/>
          <w:spacing w:val="0"/>
          <w:w w:val="100"/>
          <w:position w:val="0"/>
        </w:rPr>
        <w:t>1</w:t>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日，账面价值为人民币</w:t>
      </w:r>
      <w:r>
        <w:rPr>
          <w:color w:val="000000"/>
          <w:spacing w:val="0"/>
          <w:w w:val="100"/>
          <w:position w:val="0"/>
        </w:rPr>
        <w:t>26,060,996.29</w:t>
      </w:r>
      <w:r>
        <w:rPr>
          <w:rFonts w:ascii="SimSun" w:eastAsia="SimSun" w:hAnsi="SimSun" w:cs="SimSun"/>
          <w:color w:val="000000"/>
          <w:spacing w:val="0"/>
          <w:w w:val="100"/>
          <w:position w:val="0"/>
        </w:rPr>
        <w:t>元和利息收入人民币</w:t>
      </w:r>
      <w:r>
        <w:rPr>
          <w:color w:val="000000"/>
          <w:spacing w:val="0"/>
          <w:w w:val="100"/>
          <w:position w:val="0"/>
        </w:rPr>
        <w:t>802.20</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 xml:space="preserve">18,450,820.74 </w:t>
      </w:r>
      <w:r>
        <w:rPr>
          <w:rFonts w:ascii="SimSun" w:eastAsia="SimSun" w:hAnsi="SimSun" w:cs="SimSun"/>
          <w:color w:val="000000"/>
          <w:spacing w:val="0"/>
          <w:w w:val="100"/>
          <w:position w:val="0"/>
        </w:rPr>
        <w:t>元）用于支付履约保函保证金；人民币</w:t>
      </w:r>
      <w:r>
        <w:rPr>
          <w:color w:val="000000"/>
          <w:spacing w:val="0"/>
          <w:w w:val="100"/>
          <w:position w:val="0"/>
        </w:rPr>
        <w:t>49,112,075.00</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日：无）为银票保证金；人民币</w:t>
      </w:r>
      <w:r>
        <w:rPr>
          <w:color w:val="000000"/>
          <w:spacing w:val="0"/>
          <w:w w:val="100"/>
          <w:position w:val="0"/>
        </w:rPr>
        <w:t>22,614,613.19</w:t>
      </w:r>
      <w:r>
        <w:rPr>
          <w:rFonts w:ascii="SimSun" w:eastAsia="SimSun" w:hAnsi="SimSun" w:cs="SimSun"/>
          <w:color w:val="000000"/>
          <w:spacing w:val="0"/>
          <w:w w:val="100"/>
          <w:position w:val="0"/>
        </w:rPr>
        <w:t>元（</w:t>
      </w:r>
      <w:r>
        <w:rPr>
          <w:color w:val="000000"/>
          <w:spacing w:val="0"/>
          <w:w w:val="100"/>
          <w:position w:val="0"/>
        </w:rPr>
        <w:t xml:space="preserve">2020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rPr>
        <w:t>无）为套保保证金;人民币</w:t>
      </w:r>
      <w:r>
        <w:rPr>
          <w:color w:val="000000"/>
          <w:spacing w:val="0"/>
          <w:w w:val="100"/>
          <w:position w:val="0"/>
        </w:rPr>
        <w:t>480,738.40</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日：无）为因政府专项账户导致余额受限;人民币</w:t>
      </w:r>
      <w:r>
        <w:rPr>
          <w:color w:val="000000"/>
          <w:spacing w:val="0"/>
          <w:w w:val="100"/>
          <w:position w:val="0"/>
        </w:rPr>
        <w:t xml:space="preserve">469,076.71 </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rPr>
        <w:t>无）为证券户受限资金；人民币</w:t>
      </w:r>
      <w:r>
        <w:rPr>
          <w:color w:val="000000"/>
          <w:spacing w:val="0"/>
          <w:w w:val="100"/>
          <w:position w:val="0"/>
        </w:rPr>
        <w:t xml:space="preserve">4,678.19 </w:t>
      </w:r>
      <w:r>
        <w:rPr>
          <w:rFonts w:ascii="SimSun" w:eastAsia="SimSun" w:hAnsi="SimSun" w:cs="SimSun"/>
          <w:color w:val="000000"/>
          <w:spacing w:val="0"/>
          <w:w w:val="100"/>
          <w:position w:val="0"/>
        </w:rPr>
        <w:t>（</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 xml:space="preserve">0： </w:t>
      </w:r>
      <w:r>
        <w:rPr>
          <w:color w:val="000000"/>
          <w:spacing w:val="0"/>
          <w:w w:val="100"/>
          <w:position w:val="0"/>
        </w:rPr>
        <w:t>1,557,141.76</w:t>
      </w:r>
      <w:r>
        <w:rPr>
          <w:rFonts w:ascii="SimSun" w:eastAsia="SimSun" w:hAnsi="SimSun" w:cs="SimSun"/>
          <w:color w:val="000000"/>
          <w:spacing w:val="0"/>
          <w:w w:val="100"/>
          <w:position w:val="0"/>
        </w:rPr>
        <w:t>元）因睡眠账户导致余额冻 结。</w:t>
      </w:r>
    </w:p>
    <w:p>
      <w:pPr>
        <w:pStyle w:val="Style38"/>
        <w:keepNext w:val="0"/>
        <w:keepLines w:val="0"/>
        <w:widowControl w:val="0"/>
        <w:shd w:val="clear" w:color="auto" w:fill="auto"/>
        <w:bidi w:val="0"/>
        <w:spacing w:before="0" w:after="0" w:line="319" w:lineRule="exact"/>
        <w:ind w:left="0" w:right="0" w:firstLine="380"/>
        <w:jc w:val="both"/>
      </w:pPr>
      <w:r>
        <w:rPr>
          <w:rFonts w:ascii="SimSun" w:eastAsia="SimSun" w:hAnsi="SimSun" w:cs="SimSun"/>
          <w:color w:val="000000"/>
          <w:spacing w:val="0"/>
          <w:w w:val="100"/>
          <w:position w:val="0"/>
        </w:rPr>
        <w:t>注</w:t>
      </w:r>
      <w:r>
        <w:rPr>
          <w:color w:val="000000"/>
          <w:spacing w:val="0"/>
          <w:w w:val="100"/>
          <w:position w:val="0"/>
        </w:rPr>
        <w:t>2</w:t>
      </w: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rPr>
        <w:t>账面价值为人民币</w:t>
      </w:r>
      <w:r>
        <w:rPr>
          <w:color w:val="000000"/>
          <w:spacing w:val="0"/>
          <w:w w:val="100"/>
          <w:position w:val="0"/>
        </w:rPr>
        <w:t>19,803,999.56</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rPr>
        <w:t>人民币</w:t>
      </w:r>
      <w:r>
        <w:rPr>
          <w:color w:val="000000"/>
          <w:spacing w:val="0"/>
          <w:w w:val="100"/>
          <w:position w:val="0"/>
        </w:rPr>
        <w:t>20,217,300.4</w:t>
      </w:r>
      <w:r>
        <w:rPr>
          <w:color w:val="000000"/>
          <w:spacing w:val="0"/>
          <w:w w:val="100"/>
          <w:position w:val="0"/>
        </w:rPr>
        <w:t>2</w:t>
      </w:r>
      <w:r>
        <w:rPr>
          <w:rFonts w:ascii="SimSun" w:eastAsia="SimSun" w:hAnsi="SimSun" w:cs="SimSun"/>
          <w:color w:val="000000"/>
          <w:spacing w:val="0"/>
          <w:w w:val="100"/>
          <w:position w:val="0"/>
        </w:rPr>
        <w:t>元）的无形资产用 于债券发行反担保抵押。</w:t>
      </w:r>
    </w:p>
    <w:p>
      <w:pPr>
        <w:pStyle w:val="Style17"/>
        <w:keepNext w:val="0"/>
        <w:keepLines w:val="0"/>
        <w:widowControl w:val="0"/>
        <w:shd w:val="clear" w:color="auto" w:fill="auto"/>
        <w:bidi w:val="0"/>
        <w:spacing w:before="0" w:after="36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账面价值为人民币</w:t>
      </w:r>
      <w:r>
        <w:rPr>
          <w:rFonts w:ascii="Times New Roman" w:eastAsia="Times New Roman" w:hAnsi="Times New Roman" w:cs="Times New Roman"/>
          <w:color w:val="000000"/>
          <w:spacing w:val="0"/>
          <w:w w:val="100"/>
          <w:position w:val="0"/>
        </w:rPr>
        <w:t>95,556,154.59</w:t>
      </w:r>
      <w:r>
        <w:rPr>
          <w:color w:val="000000"/>
          <w:spacing w:val="0"/>
          <w:w w:val="100"/>
          <w:position w:val="0"/>
        </w:rPr>
        <w:t>元的固定资产用于取得融资租赁款抵押。</w:t>
      </w:r>
      <w:r>
        <w:rPr>
          <w:rFonts w:ascii="Times New Roman" w:eastAsia="Times New Roman" w:hAnsi="Times New Roman" w:cs="Times New Roman"/>
          <w:color w:val="000000"/>
          <w:spacing w:val="0"/>
          <w:w w:val="100"/>
          <w:position w:val="0"/>
        </w:rPr>
        <w:t>2021</w:t>
      </w:r>
      <w:r>
        <w:rPr>
          <w:color w:val="000000"/>
          <w:spacing w:val="0"/>
          <w:w w:val="100"/>
          <w:position w:val="0"/>
        </w:rPr>
        <w:t>年，本公司采用 新租赁准则，将用于取得融资租赁款抵押的固定资产转移至使用权资产核算。于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sz w:val="18"/>
          <w:szCs w:val="18"/>
        </w:rPr>
        <w:t>0,</w:t>
      </w:r>
      <w:r>
        <w:rPr>
          <w:color w:val="000000"/>
          <w:spacing w:val="0"/>
          <w:w w:val="100"/>
          <w:position w:val="0"/>
        </w:rPr>
        <w:t xml:space="preserve">账面价值为人民币 </w:t>
      </w:r>
      <w:r>
        <w:rPr>
          <w:rFonts w:ascii="Times New Roman" w:eastAsia="Times New Roman" w:hAnsi="Times New Roman" w:cs="Times New Roman"/>
          <w:color w:val="000000"/>
          <w:spacing w:val="0"/>
          <w:w w:val="100"/>
          <w:position w:val="0"/>
        </w:rPr>
        <w:t>216,596,797.46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0：</w:t>
      </w:r>
      <w:r>
        <w:rPr>
          <w:color w:val="000000"/>
          <w:spacing w:val="0"/>
          <w:w w:val="100"/>
          <w:position w:val="0"/>
        </w:rPr>
        <w:t>人民币</w:t>
      </w:r>
      <w:r>
        <w:rPr>
          <w:rFonts w:ascii="Times New Roman" w:eastAsia="Times New Roman" w:hAnsi="Times New Roman" w:cs="Times New Roman"/>
          <w:color w:val="000000"/>
          <w:spacing w:val="0"/>
          <w:w w:val="100"/>
          <w:position w:val="0"/>
        </w:rPr>
        <w:t>223,288,238.65</w:t>
      </w:r>
      <w:r>
        <w:rPr>
          <w:color w:val="000000"/>
          <w:spacing w:val="0"/>
          <w:w w:val="100"/>
          <w:position w:val="0"/>
        </w:rPr>
        <w:t>元）的固定资产用于债券发行反担保抵押。</w:t>
      </w:r>
    </w:p>
    <w:p>
      <w:pPr>
        <w:pStyle w:val="Style30"/>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5</w:t>
      </w:r>
      <w:r>
        <w:rPr>
          <w:color w:val="000000"/>
          <w:spacing w:val="0"/>
          <w:w w:val="100"/>
          <w:position w:val="0"/>
        </w:rPr>
        <w:t>、外币货币性项目</w:t>
      </w:r>
      <w:bookmarkEnd w:id="1596"/>
      <w:bookmarkEnd w:id="1597"/>
      <w:bookmarkEnd w:id="1599"/>
    </w:p>
    <w:p>
      <w:pPr>
        <w:pStyle w:val="Style30"/>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96"/>
      <w:bookmarkEnd w:id="1597"/>
      <w:bookmarkEnd w:id="16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32,085,213.05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204,565,692.84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85,782.34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619,322.76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3,084,392,394.45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2,521,799,221.70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0</w:t>
            </w: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73,602,000.00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4,077,550.80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4,372,042.10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37,627,543.13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丹麦克朗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307,693,032.20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0.9711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298,800,703.57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3,967,694.22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18,338,682.68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599,992.24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5.0046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3,002,721.16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埃塞俄比亚比尔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63,691,784.40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0.1297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8,260,824.44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波兰兹罗提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1,611,829.15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1.5717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2,533,311.88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沙特里亚尔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43,453,794.76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73,797,579.64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人民币（注）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905,396.75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905,396.75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28,787,025.87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183,537,440.84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3,992,380.72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28,823,791.08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93,237,586.31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76,231,050.57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sz w:val="18"/>
                <w:szCs w:val="18"/>
              </w:rPr>
              <w:t>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71,587,494.40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0.0554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3,965,947.19</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135,423.10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1,165,505.37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丹麦克朗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1,318,791.27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0.9711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1,280,678.20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59,504.46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275,029.61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瑞士法郎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13,123.17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6.9776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91,568.23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5.0046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1,751,610.00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澳门元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110,980.01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0.7938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88,095.93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沙特阿拉伯里亚尔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112,286.00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190,695.31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568.00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2,679.77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马来西亚林吉特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1.5266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262,792.18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1,675,484.10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4,752,635.85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3,885,755.07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120,013.04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866,458.14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1,902,361.00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105,390.80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丹麦克朗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143,903.30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0.9711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139,744.49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澳门元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185,950.00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0.7938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147,607.11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120,343.89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5.0046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602,273.03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41,598.00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沙特里亚尔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255,775.30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434,383.19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11,475,401.25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73,163,715.75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18,315,731.42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14,974,942.01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11,349.46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81,939.70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93,666.00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5,189.10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38,112.08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328,007.81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丹麦克朗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565,361.50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0.9711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549,022.55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加拿大元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772.00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5.0046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3,863.55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澳大利亚元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27,318.98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126,268.33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72,215.92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340,707.49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澳门元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18,700.00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0.7938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14,844.06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沙特阿拉伯里亚尔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208,971.40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1.6983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354,896.13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埃塞俄比亚比尔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6,365,297.97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0.1297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825,579.15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文莱元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8,378.00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4.7153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39,504.78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波兰兹罗提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1,200.85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1.5717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1,887.38</w:t>
            </w:r>
          </w:p>
        </w:tc>
      </w:tr>
    </w:tbl>
    <w:p>
      <w:pPr>
        <w:sectPr>
          <w:footnotePr>
            <w:pos w:val="pageBottom"/>
            <w:numFmt w:val="decimal"/>
            <w:numRestart w:val="continuous"/>
          </w:footnotePr>
          <w:pgSz w:w="11900" w:h="16840"/>
          <w:pgMar w:top="1398" w:right="684" w:bottom="1460" w:left="847" w:header="0" w:footer="3" w:gutter="0"/>
          <w:cols w:space="720"/>
          <w:noEndnote/>
          <w:rtlGutter w:val="0"/>
          <w:docGrid w:linePitch="360"/>
        </w:sectPr>
      </w:pP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1,970,961.15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12,566,257.00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93,673,390.75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76,587,364.28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27,919.83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201,572.80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2,183,160.37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120,947.08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丹麦克朗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850,913.82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0.9711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826,322.41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71,719.97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4,083,788.83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4.6220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18,875,271.97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埃塞俄比亚比尔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1,804,239.60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0.1297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234,009.88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沙特里亚尔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791,420.75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1.6983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1,344,069.86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注：外币货币性项目货币资金中列示的人民币金额是本位币非人民币的境外子公司持有的人民币金额。</w:t>
      </w:r>
    </w:p>
    <w:p>
      <w:pPr>
        <w:widowControl w:val="0"/>
        <w:spacing w:after="299" w:line="1" w:lineRule="exact"/>
      </w:pPr>
    </w:p>
    <w:p>
      <w:pPr>
        <w:pStyle w:val="Style30"/>
        <w:keepNext/>
        <w:keepLines/>
        <w:widowControl w:val="0"/>
        <w:shd w:val="clear" w:color="auto" w:fill="auto"/>
        <w:bidi w:val="0"/>
        <w:spacing w:before="0" w:after="380" w:line="331" w:lineRule="exact"/>
        <w:ind w:left="52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01"/>
      <w:bookmarkEnd w:id="1602"/>
      <w:bookmarkEnd w:id="1603"/>
    </w:p>
    <w:p>
      <w:pPr>
        <w:pStyle w:val="Style17"/>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46"/>
        <w:gridCol w:w="994"/>
        <w:gridCol w:w="850"/>
        <w:gridCol w:w="4402"/>
      </w:tblGrid>
      <w:tr>
        <w:trPr>
          <w:trHeight w:val="7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注册 经营地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记账 本位币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采用记账本位币的依据</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(HK)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销售、采购、融资及其他经营活动主要采用港元计价</w:t>
            </w:r>
          </w:p>
        </w:tc>
      </w:tr>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Tech Solution (Europe) Cooperatief</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荷兰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销售、采购、融资及其他经营活动主要采用欧元计价</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Solutions (Hong Kong)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销售、采购、融资及其他经营活动主要采用港元计价</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Holding (Hong Kong)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销售、采购、融资及其他经营活动主要采用港元计价</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Solutions (Europe) B.V.</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荷兰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销售、采购、融资及其他经营活动主要采用欧元计价</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(SG) Company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销售、采购、融资及其他经营活动主要采用美元计价</w:t>
            </w:r>
          </w:p>
        </w:tc>
      </w:tr>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Europe 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丹麦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丹麦克朗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销售、采购、融资及其他经营活动主要采用丹麦克朗计 价</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Japan Kabushikikaisya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销售、采购、融资及其他经营活动主要采用日元计价</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Americas Corporation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销售、采购、融资及其他经营活动主要采用美元计价</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GBI Diagnostic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销售、采购、融资及其他经营活动主要采用美元计价</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Bio-Solutions Hong Kong Co.,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销售、采购、融资及其他经营活动主要采用港元计价</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(AU) Company Pty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澳大利亚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销售、采购、融资及其他经营活动主要采用澳元计价</w:t>
            </w:r>
          </w:p>
        </w:tc>
      </w:tr>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Canada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加拿大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销售、采购、融资及其他经营活动主要采用加拿大元计 价</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UK Co 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英国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英镑</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销售、采购、融资及其他经营活动主要采用英镑计价</w:t>
            </w:r>
          </w:p>
        </w:tc>
      </w:tr>
    </w:tbl>
    <w:p>
      <w:pPr>
        <w:spacing w:lineRule="exact" w:line="1"/>
        <w:rPr>
          <w:sz w:val="2"/>
          <w:szCs w:val="2"/>
        </w:rPr>
      </w:pPr>
      <w:r>
        <w:br w:type="page"/>
      </w:r>
    </w:p>
    <w:tbl>
      <w:tblPr>
        <w:tblOverlap w:val="never"/>
        <w:jc w:val="center"/>
        <w:tblLayout w:type="fixed"/>
      </w:tblPr>
      <w:tblGrid>
        <w:gridCol w:w="3346"/>
        <w:gridCol w:w="994"/>
        <w:gridCol w:w="850"/>
        <w:gridCol w:w="4402"/>
      </w:tblGrid>
      <w:tr>
        <w:trPr>
          <w:trHeight w:val="74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(Ethiopia) Plc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埃塞俄比亚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埃塞俄比 亚比尔</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销售、采购、融资及其他经营活动主要采用埃塞俄比亚 比尔计价</w:t>
            </w:r>
          </w:p>
        </w:tc>
      </w:tr>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TECH SOLUTIONS (POLAND) SP. Z</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 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波兰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波兰兹罗 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采购、融资及其他经营活动主要采用波兰兹罗提计价</w:t>
            </w:r>
          </w:p>
        </w:tc>
      </w:tr>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BGI Pathogenesis Pharmaceutical Technology (Hong Kong)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销售、采购、融资及其他经营活动主要采用港元计价</w:t>
            </w:r>
          </w:p>
        </w:tc>
      </w:tr>
      <w:tr>
        <w:trPr>
          <w:trHeight w:val="7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Almanahil Health for Medical Services</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沙特阿拉伯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沙特里亚 尔</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销售、采购、融资及其他经营活动主要采用沙特里亚尔 计价</w:t>
            </w:r>
          </w:p>
        </w:tc>
      </w:tr>
    </w:tbl>
    <w:p>
      <w:pPr>
        <w:widowControl w:val="0"/>
        <w:spacing w:after="619" w:line="1" w:lineRule="exact"/>
      </w:pPr>
    </w:p>
    <w:p>
      <w:pPr>
        <w:pStyle w:val="Style30"/>
        <w:keepNext/>
        <w:keepLines/>
        <w:widowControl w:val="0"/>
        <w:shd w:val="clear" w:color="auto" w:fill="auto"/>
        <w:bidi w:val="0"/>
        <w:spacing w:before="0" w:line="240" w:lineRule="auto"/>
        <w:ind w:left="0" w:right="0" w:firstLine="54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6</w:t>
      </w:r>
      <w:r>
        <w:rPr>
          <w:color w:val="000000"/>
          <w:spacing w:val="0"/>
          <w:w w:val="100"/>
          <w:position w:val="0"/>
        </w:rPr>
        <w:t>、政府补助</w:t>
      </w:r>
      <w:bookmarkEnd w:id="1604"/>
      <w:bookmarkEnd w:id="1605"/>
      <w:bookmarkEnd w:id="1607"/>
    </w:p>
    <w:p>
      <w:pPr>
        <w:pStyle w:val="Style30"/>
        <w:keepNext/>
        <w:keepLines/>
        <w:widowControl w:val="0"/>
        <w:shd w:val="clear" w:color="auto" w:fill="auto"/>
        <w:bidi w:val="0"/>
        <w:spacing w:before="0" w:line="240" w:lineRule="auto"/>
        <w:ind w:left="0" w:right="0" w:firstLine="540"/>
        <w:jc w:val="left"/>
      </w:pPr>
      <w:bookmarkStart w:id="1604" w:name="bookmark1604"/>
      <w:bookmarkStart w:id="1605" w:name="bookmark1605"/>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04"/>
      <w:bookmarkEnd w:id="1605"/>
      <w:bookmarkEnd w:id="16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10,242,766.02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10,242,766.02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40,879,474.50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40,879,474.50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474,875.00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474,875.00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1,522,425.38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1,522,425.38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53,119,540.90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53,119,540.90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54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09"/>
      <w:bookmarkEnd w:id="1610"/>
      <w:bookmarkEnd w:id="1611"/>
    </w:p>
    <w:p>
      <w:pPr>
        <w:pStyle w:val="Style17"/>
        <w:keepNext w:val="0"/>
        <w:keepLines w:val="0"/>
        <w:widowControl w:val="0"/>
        <w:shd w:val="clear" w:color="auto" w:fill="auto"/>
        <w:bidi w:val="0"/>
        <w:spacing w:before="0" w:after="36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540"/>
        <w:jc w:val="left"/>
      </w:pPr>
      <w:bookmarkStart w:id="1612" w:name="bookmark1612"/>
      <w:bookmarkStart w:id="1613" w:name="bookmark1613"/>
      <w:bookmarkStart w:id="1614" w:name="bookmark1614"/>
      <w:bookmarkStart w:id="1615" w:name="bookmark1615"/>
      <w:r>
        <w:rPr>
          <w:color w:val="000000"/>
          <w:spacing w:val="0"/>
          <w:w w:val="100"/>
          <w:position w:val="0"/>
          <w:sz w:val="24"/>
          <w:szCs w:val="24"/>
        </w:rPr>
        <w:t>八</w:t>
      </w:r>
      <w:bookmarkEnd w:id="1614"/>
      <w:r>
        <w:rPr>
          <w:color w:val="000000"/>
          <w:spacing w:val="0"/>
          <w:w w:val="100"/>
          <w:position w:val="0"/>
          <w:sz w:val="24"/>
          <w:szCs w:val="24"/>
        </w:rPr>
        <w:t>、合并范围的变更</w:t>
      </w:r>
      <w:bookmarkEnd w:id="1612"/>
      <w:bookmarkEnd w:id="1613"/>
      <w:bookmarkEnd w:id="1615"/>
    </w:p>
    <w:p>
      <w:pPr>
        <w:pStyle w:val="Style30"/>
        <w:keepNext/>
        <w:keepLines/>
        <w:widowControl w:val="0"/>
        <w:shd w:val="clear" w:color="auto" w:fill="auto"/>
        <w:bidi w:val="0"/>
        <w:spacing w:before="0" w:line="240" w:lineRule="auto"/>
        <w:ind w:left="0" w:right="0" w:firstLine="540"/>
        <w:jc w:val="left"/>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616"/>
      <w:bookmarkEnd w:id="1617"/>
      <w:bookmarkEnd w:id="1618"/>
    </w:p>
    <w:p>
      <w:pPr>
        <w:pStyle w:val="Style17"/>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是否存在单次处置对子公司投资即丧失控制权的情形</w:t>
      </w:r>
    </w:p>
    <w:p>
      <w:pPr>
        <w:pStyle w:val="Style17"/>
        <w:keepNext w:val="0"/>
        <w:keepLines w:val="0"/>
        <w:widowControl w:val="0"/>
        <w:shd w:val="clear" w:color="auto" w:fill="auto"/>
        <w:bidi w:val="0"/>
        <w:spacing w:before="0" w:after="120" w:line="240" w:lineRule="auto"/>
        <w:ind w:left="0" w:right="0" w:firstLine="54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val="0"/>
        <w:keepLines w:val="0"/>
        <w:widowControl w:val="0"/>
        <w:shd w:val="clear" w:color="auto" w:fill="auto"/>
        <w:bidi w:val="0"/>
        <w:spacing w:before="0" w:after="120" w:line="240" w:lineRule="auto"/>
        <w:ind w:left="9460" w:right="0" w:firstLine="0"/>
        <w:jc w:val="left"/>
      </w:pPr>
      <w:r>
        <w:rPr>
          <w:color w:val="000000"/>
          <w:spacing w:val="0"/>
          <w:w w:val="100"/>
          <w:position w:val="0"/>
        </w:rPr>
        <w:t>单位：元</w:t>
      </w:r>
    </w:p>
    <w:tbl>
      <w:tblPr>
        <w:tblOverlap w:val="never"/>
        <w:jc w:val="center"/>
        <w:tblLayout w:type="fixed"/>
      </w:tblPr>
      <w:tblGrid>
        <w:gridCol w:w="715"/>
        <w:gridCol w:w="1133"/>
        <w:gridCol w:w="710"/>
        <w:gridCol w:w="427"/>
        <w:gridCol w:w="566"/>
        <w:gridCol w:w="422"/>
        <w:gridCol w:w="1138"/>
        <w:gridCol w:w="566"/>
        <w:gridCol w:w="1133"/>
        <w:gridCol w:w="1133"/>
        <w:gridCol w:w="1138"/>
        <w:gridCol w:w="850"/>
        <w:gridCol w:w="859"/>
      </w:tblGrid>
      <w:tr>
        <w:trPr>
          <w:trHeight w:val="22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股权处置价 款</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股权</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处置</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丧失</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控制</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权的</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时点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丧失 控制 权时 点的 确定 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丧失 控制 权之 日剩 余股 权的 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丧失控制权 之日剩余股 权的账面价 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丧失控制权 之日剩余股 权的公允价 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按照公允价</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值重新计量</w:t>
            </w:r>
          </w:p>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剩余股权产 生的利得或 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 权之日剩 余股权公 允价值的 确定方法 及主要假 设</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与原子公 司股权投 资相关的 其他综合 收益转入 投资损益 的金额</w:t>
            </w:r>
          </w:p>
        </w:tc>
      </w:tr>
    </w:tbl>
    <w:tbl>
      <w:tblPr>
        <w:tblOverlap w:val="never"/>
        <w:jc w:val="center"/>
        <w:tblLayout w:type="fixed"/>
      </w:tblPr>
      <w:tblGrid>
        <w:gridCol w:w="715"/>
        <w:gridCol w:w="1133"/>
        <w:gridCol w:w="710"/>
        <w:gridCol w:w="427"/>
        <w:gridCol w:w="566"/>
        <w:gridCol w:w="422"/>
        <w:gridCol w:w="1138"/>
        <w:gridCol w:w="566"/>
        <w:gridCol w:w="1133"/>
        <w:gridCol w:w="1133"/>
        <w:gridCol w:w="1138"/>
        <w:gridCol w:w="850"/>
        <w:gridCol w:w="859"/>
      </w:tblGrid>
      <w:tr>
        <w:trPr>
          <w:trHeight w:val="16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厦门华 大吉比 爱科学 仪器有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5,905,000.00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协议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4,254,535.17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1,650,464.83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1,650,464.83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4,254,535.17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购买日公 允价值持 续计算</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7"/>
        <w:keepNext w:val="0"/>
        <w:keepLines w:val="0"/>
        <w:widowControl w:val="0"/>
        <w:shd w:val="clear" w:color="auto" w:fill="auto"/>
        <w:bidi w:val="0"/>
        <w:spacing w:before="0" w:after="0" w:line="317" w:lineRule="exact"/>
        <w:ind w:left="0" w:right="0" w:firstLine="540"/>
        <w:jc w:val="both"/>
      </w:pPr>
      <w:r>
        <w:rPr>
          <w:color w:val="000000"/>
          <w:spacing w:val="0"/>
          <w:w w:val="100"/>
          <w:position w:val="0"/>
        </w:rPr>
        <w:t>其他说明：</w:t>
      </w:r>
    </w:p>
    <w:p>
      <w:pPr>
        <w:pStyle w:val="Style17"/>
        <w:keepNext w:val="0"/>
        <w:keepLines w:val="0"/>
        <w:widowControl w:val="0"/>
        <w:shd w:val="clear" w:color="auto" w:fill="auto"/>
        <w:bidi w:val="0"/>
        <w:spacing w:before="0" w:after="0" w:line="310" w:lineRule="exact"/>
        <w:ind w:left="540" w:right="0" w:firstLine="360"/>
        <w:jc w:val="both"/>
      </w:pPr>
      <w:r>
        <w:rPr>
          <w:color w:val="000000"/>
          <w:spacing w:val="0"/>
          <w:w w:val="100"/>
          <w:position w:val="0"/>
        </w:rPr>
        <w:t>本公司所属廊坊华大吉比爱生物技术有限公司与厦门金诺花科学仪器有限公司于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日签订股权转让协议，以 人民币</w:t>
      </w:r>
      <w:r>
        <w:rPr>
          <w:rFonts w:ascii="Times New Roman" w:eastAsia="Times New Roman" w:hAnsi="Times New Roman" w:cs="Times New Roman"/>
          <w:color w:val="000000"/>
          <w:spacing w:val="0"/>
          <w:w w:val="100"/>
          <w:position w:val="0"/>
        </w:rPr>
        <w:t>5,905,000.00</w:t>
      </w:r>
      <w:r>
        <w:rPr>
          <w:color w:val="000000"/>
          <w:spacing w:val="0"/>
          <w:w w:val="100"/>
          <w:position w:val="0"/>
        </w:rPr>
        <w:t>元出售其所持有厦门华大吉比爱科学仪器有限公司的</w:t>
      </w:r>
      <w:r>
        <w:rPr>
          <w:rFonts w:ascii="Times New Roman" w:eastAsia="Times New Roman" w:hAnsi="Times New Roman" w:cs="Times New Roman"/>
          <w:color w:val="000000"/>
          <w:spacing w:val="0"/>
          <w:w w:val="100"/>
          <w:position w:val="0"/>
        </w:rPr>
        <w:t>85%</w:t>
      </w:r>
      <w:r>
        <w:rPr>
          <w:color w:val="000000"/>
          <w:spacing w:val="0"/>
          <w:w w:val="100"/>
          <w:position w:val="0"/>
        </w:rPr>
        <w:t>股权，处置日为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日。故自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日起，本公司不再将厦门华大吉比爱科学仪器有限公司纳入合并范围。</w:t>
      </w:r>
    </w:p>
    <w:p>
      <w:pPr>
        <w:pStyle w:val="Style17"/>
        <w:keepNext w:val="0"/>
        <w:keepLines w:val="0"/>
        <w:widowControl w:val="0"/>
        <w:shd w:val="clear" w:color="auto" w:fill="auto"/>
        <w:bidi w:val="0"/>
        <w:spacing w:before="0" w:after="0" w:line="317" w:lineRule="exact"/>
        <w:ind w:left="0" w:right="0" w:firstLine="540"/>
        <w:jc w:val="left"/>
      </w:pPr>
      <w:r>
        <w:rPr>
          <w:color w:val="000000"/>
          <w:spacing w:val="0"/>
          <w:w w:val="100"/>
          <w:position w:val="0"/>
        </w:rPr>
        <w:t>是否存在通过多次交易分步处置对子公司投资且在本期丧失控制权的情形</w:t>
      </w:r>
    </w:p>
    <w:p>
      <w:pPr>
        <w:pStyle w:val="Style17"/>
        <w:keepNext w:val="0"/>
        <w:keepLines w:val="0"/>
        <w:widowControl w:val="0"/>
        <w:shd w:val="clear" w:color="auto" w:fill="auto"/>
        <w:bidi w:val="0"/>
        <w:spacing w:before="0" w:after="380" w:line="317" w:lineRule="exact"/>
        <w:ind w:left="0" w:right="0" w:firstLine="54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260" w:line="240" w:lineRule="auto"/>
        <w:ind w:left="0" w:right="0" w:firstLine="54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619"/>
      <w:bookmarkEnd w:id="1620"/>
      <w:bookmarkEnd w:id="1621"/>
    </w:p>
    <w:p>
      <w:pPr>
        <w:pStyle w:val="Style17"/>
        <w:keepNext w:val="0"/>
        <w:keepLines w:val="0"/>
        <w:widowControl w:val="0"/>
        <w:shd w:val="clear" w:color="auto" w:fill="auto"/>
        <w:bidi w:val="0"/>
        <w:spacing w:before="0" w:after="0" w:line="322" w:lineRule="exact"/>
        <w:ind w:left="0" w:right="0" w:firstLine="540"/>
        <w:jc w:val="left"/>
      </w:pPr>
      <w:r>
        <w:rPr>
          <w:color w:val="000000"/>
          <w:spacing w:val="0"/>
          <w:w w:val="100"/>
          <w:position w:val="0"/>
        </w:rPr>
        <w:t>说明其他原因导致的合并范围变动（如，新设子公司、清算子公司等）及其相关情况：</w:t>
      </w:r>
    </w:p>
    <w:p>
      <w:pPr>
        <w:pStyle w:val="Style17"/>
        <w:keepNext w:val="0"/>
        <w:keepLines w:val="0"/>
        <w:widowControl w:val="0"/>
        <w:shd w:val="clear" w:color="auto" w:fill="auto"/>
        <w:bidi w:val="0"/>
        <w:spacing w:before="0" w:after="0" w:line="322" w:lineRule="exact"/>
        <w:ind w:left="54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月在北京设立北京华大吉比爱医学检验实验室有限公司，注册资本为人民币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万元，注册地址为：北 京市大兴区礼贤镇元平北路</w:t>
      </w:r>
      <w:r>
        <w:rPr>
          <w:rFonts w:ascii="Times New Roman" w:eastAsia="Times New Roman" w:hAnsi="Times New Roman" w:cs="Times New Roman"/>
          <w:color w:val="000000"/>
          <w:spacing w:val="0"/>
          <w:w w:val="100"/>
          <w:position w:val="0"/>
        </w:rPr>
        <w:t>1</w:t>
      </w:r>
      <w:r>
        <w:rPr>
          <w:color w:val="000000"/>
          <w:spacing w:val="0"/>
          <w:w w:val="100"/>
          <w:position w:val="0"/>
        </w:rPr>
        <w:t>号自贸试验区大兴机场片区自贸创新服务中心一层</w:t>
      </w:r>
      <w:r>
        <w:rPr>
          <w:rFonts w:ascii="Times New Roman" w:eastAsia="Times New Roman" w:hAnsi="Times New Roman" w:cs="Times New Roman"/>
          <w:color w:val="000000"/>
          <w:spacing w:val="0"/>
          <w:w w:val="100"/>
          <w:position w:val="0"/>
        </w:rPr>
        <w:t>0003</w:t>
      </w:r>
      <w:r>
        <w:rPr>
          <w:color w:val="000000"/>
          <w:spacing w:val="0"/>
          <w:w w:val="100"/>
          <w:position w:val="0"/>
        </w:rPr>
        <w:t>号，所属行业为专业技术服务业。</w:t>
      </w:r>
    </w:p>
    <w:p>
      <w:pPr>
        <w:pStyle w:val="Style17"/>
        <w:keepNext w:val="0"/>
        <w:keepLines w:val="0"/>
        <w:widowControl w:val="0"/>
        <w:shd w:val="clear" w:color="auto" w:fill="auto"/>
        <w:bidi w:val="0"/>
        <w:spacing w:before="0" w:after="0" w:line="312" w:lineRule="exact"/>
        <w:ind w:left="54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月在呼和浩特设立内蒙古华大医学检验所有限公司，注册资本为人民币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万元，注册地址为：内蒙古 自治区呼和浩特市和林格尔县盛乐现代服务业集聚区云展街南侧智能制造产业园</w:t>
      </w:r>
      <w:r>
        <w:rPr>
          <w:rFonts w:ascii="Times New Roman" w:eastAsia="Times New Roman" w:hAnsi="Times New Roman" w:cs="Times New Roman"/>
          <w:color w:val="000000"/>
          <w:spacing w:val="0"/>
          <w:w w:val="100"/>
          <w:position w:val="0"/>
        </w:rPr>
        <w:t>A1</w:t>
      </w:r>
      <w:r>
        <w:rPr>
          <w:color w:val="000000"/>
          <w:spacing w:val="0"/>
          <w:w w:val="100"/>
          <w:position w:val="0"/>
        </w:rPr>
        <w:t>号楼二楼，所属行业为专业技术服务业。</w:t>
      </w:r>
    </w:p>
    <w:p>
      <w:pPr>
        <w:pStyle w:val="Style17"/>
        <w:keepNext w:val="0"/>
        <w:keepLines w:val="0"/>
        <w:widowControl w:val="0"/>
        <w:shd w:val="clear" w:color="auto" w:fill="auto"/>
        <w:bidi w:val="0"/>
        <w:spacing w:before="0" w:after="0" w:line="312" w:lineRule="exact"/>
        <w:ind w:left="54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月在武汉设立武汉华大火眼实验室有限公司，注册资本为人民币</w:t>
      </w:r>
      <w:r>
        <w:rPr>
          <w:rFonts w:ascii="Times New Roman" w:eastAsia="Times New Roman" w:hAnsi="Times New Roman" w:cs="Times New Roman"/>
          <w:color w:val="000000"/>
          <w:spacing w:val="0"/>
          <w:w w:val="100"/>
          <w:position w:val="0"/>
        </w:rPr>
        <w:t>100</w:t>
      </w:r>
      <w:r>
        <w:rPr>
          <w:color w:val="000000"/>
          <w:spacing w:val="0"/>
          <w:w w:val="100"/>
          <w:position w:val="0"/>
        </w:rPr>
        <w:t>万元，注册地址为：武汉东湖新技术 开发区高新大道</w:t>
      </w:r>
      <w:r>
        <w:rPr>
          <w:rFonts w:ascii="Times New Roman" w:eastAsia="Times New Roman" w:hAnsi="Times New Roman" w:cs="Times New Roman"/>
          <w:color w:val="000000"/>
          <w:spacing w:val="0"/>
          <w:w w:val="100"/>
          <w:position w:val="0"/>
        </w:rPr>
        <w:t>666</w:t>
      </w:r>
      <w:r>
        <w:rPr>
          <w:color w:val="000000"/>
          <w:spacing w:val="0"/>
          <w:w w:val="100"/>
          <w:position w:val="0"/>
        </w:rPr>
        <w:t>号武汉国家生物产业基地项目</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区研发楼</w:t>
      </w:r>
      <w:r>
        <w:rPr>
          <w:rFonts w:ascii="Times New Roman" w:eastAsia="Times New Roman" w:hAnsi="Times New Roman" w:cs="Times New Roman"/>
          <w:color w:val="000000"/>
          <w:spacing w:val="0"/>
          <w:w w:val="100"/>
          <w:position w:val="0"/>
        </w:rPr>
        <w:t>B2</w:t>
      </w:r>
      <w:r>
        <w:rPr>
          <w:color w:val="000000"/>
          <w:spacing w:val="0"/>
          <w:w w:val="100"/>
          <w:position w:val="0"/>
        </w:rPr>
        <w:t>栋，所属行业为专业技术服务业。</w:t>
      </w:r>
    </w:p>
    <w:p>
      <w:pPr>
        <w:pStyle w:val="Style38"/>
        <w:keepNext w:val="0"/>
        <w:keepLines w:val="0"/>
        <w:widowControl w:val="0"/>
        <w:shd w:val="clear" w:color="auto" w:fill="auto"/>
        <w:bidi w:val="0"/>
        <w:spacing w:before="0" w:after="0" w:line="326" w:lineRule="exact"/>
        <w:ind w:left="540" w:right="0" w:firstLine="360"/>
        <w:jc w:val="both"/>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月在波兰设立</w:t>
      </w:r>
      <w:r>
        <w:rPr>
          <w:color w:val="000000"/>
          <w:spacing w:val="0"/>
          <w:w w:val="100"/>
          <w:position w:val="0"/>
        </w:rPr>
        <w:t>BGI TECH SOLUTIONS （POLAND） SP. Z O. O.</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注册资本为波兰兹罗提</w:t>
      </w:r>
      <w:r>
        <w:rPr>
          <w:color w:val="000000"/>
          <w:spacing w:val="0"/>
          <w:w w:val="100"/>
          <w:position w:val="0"/>
        </w:rPr>
        <w:t>45</w:t>
      </w:r>
      <w:r>
        <w:rPr>
          <w:rFonts w:ascii="SimSun" w:eastAsia="SimSun" w:hAnsi="SimSun" w:cs="SimSun"/>
          <w:color w:val="000000"/>
          <w:spacing w:val="0"/>
          <w:w w:val="100"/>
          <w:position w:val="0"/>
        </w:rPr>
        <w:t>万元，所属行业 为专业技术服业。</w:t>
      </w:r>
    </w:p>
    <w:p>
      <w:pPr>
        <w:pStyle w:val="Style38"/>
        <w:keepNext w:val="0"/>
        <w:keepLines w:val="0"/>
        <w:widowControl w:val="0"/>
        <w:shd w:val="clear" w:color="auto" w:fill="auto"/>
        <w:bidi w:val="0"/>
        <w:spacing w:before="0" w:after="0" w:line="326" w:lineRule="exact"/>
        <w:ind w:left="540" w:right="0" w:firstLine="360"/>
        <w:jc w:val="both"/>
      </w:pPr>
      <w:r>
        <w:rPr>
          <w:rFonts w:ascii="SimSun" w:eastAsia="SimSun" w:hAnsi="SimSun" w:cs="SimSun"/>
          <w:color w:val="000000"/>
          <w:spacing w:val="0"/>
          <w:w w:val="100"/>
          <w:position w:val="0"/>
        </w:rPr>
        <w:t>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月在沙特阿拉伯设立</w:t>
      </w:r>
      <w:r>
        <w:rPr>
          <w:color w:val="000000"/>
          <w:spacing w:val="0"/>
          <w:w w:val="100"/>
          <w:position w:val="0"/>
        </w:rPr>
        <w:t>BGI ALMANAHIL HEALTH FOR MEDICAL SERVICES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注册资本为沙特里亚尔</w:t>
      </w:r>
      <w:r>
        <w:rPr>
          <w:color w:val="000000"/>
          <w:spacing w:val="0"/>
          <w:w w:val="100"/>
          <w:position w:val="0"/>
        </w:rPr>
        <w:t xml:space="preserve">50 </w:t>
      </w:r>
      <w:r>
        <w:rPr>
          <w:rFonts w:ascii="SimSun" w:eastAsia="SimSun" w:hAnsi="SimSun" w:cs="SimSun"/>
          <w:color w:val="000000"/>
          <w:spacing w:val="0"/>
          <w:w w:val="100"/>
          <w:position w:val="0"/>
        </w:rPr>
        <w:t>万元，所属行业为专业技术服务业。</w:t>
      </w:r>
    </w:p>
    <w:p>
      <w:pPr>
        <w:pStyle w:val="Style38"/>
        <w:keepNext w:val="0"/>
        <w:keepLines w:val="0"/>
        <w:widowControl w:val="0"/>
        <w:shd w:val="clear" w:color="auto" w:fill="auto"/>
        <w:bidi w:val="0"/>
        <w:spacing w:before="0" w:after="380" w:line="317" w:lineRule="exact"/>
        <w:ind w:left="540" w:right="0" w:firstLine="360"/>
        <w:jc w:val="both"/>
      </w:pPr>
      <w:r>
        <w:rPr>
          <w:rFonts w:ascii="SimSun" w:eastAsia="SimSun" w:hAnsi="SimSun" w:cs="SimSun"/>
          <w:color w:val="000000"/>
          <w:spacing w:val="0"/>
          <w:w w:val="100"/>
          <w:position w:val="0"/>
        </w:rPr>
        <w:t>公司于</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 xml:space="preserve">月在香港注销控股子公司 </w:t>
      </w:r>
      <w:r>
        <w:rPr>
          <w:color w:val="000000"/>
          <w:spacing w:val="0"/>
          <w:w w:val="100"/>
          <w:position w:val="0"/>
        </w:rPr>
        <w:t>CHINA HONG KONG INTERNATIONAL MEDICAL CENTRE CO.,LIMITED</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持股比例为</w:t>
      </w:r>
      <w:r>
        <w:rPr>
          <w:color w:val="000000"/>
          <w:spacing w:val="0"/>
          <w:w w:val="100"/>
          <w:position w:val="0"/>
        </w:rPr>
        <w:t>51%</w:t>
      </w:r>
      <w:r>
        <w:rPr>
          <w:rFonts w:ascii="SimSun" w:eastAsia="SimSun" w:hAnsi="SimSun" w:cs="SimSun"/>
          <w:color w:val="000000"/>
          <w:spacing w:val="0"/>
          <w:w w:val="100"/>
          <w:position w:val="0"/>
        </w:rPr>
        <w:t>，所属行业为专业技术服务业。</w:t>
      </w:r>
    </w:p>
    <w:p>
      <w:pPr>
        <w:pStyle w:val="Style24"/>
        <w:keepNext/>
        <w:keepLines/>
        <w:widowControl w:val="0"/>
        <w:shd w:val="clear" w:color="auto" w:fill="auto"/>
        <w:bidi w:val="0"/>
        <w:spacing w:before="0" w:after="380" w:line="240" w:lineRule="auto"/>
        <w:ind w:left="0" w:right="0" w:firstLine="540"/>
        <w:jc w:val="both"/>
      </w:pPr>
      <w:bookmarkStart w:id="1622" w:name="bookmark1622"/>
      <w:bookmarkStart w:id="1623" w:name="bookmark1623"/>
      <w:bookmarkStart w:id="1624" w:name="bookmark1624"/>
      <w:bookmarkStart w:id="1625" w:name="bookmark1625"/>
      <w:r>
        <w:rPr>
          <w:color w:val="000000"/>
          <w:spacing w:val="0"/>
          <w:w w:val="100"/>
          <w:position w:val="0"/>
          <w:sz w:val="24"/>
          <w:szCs w:val="24"/>
        </w:rPr>
        <w:t>九</w:t>
      </w:r>
      <w:bookmarkEnd w:id="1624"/>
      <w:r>
        <w:rPr>
          <w:color w:val="000000"/>
          <w:spacing w:val="0"/>
          <w:w w:val="100"/>
          <w:position w:val="0"/>
          <w:sz w:val="24"/>
          <w:szCs w:val="24"/>
        </w:rPr>
        <w:t>、在其他主体中的权益</w:t>
      </w:r>
      <w:bookmarkEnd w:id="1622"/>
      <w:bookmarkEnd w:id="1623"/>
      <w:bookmarkEnd w:id="1625"/>
    </w:p>
    <w:p>
      <w:pPr>
        <w:pStyle w:val="Style30"/>
        <w:keepNext/>
        <w:keepLines/>
        <w:widowControl w:val="0"/>
        <w:shd w:val="clear" w:color="auto" w:fill="auto"/>
        <w:bidi w:val="0"/>
        <w:spacing w:before="0" w:after="380" w:line="240" w:lineRule="auto"/>
        <w:ind w:left="0" w:right="0" w:firstLine="540"/>
        <w:jc w:val="both"/>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26"/>
      <w:bookmarkEnd w:id="1627"/>
      <w:bookmarkEnd w:id="1628"/>
    </w:p>
    <w:p>
      <w:pPr>
        <w:pStyle w:val="Style30"/>
        <w:keepNext/>
        <w:keepLines/>
        <w:widowControl w:val="0"/>
        <w:shd w:val="clear" w:color="auto" w:fill="auto"/>
        <w:bidi w:val="0"/>
        <w:spacing w:before="0" w:after="320" w:line="240" w:lineRule="auto"/>
        <w:ind w:left="0" w:right="0" w:firstLine="540"/>
        <w:jc w:val="both"/>
      </w:pPr>
      <w:bookmarkStart w:id="1626" w:name="bookmark1626"/>
      <w:bookmarkStart w:id="1627" w:name="bookmark1627"/>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26"/>
      <w:bookmarkEnd w:id="1627"/>
      <w:bookmarkEnd w:id="1629"/>
    </w:p>
    <w:tbl>
      <w:tblPr>
        <w:tblOverlap w:val="never"/>
        <w:jc w:val="center"/>
        <w:tblLayout w:type="fixed"/>
      </w:tblPr>
      <w:tblGrid>
        <w:gridCol w:w="3125"/>
        <w:gridCol w:w="994"/>
        <w:gridCol w:w="994"/>
        <w:gridCol w:w="1277"/>
        <w:gridCol w:w="706"/>
        <w:gridCol w:w="710"/>
        <w:gridCol w:w="178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(HK)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北京华大优康科技有限公司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广州华大基因医学检验所有限公司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spacing w:lineRule="exact" w:line="1"/>
        <w:rPr>
          <w:sz w:val="2"/>
          <w:szCs w:val="2"/>
        </w:rPr>
      </w:pPr>
      <w:r>
        <w:br w:type="page"/>
      </w:r>
    </w:p>
    <w:tbl>
      <w:tblPr>
        <w:tblOverlap w:val="never"/>
        <w:jc w:val="center"/>
        <w:tblLayout w:type="fixed"/>
      </w:tblPr>
      <w:tblGrid>
        <w:gridCol w:w="3125"/>
        <w:gridCol w:w="994"/>
        <w:gridCol w:w="994"/>
        <w:gridCol w:w="1277"/>
        <w:gridCol w:w="706"/>
        <w:gridCol w:w="710"/>
        <w:gridCol w:w="178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潍坊华大基因健康科技有限公司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云南华大基因医学有限公司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武汉华大基因生物医学工程有限公司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Tech Solutions (Europe) Cooperatief</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BGI Tech Solutions (Hong Kong)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BGI Tech Holding (Hong Kong)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Solutions (Europe) B.V.</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(SG) Company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济宁华大基因医学研究有限公司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成都华大创新医学检验所有限公司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长垣华大医学检验所有限公司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云南华大昆华医学检验所有限公司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北京六合华大基因（香港）科技有限公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青岛华大精准医学管理中心有限公司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石家庄华大医学检验实验室有限公司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GBI Diagnostics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深圳惠众今安科技有限公司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深圳华大因源医药科技有限公司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华大数极生物科技（深圳）有限公司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青岛青西华大基因有限公司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武汉华大基因技术服务有限公司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深圳华大因凡医药科技有限公司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青岛华大医学检验所有限公司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bl>
    <w:p>
      <w:pPr>
        <w:sectPr>
          <w:footnotePr>
            <w:pos w:val="pageBottom"/>
            <w:numFmt w:val="decimal"/>
            <w:numRestart w:val="continuous"/>
          </w:footnotePr>
          <w:pgSz w:w="11900" w:h="16840"/>
          <w:pgMar w:top="1441" w:right="524" w:bottom="1532" w:left="586" w:header="0" w:footer="3" w:gutter="0"/>
          <w:cols w:space="720"/>
          <w:noEndnote/>
          <w:rtlGutter w:val="0"/>
          <w:docGrid w:linePitch="360"/>
        </w:sectPr>
      </w:pPr>
    </w:p>
    <w:tbl>
      <w:tblPr>
        <w:tblOverlap w:val="never"/>
        <w:jc w:val="center"/>
        <w:tblLayout w:type="fixed"/>
      </w:tblPr>
      <w:tblGrid>
        <w:gridCol w:w="3125"/>
        <w:gridCol w:w="994"/>
        <w:gridCol w:w="994"/>
        <w:gridCol w:w="1277"/>
        <w:gridCol w:w="706"/>
        <w:gridCol w:w="710"/>
        <w:gridCol w:w="178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Health (AU) Company Pty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Canada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UK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杭州华大青兰创新科技有限公司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深圳华大保险经纪有限责任公司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深圳华大青启生物科技有限公司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廊坊华大吉比爱生物技术有限公司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廊坊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廊坊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BGI Health Ethiopia Private Limited Company</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埃塞俄比亚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埃塞俄比亚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西藏华大医学检验有限公司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黑龙江华大医学检验有限公司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华大吉云（上海）生物科技有限公司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西藏华大基因生物科技有限公司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Pathogenesis Pharmaceutical</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Technology (HongKong) Co.,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Tech Solutions (Poland) SP Z O. 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波兰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波兰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BGI Almanahl Health For Medical</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Services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沙特阿拉伯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沙特阿拉伯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北京华大吉比爱医学检验实验室有限公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内蒙古华大医学检验所有限公司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武汉华大火眼实验室有限公司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华大青兰生物科技（无锡）有限公司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 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北京九州泰康生物科技有限责任公司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非同一控制下企业合 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深圳华大医学检验实验室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天津华大基因科技有限公司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华大生物科技（武汉）有限公司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深圳华大基因科技服务有限公司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深圳华大基因生物医学工程有限公司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华大基因生物科技（深圳）有限公司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bl>
    <w:p>
      <w:pPr>
        <w:sectPr>
          <w:footnotePr>
            <w:pos w:val="pageBottom"/>
            <w:numFmt w:val="decimal"/>
            <w:numRestart w:val="continuous"/>
          </w:footnotePr>
          <w:pgSz w:w="11900" w:h="16840"/>
          <w:pgMar w:top="1441" w:right="1157" w:bottom="1441" w:left="1152" w:header="0" w:footer="3" w:gutter="0"/>
          <w:cols w:space="720"/>
          <w:noEndnote/>
          <w:rtlGutter w:val="0"/>
          <w:docGrid w:linePitch="360"/>
        </w:sectPr>
      </w:pPr>
    </w:p>
    <w:tbl>
      <w:tblPr>
        <w:tblOverlap w:val="never"/>
        <w:jc w:val="center"/>
        <w:tblLayout w:type="fixed"/>
      </w:tblPr>
      <w:tblGrid>
        <w:gridCol w:w="3125"/>
        <w:gridCol w:w="994"/>
        <w:gridCol w:w="994"/>
        <w:gridCol w:w="1277"/>
        <w:gridCol w:w="706"/>
        <w:gridCol w:w="710"/>
        <w:gridCol w:w="1786"/>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Europe 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北京华大吉比爱生物技术有限公司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Japan Kabushikikaisya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Americas Corporation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北京六合华大基因科技有限公司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月与湖南湘江新区发展集团有限公司共同签订《关于设立长沙梅溪湖华大医学检验所有限公司的出资协 议》，约定以人民币</w:t>
      </w:r>
      <w:r>
        <w:rPr>
          <w:rFonts w:ascii="Times New Roman" w:eastAsia="Times New Roman" w:hAnsi="Times New Roman" w:cs="Times New Roman"/>
          <w:color w:val="000000"/>
          <w:spacing w:val="0"/>
          <w:w w:val="100"/>
          <w:position w:val="0"/>
        </w:rPr>
        <w:t>15,300,000.00</w:t>
      </w:r>
      <w:r>
        <w:rPr>
          <w:color w:val="000000"/>
          <w:spacing w:val="0"/>
          <w:w w:val="100"/>
          <w:position w:val="0"/>
        </w:rPr>
        <w:t>元出资，持股比例为</w:t>
      </w:r>
      <w:r>
        <w:rPr>
          <w:rFonts w:ascii="Times New Roman" w:eastAsia="Times New Roman" w:hAnsi="Times New Roman" w:cs="Times New Roman"/>
          <w:color w:val="000000"/>
          <w:spacing w:val="0"/>
          <w:w w:val="100"/>
          <w:position w:val="0"/>
        </w:rPr>
        <w:t>51%</w:t>
      </w:r>
      <w:r>
        <w:rPr>
          <w:color w:val="000000"/>
          <w:spacing w:val="0"/>
          <w:w w:val="100"/>
          <w:position w:val="0"/>
        </w:rPr>
        <w:t>。根据出资协议和公司章程，公司的重大事项需要经代表超过三 分之二的表决权的股东通过方可做出决议，因此于本年其并未纳入公司合并范围，而将其作为用权益法进行后续计量的长期 股权投资进行核算。</w:t>
      </w:r>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月与宝鸡市蟠龙新区开发建设有限公司共同签订《关于设立陕西华大瑞尔科技有限公司的出资协议》， 约定以人民币</w:t>
      </w:r>
      <w:r>
        <w:rPr>
          <w:rFonts w:ascii="Times New Roman" w:eastAsia="Times New Roman" w:hAnsi="Times New Roman" w:cs="Times New Roman"/>
          <w:color w:val="000000"/>
          <w:spacing w:val="0"/>
          <w:w w:val="100"/>
          <w:position w:val="0"/>
        </w:rPr>
        <w:t>10,200,000.00</w:t>
      </w:r>
      <w:r>
        <w:rPr>
          <w:color w:val="000000"/>
          <w:spacing w:val="0"/>
          <w:w w:val="100"/>
          <w:position w:val="0"/>
        </w:rPr>
        <w:t>元出资，持股比例为</w:t>
      </w:r>
      <w:r>
        <w:rPr>
          <w:rFonts w:ascii="Times New Roman" w:eastAsia="Times New Roman" w:hAnsi="Times New Roman" w:cs="Times New Roman"/>
          <w:color w:val="000000"/>
          <w:spacing w:val="0"/>
          <w:w w:val="100"/>
          <w:position w:val="0"/>
        </w:rPr>
        <w:t>51%</w:t>
      </w:r>
      <w:r>
        <w:rPr>
          <w:color w:val="000000"/>
          <w:spacing w:val="0"/>
          <w:w w:val="100"/>
          <w:position w:val="0"/>
        </w:rPr>
        <w:t>。根据出资协议和公司章程，公司的重大事项需要经代表超过三分之 二的表决权的股东通过方可做出决议，因此于本年其并未纳入公司合并范围，而将其作为用权益法进行后续计量的长期股 权投资进行核算。</w:t>
      </w:r>
    </w:p>
    <w:p>
      <w:pPr>
        <w:pStyle w:val="Style30"/>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30"/>
      <w:bookmarkEnd w:id="1631"/>
      <w:bookmarkEnd w:id="1632"/>
    </w:p>
    <w:p>
      <w:pPr>
        <w:pStyle w:val="Style30"/>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630"/>
      <w:bookmarkEnd w:id="1631"/>
      <w:bookmarkEnd w:id="16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55,709,131.74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46,649,313.04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21,523,198.96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9,485,128.83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21,523,198.96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9,485,128.83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136,655,082.76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164,841,574.07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90,161,298.67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90,898,575.36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-27,993.96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90,149,351.82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90,870,581.40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）合营企业或联营企业发生的超额亏损</w:t>
      </w:r>
      <w:bookmarkEnd w:id="1634"/>
      <w:bookmarkEnd w:id="1635"/>
      <w:bookmarkEnd w:id="1636"/>
    </w:p>
    <w:p>
      <w:pPr>
        <w:pStyle w:val="Style1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spacing w:lineRule="exact" w:line="1"/>
        <w:rPr>
          <w:sz w:val="2"/>
          <w:szCs w:val="2"/>
        </w:rPr>
      </w:pPr>
      <w:r>
        <w:br w:type="page"/>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深圳市同并相联科技有限公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-344,546.56</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深圳华每嘉中企业管理咨询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-75,672.73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-75,672.73</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sz w:val="24"/>
          <w:szCs w:val="24"/>
        </w:rPr>
        <w:t>十、与金融工具相关的风险</w:t>
      </w:r>
      <w:bookmarkEnd w:id="1637"/>
      <w:bookmarkEnd w:id="1638"/>
      <w:bookmarkEnd w:id="1639"/>
    </w:p>
    <w:p>
      <w:pPr>
        <w:pStyle w:val="Style24"/>
        <w:keepNext/>
        <w:keepLines/>
        <w:widowControl w:val="0"/>
        <w:shd w:val="clear" w:color="auto" w:fill="auto"/>
        <w:bidi w:val="0"/>
        <w:spacing w:before="0" w:after="40" w:line="240" w:lineRule="auto"/>
        <w:ind w:left="0" w:right="0" w:firstLine="0"/>
        <w:jc w:val="left"/>
      </w:pPr>
      <w:bookmarkStart w:id="1637" w:name="bookmark1637"/>
      <w:bookmarkStart w:id="1638" w:name="bookmark1638"/>
      <w:bookmarkStart w:id="1640" w:name="bookmark1640"/>
      <w:bookmarkStart w:id="1641" w:name="bookmark1641"/>
      <w:r>
        <w:rPr>
          <w:rFonts w:ascii="Times New Roman" w:eastAsia="Times New Roman" w:hAnsi="Times New Roman" w:cs="Times New Roman"/>
          <w:color w:val="000000"/>
          <w:spacing w:val="0"/>
          <w:w w:val="100"/>
          <w:position w:val="0"/>
          <w:sz w:val="24"/>
          <w:szCs w:val="24"/>
        </w:rPr>
        <w:t>1</w:t>
      </w:r>
      <w:bookmarkEnd w:id="1640"/>
      <w:r>
        <w:rPr>
          <w:color w:val="000000"/>
          <w:spacing w:val="0"/>
          <w:w w:val="100"/>
          <w:position w:val="0"/>
          <w:sz w:val="24"/>
          <w:szCs w:val="24"/>
        </w:rPr>
        <w:t>、金融工具分类</w:t>
      </w:r>
      <w:bookmarkEnd w:id="1637"/>
      <w:bookmarkEnd w:id="1638"/>
      <w:bookmarkEnd w:id="1641"/>
    </w:p>
    <w:p>
      <w:pPr>
        <w:pStyle w:val="Style17"/>
        <w:keepNext w:val="0"/>
        <w:keepLines w:val="0"/>
        <w:widowControl w:val="0"/>
        <w:shd w:val="clear" w:color="auto" w:fill="auto"/>
        <w:bidi w:val="0"/>
        <w:spacing w:before="0" w:line="240" w:lineRule="auto"/>
        <w:ind w:left="0" w:right="0" w:firstLine="360"/>
        <w:jc w:val="left"/>
      </w:pPr>
      <w:r>
        <w:rPr>
          <w:color w:val="000000"/>
          <w:spacing w:val="0"/>
          <w:w w:val="100"/>
          <w:position w:val="0"/>
        </w:rPr>
        <w:t>资产负债表日的各类金融工具的账面价值如下:</w:t>
      </w:r>
    </w:p>
    <w:p>
      <w:pPr>
        <w:pStyle w:val="Style3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 xml:space="preserve">2021 </w:t>
      </w:r>
      <w:r>
        <w:rPr>
          <w:rFonts w:ascii="SimSun" w:eastAsia="SimSun" w:hAnsi="SimSun" w:cs="SimSun"/>
          <w:color w:val="000000"/>
          <w:spacing w:val="0"/>
          <w:w w:val="100"/>
          <w:position w:val="0"/>
        </w:rPr>
        <w:t>年</w:t>
      </w:r>
    </w:p>
    <w:p>
      <w:pPr>
        <w:pStyle w:val="Style26"/>
        <w:keepNext w:val="0"/>
        <w:keepLines w:val="0"/>
        <w:widowControl w:val="0"/>
        <w:shd w:val="clear" w:color="auto" w:fill="auto"/>
        <w:bidi w:val="0"/>
        <w:spacing w:before="0" w:after="0" w:line="240" w:lineRule="auto"/>
        <w:ind w:left="322" w:right="0" w:firstLine="0"/>
        <w:jc w:val="left"/>
      </w:pPr>
      <w:r>
        <w:rPr>
          <w:color w:val="000000"/>
          <w:spacing w:val="0"/>
          <w:w w:val="100"/>
          <w:position w:val="0"/>
        </w:rPr>
        <w:t>金融资产</w:t>
      </w:r>
    </w:p>
    <w:tbl>
      <w:tblPr>
        <w:tblOverlap w:val="never"/>
        <w:jc w:val="center"/>
        <w:tblLayout w:type="fixed"/>
      </w:tblPr>
      <w:tblGrid>
        <w:gridCol w:w="1709"/>
        <w:gridCol w:w="1421"/>
        <w:gridCol w:w="850"/>
        <w:gridCol w:w="1416"/>
        <w:gridCol w:w="1421"/>
        <w:gridCol w:w="1272"/>
        <w:gridCol w:w="1570"/>
      </w:tblGrid>
      <w:tr>
        <w:trPr>
          <w:trHeight w:val="66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以公允价值计量且其变动计 入当期损益的金融资产</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以摊余成本计量 的金融资产</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以公允价值计量且其变动计入其 他综合收益的金融资产</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准则要求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准则要求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6,590,287,309.23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6,590,287,309.23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2,049,069,513.70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2,049,069,513.70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1,214,851,854.52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1,214,851,854.52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9,376,694.70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9,376,694.70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19,944,742.50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19,944,742.50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49,742,899.87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49,742,899.87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6,571,220.29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6,571,220.29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65,780,402.74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65,780,402.74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10,785,610.95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10,785,610.95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241,381,563.03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241,381,563.03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453,679,461.55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453,679,461.55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54,950,400.00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54,950,400.00</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2,502,748,975.25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8,002,346,392.30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19,944,742.50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241,381,563.03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10,766,421,673.08</w:t>
            </w:r>
          </w:p>
        </w:tc>
      </w:tr>
    </w:tbl>
    <w:p>
      <w:pPr>
        <w:widowControl w:val="0"/>
        <w:spacing w:after="379" w:line="1" w:lineRule="exact"/>
      </w:pP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金融负债</w:t>
      </w:r>
    </w:p>
    <w:tbl>
      <w:tblPr>
        <w:tblOverlap w:val="never"/>
        <w:jc w:val="center"/>
        <w:tblLayout w:type="fixed"/>
      </w:tblPr>
      <w:tblGrid>
        <w:gridCol w:w="1862"/>
        <w:gridCol w:w="1992"/>
        <w:gridCol w:w="2102"/>
        <w:gridCol w:w="1939"/>
        <w:gridCol w:w="1752"/>
      </w:tblGrid>
      <w:tr>
        <w:trPr>
          <w:trHeight w:val="40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公允价值计量且其变动计入当期损益的金融负债</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160"/>
              <w:jc w:val="left"/>
            </w:pPr>
            <w:r>
              <w:rPr>
                <w:color w:val="000000"/>
                <w:spacing w:val="0"/>
                <w:w w:val="100"/>
                <w:position w:val="0"/>
              </w:rPr>
              <w:t>以摊余成本计量的金</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融负债</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准则要求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5,005,576.39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5,005,576.39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54,761.61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345,560,375.00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345,560,375.00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459,761,379.22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459,761,379.22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其他应付款（不含预 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433,214,716.28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433,214,716.28</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其他流动负债（不含 待转销项税额）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1,108,971.50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1,108,971.50</w:t>
            </w:r>
          </w:p>
        </w:tc>
      </w:tr>
    </w:tbl>
    <w:p>
      <w:pPr>
        <w:spacing w:lineRule="exact" w:line="1"/>
        <w:rPr>
          <w:sz w:val="2"/>
          <w:szCs w:val="2"/>
        </w:rPr>
      </w:pPr>
      <w:r>
        <w:br w:type="page"/>
      </w:r>
    </w:p>
    <w:tbl>
      <w:tblPr>
        <w:tblOverlap w:val="never"/>
        <w:jc w:val="center"/>
        <w:tblLayout w:type="fixed"/>
      </w:tblPr>
      <w:tblGrid>
        <w:gridCol w:w="1862"/>
        <w:gridCol w:w="1992"/>
        <w:gridCol w:w="2102"/>
        <w:gridCol w:w="1939"/>
        <w:gridCol w:w="1752"/>
      </w:tblGrid>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一年内到期的非流动 负债（不含预计负债 和租赁负债）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56,398,733.51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56,398,733.51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144,922,995.97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144,922,995.97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487,039,153.03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487,039,153.03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671,571,748.12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671,571,748.12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54,761.61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2,604,583,649.02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2,604,638,410.63</w:t>
            </w:r>
          </w:p>
        </w:tc>
      </w:tr>
    </w:tbl>
    <w:p>
      <w:pPr>
        <w:widowControl w:val="0"/>
        <w:spacing w:after="339" w:line="1" w:lineRule="exact"/>
      </w:pPr>
    </w:p>
    <w:p>
      <w:pPr>
        <w:pStyle w:val="Style3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2020</w:t>
      </w:r>
      <w:r>
        <w:rPr>
          <w:rFonts w:ascii="SimSun" w:eastAsia="SimSun" w:hAnsi="SimSun" w:cs="SimSun"/>
          <w:color w:val="000000"/>
          <w:spacing w:val="0"/>
          <w:w w:val="100"/>
          <w:position w:val="0"/>
        </w:rPr>
        <w:t>年</w:t>
      </w:r>
    </w:p>
    <w:p>
      <w:pPr>
        <w:pStyle w:val="Style26"/>
        <w:keepNext w:val="0"/>
        <w:keepLines w:val="0"/>
        <w:widowControl w:val="0"/>
        <w:shd w:val="clear" w:color="auto" w:fill="auto"/>
        <w:bidi w:val="0"/>
        <w:spacing w:before="0" w:after="0" w:line="240" w:lineRule="auto"/>
        <w:ind w:left="336" w:right="0" w:firstLine="0"/>
        <w:jc w:val="left"/>
      </w:pPr>
      <w:r>
        <w:rPr>
          <w:color w:val="000000"/>
          <w:spacing w:val="0"/>
          <w:w w:val="100"/>
          <w:position w:val="0"/>
        </w:rPr>
        <w:t>金融资产</w:t>
      </w:r>
    </w:p>
    <w:tbl>
      <w:tblPr>
        <w:tblOverlap w:val="never"/>
        <w:jc w:val="center"/>
        <w:tblLayout w:type="fixed"/>
      </w:tblPr>
      <w:tblGrid>
        <w:gridCol w:w="1718"/>
        <w:gridCol w:w="1214"/>
        <w:gridCol w:w="926"/>
        <w:gridCol w:w="1517"/>
        <w:gridCol w:w="1291"/>
        <w:gridCol w:w="1378"/>
        <w:gridCol w:w="1603"/>
      </w:tblGrid>
      <w:tr>
        <w:trPr>
          <w:trHeight w:val="66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以公允价值计量且其变动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计入当期损益的金融资产</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以摊余成本计量的 金融资产</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以公允价值计量且其变动计入其 他综合收益的金融资产</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准则要求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准则要求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5,430,072,369.01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5,430,072,369.01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1,559,813,896.50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1,559,813,896.50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3,300,000.00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12,623,144.00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117,006,884.72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117,006,884.72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52,821,620.55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52,821,620.55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10,367,610.96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227,434,198.19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227,434,198.19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300,021,953.11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300,021,953.11</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300,021,953.11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7,173,382,381.74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12,623,144.00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227,434,198.19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7,713,461,677.04</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金融负债</w:t>
      </w:r>
    </w:p>
    <w:tbl>
      <w:tblPr>
        <w:tblOverlap w:val="never"/>
        <w:jc w:val="center"/>
        <w:tblLayout w:type="fixed"/>
      </w:tblPr>
      <w:tblGrid>
        <w:gridCol w:w="4824"/>
        <w:gridCol w:w="4824"/>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以摊余成本计量的金融负债</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563,296,000.00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873,230,959.48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其他应付款（不含预提费用）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411,644,741.15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其他流动负债（不含待转销项税额）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一年内到期的非流动负债（不含预计负债）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79,571,615.29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168,500,000.00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489,502,871.98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658,594,430.07</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3,244,640,617.97</w:t>
            </w:r>
          </w:p>
        </w:tc>
      </w:tr>
    </w:tbl>
    <w:p>
      <w:pPr>
        <w:widowControl w:val="0"/>
        <w:spacing w:after="339" w:line="1" w:lineRule="exact"/>
      </w:pPr>
    </w:p>
    <w:p>
      <w:pPr>
        <w:pStyle w:val="Style24"/>
        <w:keepNext/>
        <w:keepLines/>
        <w:widowControl w:val="0"/>
        <w:shd w:val="clear" w:color="auto" w:fill="auto"/>
        <w:bidi w:val="0"/>
        <w:spacing w:before="0" w:after="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sz w:val="24"/>
          <w:szCs w:val="24"/>
        </w:rPr>
        <w:t>2</w:t>
      </w:r>
      <w:bookmarkEnd w:id="1644"/>
      <w:r>
        <w:rPr>
          <w:color w:val="000000"/>
          <w:spacing w:val="0"/>
          <w:w w:val="100"/>
          <w:position w:val="0"/>
          <w:sz w:val="24"/>
          <w:szCs w:val="24"/>
        </w:rPr>
        <w:t>、金融资产转移</w:t>
      </w:r>
      <w:bookmarkEnd w:id="1642"/>
      <w:bookmarkEnd w:id="1643"/>
      <w:bookmarkEnd w:id="1645"/>
    </w:p>
    <w:p>
      <w:pPr>
        <w:pStyle w:val="Style17"/>
        <w:keepNext w:val="0"/>
        <w:keepLines w:val="0"/>
        <w:widowControl w:val="0"/>
        <w:shd w:val="clear" w:color="auto" w:fill="auto"/>
        <w:bidi w:val="0"/>
        <w:spacing w:before="0" w:after="0" w:line="312" w:lineRule="exact"/>
        <w:ind w:left="0" w:right="0"/>
        <w:jc w:val="both"/>
      </w:pPr>
      <w:r>
        <w:rPr>
          <w:b/>
          <w:bCs/>
          <w:color w:val="000000"/>
          <w:spacing w:val="0"/>
          <w:w w:val="100"/>
          <w:position w:val="0"/>
        </w:rPr>
        <w:t>已转移但未整体终止确认的金融资产</w:t>
      </w:r>
    </w:p>
    <w:p>
      <w:pPr>
        <w:pStyle w:val="Style17"/>
        <w:keepNext w:val="0"/>
        <w:keepLines w:val="0"/>
        <w:widowControl w:val="0"/>
        <w:shd w:val="clear" w:color="auto" w:fill="auto"/>
        <w:bidi w:val="0"/>
        <w:spacing w:before="0" w:after="34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日，北京吉比爱已背书给供应商用于结算应付账款的银行承兑汇票的账面价值为人民币</w:t>
      </w:r>
      <w:r>
        <w:rPr>
          <w:rFonts w:ascii="Times New Roman" w:eastAsia="Times New Roman" w:hAnsi="Times New Roman" w:cs="Times New Roman"/>
          <w:color w:val="000000"/>
          <w:spacing w:val="0"/>
          <w:w w:val="100"/>
          <w:position w:val="0"/>
        </w:rPr>
        <w:t>1,108,971.50</w:t>
      </w:r>
      <w:r>
        <w:rPr>
          <w:color w:val="000000"/>
          <w:spacing w:val="0"/>
          <w:w w:val="100"/>
          <w:position w:val="0"/>
        </w:rPr>
        <w:t>元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300,000.00</w:t>
      </w:r>
      <w:r>
        <w:rPr>
          <w:color w:val="000000"/>
          <w:spacing w:val="0"/>
          <w:w w:val="100"/>
          <w:position w:val="0"/>
        </w:rPr>
        <w:t>元）。公司认为，公司保留了其几乎所有的风险和报酬，包括与其相关的违约风险，</w:t>
      </w:r>
    </w:p>
    <w:p>
      <w:pPr>
        <w:pStyle w:val="Style17"/>
        <w:keepNext w:val="0"/>
        <w:keepLines w:val="0"/>
        <w:widowControl w:val="0"/>
        <w:shd w:val="clear" w:color="auto" w:fill="auto"/>
        <w:bidi w:val="0"/>
        <w:spacing w:before="0" w:after="320" w:line="307" w:lineRule="exact"/>
        <w:ind w:left="0" w:right="0" w:firstLine="0"/>
        <w:jc w:val="both"/>
      </w:pPr>
      <w:r>
        <w:rPr>
          <w:color w:val="000000"/>
          <w:spacing w:val="0"/>
          <w:w w:val="100"/>
          <w:position w:val="0"/>
        </w:rPr>
        <w:t>因此，继续全额确认其及与之相关的已结算应付账款。背书后，公司不再保留使用其的权利，包括将其出售、转让或质押给 其他第三方的权利。于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日，公司以其结算的应付账款账面价值总计为人民币</w:t>
      </w:r>
      <w:r>
        <w:rPr>
          <w:rFonts w:ascii="Times New Roman" w:eastAsia="Times New Roman" w:hAnsi="Times New Roman" w:cs="Times New Roman"/>
          <w:color w:val="000000"/>
          <w:spacing w:val="0"/>
          <w:w w:val="100"/>
          <w:position w:val="0"/>
        </w:rPr>
        <w:t>1,108,971.5</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人民币</w:t>
      </w:r>
      <w:r>
        <w:rPr>
          <w:rFonts w:ascii="Times New Roman" w:eastAsia="Times New Roman" w:hAnsi="Times New Roman" w:cs="Times New Roman"/>
          <w:color w:val="000000"/>
          <w:spacing w:val="0"/>
          <w:w w:val="100"/>
          <w:position w:val="0"/>
        </w:rPr>
        <w:t>300,000.00</w:t>
      </w:r>
      <w:r>
        <w:rPr>
          <w:color w:val="000000"/>
          <w:spacing w:val="0"/>
          <w:w w:val="100"/>
          <w:position w:val="0"/>
        </w:rPr>
        <w:t>元）。</w:t>
      </w:r>
    </w:p>
    <w:p>
      <w:pPr>
        <w:pStyle w:val="Style17"/>
        <w:keepNext w:val="0"/>
        <w:keepLines w:val="0"/>
        <w:widowControl w:val="0"/>
        <w:shd w:val="clear" w:color="auto" w:fill="auto"/>
        <w:bidi w:val="0"/>
        <w:spacing w:before="0" w:after="0" w:line="318" w:lineRule="exact"/>
        <w:ind w:left="0" w:right="0"/>
        <w:jc w:val="both"/>
      </w:pPr>
      <w:r>
        <w:rPr>
          <w:b/>
          <w:bCs/>
          <w:color w:val="000000"/>
          <w:spacing w:val="0"/>
          <w:w w:val="100"/>
          <w:position w:val="0"/>
        </w:rPr>
        <w:t>已整体终止确认但继续涉入的已转移金融资产</w:t>
      </w:r>
    </w:p>
    <w:p>
      <w:pPr>
        <w:pStyle w:val="Style17"/>
        <w:keepNext w:val="0"/>
        <w:keepLines w:val="0"/>
        <w:widowControl w:val="0"/>
        <w:shd w:val="clear" w:color="auto" w:fill="auto"/>
        <w:bidi w:val="0"/>
        <w:spacing w:before="0" w:after="0" w:line="318"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日，北京吉比爱已背书给供应商用于结算应付账款的银行承兑汇票的账面价值为人民币</w:t>
      </w:r>
      <w:r>
        <w:rPr>
          <w:rFonts w:ascii="Times New Roman" w:eastAsia="Times New Roman" w:hAnsi="Times New Roman" w:cs="Times New Roman"/>
          <w:color w:val="000000"/>
          <w:spacing w:val="0"/>
          <w:w w:val="100"/>
          <w:position w:val="0"/>
        </w:rPr>
        <w:t>1,770,176.40</w:t>
      </w:r>
      <w:r>
        <w:rPr>
          <w:color w:val="000000"/>
          <w:spacing w:val="0"/>
          <w:w w:val="100"/>
          <w:position w:val="0"/>
        </w:rPr>
        <w:t>元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527,000.00</w:t>
      </w:r>
      <w:r>
        <w:rPr>
          <w:color w:val="000000"/>
          <w:spacing w:val="0"/>
          <w:w w:val="100"/>
          <w:position w:val="0"/>
        </w:rPr>
        <w:t>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日，其到期日为</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12</w:t>
      </w:r>
      <w:r>
        <w:rPr>
          <w:color w:val="000000"/>
          <w:spacing w:val="0"/>
          <w:w w:val="100"/>
          <w:position w:val="0"/>
        </w:rPr>
        <w:t>个月，根据《票据法》相关规定，若承兑 银行拒绝付款的，持票人可以不按照汇票债务人的先后顺序，对包括公司在内的汇票债务人中的任何一人、数人或者全体行 使追索权（</w:t>
      </w:r>
      <w:r>
        <w:rPr>
          <w:rFonts w:ascii="Times New Roman" w:eastAsia="Times New Roman" w:hAnsi="Times New Roman" w:cs="Times New Roman"/>
          <w:color w:val="000000"/>
          <w:spacing w:val="0"/>
          <w:w w:val="100"/>
          <w:position w:val="0"/>
        </w:rPr>
        <w:t>“</w:t>
      </w:r>
      <w:r>
        <w:rPr>
          <w:color w:val="000000"/>
          <w:spacing w:val="0"/>
          <w:w w:val="100"/>
          <w:position w:val="0"/>
        </w:rPr>
        <w:t>继续涉入</w:t>
      </w:r>
      <w:r>
        <w:rPr>
          <w:rFonts w:ascii="Times New Roman" w:eastAsia="Times New Roman" w:hAnsi="Times New Roman" w:cs="Times New Roman"/>
          <w:color w:val="000000"/>
          <w:spacing w:val="0"/>
          <w:w w:val="100"/>
          <w:position w:val="0"/>
        </w:rPr>
        <w:t>”</w:t>
      </w:r>
      <w:r>
        <w:rPr>
          <w:color w:val="000000"/>
          <w:spacing w:val="0"/>
          <w:w w:val="100"/>
          <w:position w:val="0"/>
        </w:rPr>
        <w:t>）。公司认为，公司已经转移了其几乎所有的风险和报酬，因此，终止确认其及与之相关的已结算应 付账款的账面价值。继续涉入及回购的最大损失和未折现现金流量等于其账面价值。公司认为，继续涉入公允价值并不重大。</w:t>
      </w:r>
    </w:p>
    <w:p>
      <w:pPr>
        <w:pStyle w:val="Style17"/>
        <w:keepNext w:val="0"/>
        <w:keepLines w:val="0"/>
        <w:widowControl w:val="0"/>
        <w:shd w:val="clear" w:color="auto" w:fill="auto"/>
        <w:bidi w:val="0"/>
        <w:spacing w:before="0" w:after="380" w:line="318"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年度，公司于其转移日未确认利得或损失。公司无因继续涉入已终止确认金融资产当年度和累计确认的收益或费 用。背书在本年度大致均衡发生。</w:t>
      </w:r>
    </w:p>
    <w:p>
      <w:pPr>
        <w:pStyle w:val="Style24"/>
        <w:keepNext/>
        <w:keepLines/>
        <w:widowControl w:val="0"/>
        <w:shd w:val="clear" w:color="auto" w:fill="auto"/>
        <w:bidi w:val="0"/>
        <w:spacing w:before="0" w:after="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sz w:val="24"/>
          <w:szCs w:val="24"/>
        </w:rPr>
        <w:t>3</w:t>
      </w:r>
      <w:bookmarkEnd w:id="1648"/>
      <w:r>
        <w:rPr>
          <w:color w:val="000000"/>
          <w:spacing w:val="0"/>
          <w:w w:val="100"/>
          <w:position w:val="0"/>
          <w:sz w:val="24"/>
          <w:szCs w:val="24"/>
        </w:rPr>
        <w:t>、金融工具风险</w:t>
      </w:r>
      <w:bookmarkEnd w:id="1646"/>
      <w:bookmarkEnd w:id="1647"/>
      <w:bookmarkEnd w:id="1649"/>
    </w:p>
    <w:p>
      <w:pPr>
        <w:pStyle w:val="Style17"/>
        <w:keepNext w:val="0"/>
        <w:keepLines w:val="0"/>
        <w:widowControl w:val="0"/>
        <w:shd w:val="clear" w:color="auto" w:fill="auto"/>
        <w:bidi w:val="0"/>
        <w:spacing w:before="0" w:after="320" w:line="317" w:lineRule="exact"/>
        <w:ind w:left="0" w:right="0"/>
        <w:jc w:val="both"/>
      </w:pPr>
      <w:r>
        <w:rPr>
          <w:color w:val="000000"/>
          <w:spacing w:val="0"/>
          <w:w w:val="100"/>
          <w:position w:val="0"/>
        </w:rPr>
        <w:t>公司在日常活动中面临各种金融工具的风险，主要包括信用风险、流动性风险及市场风险（包括汇率风险和权益工具投 资风险）。公司的主要金融工具包括货币资金、交易性金融资产、应收票据、应收款项融资、应收账款、短期借款、长期借 款、应付票据和应付账款等。与这些金融工具相关的风险，以及公司为降低这些风险所采取的风险管理策略如下所述。</w:t>
      </w:r>
    </w:p>
    <w:p>
      <w:pPr>
        <w:pStyle w:val="Style17"/>
        <w:keepNext w:val="0"/>
        <w:keepLines w:val="0"/>
        <w:widowControl w:val="0"/>
        <w:shd w:val="clear" w:color="auto" w:fill="auto"/>
        <w:bidi w:val="0"/>
        <w:spacing w:before="0" w:after="0" w:line="311" w:lineRule="exact"/>
        <w:ind w:left="0" w:right="0"/>
        <w:jc w:val="both"/>
      </w:pPr>
      <w:r>
        <w:rPr>
          <w:b/>
          <w:bCs/>
          <w:color w:val="000000"/>
          <w:spacing w:val="0"/>
          <w:w w:val="100"/>
          <w:position w:val="0"/>
        </w:rPr>
        <w:t>信用风险</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公司仅与经认可的、信誉良好的第三方进行交易。按照公司的政策，需对所有要求采用信用方式进行交易的客户进行信 用审核。另外，公司对应收账款余额进行持续监控，以确保公司不致面临重大坏账风险。对于未采用相关经营单位的记账本 位币结算的交易，除非公司信用控制部门特别批准，否则公司不提供信用交易条件。</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由于货币资金、交易性金融资产、应收款项融资的交易对手是声誉良好并拥有较高信用评级的银行，这些金融工具的信 用风险较低。</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公司其他金融资产包括应收票据、应收账款、其他应收款等，这些金融资产的信用风险源自交易对手违约，最大风险敞 口等于这些工具的账面金额。</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公司在每一资产负债表日面临的最大信用风险敞口为向客户收取的总金额减去减值准备后的金额。</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由于公司仅与经认可的且信誉良好的第三方进行交易，所以无需担保物。信用风险集中按照客户、地理区域和行业进行 管理。由于公司的应收账款客户群广泛地分散于不同的部门和行业中，因此在公司内不存在重大信用风险集中。公司对应收 账款余额未持有任何担保物或其他信用增级。</w:t>
      </w:r>
    </w:p>
    <w:p>
      <w:pPr>
        <w:pStyle w:val="Style17"/>
        <w:keepNext w:val="0"/>
        <w:keepLines w:val="0"/>
        <w:widowControl w:val="0"/>
        <w:shd w:val="clear" w:color="auto" w:fill="auto"/>
        <w:bidi w:val="0"/>
        <w:spacing w:before="0" w:after="320" w:line="311" w:lineRule="exact"/>
        <w:ind w:left="0" w:right="0"/>
        <w:jc w:val="both"/>
      </w:pPr>
      <w:r>
        <w:rPr>
          <w:color w:val="000000"/>
          <w:spacing w:val="0"/>
          <w:w w:val="100"/>
          <w:position w:val="0"/>
        </w:rPr>
        <w:t>公司因应收账款和其他应收款产生的信用风险敞口的量化数据，参见第十节财务报告附注</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 xml:space="preserve">” </w:t>
      </w:r>
      <w:r>
        <w:rPr>
          <w:color w:val="000000"/>
          <w:spacing w:val="0"/>
          <w:w w:val="100"/>
          <w:position w:val="0"/>
        </w:rPr>
        <w:t>的</w:t>
      </w:r>
      <w:r>
        <w:rPr>
          <w:rFonts w:ascii="Times New Roman" w:eastAsia="Times New Roman" w:hAnsi="Times New Roman" w:cs="Times New Roman"/>
          <w:color w:val="000000"/>
          <w:spacing w:val="0"/>
          <w:w w:val="100"/>
          <w:position w:val="0"/>
        </w:rPr>
        <w:t>“4</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“7</w:t>
      </w:r>
      <w:r>
        <w:rPr>
          <w:color w:val="000000"/>
          <w:spacing w:val="0"/>
          <w:w w:val="100"/>
          <w:position w:val="0"/>
        </w:rPr>
        <w:t>、其他应收款七</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信用风险显著增加判断标准</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公司在每个资产负债表日评估相关金融工具的信用风险自初始确认后是否已显著增加。在确定信用风险自初始确认后 是否显著增加时，公司考虑在无须付出不必要的额外成本或努力即可获得合理且有依据的信息，包括基于公司历史数据的定 性和定量分析、外部信用风险评级以及前瞻性信息。公司以单项金融工具或者具有相似信用风险特征的金融工具组合为基 础，通过比较金融工具在资产负债表日发生违约的风险与在初始确认日发生违约的风险，以确定金融工具预计存续期内发生 违约风险的变化情况。</w:t>
      </w:r>
    </w:p>
    <w:p>
      <w:pPr>
        <w:pStyle w:val="Style17"/>
        <w:keepNext w:val="0"/>
        <w:keepLines w:val="0"/>
        <w:widowControl w:val="0"/>
        <w:shd w:val="clear" w:color="auto" w:fill="auto"/>
        <w:bidi w:val="0"/>
        <w:spacing w:before="0" w:after="0" w:line="311" w:lineRule="exact"/>
        <w:ind w:left="0" w:right="0"/>
        <w:jc w:val="both"/>
      </w:pPr>
      <w:r>
        <w:rPr>
          <w:color w:val="000000"/>
          <w:spacing w:val="0"/>
          <w:w w:val="100"/>
          <w:position w:val="0"/>
        </w:rPr>
        <w:t>当触发以下一个或多个定量、定性标准时，公司认为金融工具的信用风险已发生显著增加：</w:t>
      </w:r>
    </w:p>
    <w:p>
      <w:pPr>
        <w:pStyle w:val="Style17"/>
        <w:keepNext w:val="0"/>
        <w:keepLines w:val="0"/>
        <w:widowControl w:val="0"/>
        <w:shd w:val="clear" w:color="auto" w:fill="auto"/>
        <w:tabs>
          <w:tab w:pos="787" w:val="left"/>
        </w:tabs>
        <w:bidi w:val="0"/>
        <w:spacing w:before="0" w:after="0" w:line="311" w:lineRule="exact"/>
        <w:ind w:left="0" w:right="0"/>
        <w:jc w:val="both"/>
      </w:pPr>
      <w:bookmarkStart w:id="1650" w:name="bookmark1650"/>
      <w:r>
        <w:rPr>
          <w:color w:val="000000"/>
          <w:spacing w:val="0"/>
          <w:w w:val="100"/>
          <w:position w:val="0"/>
        </w:rPr>
        <w:t>（</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w:t>
        <w:tab/>
        <w:t>定量标准主要为报告日剩余存续期违约概率较初始确认时上升超过一定比例；</w:t>
      </w:r>
    </w:p>
    <w:p>
      <w:pPr>
        <w:pStyle w:val="Style17"/>
        <w:keepNext w:val="0"/>
        <w:keepLines w:val="0"/>
        <w:widowControl w:val="0"/>
        <w:shd w:val="clear" w:color="auto" w:fill="auto"/>
        <w:tabs>
          <w:tab w:pos="787" w:val="left"/>
        </w:tabs>
        <w:bidi w:val="0"/>
        <w:spacing w:before="0" w:after="0" w:line="311" w:lineRule="exact"/>
        <w:ind w:left="0" w:right="0"/>
        <w:jc w:val="both"/>
      </w:pPr>
      <w:bookmarkStart w:id="1651" w:name="bookmark1651"/>
      <w:r>
        <w:rPr>
          <w:color w:val="000000"/>
          <w:spacing w:val="0"/>
          <w:w w:val="100"/>
          <w:position w:val="0"/>
        </w:rPr>
        <w:t>（</w:t>
      </w:r>
      <w:bookmarkEnd w:id="1651"/>
      <w:r>
        <w:rPr>
          <w:rFonts w:ascii="Times New Roman" w:eastAsia="Times New Roman" w:hAnsi="Times New Roman" w:cs="Times New Roman"/>
          <w:color w:val="000000"/>
          <w:spacing w:val="0"/>
          <w:w w:val="100"/>
          <w:position w:val="0"/>
        </w:rPr>
        <w:t>2</w:t>
      </w:r>
      <w:r>
        <w:rPr>
          <w:color w:val="000000"/>
          <w:spacing w:val="0"/>
          <w:w w:val="100"/>
          <w:position w:val="0"/>
        </w:rPr>
        <w:t>）</w:t>
        <w:tab/>
        <w:t>定性标准主要为债务人经营或财务情况出现重大不利变化、预警客户清单等；</w:t>
      </w:r>
    </w:p>
    <w:p>
      <w:pPr>
        <w:pStyle w:val="Style17"/>
        <w:keepNext w:val="0"/>
        <w:keepLines w:val="0"/>
        <w:widowControl w:val="0"/>
        <w:shd w:val="clear" w:color="auto" w:fill="auto"/>
        <w:tabs>
          <w:tab w:pos="787" w:val="left"/>
        </w:tabs>
        <w:bidi w:val="0"/>
        <w:spacing w:before="0" w:after="160" w:line="311" w:lineRule="exact"/>
        <w:ind w:left="0" w:right="0"/>
        <w:jc w:val="both"/>
      </w:pPr>
      <w:bookmarkStart w:id="1652" w:name="bookmark1652"/>
      <w:r>
        <w:rPr>
          <w:color w:val="000000"/>
          <w:spacing w:val="0"/>
          <w:w w:val="100"/>
          <w:position w:val="0"/>
        </w:rPr>
        <w:t>（</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w:t>
        <w:tab/>
        <w:t>上限指标为债务人合同付款（包括本金和利息）逾期超过</w:t>
      </w:r>
      <w:r>
        <w:rPr>
          <w:rFonts w:ascii="Times New Roman" w:eastAsia="Times New Roman" w:hAnsi="Times New Roman" w:cs="Times New Roman"/>
          <w:color w:val="000000"/>
          <w:spacing w:val="0"/>
          <w:w w:val="100"/>
          <w:position w:val="0"/>
        </w:rPr>
        <w:t>30</w:t>
      </w:r>
      <w:r>
        <w:rPr>
          <w:color w:val="000000"/>
          <w:spacing w:val="0"/>
          <w:w w:val="100"/>
          <w:position w:val="0"/>
        </w:rPr>
        <w:t>天。</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已发生信用减值资产的定义</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为确定是否发生信用减值，公司所采用的界定标准，与内部针对相关金融工具的信用风险管理目标保持一致，同时考虑 定量、定性指标。公司评估债务人是否发生信用减值时，主要考虑以下因素：</w:t>
      </w:r>
    </w:p>
    <w:p>
      <w:pPr>
        <w:pStyle w:val="Style17"/>
        <w:keepNext w:val="0"/>
        <w:keepLines w:val="0"/>
        <w:widowControl w:val="0"/>
        <w:shd w:val="clear" w:color="auto" w:fill="auto"/>
        <w:tabs>
          <w:tab w:pos="805" w:val="left"/>
        </w:tabs>
        <w:bidi w:val="0"/>
        <w:spacing w:before="0" w:after="0" w:line="312" w:lineRule="exact"/>
        <w:ind w:left="0" w:right="0" w:firstLine="360"/>
        <w:jc w:val="both"/>
      </w:pPr>
      <w:bookmarkStart w:id="1653" w:name="bookmark1653"/>
      <w:r>
        <w:rPr>
          <w:color w:val="000000"/>
          <w:spacing w:val="0"/>
          <w:w w:val="100"/>
          <w:position w:val="0"/>
        </w:rPr>
        <w:t>（</w:t>
      </w:r>
      <w:bookmarkEnd w:id="1653"/>
      <w:r>
        <w:rPr>
          <w:rFonts w:ascii="Times New Roman" w:eastAsia="Times New Roman" w:hAnsi="Times New Roman" w:cs="Times New Roman"/>
          <w:color w:val="000000"/>
          <w:spacing w:val="0"/>
          <w:w w:val="100"/>
          <w:position w:val="0"/>
        </w:rPr>
        <w:t>1</w:t>
      </w:r>
      <w:r>
        <w:rPr>
          <w:color w:val="000000"/>
          <w:spacing w:val="0"/>
          <w:w w:val="100"/>
          <w:position w:val="0"/>
        </w:rPr>
        <w:t>）</w:t>
        <w:tab/>
        <w:t>发行方或债务人发生重大财务困难；</w:t>
      </w:r>
    </w:p>
    <w:p>
      <w:pPr>
        <w:pStyle w:val="Style17"/>
        <w:keepNext w:val="0"/>
        <w:keepLines w:val="0"/>
        <w:widowControl w:val="0"/>
        <w:shd w:val="clear" w:color="auto" w:fill="auto"/>
        <w:tabs>
          <w:tab w:pos="805" w:val="left"/>
        </w:tabs>
        <w:bidi w:val="0"/>
        <w:spacing w:before="0" w:after="0" w:line="312" w:lineRule="exact"/>
        <w:ind w:left="0" w:right="0" w:firstLine="360"/>
        <w:jc w:val="both"/>
      </w:pPr>
      <w:bookmarkStart w:id="1654" w:name="bookmark1654"/>
      <w:r>
        <w:rPr>
          <w:color w:val="000000"/>
          <w:spacing w:val="0"/>
          <w:w w:val="100"/>
          <w:position w:val="0"/>
        </w:rPr>
        <w:t>（</w:t>
      </w:r>
      <w:bookmarkEnd w:id="1654"/>
      <w:r>
        <w:rPr>
          <w:rFonts w:ascii="Times New Roman" w:eastAsia="Times New Roman" w:hAnsi="Times New Roman" w:cs="Times New Roman"/>
          <w:color w:val="000000"/>
          <w:spacing w:val="0"/>
          <w:w w:val="100"/>
          <w:position w:val="0"/>
        </w:rPr>
        <w:t>2</w:t>
      </w:r>
      <w:r>
        <w:rPr>
          <w:color w:val="000000"/>
          <w:spacing w:val="0"/>
          <w:w w:val="100"/>
          <w:position w:val="0"/>
        </w:rPr>
        <w:t>）</w:t>
        <w:tab/>
        <w:t>债务人违反合同，如偿付利息或本金违约或逾期等；</w:t>
      </w:r>
    </w:p>
    <w:p>
      <w:pPr>
        <w:pStyle w:val="Style17"/>
        <w:keepNext w:val="0"/>
        <w:keepLines w:val="0"/>
        <w:widowControl w:val="0"/>
        <w:shd w:val="clear" w:color="auto" w:fill="auto"/>
        <w:tabs>
          <w:tab w:pos="805" w:val="left"/>
        </w:tabs>
        <w:bidi w:val="0"/>
        <w:spacing w:before="0" w:after="0" w:line="312" w:lineRule="exact"/>
        <w:ind w:left="0" w:right="0" w:firstLine="360"/>
        <w:jc w:val="both"/>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rPr>
        <w:t>3</w:t>
      </w:r>
      <w:r>
        <w:rPr>
          <w:color w:val="000000"/>
          <w:spacing w:val="0"/>
          <w:w w:val="100"/>
          <w:position w:val="0"/>
        </w:rPr>
        <w:t>）</w:t>
        <w:tab/>
        <w:t>债权人出于与债务人财务困难有关的经济或合同考虑，给予债务人在任何其他情况下都不会做出的让步；</w:t>
      </w:r>
    </w:p>
    <w:p>
      <w:pPr>
        <w:pStyle w:val="Style17"/>
        <w:keepNext w:val="0"/>
        <w:keepLines w:val="0"/>
        <w:widowControl w:val="0"/>
        <w:shd w:val="clear" w:color="auto" w:fill="auto"/>
        <w:tabs>
          <w:tab w:pos="805" w:val="left"/>
        </w:tabs>
        <w:bidi w:val="0"/>
        <w:spacing w:before="0" w:after="0" w:line="312" w:lineRule="exact"/>
        <w:ind w:left="0" w:right="0" w:firstLine="360"/>
        <w:jc w:val="both"/>
      </w:pPr>
      <w:bookmarkStart w:id="1656" w:name="bookmark1656"/>
      <w:r>
        <w:rPr>
          <w:color w:val="000000"/>
          <w:spacing w:val="0"/>
          <w:w w:val="100"/>
          <w:position w:val="0"/>
        </w:rPr>
        <w:t>（</w:t>
      </w:r>
      <w:bookmarkEnd w:id="1656"/>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债务人很可能破产或进行其他财务重组；</w:t>
      </w:r>
    </w:p>
    <w:p>
      <w:pPr>
        <w:pStyle w:val="Style17"/>
        <w:keepNext w:val="0"/>
        <w:keepLines w:val="0"/>
        <w:widowControl w:val="0"/>
        <w:shd w:val="clear" w:color="auto" w:fill="auto"/>
        <w:tabs>
          <w:tab w:pos="805" w:val="left"/>
        </w:tabs>
        <w:bidi w:val="0"/>
        <w:spacing w:before="0" w:after="0" w:line="312" w:lineRule="exact"/>
        <w:ind w:left="0" w:right="0" w:firstLine="360"/>
        <w:jc w:val="left"/>
      </w:pPr>
      <w:bookmarkStart w:id="1657" w:name="bookmark1657"/>
      <w:r>
        <w:rPr>
          <w:color w:val="000000"/>
          <w:spacing w:val="0"/>
          <w:w w:val="100"/>
          <w:position w:val="0"/>
        </w:rPr>
        <w:t>（</w:t>
      </w:r>
      <w:bookmarkEnd w:id="1657"/>
      <w:r>
        <w:rPr>
          <w:rFonts w:ascii="Times New Roman" w:eastAsia="Times New Roman" w:hAnsi="Times New Roman" w:cs="Times New Roman"/>
          <w:color w:val="000000"/>
          <w:spacing w:val="0"/>
          <w:w w:val="100"/>
          <w:position w:val="0"/>
        </w:rPr>
        <w:t>5</w:t>
      </w:r>
      <w:r>
        <w:rPr>
          <w:color w:val="000000"/>
          <w:spacing w:val="0"/>
          <w:w w:val="100"/>
          <w:position w:val="0"/>
        </w:rPr>
        <w:t>）</w:t>
        <w:tab/>
        <w:t>发行方或债务人财务困难导致该金融资产的活跃市场消失；</w:t>
      </w:r>
    </w:p>
    <w:p>
      <w:pPr>
        <w:pStyle w:val="Style17"/>
        <w:keepNext w:val="0"/>
        <w:keepLines w:val="0"/>
        <w:widowControl w:val="0"/>
        <w:shd w:val="clear" w:color="auto" w:fill="auto"/>
        <w:tabs>
          <w:tab w:pos="805" w:val="left"/>
        </w:tabs>
        <w:bidi w:val="0"/>
        <w:spacing w:before="0" w:after="0" w:line="312" w:lineRule="exact"/>
        <w:ind w:left="0" w:right="0" w:firstLine="360"/>
        <w:jc w:val="left"/>
      </w:pPr>
      <w:bookmarkStart w:id="1658" w:name="bookmark1658"/>
      <w:r>
        <w:rPr>
          <w:color w:val="000000"/>
          <w:spacing w:val="0"/>
          <w:w w:val="100"/>
          <w:position w:val="0"/>
        </w:rPr>
        <w:t>（</w:t>
      </w:r>
      <w:bookmarkEnd w:id="1658"/>
      <w:r>
        <w:rPr>
          <w:rFonts w:ascii="Times New Roman" w:eastAsia="Times New Roman" w:hAnsi="Times New Roman" w:cs="Times New Roman"/>
          <w:color w:val="000000"/>
          <w:spacing w:val="0"/>
          <w:w w:val="100"/>
          <w:position w:val="0"/>
        </w:rPr>
        <w:t>6</w:t>
      </w:r>
      <w:r>
        <w:rPr>
          <w:color w:val="000000"/>
          <w:spacing w:val="0"/>
          <w:w w:val="100"/>
          <w:position w:val="0"/>
        </w:rPr>
        <w:t>）</w:t>
        <w:tab/>
        <w:t>以大幅折扣购买或源生一项金融资产，该折扣反映了发生信用损失的事实。</w:t>
      </w:r>
    </w:p>
    <w:p>
      <w:pPr>
        <w:pStyle w:val="Style17"/>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金融资产发生信用减值，有可能是多个事件的共同作用所致，未必是可单独识别的事件所致。</w:t>
      </w:r>
    </w:p>
    <w:p>
      <w:pPr>
        <w:pStyle w:val="Style17"/>
        <w:keepNext w:val="0"/>
        <w:keepLines w:val="0"/>
        <w:widowControl w:val="0"/>
        <w:shd w:val="clear" w:color="auto" w:fill="auto"/>
        <w:bidi w:val="0"/>
        <w:spacing w:before="0" w:after="0" w:line="316" w:lineRule="exact"/>
        <w:ind w:left="0" w:right="0" w:firstLine="360"/>
        <w:jc w:val="left"/>
      </w:pPr>
      <w:r>
        <w:rPr>
          <w:color w:val="000000"/>
          <w:spacing w:val="0"/>
          <w:w w:val="100"/>
          <w:position w:val="0"/>
        </w:rPr>
        <w:t>预期信用损失计量的参数</w:t>
      </w:r>
    </w:p>
    <w:p>
      <w:pPr>
        <w:pStyle w:val="Style1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根据信用风险是否发生显著增加以及是否已发生信用减值，公司对不同的资产分别以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个月或整个存续期的预期信用 损失计量减值准备。预期信用损失计量的关键参数包括违约概率、违约损失率和违约风险敞口。公司考虑历史统计数据（如 交易对手评级、担保方式及抵质押物类别、还款方式等）的定量分析及前瞻性信息，建立违约概率、违约损失率及违约风险 敞口模型。</w:t>
      </w:r>
    </w:p>
    <w:p>
      <w:pPr>
        <w:pStyle w:val="Style1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相关定义如下：</w:t>
      </w:r>
    </w:p>
    <w:p>
      <w:pPr>
        <w:pStyle w:val="Style17"/>
        <w:keepNext w:val="0"/>
        <w:keepLines w:val="0"/>
        <w:widowControl w:val="0"/>
        <w:shd w:val="clear" w:color="auto" w:fill="auto"/>
        <w:tabs>
          <w:tab w:pos="901" w:val="left"/>
        </w:tabs>
        <w:bidi w:val="0"/>
        <w:spacing w:before="0" w:after="0" w:line="316" w:lineRule="exact"/>
        <w:ind w:left="0" w:right="0" w:firstLine="360"/>
        <w:jc w:val="both"/>
      </w:pPr>
      <w:bookmarkStart w:id="1659" w:name="bookmark1659"/>
      <w:r>
        <w:rPr>
          <w:color w:val="000000"/>
          <w:spacing w:val="0"/>
          <w:w w:val="100"/>
          <w:position w:val="0"/>
        </w:rPr>
        <w:t>（</w:t>
      </w:r>
      <w:bookmarkEnd w:id="1659"/>
      <w:r>
        <w:rPr>
          <w:rFonts w:ascii="Times New Roman" w:eastAsia="Times New Roman" w:hAnsi="Times New Roman" w:cs="Times New Roman"/>
          <w:color w:val="000000"/>
          <w:spacing w:val="0"/>
          <w:w w:val="100"/>
          <w:position w:val="0"/>
        </w:rPr>
        <w:t>1</w:t>
      </w:r>
      <w:r>
        <w:rPr>
          <w:color w:val="000000"/>
          <w:spacing w:val="0"/>
          <w:w w:val="100"/>
          <w:position w:val="0"/>
        </w:rPr>
        <w:t>）</w:t>
        <w:tab/>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个月或在整个剩余存续期，无法履行其偿付义务的可能性。公司的违约概率以预期 信用减值损失模型结果为基础进行调整，加入前瞻性信息，以反映当前宏观经济环境下债务人的违约概率；</w:t>
      </w:r>
    </w:p>
    <w:p>
      <w:pPr>
        <w:pStyle w:val="Style17"/>
        <w:keepNext w:val="0"/>
        <w:keepLines w:val="0"/>
        <w:widowControl w:val="0"/>
        <w:shd w:val="clear" w:color="auto" w:fill="auto"/>
        <w:bidi w:val="0"/>
        <w:spacing w:before="0" w:after="0" w:line="316" w:lineRule="exact"/>
        <w:ind w:left="0" w:right="0" w:firstLine="360"/>
        <w:jc w:val="both"/>
      </w:pPr>
      <w:bookmarkStart w:id="1660" w:name="bookmark1660"/>
      <w:r>
        <w:rPr>
          <w:color w:val="000000"/>
          <w:spacing w:val="0"/>
          <w:w w:val="100"/>
          <w:position w:val="0"/>
        </w:rPr>
        <w:t>（</w:t>
      </w:r>
      <w:bookmarkEnd w:id="1660"/>
      <w:r>
        <w:rPr>
          <w:rFonts w:ascii="Times New Roman" w:eastAsia="Times New Roman" w:hAnsi="Times New Roman" w:cs="Times New Roman"/>
          <w:color w:val="000000"/>
          <w:spacing w:val="0"/>
          <w:w w:val="100"/>
          <w:position w:val="0"/>
        </w:rPr>
        <w:t>2</w:t>
      </w:r>
      <w:r>
        <w:rPr>
          <w:color w:val="000000"/>
          <w:spacing w:val="0"/>
          <w:w w:val="100"/>
          <w:position w:val="0"/>
        </w:rPr>
        <w:t>） 违约损失率是指公司对违约风险暴露发生损失程度作出的预期。根据交易对手的类型、追索的方式和优先级，以 及担保品的不同，违约损失率也有所不同。违约损失率为违约发生时风险敞口损失的百分比，以未来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 为基准进行计算；</w:t>
      </w:r>
    </w:p>
    <w:p>
      <w:pPr>
        <w:pStyle w:val="Style17"/>
        <w:keepNext w:val="0"/>
        <w:keepLines w:val="0"/>
        <w:widowControl w:val="0"/>
        <w:shd w:val="clear" w:color="auto" w:fill="auto"/>
        <w:tabs>
          <w:tab w:pos="805" w:val="left"/>
        </w:tabs>
        <w:bidi w:val="0"/>
        <w:spacing w:before="0" w:after="0" w:line="316" w:lineRule="exact"/>
        <w:ind w:left="0" w:right="0" w:firstLine="360"/>
        <w:jc w:val="both"/>
      </w:pPr>
      <w:bookmarkStart w:id="1661" w:name="bookmark1661"/>
      <w:r>
        <w:rPr>
          <w:color w:val="000000"/>
          <w:spacing w:val="0"/>
          <w:w w:val="100"/>
          <w:position w:val="0"/>
        </w:rPr>
        <w:t>（</w:t>
      </w:r>
      <w:bookmarkEnd w:id="1661"/>
      <w:r>
        <w:rPr>
          <w:rFonts w:ascii="Times New Roman" w:eastAsia="Times New Roman" w:hAnsi="Times New Roman" w:cs="Times New Roman"/>
          <w:color w:val="000000"/>
          <w:spacing w:val="0"/>
          <w:w w:val="100"/>
          <w:position w:val="0"/>
        </w:rPr>
        <w:t>3</w:t>
      </w:r>
      <w:r>
        <w:rPr>
          <w:color w:val="000000"/>
          <w:spacing w:val="0"/>
          <w:w w:val="100"/>
          <w:position w:val="0"/>
        </w:rPr>
        <w:t>）</w:t>
        <w:tab/>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个月或在整个剩余存续期中，在违约发生时，公司应被偿付的金额。</w:t>
      </w:r>
    </w:p>
    <w:p>
      <w:pPr>
        <w:pStyle w:val="Style17"/>
        <w:keepNext w:val="0"/>
        <w:keepLines w:val="0"/>
        <w:widowControl w:val="0"/>
        <w:shd w:val="clear" w:color="auto" w:fill="auto"/>
        <w:bidi w:val="0"/>
        <w:spacing w:before="0" w:after="0" w:line="316" w:lineRule="exact"/>
        <w:ind w:left="0" w:right="0" w:firstLine="360"/>
        <w:jc w:val="both"/>
      </w:pPr>
      <w:r>
        <w:rPr>
          <w:color w:val="000000"/>
          <w:spacing w:val="0"/>
          <w:w w:val="100"/>
          <w:position w:val="0"/>
        </w:rPr>
        <w:t>信用风险显著增加的评估及预期信用损失的计算均涉及前瞻性信息。公司通过进行历史数据分析，识别出影响各业务类 型信用风险及预期信用损失的关键经济指标。</w:t>
      </w:r>
    </w:p>
    <w:p>
      <w:pPr>
        <w:pStyle w:val="Style17"/>
        <w:keepNext w:val="0"/>
        <w:keepLines w:val="0"/>
        <w:widowControl w:val="0"/>
        <w:shd w:val="clear" w:color="auto" w:fill="auto"/>
        <w:bidi w:val="0"/>
        <w:spacing w:before="0" w:after="400" w:line="316" w:lineRule="exact"/>
        <w:ind w:left="0" w:right="0" w:firstLine="360"/>
        <w:jc w:val="both"/>
      </w:pPr>
      <w:r>
        <w:rPr>
          <w:color w:val="000000"/>
          <w:spacing w:val="0"/>
          <w:w w:val="100"/>
          <w:position w:val="0"/>
        </w:rPr>
        <w:t>这些经济指标对违约概率和违约损失率的影响，对不同的业务类型有所不同。公司在此过程中应用了专家判断，根据专 家判断的结果，每季度对这些经济指标进行预测，并通过进行回归分析确定这些经济指标对违约概率和违约损失率的影响。</w:t>
      </w:r>
    </w:p>
    <w:p>
      <w:pPr>
        <w:pStyle w:val="Style1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信用风险敞口</w:t>
      </w:r>
    </w:p>
    <w:p>
      <w:pPr>
        <w:pStyle w:val="Style26"/>
        <w:keepNext w:val="0"/>
        <w:keepLines w:val="0"/>
        <w:widowControl w:val="0"/>
        <w:shd w:val="clear" w:color="auto" w:fill="auto"/>
        <w:bidi w:val="0"/>
        <w:spacing w:before="0" w:after="100" w:line="240" w:lineRule="auto"/>
        <w:ind w:left="0" w:right="0" w:firstLine="0"/>
        <w:jc w:val="distribute"/>
      </w:pPr>
      <w:r>
        <w:rPr>
          <w:color w:val="000000"/>
          <w:spacing w:val="0"/>
          <w:w w:val="100"/>
          <w:position w:val="0"/>
        </w:rPr>
        <w:t>按照内部评级进行信用风险分级的风险敞口:</w:t>
      </w:r>
    </w:p>
    <w:p>
      <w:pPr>
        <w:pStyle w:val="Style26"/>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bl>
      <w:tblPr>
        <w:tblOverlap w:val="never"/>
        <w:jc w:val="center"/>
        <w:tblLayout w:type="fixed"/>
      </w:tblPr>
      <w:tblGrid>
        <w:gridCol w:w="1877"/>
        <w:gridCol w:w="1925"/>
        <w:gridCol w:w="2107"/>
        <w:gridCol w:w="1862"/>
        <w:gridCol w:w="1877"/>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账面余额（无担保）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账面余额（有担保）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6,590,287,309.23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1,860,564,843.57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9,376,694.70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19,944,742.50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50,342,101.80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6,571,220.29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10,785,610.95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65,780,402.74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54,950,400.00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1925"/>
        <w:gridCol w:w="2107"/>
        <w:gridCol w:w="1862"/>
        <w:gridCol w:w="1877"/>
      </w:tblGrid>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6,808,038,482.21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1,861,064,843.57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1877"/>
        <w:gridCol w:w="1925"/>
        <w:gridCol w:w="2107"/>
        <w:gridCol w:w="1862"/>
        <w:gridCol w:w="1877"/>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账面余额（无担保）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账面余额（有担保）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5,430,072,369.01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2,147,562,283.49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12,623,144.00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117,826,886.20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1,918,870.19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10,367,610.96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52,821,620.55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5,627,011,630.72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2,149,481,153.68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
        <w:keepNext w:val="0"/>
        <w:keepLines w:val="0"/>
        <w:widowControl w:val="0"/>
        <w:shd w:val="clear" w:color="auto" w:fill="auto"/>
        <w:bidi w:val="0"/>
        <w:spacing w:before="0" w:after="80" w:line="240" w:lineRule="auto"/>
        <w:ind w:left="0" w:right="0" w:firstLine="360"/>
        <w:jc w:val="left"/>
      </w:pPr>
      <w:r>
        <w:rPr>
          <w:b/>
          <w:bCs/>
          <w:color w:val="000000"/>
          <w:spacing w:val="0"/>
          <w:w w:val="100"/>
          <w:position w:val="0"/>
        </w:rPr>
        <w:t>流动性风险</w:t>
      </w:r>
    </w:p>
    <w:p>
      <w:pPr>
        <w:pStyle w:val="Style17"/>
        <w:keepNext w:val="0"/>
        <w:keepLines w:val="0"/>
        <w:widowControl w:val="0"/>
        <w:shd w:val="clear" w:color="auto" w:fill="auto"/>
        <w:bidi w:val="0"/>
        <w:spacing w:before="0" w:after="80" w:line="240" w:lineRule="auto"/>
        <w:ind w:left="0" w:right="0" w:firstLine="360"/>
        <w:jc w:val="left"/>
      </w:pPr>
      <w:r>
        <w:rPr>
          <w:color w:val="000000"/>
          <w:spacing w:val="0"/>
          <w:w w:val="100"/>
          <w:position w:val="0"/>
        </w:rPr>
        <w:t xml:space="preserve">公司采用循环流动性计划工具管理资金短缺风险。该工具既考虑其金融工具的到期日，也考虑公司运营产生的预计现金 </w:t>
      </w:r>
      <w:r>
        <w:rPr>
          <w:color w:val="000000"/>
          <w:spacing w:val="0"/>
          <w:w w:val="100"/>
          <w:position w:val="0"/>
        </w:rPr>
        <w:t>流量。</w:t>
      </w:r>
    </w:p>
    <w:p>
      <w:pPr>
        <w:pStyle w:val="Style17"/>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下表概括了金融负债按未折现的合同现金流量所作的到期期限分析:</w:t>
      </w:r>
    </w:p>
    <w:p>
      <w:pPr>
        <w:pStyle w:val="Style38"/>
        <w:keepNext w:val="0"/>
        <w:keepLines w:val="0"/>
        <w:widowControl w:val="0"/>
        <w:shd w:val="clear" w:color="auto" w:fill="auto"/>
        <w:bidi w:val="0"/>
        <w:spacing w:before="0" w:after="80" w:line="240" w:lineRule="auto"/>
        <w:ind w:left="0" w:right="0" w:firstLine="360"/>
        <w:jc w:val="left"/>
      </w:pPr>
      <w:r>
        <w:rPr>
          <w:color w:val="000000"/>
          <w:spacing w:val="0"/>
          <w:w w:val="100"/>
          <w:position w:val="0"/>
        </w:rPr>
        <w:t xml:space="preserve">2021 </w:t>
      </w:r>
      <w:r>
        <w:rPr>
          <w:rFonts w:ascii="SimSun" w:eastAsia="SimSun" w:hAnsi="SimSun" w:cs="SimSun"/>
          <w:color w:val="000000"/>
          <w:spacing w:val="0"/>
          <w:w w:val="100"/>
          <w:position w:val="0"/>
        </w:rPr>
        <w:t>年</w:t>
      </w:r>
    </w:p>
    <w:tbl>
      <w:tblPr>
        <w:tblOverlap w:val="never"/>
        <w:jc w:val="center"/>
        <w:tblLayout w:type="fixed"/>
      </w:tblPr>
      <w:tblGrid>
        <w:gridCol w:w="3408"/>
        <w:gridCol w:w="1574"/>
        <w:gridCol w:w="1171"/>
        <w:gridCol w:w="1718"/>
        <w:gridCol w:w="1776"/>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即期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5,123,187.50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5,123,187.50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54,761.61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345,560,375.00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345,560,375.00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459,761,379.22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459,761,379.22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其他应付款（不含预提费用）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433,214,716.28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433,214,716.28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其他流动负债（不含待转销项税额）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1,108,971.50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1,108,971.50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一年内到期的非流动负债（不含预计负债 和租赁负债）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148,213,127.02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148,213,127.02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176,850,032.92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176,850,032.92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517,500,000.00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88,370,449.16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88,370,449.16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836,892,616.51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836,892,616.51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3,012,649,616.72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54,761.61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1,392,981,756.52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1,619,613,098.59</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3413"/>
        <w:gridCol w:w="1570"/>
        <w:gridCol w:w="1176"/>
        <w:gridCol w:w="1714"/>
        <w:gridCol w:w="1776"/>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567,889,240.30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567,889,240.30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3"/>
        <w:gridCol w:w="1570"/>
        <w:gridCol w:w="1176"/>
        <w:gridCol w:w="1714"/>
        <w:gridCol w:w="1776"/>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873,230,959.48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873,230,959.48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其他应付款（不含预提费用）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411,644,741.15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411,644,741.15</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其他流动负债（不含待转销项税额）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一年内到期的非流动负债（不含预计负 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83,405,578.50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83,405,578.50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184,852,367.61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8,002,334.69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176,850,032.92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552,500,000.00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535,000,000.00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941,332,176.91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941,332,176.91</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3,615,155,063.95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1,961,972,854.12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1,653,182,209.83</w:t>
            </w:r>
          </w:p>
        </w:tc>
      </w:tr>
    </w:tbl>
    <w:p>
      <w:pPr>
        <w:widowControl w:val="0"/>
        <w:spacing w:after="339" w:line="1" w:lineRule="exact"/>
      </w:pPr>
    </w:p>
    <w:p>
      <w:pPr>
        <w:pStyle w:val="Style17"/>
        <w:keepNext w:val="0"/>
        <w:keepLines w:val="0"/>
        <w:widowControl w:val="0"/>
        <w:shd w:val="clear" w:color="auto" w:fill="auto"/>
        <w:bidi w:val="0"/>
        <w:spacing w:before="0" w:line="240" w:lineRule="auto"/>
        <w:ind w:left="0" w:right="0" w:firstLine="360"/>
        <w:jc w:val="both"/>
      </w:pPr>
      <w:r>
        <w:rPr>
          <w:b/>
          <w:bCs/>
          <w:color w:val="000000"/>
          <w:spacing w:val="0"/>
          <w:w w:val="100"/>
          <w:position w:val="0"/>
        </w:rPr>
        <w:t>市场风险</w:t>
      </w:r>
    </w:p>
    <w:p>
      <w:pPr>
        <w:pStyle w:val="Style17"/>
        <w:keepNext w:val="0"/>
        <w:keepLines w:val="0"/>
        <w:widowControl w:val="0"/>
        <w:shd w:val="clear" w:color="auto" w:fill="auto"/>
        <w:bidi w:val="0"/>
        <w:spacing w:before="0" w:line="240" w:lineRule="auto"/>
        <w:ind w:left="0" w:right="0" w:firstLine="360"/>
        <w:jc w:val="both"/>
      </w:pPr>
      <w:r>
        <w:rPr>
          <w:color w:val="000000"/>
          <w:spacing w:val="0"/>
          <w:w w:val="100"/>
          <w:position w:val="0"/>
        </w:rPr>
        <w:t>汇率风险</w:t>
      </w:r>
    </w:p>
    <w:p>
      <w:pPr>
        <w:pStyle w:val="Style17"/>
        <w:keepNext w:val="0"/>
        <w:keepLines w:val="0"/>
        <w:widowControl w:val="0"/>
        <w:shd w:val="clear" w:color="auto" w:fill="auto"/>
        <w:bidi w:val="0"/>
        <w:spacing w:before="0" w:line="240" w:lineRule="auto"/>
        <w:ind w:left="0" w:right="0" w:firstLine="360"/>
        <w:jc w:val="both"/>
      </w:pPr>
      <w:r>
        <w:rPr>
          <w:color w:val="000000"/>
          <w:spacing w:val="0"/>
          <w:w w:val="100"/>
          <w:position w:val="0"/>
        </w:rPr>
        <w:t>公司面临交易性的汇率风险。此类风险由于经营单位以其记账本位币以外的货币进行的销售或采购所致。</w:t>
      </w:r>
    </w:p>
    <w:p>
      <w:pPr>
        <w:pStyle w:val="Style17"/>
        <w:keepNext w:val="0"/>
        <w:keepLines w:val="0"/>
        <w:widowControl w:val="0"/>
        <w:shd w:val="clear" w:color="auto" w:fill="auto"/>
        <w:bidi w:val="0"/>
        <w:spacing w:before="0" w:line="240" w:lineRule="auto"/>
        <w:ind w:left="0" w:right="0" w:firstLine="360"/>
        <w:jc w:val="both"/>
      </w:pPr>
      <w:r>
        <w:rPr>
          <w:color w:val="000000"/>
          <w:spacing w:val="0"/>
          <w:w w:val="100"/>
          <w:position w:val="0"/>
        </w:rPr>
        <w:t>下表为汇率风险的敏感性分析，反映了在其他变量不变的假设下，港币和美元汇率发生合理、可能的变动时，金融工</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具将对净损益和其他综合收益税后净额产生的影响。</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bl>
      <w:tblPr>
        <w:tblOverlap w:val="never"/>
        <w:jc w:val="center"/>
        <w:tblLayout w:type="fixed"/>
      </w:tblPr>
      <w:tblGrid>
        <w:gridCol w:w="1987"/>
        <w:gridCol w:w="1810"/>
        <w:gridCol w:w="1805"/>
        <w:gridCol w:w="2136"/>
        <w:gridCol w:w="1910"/>
      </w:tblGrid>
      <w:tr>
        <w:trPr>
          <w:trHeight w:val="6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净损益增加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其他综合收益的税后净额 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股东权益合计增加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 少）</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人民币对港币贬值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130,491,723.51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-572,933.98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129,918,789.53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人民币对港币升值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-130,491,723.51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572,933.98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-129,918,789.53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人民币对美元贬值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2,026,768.42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2,026,768.42</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人民币对美元升值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-2,026,768.42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-2,026,768.42</w:t>
            </w:r>
          </w:p>
        </w:tc>
      </w:tr>
    </w:tbl>
    <w:p>
      <w:pPr>
        <w:widowControl w:val="0"/>
        <w:spacing w:after="339" w:line="1" w:lineRule="exact"/>
      </w:pPr>
    </w:p>
    <w:p>
      <w:pPr>
        <w:pStyle w:val="Style26"/>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2146"/>
        <w:gridCol w:w="1646"/>
        <w:gridCol w:w="1810"/>
        <w:gridCol w:w="2112"/>
        <w:gridCol w:w="1934"/>
      </w:tblGrid>
      <w:tr>
        <w:trPr>
          <w:trHeight w:val="6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净损益增加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其他综合收益的税后净额 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股东权益合计增加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 少）</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人民币对港币贬值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16,791,145.71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16,825,549.72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人民币对港币升值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-16,791,145.71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-16,825,549.72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人民币对美元贬值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152,860,620.15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152,860,620.15</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人民币对美元升值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-152,860,620.15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-152,860,620.15</w:t>
            </w:r>
          </w:p>
        </w:tc>
      </w:tr>
    </w:tbl>
    <w:p>
      <w:pPr>
        <w:pStyle w:val="Style26"/>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不包括留存收益和外币报表折算差额</w:t>
      </w:r>
    </w:p>
    <w:p>
      <w:pPr>
        <w:widowControl w:val="0"/>
        <w:spacing w:after="259" w:line="1" w:lineRule="exact"/>
      </w:pP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权益工具投资风险</w:t>
      </w:r>
    </w:p>
    <w:p>
      <w:pPr>
        <w:pStyle w:val="Style1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权益工具投资价格风险，是指权益性证券的公允价值因股票指数水平和个别证券价值的变化而降低的风险。于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日，公司暴露于因分类为以公允价值计量且其变动计入当期损益的权益工具投资和以公允价值计量且其变动计入其他 综合收益的权益工具投资的个别权益工具投资而产生的权益工具投资价格风险之下。公司持有的上市权益工具投资在香港 证券交易所上市，并在资产负债表日以市场报价计量。</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以下证券交易所的、在最接近资产负债表日的交易日的收盘时的市场股票指数，以及年度内其各自的最高收盘点和最低 收盘点如下：</w:t>
      </w:r>
    </w:p>
    <w:tbl>
      <w:tblPr>
        <w:tblOverlap w:val="never"/>
        <w:jc w:val="center"/>
        <w:tblLayout w:type="fixed"/>
      </w:tblPr>
      <w:tblGrid>
        <w:gridCol w:w="3106"/>
        <w:gridCol w:w="1435"/>
        <w:gridCol w:w="1757"/>
        <w:gridCol w:w="1430"/>
        <w:gridCol w:w="1781"/>
      </w:tblGrid>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最高</w:t>
            </w:r>
            <w:r>
              <w:rPr>
                <w:rFonts w:ascii="Times New Roman" w:eastAsia="Times New Roman" w:hAnsi="Times New Roman" w:cs="Times New Roman"/>
                <w:color w:val="000000"/>
                <w:spacing w:val="0"/>
                <w:w w:val="100"/>
                <w:position w:val="0"/>
              </w:rPr>
              <w:t>/</w:t>
            </w:r>
            <w:r>
              <w:rPr>
                <w:color w:val="000000"/>
                <w:spacing w:val="0"/>
                <w:w w:val="100"/>
                <w:position w:val="0"/>
              </w:rPr>
              <w:t>最低</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最高</w:t>
            </w:r>
            <w:r>
              <w:rPr>
                <w:rFonts w:ascii="Times New Roman" w:eastAsia="Times New Roman" w:hAnsi="Times New Roman" w:cs="Times New Roman"/>
                <w:color w:val="000000"/>
                <w:spacing w:val="0"/>
                <w:w w:val="100"/>
                <w:position w:val="0"/>
              </w:rPr>
              <w:t>/</w:t>
            </w:r>
            <w:r>
              <w:rPr>
                <w:color w:val="000000"/>
                <w:spacing w:val="0"/>
                <w:w w:val="100"/>
                <w:position w:val="0"/>
              </w:rPr>
              <w:t>最低</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恒生指数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31,183/22,745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29,175/21,139</w:t>
            </w:r>
          </w:p>
        </w:tc>
      </w:tr>
    </w:tbl>
    <w:p>
      <w:pPr>
        <w:spacing w:lineRule="exact" w:line="1"/>
        <w:rPr>
          <w:sz w:val="2"/>
          <w:szCs w:val="2"/>
        </w:rPr>
      </w:pPr>
      <w:r>
        <w:br w:type="page"/>
      </w:r>
    </w:p>
    <w:p>
      <w:pPr>
        <w:pStyle w:val="Style17"/>
        <w:keepNext w:val="0"/>
        <w:keepLines w:val="0"/>
        <w:widowControl w:val="0"/>
        <w:shd w:val="clear" w:color="auto" w:fill="auto"/>
        <w:bidi w:val="0"/>
        <w:spacing w:before="0" w:after="80" w:line="240" w:lineRule="auto"/>
        <w:ind w:left="0" w:right="0" w:firstLine="360"/>
        <w:jc w:val="both"/>
      </w:pPr>
      <w:r>
        <w:rPr>
          <w:color w:val="000000"/>
          <w:spacing w:val="0"/>
          <w:w w:val="100"/>
          <w:position w:val="0"/>
        </w:rPr>
        <w:t>下表说明了，在所有其他变量保持不变的假设下，公司的净损益和其他综合收益的税后净额对权益工具投资的公允价值</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的每</w:t>
      </w:r>
      <w:r>
        <w:rPr>
          <w:rFonts w:ascii="Times New Roman" w:eastAsia="Times New Roman" w:hAnsi="Times New Roman" w:cs="Times New Roman"/>
          <w:color w:val="000000"/>
          <w:spacing w:val="0"/>
          <w:w w:val="100"/>
          <w:position w:val="0"/>
        </w:rPr>
        <w:t>5%</w:t>
      </w:r>
      <w:r>
        <w:rPr>
          <w:color w:val="000000"/>
          <w:spacing w:val="0"/>
          <w:w w:val="100"/>
          <w:position w:val="0"/>
        </w:rPr>
        <w:t>的变动（以资产负债表日的账面价值为基础）的敏感性。</w:t>
      </w:r>
    </w:p>
    <w:p>
      <w:pPr>
        <w:pStyle w:val="Style26"/>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bl>
      <w:tblPr>
        <w:tblOverlap w:val="never"/>
        <w:jc w:val="center"/>
        <w:tblLayout w:type="fixed"/>
      </w:tblPr>
      <w:tblGrid>
        <w:gridCol w:w="3173"/>
        <w:gridCol w:w="1589"/>
        <w:gridCol w:w="1219"/>
        <w:gridCol w:w="2102"/>
        <w:gridCol w:w="1565"/>
      </w:tblGrid>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权益工具投资</w:t>
            </w:r>
            <w:r>
              <w:rPr>
                <w:rFonts w:ascii="Times New Roman" w:eastAsia="Times New Roman" w:hAnsi="Times New Roman" w:cs="Times New Roman"/>
                <w:color w:val="000000"/>
                <w:spacing w:val="0"/>
                <w:w w:val="100"/>
                <w:position w:val="0"/>
              </w:rPr>
              <w:t>/</w:t>
            </w:r>
            <w:r>
              <w:rPr>
                <w:color w:val="000000"/>
                <w:spacing w:val="0"/>
                <w:w w:val="100"/>
                <w:position w:val="0"/>
              </w:rPr>
              <w:t>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净损益增加</w:t>
            </w:r>
            <w:r>
              <w:rPr>
                <w:rFonts w:ascii="Times New Roman" w:eastAsia="Times New Roman" w:hAnsi="Times New Roman" w:cs="Times New Roman"/>
                <w:color w:val="000000"/>
                <w:spacing w:val="0"/>
                <w:w w:val="100"/>
                <w:position w:val="0"/>
              </w:rPr>
              <w:t>/</w:t>
            </w:r>
            <w:r>
              <w:rPr>
                <w:color w:val="000000"/>
                <w:spacing w:val="0"/>
                <w:w w:val="100"/>
                <w:position w:val="0"/>
              </w:rPr>
              <w:t>减 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其他综合收益的税后净额 增加</w:t>
            </w:r>
            <w:r>
              <w:rPr>
                <w:rFonts w:ascii="Times New Roman" w:eastAsia="Times New Roman" w:hAnsi="Times New Roman" w:cs="Times New Roman"/>
                <w:color w:val="000000"/>
                <w:spacing w:val="0"/>
                <w:w w:val="100"/>
                <w:position w:val="0"/>
              </w:rPr>
              <w:t>/</w:t>
            </w: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股东权益合计增加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200"/>
              <w:jc w:val="left"/>
            </w:pPr>
            <w:r>
              <w:rPr>
                <w:color w:val="000000"/>
                <w:spacing w:val="0"/>
                <w:w w:val="100"/>
                <w:position w:val="0"/>
              </w:rPr>
              <w:t>香港</w:t>
            </w:r>
            <w:r>
              <w:rPr>
                <w:color w:val="000000"/>
                <w:spacing w:val="0"/>
                <w:w w:val="100"/>
                <w:position w:val="0"/>
              </w:rPr>
              <w:t>一</w:t>
            </w:r>
            <w:r>
              <w:rPr>
                <w:color w:val="000000"/>
                <w:spacing w:val="0"/>
                <w:w w:val="100"/>
                <w:position w:val="0"/>
              </w:rPr>
              <w:t>以公允价值计量且其变动计入 当期损益的权益工具投资</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4,517,240.00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188,594.77</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188,594.77</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/-188,594.77</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/-188,594.77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以公允价值计量的未上市权益工具投资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200"/>
              <w:jc w:val="left"/>
            </w:pPr>
            <w:r>
              <w:rPr>
                <w:color w:val="000000"/>
                <w:spacing w:val="0"/>
                <w:w w:val="100"/>
                <w:position w:val="0"/>
              </w:rPr>
              <w:t>一</w:t>
            </w:r>
            <w:r>
              <w:rPr>
                <w:color w:val="000000"/>
                <w:spacing w:val="0"/>
                <w:w w:val="100"/>
                <w:position w:val="0"/>
              </w:rPr>
              <w:t>以公允价值计量且其变动计入当期 损益的权益工具投资</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449,162,221.55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19,089,394.42</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19,089,394.42</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/-19,089,394.42</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/-19,089,394.42</w:t>
            </w:r>
          </w:p>
        </w:tc>
      </w:tr>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200"/>
              <w:jc w:val="left"/>
            </w:pPr>
            <w:r>
              <w:rPr>
                <w:color w:val="000000"/>
                <w:spacing w:val="0"/>
                <w:w w:val="100"/>
                <w:position w:val="0"/>
              </w:rPr>
              <w:t>一</w:t>
            </w:r>
            <w:r>
              <w:rPr>
                <w:color w:val="000000"/>
                <w:spacing w:val="0"/>
                <w:w w:val="100"/>
                <w:position w:val="0"/>
              </w:rPr>
              <w:t>以公允价值计量且其变动计入其他 综合收益的权益工具投资</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241,381,563.03</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10,245,277.44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10,245,277.44</w:t>
            </w:r>
          </w:p>
        </w:tc>
      </w:tr>
      <w:tr>
        <w:trPr>
          <w:trHeight w:val="35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/-10,245,277.44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/-10,245,277.44</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2530"/>
        <w:gridCol w:w="1896"/>
        <w:gridCol w:w="1579"/>
        <w:gridCol w:w="2054"/>
        <w:gridCol w:w="1589"/>
      </w:tblGrid>
      <w:tr>
        <w:trPr>
          <w:trHeight w:val="6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权益工具投资</w:t>
            </w:r>
            <w:r>
              <w:rPr>
                <w:rFonts w:ascii="Times New Roman" w:eastAsia="Times New Roman" w:hAnsi="Times New Roman" w:cs="Times New Roman"/>
                <w:color w:val="000000"/>
                <w:spacing w:val="0"/>
                <w:w w:val="100"/>
                <w:position w:val="0"/>
              </w:rPr>
              <w:t>/</w:t>
            </w:r>
            <w:r>
              <w:rPr>
                <w:color w:val="000000"/>
                <w:spacing w:val="0"/>
                <w:w w:val="100"/>
                <w:position w:val="0"/>
              </w:rPr>
              <w:t>股份转换 权账面价值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净损益增加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 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其他综合收益的税后净额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股东权益合计增加</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200"/>
              <w:jc w:val="left"/>
            </w:pPr>
            <w:r>
              <w:rPr>
                <w:color w:val="000000"/>
                <w:spacing w:val="0"/>
                <w:w w:val="100"/>
                <w:position w:val="0"/>
              </w:rPr>
              <w:t>香港</w:t>
            </w:r>
            <w:r>
              <w:rPr>
                <w:color w:val="000000"/>
                <w:spacing w:val="0"/>
                <w:w w:val="100"/>
                <w:position w:val="0"/>
              </w:rPr>
              <w:t>一</w:t>
            </w:r>
            <w:r>
              <w:rPr>
                <w:color w:val="000000"/>
                <w:spacing w:val="0"/>
                <w:w w:val="100"/>
                <w:position w:val="0"/>
              </w:rPr>
              <w:t>以公允价值计量且其 变动计入当期损益的权益工具 投资</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6,564,480.00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274,067.04</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274,067.04</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/-274,067.04</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/-274,067.04</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以公允价值计量的未上市权益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一</w:t>
            </w:r>
            <w:r>
              <w:rPr>
                <w:color w:val="000000"/>
                <w:spacing w:val="0"/>
                <w:w w:val="100"/>
                <w:position w:val="0"/>
              </w:rPr>
              <w:t>以公允价值计量且其变动 计入当期损益的权益工具投资</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257,946,385.25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10,962,721.37</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10,962,721.37</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/-10,962,721.37</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/-10,962,721.37</w:t>
            </w:r>
          </w:p>
        </w:tc>
      </w:tr>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200"/>
              <w:jc w:val="left"/>
            </w:pPr>
            <w:r>
              <w:rPr>
                <w:color w:val="000000"/>
                <w:spacing w:val="0"/>
                <w:w w:val="100"/>
                <w:position w:val="0"/>
              </w:rPr>
              <w:t>一</w:t>
            </w:r>
            <w:r>
              <w:rPr>
                <w:color w:val="000000"/>
                <w:spacing w:val="0"/>
                <w:w w:val="100"/>
                <w:position w:val="0"/>
              </w:rPr>
              <w:t>以公允价值计量且其变动 计入其他综合收益的权益工具 投资</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227,434,198.19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9,652,281.01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9,652,281.01</w:t>
            </w:r>
          </w:p>
        </w:tc>
      </w:tr>
      <w:tr>
        <w:trPr>
          <w:trHeight w:val="62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/-9,652,281.01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/-9,652,281.01</w:t>
            </w:r>
          </w:p>
        </w:tc>
      </w:tr>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股份转换权</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35,511,087.86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1,509,221.23</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1,509,221.23</w:t>
            </w:r>
          </w:p>
        </w:tc>
      </w:tr>
      <w:tr>
        <w:trPr>
          <w:trHeight w:val="36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/-1,509,221.23</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/-1,509,221.23</w:t>
            </w:r>
          </w:p>
        </w:tc>
      </w:tr>
    </w:tbl>
    <w:p>
      <w:pPr>
        <w:widowControl w:val="0"/>
        <w:spacing w:after="319" w:line="1" w:lineRule="exact"/>
      </w:pPr>
    </w:p>
    <w:p>
      <w:pPr>
        <w:pStyle w:val="Style24"/>
        <w:keepNext/>
        <w:keepLines/>
        <w:widowControl w:val="0"/>
        <w:shd w:val="clear" w:color="auto" w:fill="auto"/>
        <w:bidi w:val="0"/>
        <w:spacing w:before="0" w:after="0" w:line="240" w:lineRule="auto"/>
        <w:ind w:left="0" w:right="0" w:firstLine="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sz w:val="24"/>
          <w:szCs w:val="24"/>
        </w:rPr>
        <w:t>4</w:t>
      </w:r>
      <w:bookmarkEnd w:id="1664"/>
      <w:r>
        <w:rPr>
          <w:color w:val="000000"/>
          <w:spacing w:val="0"/>
          <w:w w:val="100"/>
          <w:position w:val="0"/>
          <w:sz w:val="24"/>
          <w:szCs w:val="24"/>
        </w:rPr>
        <w:t>、资本管理</w:t>
      </w:r>
      <w:bookmarkEnd w:id="1662"/>
      <w:bookmarkEnd w:id="1663"/>
      <w:bookmarkEnd w:id="1665"/>
    </w:p>
    <w:p>
      <w:pPr>
        <w:pStyle w:val="Style17"/>
        <w:keepNext w:val="0"/>
        <w:keepLines w:val="0"/>
        <w:widowControl w:val="0"/>
        <w:shd w:val="clear" w:color="auto" w:fill="auto"/>
        <w:bidi w:val="0"/>
        <w:spacing w:before="0" w:after="0" w:line="341" w:lineRule="exact"/>
        <w:ind w:left="0" w:right="0" w:firstLine="360"/>
        <w:jc w:val="both"/>
      </w:pPr>
      <w:r>
        <w:rPr>
          <w:color w:val="000000"/>
          <w:spacing w:val="0"/>
          <w:w w:val="100"/>
          <w:position w:val="0"/>
        </w:rPr>
        <w:t>公司资本管理的主要目标是确保公司持续经营的能力，并保持健康的资本比率，以支持业务发展并使股东价值最大 化。</w:t>
      </w:r>
    </w:p>
    <w:p>
      <w:pPr>
        <w:pStyle w:val="Style17"/>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公司根据经济形势以及相关资产的风险特征的变化管理资本结构并对其进行调整。为维持或调整资本结构，公司可以 调整对股东的利润分配、向股东归还资本或发行新股。公司不受外部强制性资本要求约束。</w:t>
      </w:r>
      <w:r>
        <w:rPr>
          <w:rFonts w:ascii="Times New Roman" w:eastAsia="Times New Roman" w:hAnsi="Times New Roman" w:cs="Times New Roman"/>
          <w:color w:val="000000"/>
          <w:spacing w:val="0"/>
          <w:w w:val="100"/>
          <w:position w:val="0"/>
        </w:rPr>
        <w:t>2021</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年度，资本管 理目标、政策或程序未发生变化。</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公司采用资产负债率来管理资本，资产负债率是总负债和总资产的比率，公司于资产负债表日的负债率如下:</w:t>
      </w:r>
    </w:p>
    <w:tbl>
      <w:tblPr>
        <w:tblOverlap w:val="never"/>
        <w:jc w:val="center"/>
        <w:tblLayout w:type="fixed"/>
      </w:tblPr>
      <w:tblGrid>
        <w:gridCol w:w="4742"/>
        <w:gridCol w:w="2371"/>
        <w:gridCol w:w="2314"/>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14,254,029,629.93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11,195,040,535.59</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4,812,756,470.14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5,169,299,593.44</w:t>
            </w:r>
          </w:p>
        </w:tc>
      </w:tr>
    </w:tbl>
    <w:p>
      <w:pPr>
        <w:spacing w:lineRule="exact" w:line="1"/>
        <w:rPr>
          <w:sz w:val="2"/>
          <w:szCs w:val="2"/>
        </w:rPr>
      </w:pPr>
      <w:r>
        <w:br w:type="page"/>
      </w:r>
    </w:p>
    <w:tbl>
      <w:tblPr>
        <w:tblOverlap w:val="never"/>
        <w:jc w:val="center"/>
        <w:tblLayout w:type="fixed"/>
      </w:tblPr>
      <w:tblGrid>
        <w:gridCol w:w="4742"/>
        <w:gridCol w:w="2371"/>
        <w:gridCol w:w="2314"/>
      </w:tblGrid>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46.17%</w:t>
            </w:r>
          </w:p>
        </w:tc>
      </w:tr>
    </w:tbl>
    <w:p>
      <w:pPr>
        <w:widowControl w:val="0"/>
        <w:spacing w:after="619" w:line="1" w:lineRule="exact"/>
      </w:pPr>
    </w:p>
    <w:p>
      <w:pPr>
        <w:pStyle w:val="Style24"/>
        <w:keepNext/>
        <w:keepLines/>
        <w:widowControl w:val="0"/>
        <w:shd w:val="clear" w:color="auto" w:fill="auto"/>
        <w:bidi w:val="0"/>
        <w:spacing w:before="0" w:after="340" w:line="240" w:lineRule="auto"/>
        <w:ind w:left="0" w:right="0" w:firstLine="260"/>
        <w:jc w:val="left"/>
      </w:pPr>
      <w:bookmarkStart w:id="1666" w:name="bookmark1666"/>
      <w:bookmarkStart w:id="1667" w:name="bookmark1667"/>
      <w:bookmarkStart w:id="1668" w:name="bookmark1668"/>
      <w:r>
        <w:rPr>
          <w:color w:val="000000"/>
          <w:spacing w:val="0"/>
          <w:w w:val="100"/>
          <w:position w:val="0"/>
          <w:sz w:val="24"/>
          <w:szCs w:val="24"/>
        </w:rPr>
        <w:t>十一、公允价值的披露</w:t>
      </w:r>
      <w:bookmarkEnd w:id="1666"/>
      <w:bookmarkEnd w:id="1667"/>
      <w:bookmarkEnd w:id="1668"/>
    </w:p>
    <w:p>
      <w:pPr>
        <w:pStyle w:val="Style30"/>
        <w:keepNext/>
        <w:keepLines/>
        <w:widowControl w:val="0"/>
        <w:shd w:val="clear" w:color="auto" w:fill="auto"/>
        <w:bidi w:val="0"/>
        <w:spacing w:before="0" w:after="340" w:line="240" w:lineRule="auto"/>
        <w:ind w:left="0" w:right="0" w:firstLine="260"/>
        <w:jc w:val="left"/>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69"/>
      <w:bookmarkEnd w:id="1670"/>
      <w:bookmarkEnd w:id="16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2,049,069,513.70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2,049,069,513.70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241,381,563.03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241,381,563.03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19,944,742.50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19,944,742.50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（四）其他非流动金融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4,517,240.00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449,162,221.55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453,679,461.55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持续以公允价值计量的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4,517,240.00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2,069,014,256.20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690,543,784.58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2,764,075,280.78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54,761.61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260"/>
        <w:jc w:val="left"/>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2</w:t>
      </w:r>
      <w:r>
        <w:rPr>
          <w:color w:val="000000"/>
          <w:spacing w:val="0"/>
          <w:w w:val="100"/>
          <w:position w:val="0"/>
        </w:rPr>
        <w:t>、以公允价值披露的资产和负债</w:t>
      </w:r>
      <w:bookmarkEnd w:id="1672"/>
      <w:bookmarkEnd w:id="1673"/>
      <w:bookmarkEnd w:id="1674"/>
    </w:p>
    <w:p>
      <w:pPr>
        <w:pStyle w:val="Style26"/>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bl>
      <w:tblPr>
        <w:tblOverlap w:val="never"/>
        <w:jc w:val="center"/>
        <w:tblLayout w:type="fixed"/>
      </w:tblPr>
      <w:tblGrid>
        <w:gridCol w:w="3158"/>
        <w:gridCol w:w="1570"/>
        <w:gridCol w:w="1709"/>
        <w:gridCol w:w="1714"/>
        <w:gridCol w:w="1498"/>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公允价值计量使用的输入值</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活跃市场报价</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重要可观察输入值 （第二层次）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重要不可观察输入值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65,780,402.74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65,780,402.74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54,950,400.00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487,039,153.03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487,039,153.03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含一年到期的长期借款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168,722,995.97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168,722,995.97</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r>
              <w:rPr>
                <w:rFonts w:ascii="Times New Roman" w:eastAsia="Times New Roman" w:hAnsi="Times New Roman" w:cs="Times New Roman"/>
                <w:color w:val="000000"/>
                <w:spacing w:val="0"/>
                <w:w w:val="100"/>
                <w:position w:val="0"/>
              </w:rPr>
              <w:t>（</w:t>
            </w:r>
            <w:r>
              <w:rPr>
                <w:color w:val="000000"/>
                <w:spacing w:val="0"/>
                <w:w w:val="100"/>
                <w:position w:val="0"/>
              </w:rPr>
              <w:t>含一年到期的长期应付款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677,232,125.47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677,232,125.47</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1,453,725,077.21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1,453,725,077.21</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33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3158"/>
        <w:gridCol w:w="1570"/>
        <w:gridCol w:w="1709"/>
        <w:gridCol w:w="1714"/>
        <w:gridCol w:w="1498"/>
      </w:tblGrid>
      <w:tr>
        <w:trPr>
          <w:trHeight w:val="355" w:hRule="exact"/>
        </w:trPr>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公允价值计量使用的输入值</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活跃市场报价</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重要可观察输入值</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（第二层次）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重要不可观察输入值</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52,821,620.55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52,821,620.55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489,502,871.98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489,502,871.98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含一年到期的长期借款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192,200,000.00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192,200,000.00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r>
              <w:rPr>
                <w:rFonts w:ascii="Times New Roman" w:eastAsia="Times New Roman" w:hAnsi="Times New Roman" w:cs="Times New Roman"/>
                <w:color w:val="000000"/>
                <w:spacing w:val="0"/>
                <w:w w:val="100"/>
                <w:position w:val="0"/>
              </w:rPr>
              <w:t>（</w:t>
            </w:r>
            <w:r>
              <w:rPr>
                <w:color w:val="000000"/>
                <w:spacing w:val="0"/>
                <w:w w:val="100"/>
                <w:position w:val="0"/>
              </w:rPr>
              <w:t>含一年到期的长期应付款</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714,466,045.36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714,466,045.36</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1,448,990,537.89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1,448,990,537.89</w:t>
            </w:r>
          </w:p>
        </w:tc>
      </w:tr>
    </w:tbl>
    <w:p>
      <w:pPr>
        <w:widowControl w:val="0"/>
        <w:spacing w:after="619" w:line="1" w:lineRule="exact"/>
      </w:pPr>
    </w:p>
    <w:p>
      <w:pPr>
        <w:pStyle w:val="Style30"/>
        <w:keepNext/>
        <w:keepLines/>
        <w:widowControl w:val="0"/>
        <w:shd w:val="clear" w:color="auto" w:fill="auto"/>
        <w:tabs>
          <w:tab w:pos="638" w:val="left"/>
        </w:tabs>
        <w:bidi w:val="0"/>
        <w:spacing w:before="0" w:after="280" w:line="240" w:lineRule="auto"/>
        <w:ind w:left="0" w:right="0" w:firstLine="26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3</w:t>
      </w:r>
      <w:bookmarkEnd w:id="1677"/>
      <w:r>
        <w:rPr>
          <w:color w:val="000000"/>
          <w:spacing w:val="0"/>
          <w:w w:val="100"/>
          <w:position w:val="0"/>
        </w:rPr>
        <w:t>、</w:t>
        <w:tab/>
        <w:t>持续和非持续第一层次公允价值计量项目市价的确定依据</w:t>
      </w:r>
      <w:bookmarkEnd w:id="1675"/>
      <w:bookmarkEnd w:id="1676"/>
      <w:bookmarkEnd w:id="1678"/>
    </w:p>
    <w:p>
      <w:pPr>
        <w:pStyle w:val="Style17"/>
        <w:keepNext w:val="0"/>
        <w:keepLines w:val="0"/>
        <w:widowControl w:val="0"/>
        <w:shd w:val="clear" w:color="auto" w:fill="auto"/>
        <w:bidi w:val="0"/>
        <w:spacing w:before="0" w:after="360" w:line="307" w:lineRule="exact"/>
        <w:ind w:left="0" w:right="0" w:firstLine="620"/>
        <w:jc w:val="left"/>
      </w:pPr>
      <w:r>
        <w:rPr>
          <w:color w:val="000000"/>
          <w:spacing w:val="0"/>
          <w:w w:val="100"/>
          <w:position w:val="0"/>
        </w:rPr>
        <w:t>第一层公允价值计量指以相同资产或负债在活跃市场的报价所进行计量。</w:t>
      </w:r>
    </w:p>
    <w:p>
      <w:pPr>
        <w:pStyle w:val="Style30"/>
        <w:keepNext/>
        <w:keepLines/>
        <w:widowControl w:val="0"/>
        <w:shd w:val="clear" w:color="auto" w:fill="auto"/>
        <w:tabs>
          <w:tab w:pos="638" w:val="left"/>
        </w:tabs>
        <w:bidi w:val="0"/>
        <w:spacing w:before="0" w:after="280" w:line="240" w:lineRule="auto"/>
        <w:ind w:left="0" w:right="0" w:firstLine="26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4</w:t>
      </w:r>
      <w:bookmarkEnd w:id="1681"/>
      <w:r>
        <w:rPr>
          <w:color w:val="000000"/>
          <w:spacing w:val="0"/>
          <w:w w:val="100"/>
          <w:position w:val="0"/>
        </w:rPr>
        <w:t>、</w:t>
        <w:tab/>
        <w:t>持续和非持续第二层次公允价值计量项目，采用的估值技术和重要参数的定性及定量信息</w:t>
      </w:r>
      <w:bookmarkEnd w:id="1679"/>
      <w:bookmarkEnd w:id="1680"/>
      <w:bookmarkEnd w:id="1682"/>
    </w:p>
    <w:p>
      <w:pPr>
        <w:pStyle w:val="Style17"/>
        <w:keepNext w:val="0"/>
        <w:keepLines w:val="0"/>
        <w:widowControl w:val="0"/>
        <w:shd w:val="clear" w:color="auto" w:fill="auto"/>
        <w:bidi w:val="0"/>
        <w:spacing w:before="0" w:after="360" w:line="312" w:lineRule="exact"/>
        <w:ind w:left="260" w:right="0" w:firstLine="360"/>
        <w:jc w:val="left"/>
      </w:pPr>
      <w:r>
        <w:rPr>
          <w:color w:val="000000"/>
          <w:spacing w:val="0"/>
          <w:w w:val="100"/>
          <w:position w:val="0"/>
        </w:rPr>
        <w:t>第二层公允价值计量是指以第一级报价之外的资产或负债的可观察输入数据，无论是直接（价格）或者间接（价格推算） 所进行的估值方法所进行计量。</w:t>
      </w:r>
    </w:p>
    <w:p>
      <w:pPr>
        <w:pStyle w:val="Style30"/>
        <w:keepNext/>
        <w:keepLines/>
        <w:widowControl w:val="0"/>
        <w:shd w:val="clear" w:color="auto" w:fill="auto"/>
        <w:tabs>
          <w:tab w:pos="638" w:val="left"/>
        </w:tabs>
        <w:bidi w:val="0"/>
        <w:spacing w:before="0" w:after="280" w:line="240" w:lineRule="auto"/>
        <w:ind w:left="0" w:right="0" w:firstLine="26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5</w:t>
      </w:r>
      <w:bookmarkEnd w:id="1685"/>
      <w:r>
        <w:rPr>
          <w:color w:val="000000"/>
          <w:spacing w:val="0"/>
          <w:w w:val="100"/>
          <w:position w:val="0"/>
        </w:rPr>
        <w:t>、</w:t>
        <w:tab/>
        <w:t>持续和非持续第三层次公允价值计量项目，采用的估值技术和重要参数的定性及定量信息</w:t>
      </w:r>
      <w:bookmarkEnd w:id="1683"/>
      <w:bookmarkEnd w:id="1684"/>
      <w:bookmarkEnd w:id="1686"/>
    </w:p>
    <w:p>
      <w:pPr>
        <w:pStyle w:val="Style17"/>
        <w:keepNext w:val="0"/>
        <w:keepLines w:val="0"/>
        <w:widowControl w:val="0"/>
        <w:shd w:val="clear" w:color="auto" w:fill="auto"/>
        <w:bidi w:val="0"/>
        <w:spacing w:before="0" w:after="360" w:line="302" w:lineRule="exact"/>
        <w:ind w:left="260" w:right="0" w:firstLine="360"/>
        <w:jc w:val="left"/>
      </w:pPr>
      <w:r>
        <w:rPr>
          <w:color w:val="000000"/>
          <w:spacing w:val="0"/>
          <w:w w:val="100"/>
          <w:position w:val="0"/>
        </w:rPr>
        <w:t>第三层公允价值计量是指运用并基于可观察市场数据只资产或负债输入数据（不可观察输入数据）的估值方法所进行计 量。</w:t>
      </w:r>
    </w:p>
    <w:p>
      <w:pPr>
        <w:pStyle w:val="Style30"/>
        <w:keepNext/>
        <w:keepLines/>
        <w:widowControl w:val="0"/>
        <w:shd w:val="clear" w:color="auto" w:fill="auto"/>
        <w:tabs>
          <w:tab w:pos="638" w:val="left"/>
        </w:tabs>
        <w:bidi w:val="0"/>
        <w:spacing w:before="0" w:line="240" w:lineRule="auto"/>
        <w:ind w:left="0" w:right="0" w:firstLine="26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color w:val="000000"/>
          <w:spacing w:val="0"/>
          <w:w w:val="100"/>
          <w:position w:val="0"/>
        </w:rPr>
        <w:t>、</w:t>
        <w:tab/>
        <w:t>持续的第三层次公允价值计量项目，期初与期末账面价值间的调节信息及不可观察参数敏感性分析</w:t>
      </w:r>
      <w:bookmarkEnd w:id="1687"/>
      <w:bookmarkEnd w:id="1688"/>
      <w:bookmarkEnd w:id="1690"/>
    </w:p>
    <w:p>
      <w:pPr>
        <w:pStyle w:val="Style26"/>
        <w:keepNext w:val="0"/>
        <w:keepLines w:val="0"/>
        <w:widowControl w:val="0"/>
        <w:shd w:val="clear" w:color="auto" w:fill="auto"/>
        <w:bidi w:val="0"/>
        <w:spacing w:before="0" w:after="100" w:line="240" w:lineRule="auto"/>
        <w:ind w:left="610" w:right="0" w:firstLine="0"/>
        <w:jc w:val="left"/>
      </w:pPr>
      <w:r>
        <w:rPr>
          <w:color w:val="000000"/>
          <w:spacing w:val="0"/>
          <w:w w:val="100"/>
          <w:position w:val="0"/>
        </w:rPr>
        <w:t>持续的第三层次公允价值计量的调节信息如下:</w:t>
      </w:r>
    </w:p>
    <w:p>
      <w:pPr>
        <w:pStyle w:val="Style26"/>
        <w:keepNext w:val="0"/>
        <w:keepLines w:val="0"/>
        <w:widowControl w:val="0"/>
        <w:shd w:val="clear" w:color="auto" w:fill="auto"/>
        <w:bidi w:val="0"/>
        <w:spacing w:before="0" w:after="0" w:line="240" w:lineRule="auto"/>
        <w:ind w:left="61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bl>
      <w:tblPr>
        <w:tblOverlap w:val="never"/>
        <w:jc w:val="center"/>
        <w:tblLayout w:type="fixed"/>
      </w:tblPr>
      <w:tblGrid>
        <w:gridCol w:w="941"/>
        <w:gridCol w:w="1152"/>
        <w:gridCol w:w="1080"/>
        <w:gridCol w:w="1075"/>
        <w:gridCol w:w="1162"/>
        <w:gridCol w:w="1094"/>
        <w:gridCol w:w="1094"/>
        <w:gridCol w:w="1219"/>
        <w:gridCol w:w="1373"/>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转入第三层 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当期利得或损失总额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年末持有的资产 计入损益的当期 未实现利得或损 失的变动</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计入其他综合 收益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其他非流动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293,457,473.11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63,414,634.15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73,314,268.07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9,024,153.78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449,162,221.55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73,314,268.07</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其他权益工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227,434,198.19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44,180,317.40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30,232,952.56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241,381,563.03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520,891,671.30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63,414,634.15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73,314,268.07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44,180,317.40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39,257,106.34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690,543,784.58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73,314,268.07</w:t>
            </w: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61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bl>
      <w:tblPr>
        <w:tblOverlap w:val="never"/>
        <w:jc w:val="center"/>
        <w:tblLayout w:type="fixed"/>
      </w:tblPr>
      <w:tblGrid>
        <w:gridCol w:w="1853"/>
        <w:gridCol w:w="1267"/>
        <w:gridCol w:w="1205"/>
        <w:gridCol w:w="1224"/>
        <w:gridCol w:w="1181"/>
        <w:gridCol w:w="773"/>
        <w:gridCol w:w="1267"/>
        <w:gridCol w:w="1421"/>
      </w:tblGrid>
      <w:tr>
        <w:trPr>
          <w:trHeight w:val="36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当期利得或损失总额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结算</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年末持有的资产 计入损益的当期 未实现利得或损</w:t>
            </w:r>
          </w:p>
        </w:tc>
      </w:tr>
      <w:tr>
        <w:trPr>
          <w:trHeight w:val="66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计入损益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计入其他综合 收益</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1853"/>
        <w:gridCol w:w="1267"/>
        <w:gridCol w:w="1205"/>
        <w:gridCol w:w="1224"/>
        <w:gridCol w:w="1181"/>
        <w:gridCol w:w="773"/>
        <w:gridCol w:w="1267"/>
        <w:gridCol w:w="1421"/>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失的变动</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228,650,844.22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31,306,628.89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293,457,473.11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31,306,628.89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205,054,623.61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18,379,574.58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227,434,198.19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433,705,467.83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31,306,628.89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18,379,574.58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520,891,671.30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31,306,628.89</w:t>
            </w: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持续的第三层次的公允价值计量中，计入当期损益的利得和损失中与金融资产和非金融资产有关的损益信息如下:</w:t>
      </w:r>
    </w:p>
    <w:tbl>
      <w:tblPr>
        <w:tblOverlap w:val="never"/>
        <w:jc w:val="center"/>
        <w:tblLayout w:type="fixed"/>
      </w:tblPr>
      <w:tblGrid>
        <w:gridCol w:w="3168"/>
        <w:gridCol w:w="1579"/>
        <w:gridCol w:w="1733"/>
        <w:gridCol w:w="1421"/>
        <w:gridCol w:w="1747"/>
      </w:tblGrid>
      <w:tr>
        <w:trPr>
          <w:trHeight w:val="35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6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与金融资产有关的 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与非金融资产有关的 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与金融资产有关 的损益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与非金融资产有关的 损益</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计入当期损益的利得或损失总额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年末持有的资产计入的当期未实现利得 或损失的变动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73,314,268.07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31,306,628.89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如下为第三层次公允价值计量的重要不可观察输入值概述:</w:t>
      </w:r>
    </w:p>
    <w:tbl>
      <w:tblPr>
        <w:tblOverlap w:val="never"/>
        <w:jc w:val="center"/>
        <w:tblLayout w:type="fixed"/>
      </w:tblPr>
      <w:tblGrid>
        <w:gridCol w:w="1805"/>
        <w:gridCol w:w="1786"/>
        <w:gridCol w:w="1790"/>
        <w:gridCol w:w="1786"/>
        <w:gridCol w:w="2482"/>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不可观察输入值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范围区间（加权平均值）</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690,543,784.58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上市公司比较法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流动性折价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bl>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其他第三层次公允价值计量的权益工具投资和其他非流动金融资产之公允价值基于近期交易价格确定。</w:t>
      </w:r>
    </w:p>
    <w:p>
      <w:pPr>
        <w:widowControl w:val="0"/>
        <w:spacing w:after="359" w:line="1" w:lineRule="exact"/>
      </w:pPr>
    </w:p>
    <w:p>
      <w:pPr>
        <w:pStyle w:val="Style30"/>
        <w:keepNext/>
        <w:keepLines/>
        <w:widowControl w:val="0"/>
        <w:shd w:val="clear" w:color="auto" w:fill="auto"/>
        <w:tabs>
          <w:tab w:pos="603" w:val="left"/>
        </w:tabs>
        <w:bidi w:val="0"/>
        <w:spacing w:before="0" w:after="260" w:line="240" w:lineRule="auto"/>
        <w:ind w:left="0" w:right="0" w:firstLine="26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color w:val="000000"/>
          <w:spacing w:val="0"/>
          <w:w w:val="100"/>
          <w:position w:val="0"/>
        </w:rPr>
        <w:t>、</w:t>
        <w:tab/>
        <w:t>持续的公允价值计量项目，本期内发生各层级之间转换的，转换的原因及确定转换时点的政策</w:t>
      </w:r>
      <w:bookmarkEnd w:id="1691"/>
      <w:bookmarkEnd w:id="1692"/>
      <w:bookmarkEnd w:id="1694"/>
    </w:p>
    <w:p>
      <w:pPr>
        <w:pStyle w:val="Style17"/>
        <w:keepNext w:val="0"/>
        <w:keepLines w:val="0"/>
        <w:widowControl w:val="0"/>
        <w:shd w:val="clear" w:color="auto" w:fill="auto"/>
        <w:bidi w:val="0"/>
        <w:spacing w:before="0" w:after="360" w:line="311" w:lineRule="exact"/>
        <w:ind w:left="0" w:right="0" w:firstLine="620"/>
        <w:jc w:val="left"/>
      </w:pPr>
      <w:r>
        <w:rPr>
          <w:color w:val="000000"/>
          <w:spacing w:val="0"/>
          <w:w w:val="100"/>
          <w:position w:val="0"/>
        </w:rPr>
        <w:t>本公司不存在公允价值层次之间的转换。</w:t>
      </w:r>
    </w:p>
    <w:p>
      <w:pPr>
        <w:pStyle w:val="Style30"/>
        <w:keepNext/>
        <w:keepLines/>
        <w:widowControl w:val="0"/>
        <w:shd w:val="clear" w:color="auto" w:fill="auto"/>
        <w:tabs>
          <w:tab w:pos="608" w:val="left"/>
        </w:tabs>
        <w:bidi w:val="0"/>
        <w:spacing w:before="0" w:after="260" w:line="240" w:lineRule="auto"/>
        <w:ind w:left="0" w:right="0" w:firstLine="26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8</w:t>
      </w:r>
      <w:bookmarkEnd w:id="1697"/>
      <w:r>
        <w:rPr>
          <w:color w:val="000000"/>
          <w:spacing w:val="0"/>
          <w:w w:val="100"/>
          <w:position w:val="0"/>
        </w:rPr>
        <w:t>、</w:t>
        <w:tab/>
        <w:t>其他</w:t>
      </w:r>
      <w:bookmarkEnd w:id="1695"/>
      <w:bookmarkEnd w:id="1696"/>
      <w:bookmarkEnd w:id="1698"/>
    </w:p>
    <w:p>
      <w:pPr>
        <w:pStyle w:val="Style17"/>
        <w:keepNext w:val="0"/>
        <w:keepLines w:val="0"/>
        <w:widowControl w:val="0"/>
        <w:shd w:val="clear" w:color="auto" w:fill="auto"/>
        <w:bidi w:val="0"/>
        <w:spacing w:before="0" w:after="0" w:line="311" w:lineRule="exact"/>
        <w:ind w:left="260" w:right="0" w:firstLine="360"/>
        <w:jc w:val="left"/>
      </w:pPr>
      <w:r>
        <w:rPr>
          <w:color w:val="000000"/>
          <w:spacing w:val="0"/>
          <w:w w:val="100"/>
          <w:position w:val="0"/>
        </w:rPr>
        <w:t>管理层已经评估了货币资金、应收票据、应收款项融资、应收账款、其他应收款、短期借款、应付票据、应付账款、其 他应付款等，因剩余期限不长，公允价值与账面价值相若。</w:t>
      </w:r>
    </w:p>
    <w:p>
      <w:pPr>
        <w:pStyle w:val="Style17"/>
        <w:keepNext w:val="0"/>
        <w:keepLines w:val="0"/>
        <w:widowControl w:val="0"/>
        <w:shd w:val="clear" w:color="auto" w:fill="auto"/>
        <w:bidi w:val="0"/>
        <w:spacing w:before="0" w:after="0" w:line="311" w:lineRule="exact"/>
        <w:ind w:left="260" w:right="0" w:firstLine="360"/>
        <w:jc w:val="left"/>
      </w:pPr>
      <w:r>
        <w:rPr>
          <w:color w:val="000000"/>
          <w:spacing w:val="0"/>
          <w:w w:val="100"/>
          <w:position w:val="0"/>
        </w:rPr>
        <w:t>公司的财务部负责制定金融工具公允价值计量的政策和程序，并直接向财务总监报告。每个资产负债表日，财务部分析 金融工具价值变动，确定估值适用的主要输入值，并经财务总监审核批准。</w:t>
      </w:r>
    </w:p>
    <w:p>
      <w:pPr>
        <w:pStyle w:val="Style17"/>
        <w:keepNext w:val="0"/>
        <w:keepLines w:val="0"/>
        <w:widowControl w:val="0"/>
        <w:shd w:val="clear" w:color="auto" w:fill="auto"/>
        <w:bidi w:val="0"/>
        <w:spacing w:before="0" w:after="0" w:line="311" w:lineRule="exact"/>
        <w:ind w:left="260" w:right="0" w:firstLine="360"/>
        <w:jc w:val="left"/>
      </w:pPr>
      <w:r>
        <w:rPr>
          <w:color w:val="000000"/>
          <w:spacing w:val="0"/>
          <w:w w:val="100"/>
          <w:position w:val="0"/>
        </w:rPr>
        <w:t>金融资产和金融负债的公允价值，以在公平交易中，熟悉情况的交易双方自愿进行资产交换或者债务清偿的金额确定， 而不是被迫出售或清算情况下的金额。以下方法和假设用于估计公允价值。</w:t>
      </w:r>
    </w:p>
    <w:p>
      <w:pPr>
        <w:pStyle w:val="Style17"/>
        <w:keepNext w:val="0"/>
        <w:keepLines w:val="0"/>
        <w:widowControl w:val="0"/>
        <w:shd w:val="clear" w:color="auto" w:fill="auto"/>
        <w:bidi w:val="0"/>
        <w:spacing w:before="0" w:after="0" w:line="311" w:lineRule="exact"/>
        <w:ind w:left="260" w:right="0" w:firstLine="360"/>
        <w:jc w:val="left"/>
      </w:pPr>
      <w:r>
        <w:rPr>
          <w:color w:val="000000"/>
          <w:spacing w:val="0"/>
          <w:w w:val="100"/>
          <w:position w:val="0"/>
        </w:rPr>
        <w:t>长期应收款、长期应付款、长期借款、应付债券，采用未来现金流量折现法确定公允价值，以有相似合同条款、信用风 险和剩余期限的其他金融工具的市场收益率作为折现率。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日，针对长期应收款、长期应付款等自身不履约风险 评估为不重大。</w:t>
      </w:r>
    </w:p>
    <w:p>
      <w:pPr>
        <w:pStyle w:val="Style17"/>
        <w:keepNext w:val="0"/>
        <w:keepLines w:val="0"/>
        <w:widowControl w:val="0"/>
        <w:shd w:val="clear" w:color="auto" w:fill="auto"/>
        <w:bidi w:val="0"/>
        <w:spacing w:before="0" w:after="0" w:line="311" w:lineRule="exact"/>
        <w:ind w:left="260" w:right="0" w:firstLine="360"/>
        <w:jc w:val="left"/>
      </w:pPr>
      <w:r>
        <w:rPr>
          <w:color w:val="000000"/>
          <w:spacing w:val="0"/>
          <w:w w:val="100"/>
          <w:position w:val="0"/>
        </w:rPr>
        <w:t>上市的权益工具投资，以市场报价确定公允价值。非上市的权益工具投资，采用相对价值模型估计公允价值，采用的假 设并非由可观察市场价格或利率支持。公司需要就流动性折价作出估计（包括预计未来股利和处置收入）。公司相信，以估 值技术估计的公允价值及其变动是合理的，并且亦是于资产负债表日最合适的价值。</w:t>
      </w:r>
    </w:p>
    <w:p>
      <w:pPr>
        <w:pStyle w:val="Style17"/>
        <w:keepNext w:val="0"/>
        <w:keepLines w:val="0"/>
        <w:widowControl w:val="0"/>
        <w:shd w:val="clear" w:color="auto" w:fill="auto"/>
        <w:bidi w:val="0"/>
        <w:spacing w:before="0" w:after="360" w:line="311" w:lineRule="exact"/>
        <w:ind w:left="260" w:right="0" w:firstLine="360"/>
        <w:jc w:val="left"/>
      </w:pPr>
      <w:r>
        <w:rPr>
          <w:color w:val="000000"/>
          <w:spacing w:val="0"/>
          <w:w w:val="100"/>
          <w:position w:val="0"/>
        </w:rPr>
        <w:t>对于非上市的权益工具投资的公允价值，公司估计并量化了采用其他合理、可能的假设作为估值模型输入值的潜在影 响：采用较为不利的假设，公允价值减少约人民币</w:t>
      </w:r>
      <w:r>
        <w:rPr>
          <w:rFonts w:ascii="Times New Roman" w:eastAsia="Times New Roman" w:hAnsi="Times New Roman" w:cs="Times New Roman"/>
          <w:color w:val="000000"/>
          <w:spacing w:val="0"/>
          <w:w w:val="100"/>
          <w:position w:val="0"/>
        </w:rPr>
        <w:t>3,235,911.82</w:t>
      </w:r>
      <w:r>
        <w:rPr>
          <w:color w:val="000000"/>
          <w:spacing w:val="0"/>
          <w:w w:val="100"/>
          <w:position w:val="0"/>
        </w:rPr>
        <w:t xml:space="preserve">元；采用较为有利的假设，公允价值增加约人民币 </w:t>
      </w:r>
      <w:r>
        <w:rPr>
          <w:rFonts w:ascii="Times New Roman" w:eastAsia="Times New Roman" w:hAnsi="Times New Roman" w:cs="Times New Roman"/>
          <w:color w:val="000000"/>
          <w:spacing w:val="0"/>
          <w:w w:val="100"/>
          <w:position w:val="0"/>
        </w:rPr>
        <w:t xml:space="preserve">3,235,911.82 </w:t>
      </w:r>
      <w:r>
        <w:rPr>
          <w:color w:val="000000"/>
          <w:spacing w:val="0"/>
          <w:w w:val="100"/>
          <w:position w:val="0"/>
        </w:rPr>
        <w:t>元。</w:t>
      </w:r>
      <w:r>
        <w:br w:type="page"/>
      </w:r>
    </w:p>
    <w:p>
      <w:pPr>
        <w:pStyle w:val="Style24"/>
        <w:keepNext/>
        <w:keepLines/>
        <w:widowControl w:val="0"/>
        <w:shd w:val="clear" w:color="auto" w:fill="auto"/>
        <w:bidi w:val="0"/>
        <w:spacing w:before="0" w:after="380" w:line="240" w:lineRule="auto"/>
        <w:ind w:left="0" w:right="0" w:firstLine="240"/>
        <w:jc w:val="left"/>
      </w:pPr>
      <w:bookmarkStart w:id="1699" w:name="bookmark1699"/>
      <w:bookmarkStart w:id="1700" w:name="bookmark1700"/>
      <w:bookmarkStart w:id="1701" w:name="bookmark1701"/>
      <w:r>
        <w:rPr>
          <w:color w:val="000000"/>
          <w:spacing w:val="0"/>
          <w:w w:val="100"/>
          <w:position w:val="0"/>
          <w:sz w:val="24"/>
          <w:szCs w:val="24"/>
        </w:rPr>
        <w:t>十二、关联方及关联交易</w:t>
      </w:r>
      <w:bookmarkEnd w:id="1699"/>
      <w:bookmarkEnd w:id="1700"/>
      <w:bookmarkEnd w:id="1701"/>
    </w:p>
    <w:p>
      <w:pPr>
        <w:pStyle w:val="Style30"/>
        <w:keepNext/>
        <w:keepLines/>
        <w:widowControl w:val="0"/>
        <w:shd w:val="clear" w:color="auto" w:fill="auto"/>
        <w:bidi w:val="0"/>
        <w:spacing w:before="0" w:after="300" w:line="240" w:lineRule="auto"/>
        <w:ind w:left="0" w:right="0" w:firstLine="24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02"/>
      <w:bookmarkEnd w:id="1703"/>
      <w:bookmarkEnd w:id="1704"/>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华大控股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17"/>
        <w:keepNext w:val="0"/>
        <w:keepLines w:val="0"/>
        <w:widowControl w:val="0"/>
        <w:shd w:val="clear" w:color="auto" w:fill="auto"/>
        <w:bidi w:val="0"/>
        <w:spacing w:before="0" w:after="0" w:line="310" w:lineRule="exact"/>
        <w:ind w:left="240" w:right="0"/>
        <w:jc w:val="both"/>
      </w:pPr>
      <w:r>
        <w:rPr>
          <w:color w:val="000000"/>
          <w:spacing w:val="0"/>
          <w:w w:val="100"/>
          <w:position w:val="0"/>
        </w:rPr>
        <w:t>深圳华大基因科技有限公司系由自然人汪建、王俊和杨爽共同出资设立，于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日取得工商行政管理局颁发的 企业法人营业执照。</w:t>
      </w:r>
    </w:p>
    <w:p>
      <w:pPr>
        <w:pStyle w:val="Style17"/>
        <w:keepNext w:val="0"/>
        <w:keepLines w:val="0"/>
        <w:widowControl w:val="0"/>
        <w:shd w:val="clear" w:color="auto" w:fill="auto"/>
        <w:bidi w:val="0"/>
        <w:spacing w:before="0" w:after="0" w:line="310" w:lineRule="exact"/>
        <w:ind w:left="240" w:right="0"/>
        <w:jc w:val="both"/>
      </w:pPr>
      <w:r>
        <w:rPr>
          <w:color w:val="000000"/>
          <w:spacing w:val="0"/>
          <w:w w:val="100"/>
          <w:position w:val="0"/>
        </w:rPr>
        <w:t>经营范围：计算机软硬件及外围设备的技术研发和销售；货物及技术进出口业务；投资兴办实业（具体项目另行申报）； 水产品养殖和销售；生物技术的研发、转让与咨询服务。教育教学检测和评价活动；以自有资金从事投资活动。（除依法须 经批准的项目外，凭营业执照依法自主开展经营活动）</w:t>
      </w:r>
    </w:p>
    <w:p>
      <w:pPr>
        <w:pStyle w:val="Style17"/>
        <w:keepNext w:val="0"/>
        <w:keepLines w:val="0"/>
        <w:widowControl w:val="0"/>
        <w:shd w:val="clear" w:color="auto" w:fill="auto"/>
        <w:bidi w:val="0"/>
        <w:spacing w:before="0" w:after="380" w:line="310" w:lineRule="exact"/>
        <w:ind w:left="0" w:right="0" w:firstLine="240"/>
        <w:jc w:val="left"/>
      </w:pPr>
      <w:r>
        <w:rPr>
          <w:color w:val="000000"/>
          <w:spacing w:val="0"/>
          <w:w w:val="100"/>
          <w:position w:val="0"/>
        </w:rPr>
        <w:t>本企业最终控制方是汪建。</w:t>
      </w:r>
    </w:p>
    <w:p>
      <w:pPr>
        <w:pStyle w:val="Style30"/>
        <w:keepNext/>
        <w:keepLines/>
        <w:widowControl w:val="0"/>
        <w:shd w:val="clear" w:color="auto" w:fill="auto"/>
        <w:tabs>
          <w:tab w:pos="618" w:val="left"/>
        </w:tabs>
        <w:bidi w:val="0"/>
        <w:spacing w:before="0" w:after="300" w:line="240" w:lineRule="auto"/>
        <w:ind w:left="0" w:right="0" w:firstLine="24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2</w:t>
      </w:r>
      <w:bookmarkEnd w:id="1707"/>
      <w:r>
        <w:rPr>
          <w:color w:val="000000"/>
          <w:spacing w:val="0"/>
          <w:w w:val="100"/>
          <w:position w:val="0"/>
        </w:rPr>
        <w:t>、</w:t>
        <w:tab/>
        <w:t>本企业的子公司情况</w:t>
      </w:r>
      <w:bookmarkEnd w:id="1705"/>
      <w:bookmarkEnd w:id="1706"/>
      <w:bookmarkEnd w:id="1708"/>
    </w:p>
    <w:p>
      <w:pPr>
        <w:pStyle w:val="Style17"/>
        <w:keepNext w:val="0"/>
        <w:keepLines w:val="0"/>
        <w:widowControl w:val="0"/>
        <w:shd w:val="clear" w:color="auto" w:fill="auto"/>
        <w:bidi w:val="0"/>
        <w:spacing w:before="0" w:after="380" w:line="310" w:lineRule="exact"/>
        <w:ind w:left="0" w:right="0" w:firstLine="62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0"/>
        <w:keepNext/>
        <w:keepLines/>
        <w:widowControl w:val="0"/>
        <w:shd w:val="clear" w:color="auto" w:fill="auto"/>
        <w:tabs>
          <w:tab w:pos="618" w:val="left"/>
        </w:tabs>
        <w:bidi w:val="0"/>
        <w:spacing w:before="0" w:after="220" w:line="240" w:lineRule="auto"/>
        <w:ind w:left="0" w:right="0" w:firstLine="24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3</w:t>
      </w:r>
      <w:bookmarkEnd w:id="1711"/>
      <w:r>
        <w:rPr>
          <w:color w:val="000000"/>
          <w:spacing w:val="0"/>
          <w:w w:val="100"/>
          <w:position w:val="0"/>
        </w:rPr>
        <w:t>、</w:t>
        <w:tab/>
        <w:t>本企业合营和联营企业情况</w:t>
      </w:r>
      <w:bookmarkEnd w:id="1709"/>
      <w:bookmarkEnd w:id="1710"/>
      <w:bookmarkEnd w:id="1712"/>
    </w:p>
    <w:p>
      <w:pPr>
        <w:pStyle w:val="Style17"/>
        <w:keepNext w:val="0"/>
        <w:keepLines w:val="0"/>
        <w:widowControl w:val="0"/>
        <w:shd w:val="clear" w:color="auto" w:fill="auto"/>
        <w:bidi w:val="0"/>
        <w:spacing w:before="0" w:after="80" w:line="365" w:lineRule="exact"/>
        <w:ind w:left="62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w:t>
      </w:r>
      <w:r>
        <w:rPr>
          <w:color w:val="000000"/>
          <w:spacing w:val="0"/>
          <w:w w:val="100"/>
          <w:position w:val="0"/>
        </w:rPr>
        <w:t>、在合营合排或联营企业中的权益</w:t>
      </w:r>
      <w:r>
        <w:rPr>
          <w:rFonts w:ascii="Times New Roman" w:eastAsia="Times New Roman" w:hAnsi="Times New Roman" w:cs="Times New Roman"/>
          <w:color w:val="000000"/>
          <w:spacing w:val="0"/>
          <w:w w:val="100"/>
          <w:position w:val="0"/>
        </w:rPr>
        <w:t>”</w:t>
      </w:r>
      <w:r>
        <w:rPr>
          <w:color w:val="000000"/>
          <w:spacing w:val="0"/>
          <w:w w:val="100"/>
          <w:position w:val="0"/>
        </w:rPr>
        <w:t>。 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 Genomics Innovation Co.,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Borneo Genomics Innovation Sdn Bhd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长沙华大梅溪湖医学检验所有限公司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临沂华大医学检验所有限公司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武汉古奥基因科技有限公司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泸州恒康华大生物科技有限公司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深圳华每嘉中企业管理咨询有限公司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山东泰山华大医学检验所有限公司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苏州泓迅生物科技股份有限公司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北京华大通瀛科技有限公司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深圳市同并相联科技有限公司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Sunrise Diagnostic Centre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中健云康（广州）物流供应链有限公司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联营企业子公司</w:t>
            </w:r>
          </w:p>
        </w:tc>
      </w:tr>
    </w:tbl>
    <w:p>
      <w:pPr>
        <w:spacing w:lineRule="exact" w:line="1"/>
        <w:rPr>
          <w:sz w:val="2"/>
          <w:szCs w:val="2"/>
        </w:rPr>
      </w:pPr>
      <w:r>
        <w:br w:type="page"/>
      </w:r>
    </w:p>
    <w:p>
      <w:pPr>
        <w:pStyle w:val="Style30"/>
        <w:keepNext/>
        <w:keepLines/>
        <w:widowControl w:val="0"/>
        <w:shd w:val="clear" w:color="auto" w:fill="auto"/>
        <w:bidi w:val="0"/>
        <w:spacing w:before="0" w:after="320" w:line="240" w:lineRule="auto"/>
        <w:ind w:left="0" w:right="0" w:firstLine="26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color w:val="000000"/>
          <w:spacing w:val="0"/>
          <w:w w:val="100"/>
          <w:position w:val="0"/>
        </w:rPr>
        <w:t>、其他关联方情况</w:t>
      </w:r>
      <w:bookmarkEnd w:id="1713"/>
      <w:bookmarkEnd w:id="1714"/>
      <w:bookmarkEnd w:id="1716"/>
    </w:p>
    <w:tbl>
      <w:tblPr>
        <w:tblOverlap w:val="never"/>
        <w:jc w:val="center"/>
        <w:tblLayout w:type="fixed"/>
      </w:tblPr>
      <w:tblGrid>
        <w:gridCol w:w="6106"/>
        <w:gridCol w:w="348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云南华大基因研究院（</w:t>
            </w:r>
            <w:r>
              <w:rPr>
                <w:rFonts w:ascii="Times New Roman" w:eastAsia="Times New Roman" w:hAnsi="Times New Roman" w:cs="Times New Roman"/>
                <w:color w:val="000000"/>
                <w:spacing w:val="0"/>
                <w:w w:val="100"/>
                <w:position w:val="0"/>
              </w:rPr>
              <w:t>“</w:t>
            </w:r>
            <w:r>
              <w:rPr>
                <w:color w:val="000000"/>
                <w:spacing w:val="0"/>
                <w:w w:val="100"/>
                <w:position w:val="0"/>
              </w:rPr>
              <w:t>云南研究院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深圳华大小米产业股份有限公司（</w:t>
            </w:r>
            <w:r>
              <w:rPr>
                <w:rFonts w:ascii="Times New Roman" w:eastAsia="Times New Roman" w:hAnsi="Times New Roman" w:cs="Times New Roman"/>
                <w:color w:val="000000"/>
                <w:spacing w:val="0"/>
                <w:w w:val="100"/>
                <w:position w:val="0"/>
              </w:rPr>
              <w:t>“</w:t>
            </w:r>
            <w:r>
              <w:rPr>
                <w:color w:val="000000"/>
                <w:spacing w:val="0"/>
                <w:w w:val="100"/>
                <w:position w:val="0"/>
              </w:rPr>
              <w:t>华大小米</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深圳华大优选科技有限公司（</w:t>
            </w:r>
            <w:r>
              <w:rPr>
                <w:rFonts w:ascii="Times New Roman" w:eastAsia="Times New Roman" w:hAnsi="Times New Roman" w:cs="Times New Roman"/>
                <w:color w:val="000000"/>
                <w:spacing w:val="0"/>
                <w:w w:val="100"/>
                <w:position w:val="0"/>
              </w:rPr>
              <w:t>“</w:t>
            </w:r>
            <w:r>
              <w:rPr>
                <w:color w:val="000000"/>
                <w:spacing w:val="0"/>
                <w:w w:val="100"/>
                <w:position w:val="0"/>
              </w:rPr>
              <w:t>华大优选</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北京华大基因研究中心有限公司（</w:t>
            </w:r>
            <w:r>
              <w:rPr>
                <w:rFonts w:ascii="Times New Roman" w:eastAsia="Times New Roman" w:hAnsi="Times New Roman" w:cs="Times New Roman"/>
                <w:color w:val="000000"/>
                <w:spacing w:val="0"/>
                <w:w w:val="100"/>
                <w:position w:val="0"/>
              </w:rPr>
              <w:t>“</w:t>
            </w:r>
            <w:r>
              <w:rPr>
                <w:color w:val="000000"/>
                <w:spacing w:val="0"/>
                <w:w w:val="100"/>
                <w:position w:val="0"/>
              </w:rPr>
              <w:t>北京研究中心</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深圳华大三生园科技有限公司（</w:t>
            </w:r>
            <w:r>
              <w:rPr>
                <w:rFonts w:ascii="Times New Roman" w:eastAsia="Times New Roman" w:hAnsi="Times New Roman" w:cs="Times New Roman"/>
                <w:color w:val="000000"/>
                <w:spacing w:val="0"/>
                <w:w w:val="100"/>
                <w:position w:val="0"/>
              </w:rPr>
              <w:t>“</w:t>
            </w:r>
            <w:r>
              <w:rPr>
                <w:color w:val="000000"/>
                <w:spacing w:val="0"/>
                <w:w w:val="100"/>
                <w:position w:val="0"/>
              </w:rPr>
              <w:t>华大三生园</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深圳华大生命科学研究院（</w:t>
            </w:r>
            <w:r>
              <w:rPr>
                <w:rFonts w:ascii="Times New Roman" w:eastAsia="Times New Roman" w:hAnsi="Times New Roman" w:cs="Times New Roman"/>
                <w:color w:val="000000"/>
                <w:spacing w:val="0"/>
                <w:w w:val="100"/>
                <w:position w:val="0"/>
              </w:rPr>
              <w:t>“</w:t>
            </w:r>
            <w:r>
              <w:rPr>
                <w:color w:val="000000"/>
                <w:spacing w:val="0"/>
                <w:w w:val="100"/>
                <w:position w:val="0"/>
              </w:rPr>
              <w:t>华大研究院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MGI Tech R&amp;D HONG KONG CO., LIMITED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香港研发中心</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北京华大方瑞司法物证鉴定中心（</w:t>
            </w:r>
            <w:r>
              <w:rPr>
                <w:rFonts w:ascii="Times New Roman" w:eastAsia="Times New Roman" w:hAnsi="Times New Roman" w:cs="Times New Roman"/>
                <w:color w:val="000000"/>
                <w:spacing w:val="0"/>
                <w:w w:val="100"/>
                <w:position w:val="0"/>
              </w:rPr>
              <w:t>“</w:t>
            </w:r>
            <w:r>
              <w:rPr>
                <w:color w:val="000000"/>
                <w:spacing w:val="0"/>
                <w:w w:val="100"/>
                <w:position w:val="0"/>
              </w:rPr>
              <w:t>方瑞司法</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北京华大方瑞生物科技有限公司（</w:t>
            </w:r>
            <w:r>
              <w:rPr>
                <w:rFonts w:ascii="Times New Roman" w:eastAsia="Times New Roman" w:hAnsi="Times New Roman" w:cs="Times New Roman"/>
                <w:color w:val="000000"/>
                <w:spacing w:val="0"/>
                <w:w w:val="100"/>
                <w:position w:val="0"/>
              </w:rPr>
              <w:t>“</w:t>
            </w:r>
            <w:r>
              <w:rPr>
                <w:color w:val="000000"/>
                <w:spacing w:val="0"/>
                <w:w w:val="100"/>
                <w:position w:val="0"/>
              </w:rPr>
              <w:t>方瑞生物</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Complete Genomics, Inc.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MGI Tech Hong Kong Co., Limited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香港智造</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深圳华大互联网信息服务有限公司（</w:t>
            </w:r>
            <w:r>
              <w:rPr>
                <w:rFonts w:ascii="Times New Roman" w:eastAsia="Times New Roman" w:hAnsi="Times New Roman" w:cs="Times New Roman"/>
                <w:color w:val="000000"/>
                <w:spacing w:val="0"/>
                <w:w w:val="100"/>
                <w:position w:val="0"/>
              </w:rPr>
              <w:t>“</w:t>
            </w:r>
            <w:r>
              <w:rPr>
                <w:color w:val="000000"/>
                <w:spacing w:val="0"/>
                <w:w w:val="100"/>
                <w:position w:val="0"/>
              </w:rPr>
              <w:t>华大互联网</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华大精准营养（深圳）科技有限公司（</w:t>
            </w:r>
            <w:r>
              <w:rPr>
                <w:rFonts w:ascii="Times New Roman" w:eastAsia="Times New Roman" w:hAnsi="Times New Roman" w:cs="Times New Roman"/>
                <w:color w:val="000000"/>
                <w:spacing w:val="0"/>
                <w:w w:val="100"/>
                <w:position w:val="0"/>
              </w:rPr>
              <w:t>“</w:t>
            </w:r>
            <w:r>
              <w:rPr>
                <w:color w:val="000000"/>
                <w:spacing w:val="0"/>
                <w:w w:val="100"/>
                <w:position w:val="0"/>
              </w:rPr>
              <w:t>华大营养</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深圳市华大农业应用研究院（</w:t>
            </w:r>
            <w:r>
              <w:rPr>
                <w:rFonts w:ascii="Times New Roman" w:eastAsia="Times New Roman" w:hAnsi="Times New Roman" w:cs="Times New Roman"/>
                <w:color w:val="000000"/>
                <w:spacing w:val="0"/>
                <w:w w:val="100"/>
                <w:position w:val="0"/>
              </w:rPr>
              <w:t>“</w:t>
            </w:r>
            <w:r>
              <w:rPr>
                <w:color w:val="000000"/>
                <w:spacing w:val="0"/>
                <w:w w:val="100"/>
                <w:position w:val="0"/>
              </w:rPr>
              <w:t>农业应用</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中国农业科学院深圳生物育种创新研究院（</w:t>
            </w:r>
            <w:r>
              <w:rPr>
                <w:rFonts w:ascii="Times New Roman" w:eastAsia="Times New Roman" w:hAnsi="Times New Roman" w:cs="Times New Roman"/>
                <w:color w:val="000000"/>
                <w:spacing w:val="0"/>
                <w:w w:val="100"/>
                <w:position w:val="0"/>
              </w:rPr>
              <w:t>“</w:t>
            </w:r>
            <w:r>
              <w:rPr>
                <w:color w:val="000000"/>
                <w:spacing w:val="0"/>
                <w:w w:val="100"/>
                <w:position w:val="0"/>
              </w:rPr>
              <w:t>农业研究院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深圳华大特检科技有限公司（</w:t>
            </w:r>
            <w:r>
              <w:rPr>
                <w:rFonts w:ascii="Times New Roman" w:eastAsia="Times New Roman" w:hAnsi="Times New Roman" w:cs="Times New Roman"/>
                <w:color w:val="000000"/>
                <w:spacing w:val="0"/>
                <w:w w:val="100"/>
                <w:position w:val="0"/>
              </w:rPr>
              <w:t>“</w:t>
            </w:r>
            <w:r>
              <w:rPr>
                <w:color w:val="000000"/>
                <w:spacing w:val="0"/>
                <w:w w:val="100"/>
                <w:position w:val="0"/>
              </w:rPr>
              <w:t>华大特检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青岛华大基因研究院（</w:t>
            </w:r>
            <w:r>
              <w:rPr>
                <w:rFonts w:ascii="Times New Roman" w:eastAsia="Times New Roman" w:hAnsi="Times New Roman" w:cs="Times New Roman"/>
                <w:color w:val="000000"/>
                <w:spacing w:val="0"/>
                <w:w w:val="100"/>
                <w:position w:val="0"/>
              </w:rPr>
              <w:t>“</w:t>
            </w:r>
            <w:r>
              <w:rPr>
                <w:color w:val="000000"/>
                <w:spacing w:val="0"/>
                <w:w w:val="100"/>
                <w:position w:val="0"/>
              </w:rPr>
              <w:t>青岛研究院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广西华大基因科技有限公司（</w:t>
            </w:r>
            <w:r>
              <w:rPr>
                <w:rFonts w:ascii="Times New Roman" w:eastAsia="Times New Roman" w:hAnsi="Times New Roman" w:cs="Times New Roman"/>
                <w:color w:val="000000"/>
                <w:spacing w:val="0"/>
                <w:w w:val="100"/>
                <w:position w:val="0"/>
              </w:rPr>
              <w:t>“</w:t>
            </w:r>
            <w:r>
              <w:rPr>
                <w:color w:val="000000"/>
                <w:spacing w:val="0"/>
                <w:w w:val="100"/>
                <w:position w:val="0"/>
              </w:rPr>
              <w:t>广西华大</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深圳华大法医科技有限公司（</w:t>
            </w:r>
            <w:r>
              <w:rPr>
                <w:rFonts w:ascii="Times New Roman" w:eastAsia="Times New Roman" w:hAnsi="Times New Roman" w:cs="Times New Roman"/>
                <w:color w:val="000000"/>
                <w:spacing w:val="0"/>
                <w:w w:val="100"/>
                <w:position w:val="0"/>
              </w:rPr>
              <w:t>“</w:t>
            </w:r>
            <w:r>
              <w:rPr>
                <w:color w:val="000000"/>
                <w:spacing w:val="0"/>
                <w:w w:val="100"/>
                <w:position w:val="0"/>
              </w:rPr>
              <w:t>深圳法医</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深圳华大基因咖啡有限公司（</w:t>
            </w:r>
            <w:r>
              <w:rPr>
                <w:rFonts w:ascii="Times New Roman" w:eastAsia="Times New Roman" w:hAnsi="Times New Roman" w:cs="Times New Roman"/>
                <w:color w:val="000000"/>
                <w:spacing w:val="0"/>
                <w:w w:val="100"/>
                <w:position w:val="0"/>
              </w:rPr>
              <w:t>“</w:t>
            </w:r>
            <w:r>
              <w:rPr>
                <w:color w:val="000000"/>
                <w:spacing w:val="0"/>
                <w:w w:val="100"/>
                <w:position w:val="0"/>
              </w:rPr>
              <w:t>华大咖啡</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深圳华大运动控股有限责任公司（</w:t>
            </w:r>
            <w:r>
              <w:rPr>
                <w:rFonts w:ascii="Times New Roman" w:eastAsia="Times New Roman" w:hAnsi="Times New Roman" w:cs="Times New Roman"/>
                <w:color w:val="000000"/>
                <w:spacing w:val="0"/>
                <w:w w:val="100"/>
                <w:position w:val="0"/>
              </w:rPr>
              <w:t>“</w:t>
            </w:r>
            <w:r>
              <w:rPr>
                <w:color w:val="000000"/>
                <w:spacing w:val="0"/>
                <w:w w:val="100"/>
                <w:position w:val="0"/>
              </w:rPr>
              <w:t>华大运动</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BGI International Pty Ltd </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澳洲华大</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深圳市华大基因学院（</w:t>
            </w:r>
            <w:r>
              <w:rPr>
                <w:rFonts w:ascii="Times New Roman" w:eastAsia="Times New Roman" w:hAnsi="Times New Roman" w:cs="Times New Roman"/>
                <w:color w:val="000000"/>
                <w:spacing w:val="0"/>
                <w:w w:val="100"/>
                <w:position w:val="0"/>
              </w:rPr>
              <w:t>“</w:t>
            </w:r>
            <w:r>
              <w:rPr>
                <w:color w:val="000000"/>
                <w:spacing w:val="0"/>
                <w:w w:val="100"/>
                <w:position w:val="0"/>
              </w:rPr>
              <w:t>基因学院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深圳华大基因细胞科技有限责任公司（</w:t>
            </w:r>
            <w:r>
              <w:rPr>
                <w:rFonts w:ascii="Times New Roman" w:eastAsia="Times New Roman" w:hAnsi="Times New Roman" w:cs="Times New Roman"/>
                <w:color w:val="000000"/>
                <w:spacing w:val="0"/>
                <w:w w:val="100"/>
                <w:position w:val="0"/>
              </w:rPr>
              <w:t>“</w:t>
            </w:r>
            <w:r>
              <w:rPr>
                <w:color w:val="000000"/>
                <w:spacing w:val="0"/>
                <w:w w:val="100"/>
                <w:position w:val="0"/>
              </w:rPr>
              <w:t>华大细胞</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西藏华大基因科技有限公司（</w:t>
            </w:r>
            <w:r>
              <w:rPr>
                <w:rFonts w:ascii="Times New Roman" w:eastAsia="Times New Roman" w:hAnsi="Times New Roman" w:cs="Times New Roman"/>
                <w:color w:val="000000"/>
                <w:spacing w:val="0"/>
                <w:w w:val="100"/>
                <w:position w:val="0"/>
              </w:rPr>
              <w:t>“</w:t>
            </w:r>
            <w:r>
              <w:rPr>
                <w:color w:val="000000"/>
                <w:spacing w:val="0"/>
                <w:w w:val="100"/>
                <w:position w:val="0"/>
              </w:rPr>
              <w:t>西藏华大</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青岛华大生命科技有限公司（</w:t>
            </w:r>
            <w:r>
              <w:rPr>
                <w:rFonts w:ascii="Times New Roman" w:eastAsia="Times New Roman" w:hAnsi="Times New Roman" w:cs="Times New Roman"/>
                <w:color w:val="000000"/>
                <w:spacing w:val="0"/>
                <w:w w:val="100"/>
                <w:position w:val="0"/>
              </w:rPr>
              <w:t>“</w:t>
            </w:r>
            <w:r>
              <w:rPr>
                <w:color w:val="000000"/>
                <w:spacing w:val="0"/>
                <w:w w:val="100"/>
                <w:position w:val="0"/>
              </w:rPr>
              <w:t>青岛科技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武汉华大吉诺因生物科技有限公司（</w:t>
            </w:r>
            <w:r>
              <w:rPr>
                <w:rFonts w:ascii="Times New Roman" w:eastAsia="Times New Roman" w:hAnsi="Times New Roman" w:cs="Times New Roman"/>
                <w:color w:val="000000"/>
                <w:spacing w:val="0"/>
                <w:w w:val="100"/>
                <w:position w:val="0"/>
              </w:rPr>
              <w:t>“</w:t>
            </w:r>
            <w:r>
              <w:rPr>
                <w:color w:val="000000"/>
                <w:spacing w:val="0"/>
                <w:w w:val="100"/>
                <w:position w:val="0"/>
              </w:rPr>
              <w:t>武汉吉诺</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贵州华大基因科技有限公司（</w:t>
            </w:r>
            <w:r>
              <w:rPr>
                <w:rFonts w:ascii="Times New Roman" w:eastAsia="Times New Roman" w:hAnsi="Times New Roman" w:cs="Times New Roman"/>
                <w:color w:val="000000"/>
                <w:spacing w:val="0"/>
                <w:w w:val="100"/>
                <w:position w:val="0"/>
              </w:rPr>
              <w:t>“</w:t>
            </w:r>
            <w:r>
              <w:rPr>
                <w:color w:val="000000"/>
                <w:spacing w:val="0"/>
                <w:w w:val="100"/>
                <w:position w:val="0"/>
              </w:rPr>
              <w:t>贵州华大</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深圳市猛犯公益基金会（</w:t>
            </w:r>
            <w:r>
              <w:rPr>
                <w:rFonts w:ascii="Times New Roman" w:eastAsia="Times New Roman" w:hAnsi="Times New Roman" w:cs="Times New Roman"/>
                <w:color w:val="000000"/>
                <w:spacing w:val="0"/>
                <w:w w:val="100"/>
                <w:position w:val="0"/>
              </w:rPr>
              <w:t>“</w:t>
            </w:r>
            <w:r>
              <w:rPr>
                <w:color w:val="000000"/>
                <w:spacing w:val="0"/>
                <w:w w:val="100"/>
                <w:position w:val="0"/>
              </w:rPr>
              <w:t>猛犯基金会</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深圳市广电公益基金会</w:t>
            </w:r>
            <w:r>
              <w:rPr>
                <w:rFonts w:ascii="Times New Roman" w:eastAsia="Times New Roman" w:hAnsi="Times New Roman" w:cs="Times New Roman"/>
                <w:color w:val="000000"/>
                <w:spacing w:val="0"/>
                <w:w w:val="100"/>
                <w:position w:val="0"/>
              </w:rPr>
              <w:t>■</w:t>
            </w:r>
            <w:r>
              <w:rPr>
                <w:color w:val="000000"/>
                <w:spacing w:val="0"/>
                <w:w w:val="100"/>
                <w:position w:val="0"/>
              </w:rPr>
              <w:t>华基金公益基金（</w:t>
            </w:r>
            <w:r>
              <w:rPr>
                <w:rFonts w:ascii="Times New Roman" w:eastAsia="Times New Roman" w:hAnsi="Times New Roman" w:cs="Times New Roman"/>
                <w:color w:val="000000"/>
                <w:spacing w:val="0"/>
                <w:w w:val="100"/>
                <w:position w:val="0"/>
              </w:rPr>
              <w:t>“</w:t>
            </w:r>
            <w:r>
              <w:rPr>
                <w:color w:val="000000"/>
                <w:spacing w:val="0"/>
                <w:w w:val="100"/>
                <w:position w:val="0"/>
              </w:rPr>
              <w:t>华基金</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深圳华大智造科技股份有限公司（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华大智造</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武汉华大智造科技有限公司（</w:t>
            </w:r>
            <w:r>
              <w:rPr>
                <w:rFonts w:ascii="Times New Roman" w:eastAsia="Times New Roman" w:hAnsi="Times New Roman" w:cs="Times New Roman"/>
                <w:color w:val="000000"/>
                <w:spacing w:val="0"/>
                <w:w w:val="100"/>
                <w:position w:val="0"/>
              </w:rPr>
              <w:t>”</w:t>
            </w:r>
            <w:r>
              <w:rPr>
                <w:color w:val="000000"/>
                <w:spacing w:val="0"/>
                <w:w w:val="100"/>
                <w:position w:val="0"/>
              </w:rPr>
              <w:t>武汉智造</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同受最终实际控制人控制</w:t>
            </w:r>
          </w:p>
        </w:tc>
      </w:tr>
    </w:tbl>
    <w:p>
      <w:pPr>
        <w:spacing w:lineRule="exact" w:line="1"/>
        <w:rPr>
          <w:sz w:val="2"/>
          <w:szCs w:val="2"/>
        </w:rPr>
      </w:pPr>
      <w:r>
        <w:br w:type="page"/>
      </w:r>
    </w:p>
    <w:tbl>
      <w:tblPr>
        <w:tblOverlap w:val="never"/>
        <w:jc w:val="center"/>
        <w:tblLayout w:type="fixed"/>
      </w:tblPr>
      <w:tblGrid>
        <w:gridCol w:w="6106"/>
        <w:gridCol w:w="348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青岛华大智造普惠科技有限公司（</w:t>
            </w:r>
            <w:r>
              <w:rPr>
                <w:rFonts w:ascii="Times New Roman" w:eastAsia="Times New Roman" w:hAnsi="Times New Roman" w:cs="Times New Roman"/>
                <w:color w:val="000000"/>
                <w:spacing w:val="0"/>
                <w:w w:val="100"/>
                <w:position w:val="0"/>
              </w:rPr>
              <w:t>“</w:t>
            </w:r>
            <w:r>
              <w:rPr>
                <w:color w:val="000000"/>
                <w:spacing w:val="0"/>
                <w:w w:val="100"/>
                <w:position w:val="0"/>
              </w:rPr>
              <w:t>青岛普惠</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同受最终实际控制人控制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深圳华大鹏城门诊部（</w:t>
            </w:r>
            <w:r>
              <w:rPr>
                <w:rFonts w:ascii="Times New Roman" w:eastAsia="Times New Roman" w:hAnsi="Times New Roman" w:cs="Times New Roman"/>
                <w:color w:val="000000"/>
                <w:spacing w:val="0"/>
                <w:w w:val="100"/>
                <w:position w:val="0"/>
              </w:rPr>
              <w:t>“</w:t>
            </w:r>
            <w:r>
              <w:rPr>
                <w:color w:val="000000"/>
                <w:spacing w:val="0"/>
                <w:w w:val="100"/>
                <w:position w:val="0"/>
              </w:rPr>
              <w:t>华大鹏城门诊部</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LATVIA MGI TECH SIA</w:t>
            </w:r>
            <w:r>
              <w:rPr>
                <w:color w:val="000000"/>
                <w:spacing w:val="0"/>
                <w:w w:val="100"/>
                <w:position w:val="0"/>
              </w:rPr>
              <w:t xml:space="preserve">( </w:t>
            </w:r>
            <w:r>
              <w:rPr>
                <w:rFonts w:ascii="Times New Roman" w:eastAsia="Times New Roman" w:hAnsi="Times New Roman" w:cs="Times New Roman"/>
                <w:color w:val="000000"/>
                <w:spacing w:val="0"/>
                <w:w w:val="100"/>
                <w:position w:val="0"/>
              </w:rPr>
              <w:t>"LATVIA”</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同受最终实际控制人控制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北京华大蛋白质研发中心有限公司（</w:t>
            </w:r>
            <w:r>
              <w:rPr>
                <w:rFonts w:ascii="Times New Roman" w:eastAsia="Times New Roman" w:hAnsi="Times New Roman" w:cs="Times New Roman"/>
                <w:color w:val="000000"/>
                <w:spacing w:val="0"/>
                <w:w w:val="100"/>
                <w:position w:val="0"/>
              </w:rPr>
              <w:t>“</w:t>
            </w:r>
            <w:r>
              <w:rPr>
                <w:color w:val="000000"/>
                <w:spacing w:val="0"/>
                <w:w w:val="100"/>
                <w:position w:val="0"/>
              </w:rPr>
              <w:t>华大蛋白质研发中心</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董监高任职公司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DNA Service Center (Hong Kong) Co.,Limited</w:t>
            </w:r>
            <w:r>
              <w:rPr>
                <w:color w:val="000000"/>
                <w:spacing w:val="0"/>
                <w:w w:val="100"/>
                <w:position w:val="0"/>
              </w:rPr>
              <w:t>(</w:t>
            </w:r>
            <w:r>
              <w:rPr>
                <w:rFonts w:ascii="Times New Roman" w:eastAsia="Times New Roman" w:hAnsi="Times New Roman" w:cs="Times New Roman"/>
                <w:color w:val="000000"/>
                <w:spacing w:val="0"/>
                <w:w w:val="100"/>
                <w:position w:val="0"/>
              </w:rPr>
              <w:t>"DNA Service”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Research USA Inc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Groups USA Inc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同受最终控股股东控制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北京恩迪生物科技股份有限公司（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恩迪生物</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北京科迅生物技术有限公司（</w:t>
            </w:r>
            <w:r>
              <w:rPr>
                <w:rFonts w:ascii="Times New Roman" w:eastAsia="Times New Roman" w:hAnsi="Times New Roman" w:cs="Times New Roman"/>
                <w:color w:val="000000"/>
                <w:spacing w:val="0"/>
                <w:w w:val="100"/>
                <w:position w:val="0"/>
              </w:rPr>
              <w:t>“</w:t>
            </w:r>
            <w:r>
              <w:rPr>
                <w:color w:val="000000"/>
                <w:spacing w:val="0"/>
                <w:w w:val="100"/>
                <w:position w:val="0"/>
              </w:rPr>
              <w:t>北京科迅</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安徽拜力其生物科技有限公司（</w:t>
            </w:r>
            <w:r>
              <w:rPr>
                <w:rFonts w:ascii="Times New Roman" w:eastAsia="Times New Roman" w:hAnsi="Times New Roman" w:cs="Times New Roman"/>
                <w:color w:val="000000"/>
                <w:spacing w:val="0"/>
                <w:w w:val="100"/>
                <w:position w:val="0"/>
              </w:rPr>
              <w:t>“</w:t>
            </w:r>
            <w:r>
              <w:rPr>
                <w:color w:val="000000"/>
                <w:spacing w:val="0"/>
                <w:w w:val="100"/>
                <w:position w:val="0"/>
              </w:rPr>
              <w:t>拜力其</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合肥诚康生物技术有限公司（</w:t>
            </w:r>
            <w:r>
              <w:rPr>
                <w:rFonts w:ascii="Times New Roman" w:eastAsia="Times New Roman" w:hAnsi="Times New Roman" w:cs="Times New Roman"/>
                <w:color w:val="000000"/>
                <w:spacing w:val="0"/>
                <w:w w:val="100"/>
                <w:position w:val="0"/>
              </w:rPr>
              <w:t>“</w:t>
            </w:r>
            <w:r>
              <w:rPr>
                <w:color w:val="000000"/>
                <w:spacing w:val="0"/>
                <w:w w:val="100"/>
                <w:position w:val="0"/>
              </w:rPr>
              <w:t>合肥诚康</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菁良基因科技（深圳）有限公司（</w:t>
            </w:r>
            <w:r>
              <w:rPr>
                <w:rFonts w:ascii="Times New Roman" w:eastAsia="Times New Roman" w:hAnsi="Times New Roman" w:cs="Times New Roman"/>
                <w:color w:val="000000"/>
                <w:spacing w:val="0"/>
                <w:w w:val="100"/>
                <w:position w:val="0"/>
              </w:rPr>
              <w:t>“</w:t>
            </w:r>
            <w:r>
              <w:rPr>
                <w:color w:val="000000"/>
                <w:spacing w:val="0"/>
                <w:w w:val="100"/>
                <w:position w:val="0"/>
              </w:rPr>
              <w:t>菁良生物</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控股股东联营公司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保山华大智慧农业科技股份有限公司（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保山农业</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控股股东联营公司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中健云康（广州）物流供应链有限公司（</w:t>
            </w:r>
            <w:r>
              <w:rPr>
                <w:rFonts w:ascii="Times New Roman" w:eastAsia="Times New Roman" w:hAnsi="Times New Roman" w:cs="Times New Roman"/>
                <w:color w:val="000000"/>
                <w:spacing w:val="0"/>
                <w:w w:val="100"/>
                <w:position w:val="0"/>
              </w:rPr>
              <w:t>“</w:t>
            </w:r>
            <w:r>
              <w:rPr>
                <w:color w:val="000000"/>
                <w:spacing w:val="0"/>
                <w:w w:val="100"/>
                <w:position w:val="0"/>
              </w:rPr>
              <w:t>中健云康</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中健铭成（上海）供应链管理有限公司（</w:t>
            </w:r>
            <w:r>
              <w:rPr>
                <w:rFonts w:ascii="Times New Roman" w:eastAsia="Times New Roman" w:hAnsi="Times New Roman" w:cs="Times New Roman"/>
                <w:color w:val="000000"/>
                <w:spacing w:val="0"/>
                <w:w w:val="100"/>
                <w:position w:val="0"/>
              </w:rPr>
              <w:t>“</w:t>
            </w:r>
            <w:r>
              <w:rPr>
                <w:color w:val="000000"/>
                <w:spacing w:val="0"/>
                <w:w w:val="100"/>
                <w:position w:val="0"/>
              </w:rPr>
              <w:t>中健铭成</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深圳中健云康国际冷链供应链有限公司（</w:t>
            </w:r>
            <w:r>
              <w:rPr>
                <w:rFonts w:ascii="Times New Roman" w:eastAsia="Times New Roman" w:hAnsi="Times New Roman" w:cs="Times New Roman"/>
                <w:color w:val="000000"/>
                <w:spacing w:val="0"/>
                <w:w w:val="100"/>
                <w:position w:val="0"/>
              </w:rPr>
              <w:t>“</w:t>
            </w:r>
            <w:r>
              <w:rPr>
                <w:color w:val="000000"/>
                <w:spacing w:val="0"/>
                <w:w w:val="100"/>
                <w:position w:val="0"/>
              </w:rPr>
              <w:t>深圳中健云康</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北京中健云康供应链科技有限公司（</w:t>
            </w:r>
            <w:r>
              <w:rPr>
                <w:rFonts w:ascii="Times New Roman" w:eastAsia="Times New Roman" w:hAnsi="Times New Roman" w:cs="Times New Roman"/>
                <w:color w:val="000000"/>
                <w:spacing w:val="0"/>
                <w:w w:val="100"/>
                <w:position w:val="0"/>
              </w:rPr>
              <w:t>“</w:t>
            </w:r>
            <w:r>
              <w:rPr>
                <w:color w:val="000000"/>
                <w:spacing w:val="0"/>
                <w:w w:val="100"/>
                <w:position w:val="0"/>
              </w:rPr>
              <w:t>北京中健云康</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广州中健云康网络科技有限公司（</w:t>
            </w:r>
            <w:r>
              <w:rPr>
                <w:rFonts w:ascii="Times New Roman" w:eastAsia="Times New Roman" w:hAnsi="Times New Roman" w:cs="Times New Roman"/>
                <w:color w:val="000000"/>
                <w:spacing w:val="0"/>
                <w:w w:val="100"/>
                <w:position w:val="0"/>
              </w:rPr>
              <w:t>“</w:t>
            </w:r>
            <w:r>
              <w:rPr>
                <w:color w:val="000000"/>
                <w:spacing w:val="0"/>
                <w:w w:val="100"/>
                <w:position w:val="0"/>
              </w:rPr>
              <w:t>广州中健云康</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武汉中健云康供应链管理有限公司（</w:t>
            </w:r>
            <w:r>
              <w:rPr>
                <w:rFonts w:ascii="Times New Roman" w:eastAsia="Times New Roman" w:hAnsi="Times New Roman" w:cs="Times New Roman"/>
                <w:color w:val="000000"/>
                <w:spacing w:val="0"/>
                <w:w w:val="100"/>
                <w:position w:val="0"/>
              </w:rPr>
              <w:t>“</w:t>
            </w:r>
            <w:r>
              <w:rPr>
                <w:color w:val="000000"/>
                <w:spacing w:val="0"/>
                <w:w w:val="100"/>
                <w:position w:val="0"/>
              </w:rPr>
              <w:t>武汉中健云康</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北京知因新生活细胞生物科技有限公司（</w:t>
            </w:r>
            <w:r>
              <w:rPr>
                <w:rFonts w:ascii="Times New Roman" w:eastAsia="Times New Roman" w:hAnsi="Times New Roman" w:cs="Times New Roman"/>
                <w:color w:val="000000"/>
                <w:spacing w:val="0"/>
                <w:w w:val="100"/>
                <w:position w:val="0"/>
              </w:rPr>
              <w:t>“</w:t>
            </w:r>
            <w:r>
              <w:rPr>
                <w:color w:val="000000"/>
                <w:spacing w:val="0"/>
                <w:w w:val="100"/>
                <w:position w:val="0"/>
              </w:rPr>
              <w:t>知因盒子</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最终控股股东参股公司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北京聚道科技有限公司（</w:t>
            </w:r>
            <w:r>
              <w:rPr>
                <w:rFonts w:ascii="Times New Roman" w:eastAsia="Times New Roman" w:hAnsi="Times New Roman" w:cs="Times New Roman"/>
                <w:color w:val="000000"/>
                <w:spacing w:val="0"/>
                <w:w w:val="100"/>
                <w:position w:val="0"/>
              </w:rPr>
              <w:t>“</w:t>
            </w:r>
            <w:r>
              <w:rPr>
                <w:color w:val="000000"/>
                <w:spacing w:val="0"/>
                <w:w w:val="100"/>
                <w:position w:val="0"/>
              </w:rPr>
              <w:t>北京聚道</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康美华大基因技术有限公司（</w:t>
            </w:r>
            <w:r>
              <w:rPr>
                <w:rFonts w:ascii="Times New Roman" w:eastAsia="Times New Roman" w:hAnsi="Times New Roman" w:cs="Times New Roman"/>
                <w:color w:val="000000"/>
                <w:spacing w:val="0"/>
                <w:w w:val="100"/>
                <w:position w:val="0"/>
              </w:rPr>
              <w:t>“</w:t>
            </w:r>
            <w:r>
              <w:rPr>
                <w:color w:val="000000"/>
                <w:spacing w:val="0"/>
                <w:w w:val="100"/>
                <w:position w:val="0"/>
              </w:rPr>
              <w:t>康美华大</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北京量化健康科技有限公司（</w:t>
            </w:r>
            <w:r>
              <w:rPr>
                <w:rFonts w:ascii="Times New Roman" w:eastAsia="Times New Roman" w:hAnsi="Times New Roman" w:cs="Times New Roman"/>
                <w:color w:val="000000"/>
                <w:spacing w:val="0"/>
                <w:w w:val="100"/>
                <w:position w:val="0"/>
              </w:rPr>
              <w:t>“</w:t>
            </w:r>
            <w:r>
              <w:rPr>
                <w:color w:val="000000"/>
                <w:spacing w:val="0"/>
                <w:w w:val="100"/>
                <w:position w:val="0"/>
              </w:rPr>
              <w:t>北京量化</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MGI International Sales Co., Ltd.</w:t>
            </w:r>
            <w:r>
              <w:rPr>
                <w:color w:val="000000"/>
                <w:spacing w:val="0"/>
                <w:w w:val="100"/>
                <w:position w:val="0"/>
              </w:rPr>
              <w:t>(</w:t>
            </w:r>
            <w:r>
              <w:rPr>
                <w:rFonts w:ascii="Times New Roman" w:eastAsia="Times New Roman" w:hAnsi="Times New Roman" w:cs="Times New Roman"/>
                <w:color w:val="000000"/>
                <w:spacing w:val="0"/>
                <w:w w:val="100"/>
                <w:position w:val="0"/>
              </w:rPr>
              <w:t>“MGI”</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同受最终实际控制人控制</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中山大学达安基因股份有限公司（</w:t>
            </w:r>
            <w:r>
              <w:rPr>
                <w:rFonts w:ascii="Times New Roman" w:eastAsia="Times New Roman" w:hAnsi="Times New Roman" w:cs="Times New Roman"/>
                <w:color w:val="000000"/>
                <w:spacing w:val="0"/>
                <w:w w:val="100"/>
                <w:position w:val="0"/>
              </w:rPr>
              <w:t>“</w:t>
            </w:r>
            <w:r>
              <w:rPr>
                <w:color w:val="000000"/>
                <w:spacing w:val="0"/>
                <w:w w:val="100"/>
                <w:position w:val="0"/>
              </w:rPr>
              <w:t>达安基因</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北京宅急送快运股份有限公司（</w:t>
            </w:r>
            <w:r>
              <w:rPr>
                <w:rFonts w:ascii="Times New Roman" w:eastAsia="Times New Roman" w:hAnsi="Times New Roman" w:cs="Times New Roman"/>
                <w:color w:val="000000"/>
                <w:spacing w:val="0"/>
                <w:w w:val="100"/>
                <w:position w:val="0"/>
              </w:rPr>
              <w:t>“</w:t>
            </w:r>
            <w:r>
              <w:rPr>
                <w:color w:val="000000"/>
                <w:spacing w:val="0"/>
                <w:w w:val="100"/>
                <w:position w:val="0"/>
              </w:rPr>
              <w:t>宅急送</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南京华大共赢一号创业投资企业（有限合伙）（</w:t>
            </w:r>
            <w:r>
              <w:rPr>
                <w:rFonts w:ascii="Times New Roman" w:eastAsia="Times New Roman" w:hAnsi="Times New Roman" w:cs="Times New Roman"/>
                <w:color w:val="000000"/>
                <w:spacing w:val="0"/>
                <w:w w:val="100"/>
                <w:position w:val="0"/>
              </w:rPr>
              <w:t>“</w:t>
            </w:r>
            <w:r>
              <w:rPr>
                <w:color w:val="000000"/>
                <w:spacing w:val="0"/>
                <w:w w:val="100"/>
                <w:position w:val="0"/>
              </w:rPr>
              <w:t>南京华大共赢一号</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华大共赢（深圳）股权投资基金管理有限公司（</w:t>
            </w:r>
            <w:r>
              <w:rPr>
                <w:rFonts w:ascii="Times New Roman" w:eastAsia="Times New Roman" w:hAnsi="Times New Roman" w:cs="Times New Roman"/>
                <w:color w:val="000000"/>
                <w:spacing w:val="0"/>
                <w:w w:val="100"/>
                <w:position w:val="0"/>
              </w:rPr>
              <w:t>“</w:t>
            </w:r>
            <w:r>
              <w:rPr>
                <w:color w:val="000000"/>
                <w:spacing w:val="0"/>
                <w:w w:val="100"/>
                <w:position w:val="0"/>
              </w:rPr>
              <w:t>华大共赢</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母公司董监高任职公司</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青岛华大共赢二号创业投资基金合伙企业（有限合伙）（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青岛华大共赢二 号</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高林（深圳）资本管理有限公司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高林厚健（上海）创业投资合伙企业（有限合伙）（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高林厚健</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上海高林固泰创业投资管理有限公司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董监高任职公司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深圳弘泰资本投资有限公司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董监高任职公司</w:t>
            </w:r>
          </w:p>
        </w:tc>
      </w:tr>
    </w:tbl>
    <w:p>
      <w:pPr>
        <w:spacing w:lineRule="exact" w:line="1"/>
        <w:rPr>
          <w:sz w:val="2"/>
          <w:szCs w:val="2"/>
        </w:rPr>
      </w:pPr>
      <w:r>
        <w:br w:type="page"/>
      </w:r>
    </w:p>
    <w:tbl>
      <w:tblPr>
        <w:tblOverlap w:val="never"/>
        <w:jc w:val="center"/>
        <w:tblLayout w:type="fixed"/>
      </w:tblPr>
      <w:tblGrid>
        <w:gridCol w:w="6106"/>
        <w:gridCol w:w="348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高林资本管理有限公司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佛山德盛天林股权投资合伙企业（有限合伙）（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佛山德盛</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成都博远嘉昱创业投资合伙企业（有限合伙）（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博远嘉昱</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宁波梅山保税港区博睿嘉天股权投资管理合伙企业（有限合伙）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高林开泰（上海）股权投资合伙企业（有限合伙）（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高林上海</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珠海高林金泰创业投资合伙企业（有限合伙）（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高林珠海</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上海镁信健康科技有限公司（</w:t>
            </w:r>
            <w:r>
              <w:rPr>
                <w:rFonts w:ascii="Times New Roman" w:eastAsia="Times New Roman" w:hAnsi="Times New Roman" w:cs="Times New Roman"/>
                <w:color w:val="000000"/>
                <w:spacing w:val="0"/>
                <w:w w:val="100"/>
                <w:position w:val="0"/>
              </w:rPr>
              <w:t>“</w:t>
            </w:r>
            <w:r>
              <w:rPr>
                <w:color w:val="000000"/>
                <w:spacing w:val="0"/>
                <w:w w:val="100"/>
                <w:position w:val="0"/>
              </w:rPr>
              <w:t>上海镁信</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董监高任职公司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MHBGI, Limited Partnership</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合资企业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杨焕明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母公司董事</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：本公司控股股东华大控股为猛犯基金会的发起人之一，持股比例为</w:t>
      </w:r>
      <w:r>
        <w:rPr>
          <w:rFonts w:ascii="Times New Roman" w:eastAsia="Times New Roman" w:hAnsi="Times New Roman" w:cs="Times New Roman"/>
          <w:color w:val="000000"/>
          <w:spacing w:val="0"/>
          <w:w w:val="100"/>
          <w:position w:val="0"/>
        </w:rPr>
        <w:t>40%</w:t>
      </w:r>
      <w:r>
        <w:rPr>
          <w:color w:val="000000"/>
          <w:spacing w:val="0"/>
          <w:w w:val="100"/>
          <w:position w:val="0"/>
        </w:rPr>
        <w:t>，且华大控股的在职人员在基金会担任理 事会成员、监事职务，同时担任华基金公益基金会专项管委会主任。</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：华大共赢系南京华大共赢一号和青岛华大共赢一号的执行事务合伙人。</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：公司董事王洪涛同时担任高林（深圳）资本管理有限公司法定代表人与执行董事。该关联方高林（深圳）资本管 理有限公司符合《深圳证券交易所创业板股票上市规则》第</w:t>
      </w:r>
      <w:r>
        <w:rPr>
          <w:rFonts w:ascii="Times New Roman" w:eastAsia="Times New Roman" w:hAnsi="Times New Roman" w:cs="Times New Roman"/>
          <w:color w:val="000000"/>
          <w:spacing w:val="0"/>
          <w:w w:val="100"/>
          <w:position w:val="0"/>
        </w:rPr>
        <w:t>7.2.6</w:t>
      </w:r>
      <w:r>
        <w:rPr>
          <w:color w:val="000000"/>
          <w:spacing w:val="0"/>
          <w:w w:val="100"/>
          <w:position w:val="0"/>
        </w:rPr>
        <w:t>条第（三）款规定的关联关系情形。高林（深圳）资本管理 有限公司系高林厚健的执行事务合伙人。</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：宁波梅山保税港区博睿嘉天股权投资管理合伙企业（有限合伙）是成都博远嘉昱创业投资合伙企业（有限合伙） 的唯一普通合伙人及执行事务合伙人，本公司董事陈鹏辉同时担任博睿嘉天的执行事务合伙人博睿瑜业（上海）股权投资管 理有限公司的法定代表人，成都博远嘉昱创业投资合伙企业（有限合伙）的执行事务合伙人（委派代表）。</w:t>
      </w:r>
    </w:p>
    <w:p>
      <w:pPr>
        <w:pStyle w:val="Style17"/>
        <w:keepNext w:val="0"/>
        <w:keepLines w:val="0"/>
        <w:widowControl w:val="0"/>
        <w:shd w:val="clear" w:color="auto" w:fill="auto"/>
        <w:bidi w:val="0"/>
        <w:spacing w:before="0" w:after="38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日，因新进投资人股东对恩迪生物投资，公司未同比例增资，公司持有恩迪生物的股权比例被稀释至 </w:t>
      </w:r>
      <w:r>
        <w:rPr>
          <w:rFonts w:ascii="Times New Roman" w:eastAsia="Times New Roman" w:hAnsi="Times New Roman" w:cs="Times New Roman"/>
          <w:color w:val="000000"/>
          <w:spacing w:val="0"/>
          <w:w w:val="100"/>
          <w:position w:val="0"/>
        </w:rPr>
        <w:t>3.8969%</w:t>
      </w:r>
      <w:r>
        <w:rPr>
          <w:color w:val="000000"/>
          <w:spacing w:val="0"/>
          <w:w w:val="100"/>
          <w:position w:val="0"/>
        </w:rPr>
        <w:t>，恩迪生物完成增资后公司不再具有向其派驻董事的权利，公司退出董事席位，对其生产经营不再具有重大影响， 故恩迪生物从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日起不再是公司的关联方。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日，北京科讯和拜力其作为恩迪生物的子公司、合肥诚康 作为北京科讯的子公司，因母公司恩迪生物股权变动，自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日起，也不再是公司的关联方。</w:t>
      </w:r>
    </w:p>
    <w:p>
      <w:pPr>
        <w:pStyle w:val="Style30"/>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color w:val="000000"/>
          <w:spacing w:val="0"/>
          <w:w w:val="100"/>
          <w:position w:val="0"/>
        </w:rPr>
        <w:t>、关联交易情况</w:t>
      </w:r>
      <w:bookmarkEnd w:id="1717"/>
      <w:bookmarkEnd w:id="1718"/>
      <w:bookmarkEnd w:id="1720"/>
    </w:p>
    <w:p>
      <w:pPr>
        <w:pStyle w:val="Style30"/>
        <w:keepNext/>
        <w:keepLines/>
        <w:widowControl w:val="0"/>
        <w:shd w:val="clear" w:color="auto" w:fill="auto"/>
        <w:bidi w:val="0"/>
        <w:spacing w:before="0" w:after="260" w:line="240" w:lineRule="auto"/>
        <w:ind w:left="0" w:right="0" w:firstLine="0"/>
        <w:jc w:val="left"/>
      </w:pPr>
      <w:bookmarkStart w:id="1717" w:name="bookmark1717"/>
      <w:bookmarkStart w:id="1718" w:name="bookmark1718"/>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17"/>
      <w:bookmarkEnd w:id="1718"/>
      <w:bookmarkEnd w:id="1721"/>
    </w:p>
    <w:p>
      <w:pPr>
        <w:pStyle w:val="Style17"/>
        <w:keepNext w:val="0"/>
        <w:keepLines w:val="0"/>
        <w:widowControl w:val="0"/>
        <w:shd w:val="clear" w:color="auto" w:fill="auto"/>
        <w:bidi w:val="0"/>
        <w:spacing w:before="0" w:after="120" w:line="314"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2693"/>
        <w:gridCol w:w="1555"/>
        <w:gridCol w:w="1421"/>
        <w:gridCol w:w="850"/>
        <w:gridCol w:w="149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是否超过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采购物料、采购设备及接受服务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319,415,286.49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343,990,000.00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68,890,126.69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Sunrise </w:t>
            </w:r>
            <w:r>
              <w:rPr>
                <w:rFonts w:ascii="Times New Roman" w:eastAsia="Times New Roman" w:hAnsi="Times New Roman" w:cs="Times New Roman"/>
                <w:color w:val="000000"/>
                <w:spacing w:val="0"/>
                <w:w w:val="100"/>
                <w:position w:val="0"/>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采购代理服务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270,766,251.44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403,300,000.00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MGI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采购物料、采购设备及接受服务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160,370,429.11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199,500,000.00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216,334,423.35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采购物料、采购设备及接受服务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121,633,711.56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124,640,000.00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196,695,579.85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宅急送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采购物流运输服务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44,156,663.25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10,400,142.57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采购会议服务、运维服务等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25,783,330.48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33,390,000.00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2,803,438.55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采购公共服务等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20,465,888.23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38,598,821.50</w:t>
            </w:r>
          </w:p>
        </w:tc>
      </w:tr>
    </w:tbl>
    <w:p>
      <w:pPr>
        <w:spacing w:lineRule="exact" w:line="1"/>
        <w:rPr>
          <w:sz w:val="2"/>
          <w:szCs w:val="2"/>
        </w:rPr>
      </w:pPr>
      <w:r>
        <w:br w:type="page"/>
      </w:r>
    </w:p>
    <w:tbl>
      <w:tblPr>
        <w:tblOverlap w:val="never"/>
        <w:jc w:val="center"/>
        <w:tblLayout w:type="fixed"/>
      </w:tblPr>
      <w:tblGrid>
        <w:gridCol w:w="1570"/>
        <w:gridCol w:w="2693"/>
        <w:gridCol w:w="1555"/>
        <w:gridCol w:w="1421"/>
        <w:gridCol w:w="850"/>
        <w:gridCol w:w="149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中健云康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采购物流运输服务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14,714,045.33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15,760,000.00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20,425,706.78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青岛普惠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12,655,448.65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30,950,000.00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中健铭成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采购物流运输服务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11,856,665.39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采购平台服务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8,461,186.47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9,807,883.00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深圳中健云康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采购物流运输服务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8,102,901.54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北京中健云康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采购物流运输服务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7,527,578.37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6,797,504.50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6,576,044.00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华大咖啡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采购礼品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5,116,651.19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2,945,236.63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华大鹏城门诊部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采购礼品、员工体检服务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4,166,885.00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华每嘉中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采购咨询服务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4,058,790.72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538,243.39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LATVIA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1,716,876.93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拜力其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采购代理服务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1,287,364.00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23,350,000.00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3,079,025.00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华大营养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采购礼品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1,156,420.81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1,175,128.00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华大蛋白质研发中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采购抗体制备及鉴定服务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1,164,011.24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华大特检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采购体检服务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1,038,721.36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2,998,138.11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广州中健云康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采购物流运输服务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942,270.36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华大互联网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采购礼品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928,010.98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758,528.82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菁良生物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709,806.90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1,244,367.01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采购固定资产、培训服务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647,207.60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2,279,689.86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深圳法医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258,849.56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武汉中健云康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采购物流运输服务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525,051.59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采购云平台服务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485,436.89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1,782,178.20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DNA Service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采购鉴定服务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474,030.28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基因学院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采购培训服务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267,213.66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152,546.64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上海镁信（注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采购招募服务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苏州泓迅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采购基因合成服务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128,280.85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52,189.02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华大运动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采购礼品、采购服务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113,924.52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119,118.96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临沂华大（注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采购民生项目服务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151,863.61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2,590,895.99</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采购物料、采购固定资产及接受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14,510,373.45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采购代理服务、基因测序服务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11,959,851.80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采购民生项目服务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1,091,465.47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保山农业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采购礼品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39,352.12</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华大小米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采购礼品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27,360.00</w:t>
            </w:r>
          </w:p>
        </w:tc>
      </w:tr>
    </w:tbl>
    <w:p>
      <w:pPr>
        <w:spacing w:lineRule="exact" w:line="1"/>
        <w:rPr>
          <w:sz w:val="2"/>
          <w:szCs w:val="2"/>
        </w:rPr>
      </w:pPr>
      <w:r>
        <w:br w:type="page"/>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3274"/>
        <w:gridCol w:w="1982"/>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Sunrise </w:t>
            </w:r>
            <w:r>
              <w:rPr>
                <w:rFonts w:ascii="Times New Roman" w:eastAsia="Times New Roman" w:hAnsi="Times New Roman" w:cs="Times New Roman"/>
                <w:color w:val="000000"/>
                <w:spacing w:val="0"/>
                <w:w w:val="100"/>
                <w:position w:val="0"/>
              </w:rPr>
              <w:t>（</w:t>
            </w:r>
            <w:r>
              <w:rPr>
                <w:color w:val="000000"/>
                <w:spacing w:val="0"/>
                <w:w w:val="100"/>
                <w:position w:val="0"/>
              </w:rPr>
              <w:t xml:space="preserve">注 </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销售设备和试剂及提供基因测序服务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62,398,427.10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238,280,349.49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销售设备和试剂及提供基因测序服务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11,635,507.26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16,191,709.39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10,730,351.71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5,690,278.66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销售设备和试剂及提供基因测序服务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8,587,076.59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7,143,823.64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恩迪生物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销售设备和试剂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2,904,818.61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8,125,066.41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深圳法医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2,347,865.20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2,396,333.92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华大鹏城门诊部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1,061,429.85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华大特检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提供合成及检测服务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991,562.44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1,813,765.68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748,120.71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1,510,681.00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744,696.23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3,281,444.71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拜力其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销售设备和试剂及提供基因测序服务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575,385.00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2,110,871.16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Research USA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513,183.72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912,915.39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武汉吉诺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485,288.80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486,104.96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1,159,469.88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华大咖啡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416,212.00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华大互联网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销售设备和试剂及提供基因测序服务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355,405.68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111,145.46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317,056.97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132,320.60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销售试剂及提供基因测序服务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286,428.52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596,454.97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222,867.60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Borneo Genomics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销售设备和试剂及提供基因测序服务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191,381.99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156,817,878.23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华大细胞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171,296.07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208,430.64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华大蛋白质研发中心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122,767.54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提供合成及基因测序服务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69,183.69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143,621.70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华大运动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51,344.00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118,362.84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知因盒子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45,330.00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557,354.88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28,065.10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64,615.54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华大三生园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11,320.76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137,110.06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康美华大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10,754.71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方瑞司法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168,069.02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猛犯基金会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销售试剂及提供基因测序服务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3,023,965.49</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提供试剂盒申报服务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943,396.22</w:t>
            </w:r>
          </w:p>
        </w:tc>
      </w:tr>
    </w:tbl>
    <w:p>
      <w:pPr>
        <w:spacing w:lineRule="exact" w:line="1"/>
        <w:rPr>
          <w:sz w:val="2"/>
          <w:szCs w:val="2"/>
        </w:rPr>
      </w:pPr>
      <w:r>
        <w:br w:type="page"/>
      </w:r>
    </w:p>
    <w:tbl>
      <w:tblPr>
        <w:tblOverlap w:val="never"/>
        <w:jc w:val="center"/>
        <w:tblLayout w:type="fixed"/>
      </w:tblPr>
      <w:tblGrid>
        <w:gridCol w:w="2405"/>
        <w:gridCol w:w="3274"/>
        <w:gridCol w:w="1982"/>
        <w:gridCol w:w="1925"/>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760,539.00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方瑞生物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销售试剂和提供基因测序服务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739,514.62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古奥基因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736,654.78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Groups USA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222,176.61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达安基因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销售试剂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106,252.42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北京量化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78,490.57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华大营养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提供基因测序服务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9,950.00</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购销商品、提供和接受劳务的关联交易说明</w:t>
      </w:r>
    </w:p>
    <w:p>
      <w:pPr>
        <w:pStyle w:val="Style17"/>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年度以及</w:t>
      </w:r>
      <w:r>
        <w:rPr>
          <w:rFonts w:ascii="Times New Roman" w:eastAsia="Times New Roman" w:hAnsi="Times New Roman" w:cs="Times New Roman"/>
          <w:color w:val="000000"/>
          <w:spacing w:val="0"/>
          <w:w w:val="100"/>
          <w:position w:val="0"/>
        </w:rPr>
        <w:t>2020</w:t>
      </w:r>
      <w:r>
        <w:rPr>
          <w:color w:val="000000"/>
          <w:spacing w:val="0"/>
          <w:w w:val="100"/>
          <w:position w:val="0"/>
        </w:rPr>
        <w:t>年度，本公司以双方拟定的协议价向上述关联方销售商品和提供劳务。</w:t>
      </w:r>
    </w:p>
    <w:p>
      <w:pPr>
        <w:pStyle w:val="Style17"/>
        <w:keepNext w:val="0"/>
        <w:keepLines w:val="0"/>
        <w:widowControl w:val="0"/>
        <w:shd w:val="clear" w:color="auto" w:fill="auto"/>
        <w:tabs>
          <w:tab w:pos="897" w:val="left"/>
        </w:tabs>
        <w:bidi w:val="0"/>
        <w:spacing w:before="0" w:after="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年公司向关联方</w:t>
      </w:r>
      <w:r>
        <w:rPr>
          <w:rFonts w:ascii="Times New Roman" w:eastAsia="Times New Roman" w:hAnsi="Times New Roman" w:cs="Times New Roman"/>
          <w:color w:val="000000"/>
          <w:spacing w:val="0"/>
          <w:w w:val="100"/>
          <w:position w:val="0"/>
        </w:rPr>
        <w:t>Sunrise</w:t>
      </w:r>
      <w:r>
        <w:rPr>
          <w:color w:val="000000"/>
          <w:spacing w:val="0"/>
          <w:w w:val="100"/>
          <w:position w:val="0"/>
        </w:rPr>
        <w:t>采购的服务主要是代理服务，主要香港新冠疫情防控需要，经</w:t>
      </w:r>
      <w:r>
        <w:rPr>
          <w:rFonts w:ascii="Times New Roman" w:eastAsia="Times New Roman" w:hAnsi="Times New Roman" w:cs="Times New Roman"/>
          <w:color w:val="000000"/>
          <w:spacing w:val="0"/>
          <w:w w:val="100"/>
          <w:position w:val="0"/>
        </w:rPr>
        <w:t>Sunrise</w:t>
      </w:r>
      <w:r>
        <w:rPr>
          <w:color w:val="000000"/>
          <w:spacing w:val="0"/>
          <w:w w:val="100"/>
          <w:position w:val="0"/>
        </w:rPr>
        <w:t>代理的香港渠道</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新冠检测样本量较预期大幅增加。</w:t>
      </w:r>
    </w:p>
    <w:p>
      <w:pPr>
        <w:pStyle w:val="Style17"/>
        <w:keepNext w:val="0"/>
        <w:keepLines w:val="0"/>
        <w:widowControl w:val="0"/>
        <w:shd w:val="clear" w:color="auto" w:fill="auto"/>
        <w:bidi w:val="0"/>
        <w:spacing w:before="0" w:after="380" w:line="32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：向华大蛋白质研发中心、上海镁信健康科技有限公司、临沂华大采购服务相应执行差额已在总经理授权范围内履 行了审批程序。</w:t>
      </w:r>
    </w:p>
    <w:p>
      <w:pPr>
        <w:pStyle w:val="Style30"/>
        <w:keepNext/>
        <w:keepLines/>
        <w:widowControl w:val="0"/>
        <w:shd w:val="clear" w:color="auto" w:fill="auto"/>
        <w:bidi w:val="0"/>
        <w:spacing w:before="0" w:after="28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722"/>
      <w:bookmarkEnd w:id="1723"/>
      <w:bookmarkEnd w:id="1724"/>
    </w:p>
    <w:p>
      <w:pPr>
        <w:pStyle w:val="Style17"/>
        <w:keepNext w:val="0"/>
        <w:keepLines w:val="0"/>
        <w:widowControl w:val="0"/>
        <w:shd w:val="clear" w:color="auto" w:fill="auto"/>
        <w:bidi w:val="0"/>
        <w:spacing w:before="0" w:line="322" w:lineRule="exact"/>
        <w:ind w:left="0" w:right="0" w:firstLine="0"/>
        <w:jc w:val="left"/>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69,147.95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50,862.24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深圳法医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设备租赁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283,185.84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849,557.52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2,832,044.99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4,312,819.56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1,338,038.37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Complete Genomics,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房屋及设备租赁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1,001,181.14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1,213,637.36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152,133.84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西藏华大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27,156.61</w:t>
            </w:r>
          </w:p>
        </w:tc>
      </w:tr>
    </w:tbl>
    <w:p>
      <w:pPr>
        <w:widowControl w:val="0"/>
        <w:spacing w:after="99" w:line="1" w:lineRule="exact"/>
      </w:pP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关联租赁情况说明</w:t>
      </w:r>
    </w:p>
    <w:p>
      <w:pPr>
        <w:pStyle w:val="Style17"/>
        <w:keepNext w:val="0"/>
        <w:keepLines w:val="0"/>
        <w:widowControl w:val="0"/>
        <w:shd w:val="clear" w:color="auto" w:fill="auto"/>
        <w:bidi w:val="0"/>
        <w:spacing w:before="0" w:line="240" w:lineRule="auto"/>
        <w:ind w:left="0" w:right="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日起执行新租赁准则，本公司向关联方华大研究院、贵州华大租赁房屋建筑物，对应的使用权资产</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和租赁负债账面价值及变动情况如下: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bl>
      <w:tblPr>
        <w:tblOverlap w:val="never"/>
        <w:jc w:val="center"/>
        <w:tblLayout w:type="fixed"/>
      </w:tblPr>
      <w:tblGrid>
        <w:gridCol w:w="3221"/>
        <w:gridCol w:w="3206"/>
        <w:gridCol w:w="322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4,022,240.29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4,022,240.29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2,681,493.53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150,551.46</w:t>
            </w:r>
          </w:p>
        </w:tc>
      </w:tr>
    </w:tbl>
    <w:p>
      <w:pPr>
        <w:spacing w:lineRule="exact" w:line="1"/>
        <w:rPr>
          <w:sz w:val="2"/>
          <w:szCs w:val="2"/>
        </w:rPr>
      </w:pPr>
      <w:r>
        <w:br w:type="page"/>
      </w:r>
    </w:p>
    <w:tbl>
      <w:tblPr>
        <w:tblOverlap w:val="never"/>
        <w:jc w:val="center"/>
        <w:tblLayout w:type="fixed"/>
      </w:tblPr>
      <w:tblGrid>
        <w:gridCol w:w="3221"/>
        <w:gridCol w:w="3206"/>
        <w:gridCol w:w="322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2,794,475.28</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1,340,746.76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1,378,316.47</w:t>
            </w:r>
          </w:p>
        </w:tc>
      </w:tr>
    </w:tbl>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贵州华大</w:t>
      </w:r>
    </w:p>
    <w:tbl>
      <w:tblPr>
        <w:tblOverlap w:val="never"/>
        <w:jc w:val="center"/>
        <w:tblLayout w:type="fixed"/>
      </w:tblPr>
      <w:tblGrid>
        <w:gridCol w:w="3221"/>
        <w:gridCol w:w="3206"/>
        <w:gridCol w:w="3221"/>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4,254,785.26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4,254,785.26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1,181,884.79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156,153.58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1,538,460.00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3,072,900.47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2,872,478.84</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日，除上表所述的房屋租赁外本公司向</w:t>
      </w:r>
      <w:r>
        <w:rPr>
          <w:rFonts w:ascii="Times New Roman" w:eastAsia="Times New Roman" w:hAnsi="Times New Roman" w:cs="Times New Roman"/>
          <w:color w:val="000000"/>
          <w:spacing w:val="0"/>
          <w:w w:val="100"/>
          <w:position w:val="0"/>
        </w:rPr>
        <w:t>Complete Genomics, Inc.</w:t>
      </w:r>
      <w:r>
        <w:rPr>
          <w:color w:val="000000"/>
          <w:spacing w:val="0"/>
          <w:w w:val="100"/>
          <w:position w:val="0"/>
        </w:rPr>
        <w:t>与青岛科技短期租赁房屋及建筑物未纳 入租赁负债计量的租赁费用金额为人民币</w:t>
      </w:r>
      <w:r>
        <w:rPr>
          <w:rFonts w:ascii="Times New Roman" w:eastAsia="Times New Roman" w:hAnsi="Times New Roman" w:cs="Times New Roman"/>
          <w:color w:val="000000"/>
          <w:spacing w:val="0"/>
          <w:w w:val="100"/>
          <w:position w:val="0"/>
        </w:rPr>
        <w:t>1,153,314.98</w:t>
      </w:r>
      <w:r>
        <w:rPr>
          <w:color w:val="000000"/>
          <w:spacing w:val="0"/>
          <w:w w:val="100"/>
          <w:position w:val="0"/>
        </w:rPr>
        <w:t>元。</w:t>
      </w:r>
    </w:p>
    <w:p>
      <w:pPr>
        <w:widowControl w:val="0"/>
        <w:spacing w:after="379" w:line="1" w:lineRule="exact"/>
      </w:pPr>
    </w:p>
    <w:p>
      <w:pPr>
        <w:pStyle w:val="Style30"/>
        <w:keepNext/>
        <w:keepLines/>
        <w:widowControl w:val="0"/>
        <w:shd w:val="clear" w:color="auto" w:fill="auto"/>
        <w:bidi w:val="0"/>
        <w:spacing w:before="0" w:after="26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725"/>
      <w:bookmarkEnd w:id="1726"/>
      <w:bookmarkEnd w:id="1728"/>
    </w:p>
    <w:p>
      <w:pPr>
        <w:pStyle w:val="Style17"/>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本公司作为被担保方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699"/>
        <w:gridCol w:w="1915"/>
        <w:gridCol w:w="1915"/>
        <w:gridCol w:w="192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深圳华大基因科技有限公 司、汪建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杨焕明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729"/>
      <w:bookmarkEnd w:id="1730"/>
      <w:bookmarkEnd w:id="17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52,886,719.16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30,592,615.95</w:t>
            </w:r>
          </w:p>
        </w:tc>
      </w:tr>
    </w:tbl>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本年度，本公司发生的关键管理人员薪酬（包括采用货币、实物形式和其他形式）总额为人民币</w:t>
      </w:r>
      <w:r>
        <w:rPr>
          <w:rFonts w:ascii="Times New Roman" w:eastAsia="Times New Roman" w:hAnsi="Times New Roman" w:cs="Times New Roman"/>
          <w:color w:val="000000"/>
          <w:spacing w:val="0"/>
          <w:w w:val="100"/>
          <w:position w:val="0"/>
        </w:rPr>
        <w:t>52,886,719.16</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年：人民币</w:t>
      </w:r>
      <w:r>
        <w:rPr>
          <w:rFonts w:ascii="Times New Roman" w:eastAsia="Times New Roman" w:hAnsi="Times New Roman" w:cs="Times New Roman"/>
          <w:color w:val="000000"/>
          <w:spacing w:val="0"/>
          <w:w w:val="100"/>
          <w:position w:val="0"/>
        </w:rPr>
        <w:t>30,592,615.95</w:t>
      </w:r>
      <w:r>
        <w:rPr>
          <w:color w:val="000000"/>
          <w:spacing w:val="0"/>
          <w:w w:val="100"/>
          <w:position w:val="0"/>
        </w:rPr>
        <w:t>元）。其中股份支付对应的成本为人民币</w:t>
      </w:r>
      <w:r>
        <w:rPr>
          <w:rFonts w:ascii="Times New Roman" w:eastAsia="Times New Roman" w:hAnsi="Times New Roman" w:cs="Times New Roman"/>
          <w:color w:val="000000"/>
          <w:spacing w:val="0"/>
          <w:w w:val="100"/>
          <w:position w:val="0"/>
        </w:rPr>
        <w:t>31,701,123.26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年：人民币</w:t>
      </w:r>
      <w:r>
        <w:rPr>
          <w:rFonts w:ascii="Times New Roman" w:eastAsia="Times New Roman" w:hAnsi="Times New Roman" w:cs="Times New Roman"/>
          <w:color w:val="000000"/>
          <w:spacing w:val="0"/>
          <w:w w:val="100"/>
          <w:position w:val="0"/>
        </w:rPr>
        <w:t>14,993,774.5</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733"/>
      <w:bookmarkEnd w:id="1734"/>
      <w:bookmarkEnd w:id="1736"/>
    </w:p>
    <w:tbl>
      <w:tblPr>
        <w:tblOverlap w:val="never"/>
        <w:jc w:val="left"/>
        <w:tblLayout w:type="fixed"/>
      </w:tblPr>
      <w:tblGrid>
        <w:gridCol w:w="2083"/>
        <w:gridCol w:w="2074"/>
        <w:gridCol w:w="2074"/>
        <w:gridCol w:w="208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深圳市猛犯公益基金会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捐赠现金、设备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27,630,641.84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15,288,276.49</w:t>
            </w:r>
          </w:p>
        </w:tc>
      </w:tr>
    </w:tbl>
    <w:p>
      <w:pPr>
        <w:pStyle w:val="Style26"/>
        <w:keepNext w:val="0"/>
        <w:keepLines w:val="0"/>
        <w:widowControl w:val="0"/>
        <w:shd w:val="clear" w:color="auto" w:fill="auto"/>
        <w:bidi w:val="0"/>
        <w:spacing w:before="0" w:after="0" w:line="240" w:lineRule="auto"/>
        <w:ind w:left="317"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年度，就以上交易以双方拟定的协议价执行。</w:t>
      </w:r>
      <w:r>
        <w:br w:type="page"/>
      </w:r>
    </w:p>
    <w:p>
      <w:pPr>
        <w:pStyle w:val="Style30"/>
        <w:keepNext/>
        <w:keepLines/>
        <w:widowControl w:val="0"/>
        <w:shd w:val="clear" w:color="auto" w:fill="auto"/>
        <w:bidi w:val="0"/>
        <w:spacing w:before="0" w:after="26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）其他投资事项</w:t>
      </w:r>
      <w:bookmarkEnd w:id="1737"/>
      <w:bookmarkEnd w:id="1738"/>
      <w:bookmarkEnd w:id="1740"/>
    </w:p>
    <w:p>
      <w:pPr>
        <w:pStyle w:val="Style17"/>
        <w:keepNext w:val="0"/>
        <w:keepLines w:val="0"/>
        <w:widowControl w:val="0"/>
        <w:shd w:val="clear" w:color="auto" w:fill="auto"/>
        <w:bidi w:val="0"/>
        <w:spacing w:before="0" w:after="360" w:line="326" w:lineRule="exact"/>
        <w:ind w:left="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日向青岛华大共赢二号出资人民币</w:t>
      </w:r>
      <w:r>
        <w:rPr>
          <w:rFonts w:ascii="Times New Roman" w:eastAsia="Times New Roman" w:hAnsi="Times New Roman" w:cs="Times New Roman"/>
          <w:color w:val="000000"/>
          <w:spacing w:val="0"/>
          <w:w w:val="100"/>
          <w:position w:val="0"/>
        </w:rPr>
        <w:t>2,500</w:t>
      </w:r>
      <w:r>
        <w:rPr>
          <w:color w:val="000000"/>
          <w:spacing w:val="0"/>
          <w:w w:val="100"/>
          <w:position w:val="0"/>
        </w:rPr>
        <w:t>万元。本公司向青岛华大共赢二号出资事项构成了公司 的关联交易。</w:t>
      </w:r>
    </w:p>
    <w:p>
      <w:pPr>
        <w:pStyle w:val="Style30"/>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6</w:t>
      </w:r>
      <w:bookmarkEnd w:id="1743"/>
      <w:r>
        <w:rPr>
          <w:color w:val="000000"/>
          <w:spacing w:val="0"/>
          <w:w w:val="100"/>
          <w:position w:val="0"/>
        </w:rPr>
        <w:t>、关联方应收应付款项</w:t>
      </w:r>
      <w:bookmarkEnd w:id="1741"/>
      <w:bookmarkEnd w:id="1742"/>
      <w:bookmarkEnd w:id="1744"/>
    </w:p>
    <w:p>
      <w:pPr>
        <w:pStyle w:val="Style30"/>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41"/>
      <w:bookmarkEnd w:id="1742"/>
      <w:bookmarkEnd w:id="17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771"/>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9,234,614.39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3,684,577.71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5,520,418.80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2,160,853.98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恩迪生物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7,467,510.04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4,480,506.02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9,809,751.04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2,942,925.31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3,805,861.60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704,250.48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2,337,291.60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140,237.50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2,779,055.96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2,743,997.33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2,932,901.89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2,705,620.48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古奥基因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1,999,100.05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1,190,418.62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2,030,138.05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1,006,027.61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深圳法医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1,147,493.29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227,209.66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1,426,334.29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281,930.68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992,321.40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263,191.80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1,302,943.40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260,588.68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860,118.88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445,838.15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1,907,002.88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501,844.55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857,961.47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568,510.59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942,381.45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318,131.94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同并相联</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740,570.00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740,570.00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740,570.00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740,570.00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华大特检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613,941.00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181,682.46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619,976.00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37,198.56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北京研究中心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421,698.12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421,698.12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421,698.12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421,698.12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知因盒子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410,452.00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246,271.20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365,122.00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104,393.40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319,990.30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63,998.06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156,477.55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31,587.11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266,232.15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102,616.11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207,751.15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45,367.27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华大运动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221,554.78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102,931.93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245,420.78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73,134.76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华大营养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86,300.00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77,291.23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406,448.40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243,869.04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23,915.02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15,781.59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22,025.02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13,513.46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方瑞司法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15,984.79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15,984.79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202,781.94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53,352.61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10,837.32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6,436,507.95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1,731,526.59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拜力其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457,700.00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90,291.60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华大三生园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6,566.75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160,589.58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54,592.65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436,839.00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36,731.70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Sunrise</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142,863,389.25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8,571,803.36</w:t>
            </w:r>
          </w:p>
        </w:tc>
      </w:tr>
    </w:tbl>
    <w:p>
      <w:pPr>
        <w:spacing w:lineRule="exact" w:line="1"/>
        <w:rPr>
          <w:sz w:val="2"/>
          <w:szCs w:val="2"/>
        </w:rPr>
      </w:pPr>
      <w:r>
        <w:br w:type="page"/>
      </w:r>
    </w:p>
    <w:tbl>
      <w:tblPr>
        <w:tblOverlap w:val="never"/>
        <w:jc w:val="center"/>
        <w:tblLayout w:type="fixed"/>
      </w:tblPr>
      <w:tblGrid>
        <w:gridCol w:w="1426"/>
        <w:gridCol w:w="1771"/>
        <w:gridCol w:w="1594"/>
        <w:gridCol w:w="1594"/>
        <w:gridCol w:w="1594"/>
        <w:gridCol w:w="160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Borneo Genomics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12,790,360.02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767,421.60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3,750,773.96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225,046.44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Research USA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840,737.87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168,147.57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山东泰山华大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9,597,757.88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25,435,518.18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5,277,599.12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2,389,949.88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939,008.00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18,260,734.13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3,893,084.63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中健云康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1,189,697.09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香港研发中心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726,475.10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747,800.20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同并相联（注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华大智造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23,623,484.29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：同并相联</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日应收账款账面原值为人民币</w:t>
      </w:r>
      <w:r>
        <w:rPr>
          <w:rFonts w:ascii="Times New Roman" w:eastAsia="Times New Roman" w:hAnsi="Times New Roman" w:cs="Times New Roman"/>
          <w:color w:val="000000"/>
          <w:spacing w:val="0"/>
          <w:w w:val="100"/>
          <w:position w:val="0"/>
        </w:rPr>
        <w:t>740,570.00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740,570.00</w:t>
      </w:r>
      <w:r>
        <w:rPr>
          <w:color w:val="000000"/>
          <w:spacing w:val="0"/>
          <w:w w:val="100"/>
          <w:position w:val="0"/>
        </w:rPr>
        <w:t>元），已 对其全额计提坏账准备。</w:t>
      </w:r>
    </w:p>
    <w:p>
      <w:pPr>
        <w:pStyle w:val="Style17"/>
        <w:keepNext w:val="0"/>
        <w:keepLines w:val="0"/>
        <w:widowControl w:val="0"/>
        <w:shd w:val="clear" w:color="auto" w:fill="auto"/>
        <w:bidi w:val="0"/>
        <w:spacing w:before="0" w:after="380" w:line="326"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：同并相联</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日其他应收款账面原值为人民币</w:t>
      </w:r>
      <w:r>
        <w:rPr>
          <w:rFonts w:ascii="Times New Roman" w:eastAsia="Times New Roman" w:hAnsi="Times New Roman" w:cs="Times New Roman"/>
          <w:color w:val="000000"/>
          <w:spacing w:val="0"/>
          <w:w w:val="100"/>
          <w:position w:val="0"/>
        </w:rPr>
        <w:t>500,000.00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500,000.00</w:t>
      </w:r>
      <w:r>
        <w:rPr>
          <w:color w:val="000000"/>
          <w:spacing w:val="0"/>
          <w:w w:val="100"/>
          <w:position w:val="0"/>
        </w:rPr>
        <w:t>元）， 已对其全额计提坏账准备。</w:t>
      </w:r>
    </w:p>
    <w:p>
      <w:pPr>
        <w:pStyle w:val="Style30"/>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46"/>
      <w:bookmarkEnd w:id="1747"/>
      <w:bookmarkEnd w:id="17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68,360,568.28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41,632,076.16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MGI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50,744,036.84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67,901,935.74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青岛普惠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12,655,448.65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6,899,421.45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84,095,477.58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3,291,863.47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2,726,749.92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2,385,000.00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1,816,699.76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1,541,341.21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苏州泓迅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1,000,039.42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1,852,715.05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香港智造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999,948.08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4,131,717.31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中健云康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277,936.98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深圳中健云康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101,185.10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华大优选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160,325.95</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Complete Genomics,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68,419.87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1,238,239.08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深圳法医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菁良生物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21,776.19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10,565,604.83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1,165,090.49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Borneo Genomics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5,804,159.33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Bangkok</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1,969,773.34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446,243.29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1,814,464.40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1,814,464.40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1,042,989.59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2,304,178.43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华大互联网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551,201.12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501,657.12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402,441.74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383,970.04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知因盒子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383,946.37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362,213.56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华大咖啡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378,271.70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337,085.70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武汉吉诺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359,658.85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华大特检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198,176.00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华大三生园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175,492.40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168,734.84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159,183.81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134,270.76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华大蛋白质研发中心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137,892.98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Research USA lnc.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104,810.49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Sunrise</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49,038,047.10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7,216,831.80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拜力其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4,424,525.00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合肥诚康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Complete Genomics,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189,732.22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泸州华大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83,300.00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华大研究院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255,599.92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华大研究院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1,378,316.47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贵州华大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1,442,256.04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贵州华大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1,430,222.80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7</w:t>
      </w:r>
      <w:bookmarkEnd w:id="1751"/>
      <w:r>
        <w:rPr>
          <w:color w:val="000000"/>
          <w:spacing w:val="0"/>
          <w:w w:val="100"/>
          <w:position w:val="0"/>
        </w:rPr>
        <w:t>、关联方承诺</w:t>
      </w:r>
      <w:bookmarkEnd w:id="1749"/>
      <w:bookmarkEnd w:id="1750"/>
      <w:bookmarkEnd w:id="1752"/>
    </w:p>
    <w:p>
      <w:pPr>
        <w:pStyle w:val="Style17"/>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本公司与华大研究院于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日签署了《技术转让合同》，同意公司以自有资金人民币</w:t>
      </w:r>
      <w:r>
        <w:rPr>
          <w:rFonts w:ascii="Times New Roman" w:eastAsia="Times New Roman" w:hAnsi="Times New Roman" w:cs="Times New Roman"/>
          <w:color w:val="000000"/>
          <w:spacing w:val="0"/>
          <w:w w:val="100"/>
          <w:position w:val="0"/>
        </w:rPr>
        <w:t>14,995,900.00</w:t>
      </w:r>
      <w:r>
        <w:rPr>
          <w:color w:val="000000"/>
          <w:spacing w:val="0"/>
          <w:w w:val="100"/>
          <w:position w:val="0"/>
        </w:rPr>
        <w:t>元购买华 大研究院游离</w:t>
      </w:r>
      <w:r>
        <w:rPr>
          <w:rFonts w:ascii="Times New Roman" w:eastAsia="Times New Roman" w:hAnsi="Times New Roman" w:cs="Times New Roman"/>
          <w:color w:val="000000"/>
          <w:spacing w:val="0"/>
          <w:w w:val="100"/>
          <w:position w:val="0"/>
        </w:rPr>
        <w:t>RNA</w:t>
      </w:r>
      <w:r>
        <w:rPr>
          <w:color w:val="000000"/>
          <w:spacing w:val="0"/>
          <w:w w:val="100"/>
          <w:position w:val="0"/>
        </w:rPr>
        <w:t>技术相关的</w:t>
      </w:r>
      <w:r>
        <w:rPr>
          <w:rFonts w:ascii="Times New Roman" w:eastAsia="Times New Roman" w:hAnsi="Times New Roman" w:cs="Times New Roman"/>
          <w:color w:val="000000"/>
          <w:spacing w:val="0"/>
          <w:w w:val="100"/>
          <w:position w:val="0"/>
        </w:rPr>
        <w:t>6</w:t>
      </w:r>
      <w:r>
        <w:rPr>
          <w:color w:val="000000"/>
          <w:spacing w:val="0"/>
          <w:w w:val="100"/>
          <w:position w:val="0"/>
        </w:rPr>
        <w:t>项软件著作权及专利申请、专有技术。</w:t>
      </w:r>
      <w:r>
        <w:rPr>
          <w:rFonts w:ascii="Times New Roman" w:eastAsia="Times New Roman" w:hAnsi="Times New Roman" w:cs="Times New Roman"/>
          <w:color w:val="000000"/>
          <w:spacing w:val="0"/>
          <w:w w:val="100"/>
          <w:position w:val="0"/>
        </w:rPr>
        <w:t>2021</w:t>
      </w:r>
      <w:r>
        <w:rPr>
          <w:color w:val="000000"/>
          <w:spacing w:val="0"/>
          <w:w w:val="100"/>
          <w:position w:val="0"/>
        </w:rPr>
        <w:t>年度尚未实际发生交易。</w:t>
      </w:r>
      <w:r>
        <w:br w:type="page"/>
      </w:r>
    </w:p>
    <w:p>
      <w:pPr>
        <w:pStyle w:val="Style24"/>
        <w:keepNext/>
        <w:keepLines/>
        <w:widowControl w:val="0"/>
        <w:shd w:val="clear" w:color="auto" w:fill="auto"/>
        <w:bidi w:val="0"/>
        <w:spacing w:before="0" w:after="340" w:line="240" w:lineRule="auto"/>
        <w:ind w:left="0" w:right="0" w:firstLine="0"/>
        <w:jc w:val="left"/>
      </w:pPr>
      <w:bookmarkStart w:id="1753" w:name="bookmark1753"/>
      <w:bookmarkStart w:id="1754" w:name="bookmark1754"/>
      <w:bookmarkStart w:id="1755" w:name="bookmark1755"/>
      <w:r>
        <w:rPr>
          <w:color w:val="000000"/>
          <w:spacing w:val="0"/>
          <w:w w:val="100"/>
          <w:position w:val="0"/>
          <w:sz w:val="24"/>
          <w:szCs w:val="24"/>
        </w:rPr>
        <w:t>十三、股份支付</w:t>
      </w:r>
      <w:bookmarkEnd w:id="1753"/>
      <w:bookmarkEnd w:id="1754"/>
      <w:bookmarkEnd w:id="1755"/>
    </w:p>
    <w:p>
      <w:pPr>
        <w:pStyle w:val="Style30"/>
        <w:keepNext/>
        <w:keepLines/>
        <w:widowControl w:val="0"/>
        <w:shd w:val="clear" w:color="auto" w:fill="auto"/>
        <w:bidi w:val="0"/>
        <w:spacing w:before="0" w:after="340" w:line="240" w:lineRule="auto"/>
        <w:ind w:left="0" w:right="0" w:firstLine="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56"/>
      <w:bookmarkEnd w:id="1757"/>
      <w:bookmarkEnd w:id="1758"/>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43.97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 xml:space="preserve">0.39 </w:t>
            </w:r>
            <w:r>
              <w:rPr>
                <w:color w:val="000000"/>
                <w:spacing w:val="0"/>
                <w:w w:val="100"/>
                <w:position w:val="0"/>
              </w:rPr>
              <w:t>年</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59"/>
      <w:bookmarkEnd w:id="1760"/>
      <w:bookmarkEnd w:id="1761"/>
    </w:p>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196,489,844.96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100,529,688.15</w:t>
            </w:r>
          </w:p>
        </w:tc>
      </w:tr>
    </w:tbl>
    <w:p>
      <w:pPr>
        <w:widowControl w:val="0"/>
        <w:spacing w:after="339" w:line="1" w:lineRule="exact"/>
      </w:pPr>
    </w:p>
    <w:p>
      <w:pPr>
        <w:pStyle w:val="Style30"/>
        <w:keepNext/>
        <w:keepLines/>
        <w:widowControl w:val="0"/>
        <w:shd w:val="clear" w:color="auto" w:fill="auto"/>
        <w:bidi w:val="0"/>
        <w:spacing w:before="0" w:after="26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3</w:t>
      </w:r>
      <w:bookmarkEnd w:id="1764"/>
      <w:r>
        <w:rPr>
          <w:color w:val="000000"/>
          <w:spacing w:val="0"/>
          <w:w w:val="100"/>
          <w:position w:val="0"/>
        </w:rPr>
        <w:t>、其他</w:t>
      </w:r>
      <w:bookmarkEnd w:id="1762"/>
      <w:bookmarkEnd w:id="1763"/>
      <w:bookmarkEnd w:id="1765"/>
    </w:p>
    <w:p>
      <w:pPr>
        <w:pStyle w:val="Style17"/>
        <w:keepNext w:val="0"/>
        <w:keepLines w:val="0"/>
        <w:widowControl w:val="0"/>
        <w:shd w:val="clear" w:color="auto" w:fill="auto"/>
        <w:bidi w:val="0"/>
        <w:spacing w:before="0" w:after="40" w:line="312"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日通过股东会决议，批准了《深圳华大基因股份有限公司第一期员工持股计划》，公司计划通过 深圳华大基因股份有限公司</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第一期员工持股计划授予本公司股票</w:t>
      </w:r>
      <w:r>
        <w:rPr>
          <w:rFonts w:ascii="Times New Roman" w:eastAsia="Times New Roman" w:hAnsi="Times New Roman" w:cs="Times New Roman"/>
          <w:color w:val="000000"/>
          <w:spacing w:val="0"/>
          <w:w w:val="100"/>
          <w:position w:val="0"/>
        </w:rPr>
        <w:t>4,000,000</w:t>
      </w:r>
      <w:r>
        <w:rPr>
          <w:color w:val="000000"/>
          <w:spacing w:val="0"/>
          <w:w w:val="100"/>
          <w:position w:val="0"/>
        </w:rPr>
        <w:t>股。此后，本公司于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日与员工签订股 权授予通知书，企业与职工就股份支付的协议条款和条件已达成一致，因此以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日作为授予日，授予价格为每股 人民币</w:t>
      </w:r>
      <w:r>
        <w:rPr>
          <w:rFonts w:ascii="Times New Roman" w:eastAsia="Times New Roman" w:hAnsi="Times New Roman" w:cs="Times New Roman"/>
          <w:color w:val="000000"/>
          <w:spacing w:val="0"/>
          <w:w w:val="100"/>
          <w:position w:val="0"/>
        </w:rPr>
        <w:t>43.9</w:t>
      </w:r>
      <w:r>
        <w:rPr>
          <w:rFonts w:ascii="Times New Roman" w:eastAsia="Times New Roman" w:hAnsi="Times New Roman" w:cs="Times New Roman"/>
          <w:color w:val="000000"/>
          <w:spacing w:val="0"/>
          <w:w w:val="100"/>
          <w:position w:val="0"/>
        </w:rPr>
        <w:t>7</w:t>
      </w:r>
      <w:r>
        <w:rPr>
          <w:color w:val="000000"/>
          <w:spacing w:val="0"/>
          <w:w w:val="100"/>
          <w:position w:val="0"/>
        </w:rPr>
        <w:t>元。深圳华大基因股份有限公司</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第一期员工持股计划设置限制性条件，员工所持本公司股票在锁定期届满后方 可按照市场价格转让，即员工在股票解锁前不得出售自身持有的全部或部分份额。员工持股计划均匀分为两部分，等待期分 别为</w:t>
      </w:r>
      <w:r>
        <w:rPr>
          <w:rFonts w:ascii="Times New Roman" w:eastAsia="Times New Roman" w:hAnsi="Times New Roman" w:cs="Times New Roman"/>
          <w:color w:val="000000"/>
          <w:spacing w:val="0"/>
          <w:w w:val="100"/>
          <w:position w:val="0"/>
        </w:rPr>
        <w:t>1</w:t>
      </w:r>
      <w:r>
        <w:rPr>
          <w:color w:val="000000"/>
          <w:spacing w:val="0"/>
          <w:w w:val="100"/>
          <w:position w:val="0"/>
        </w:rPr>
        <w:t>年和</w:t>
      </w:r>
      <w:r>
        <w:rPr>
          <w:rFonts w:ascii="Times New Roman" w:eastAsia="Times New Roman" w:hAnsi="Times New Roman" w:cs="Times New Roman"/>
          <w:color w:val="000000"/>
          <w:spacing w:val="0"/>
          <w:w w:val="100"/>
          <w:position w:val="0"/>
        </w:rPr>
        <w:t>2</w:t>
      </w:r>
      <w:r>
        <w:rPr>
          <w:color w:val="000000"/>
          <w:spacing w:val="0"/>
          <w:w w:val="100"/>
          <w:position w:val="0"/>
        </w:rPr>
        <w:t>年，依据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年度业绩考核结果分两期解锁分配至持有人，公司层面的业绩考核要求如下：</w:t>
      </w:r>
    </w:p>
    <w:tbl>
      <w:tblPr>
        <w:tblOverlap w:val="never"/>
        <w:jc w:val="center"/>
        <w:tblLayout w:type="fixed"/>
      </w:tblPr>
      <w:tblGrid>
        <w:gridCol w:w="2645"/>
        <w:gridCol w:w="700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公司层面业绩考核目标</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第一个解锁期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2020</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50%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第二个解锁期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rPr>
              <w:t>2019</w:t>
            </w:r>
            <w:r>
              <w:rPr>
                <w:color w:val="000000"/>
                <w:spacing w:val="0"/>
                <w:w w:val="100"/>
                <w:position w:val="0"/>
              </w:rPr>
              <w:t>年净利润为基数，</w:t>
            </w:r>
            <w:r>
              <w:rPr>
                <w:rFonts w:ascii="Times New Roman" w:eastAsia="Times New Roman" w:hAnsi="Times New Roman" w:cs="Times New Roman"/>
                <w:color w:val="000000"/>
                <w:spacing w:val="0"/>
                <w:w w:val="100"/>
                <w:position w:val="0"/>
              </w:rPr>
              <w:t>2021</w:t>
            </w:r>
            <w:r>
              <w:rPr>
                <w:color w:val="000000"/>
                <w:spacing w:val="0"/>
                <w:w w:val="100"/>
                <w:position w:val="0"/>
              </w:rPr>
              <w:t>年净利润增长率不低于</w:t>
            </w:r>
            <w:r>
              <w:rPr>
                <w:rFonts w:ascii="Times New Roman" w:eastAsia="Times New Roman" w:hAnsi="Times New Roman" w:cs="Times New Roman"/>
                <w:color w:val="000000"/>
                <w:spacing w:val="0"/>
                <w:w w:val="100"/>
                <w:position w:val="0"/>
              </w:rPr>
              <w:t>75%</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若员工持股计划某一个解锁期的公司业绩考核指标未达成，则该解锁期对应的标的股票权益不得解锁，由持股计划管理 委员会收回，择机出售后以出资金额加上银行同期存款利息之和与售出收益孰低值返还持有人，剩余资金归属于公司。</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若公司层面的业绩考核达标，则员工持股计划将根据公司绩效考核相关制度对个人进行绩效考核，依据个人绩效考核结 果确定持有人最终解锁的标的股票权益数量，具体如下：</w:t>
      </w:r>
    </w:p>
    <w:tbl>
      <w:tblPr>
        <w:tblOverlap w:val="never"/>
        <w:jc w:val="center"/>
        <w:tblLayout w:type="fixed"/>
      </w:tblPr>
      <w:tblGrid>
        <w:gridCol w:w="3336"/>
        <w:gridCol w:w="2102"/>
        <w:gridCol w:w="2098"/>
        <w:gridCol w:w="2112"/>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考核结果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S/A/B</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个人当期解锁标的股票权益数量</w:t>
      </w:r>
      <w:r>
        <w:rPr>
          <w:rFonts w:ascii="Times New Roman" w:eastAsia="Times New Roman" w:hAnsi="Times New Roman" w:cs="Times New Roman"/>
          <w:color w:val="000000"/>
          <w:spacing w:val="0"/>
          <w:w w:val="100"/>
          <w:position w:val="0"/>
        </w:rPr>
        <w:t>=</w:t>
      </w:r>
      <w:r>
        <w:rPr>
          <w:color w:val="000000"/>
          <w:spacing w:val="0"/>
          <w:w w:val="100"/>
          <w:position w:val="0"/>
        </w:rPr>
        <w:t>目标解锁数量</w:t>
      </w:r>
      <w:r>
        <w:rPr>
          <w:rFonts w:ascii="Times New Roman" w:eastAsia="Times New Roman" w:hAnsi="Times New Roman" w:cs="Times New Roman"/>
          <w:color w:val="000000"/>
          <w:spacing w:val="0"/>
          <w:w w:val="100"/>
          <w:position w:val="0"/>
        </w:rPr>
        <w:t>x</w:t>
      </w:r>
      <w:r>
        <w:rPr>
          <w:color w:val="000000"/>
          <w:spacing w:val="0"/>
          <w:w w:val="100"/>
          <w:position w:val="0"/>
        </w:rPr>
        <w:t>解锁系数。</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若个人层面绩效考核不达标，则该年度该员工持有份额中应解锁部分不得解锁，由持股计划管理委员会收回，择机出售 后以出资金额与售出收益孰低值的原则返还个人，剩余资金归属于公司。</w:t>
      </w:r>
    </w:p>
    <w:p>
      <w:pPr>
        <w:pStyle w:val="Style17"/>
        <w:keepNext w:val="0"/>
        <w:keepLines w:val="0"/>
        <w:widowControl w:val="0"/>
        <w:shd w:val="clear" w:color="auto" w:fill="auto"/>
        <w:bidi w:val="0"/>
        <w:spacing w:before="0" w:after="0" w:line="324" w:lineRule="exact"/>
        <w:ind w:left="0" w:right="0"/>
        <w:jc w:val="both"/>
      </w:pPr>
      <w:r>
        <w:rPr>
          <w:color w:val="000000"/>
          <w:spacing w:val="0"/>
          <w:w w:val="100"/>
          <w:position w:val="0"/>
        </w:rPr>
        <w:t>本年，本公司按照第一期员工持股计划规定的认购对象要求，确定认购对象认购了全部的</w:t>
      </w:r>
      <w:r>
        <w:rPr>
          <w:rFonts w:ascii="Times New Roman" w:eastAsia="Times New Roman" w:hAnsi="Times New Roman" w:cs="Times New Roman"/>
          <w:color w:val="000000"/>
          <w:spacing w:val="0"/>
          <w:w w:val="100"/>
          <w:position w:val="0"/>
        </w:rPr>
        <w:t>1,648.875</w:t>
      </w:r>
      <w:r>
        <w:rPr>
          <w:rFonts w:ascii="Times New Roman" w:eastAsia="Times New Roman" w:hAnsi="Times New Roman" w:cs="Times New Roman"/>
          <w:color w:val="000000"/>
          <w:spacing w:val="0"/>
          <w:w w:val="100"/>
          <w:position w:val="0"/>
        </w:rPr>
        <w:t>0</w:t>
      </w:r>
      <w:r>
        <w:rPr>
          <w:color w:val="000000"/>
          <w:spacing w:val="0"/>
          <w:w w:val="100"/>
          <w:position w:val="0"/>
        </w:rPr>
        <w:t>万份预留份额，并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日分别召开第二届董事会第三十一次会议和第二届监事会第二十九次会议，审议通过了《关于第一期员工持 股计划预留份额分配的议案》，授予价格为每股人民币</w:t>
      </w:r>
      <w:r>
        <w:rPr>
          <w:rFonts w:ascii="Times New Roman" w:eastAsia="Times New Roman" w:hAnsi="Times New Roman" w:cs="Times New Roman"/>
          <w:color w:val="000000"/>
          <w:spacing w:val="0"/>
          <w:w w:val="100"/>
          <w:position w:val="0"/>
        </w:rPr>
        <w:t>43.97</w:t>
      </w:r>
      <w:r>
        <w:rPr>
          <w:color w:val="000000"/>
          <w:spacing w:val="0"/>
          <w:w w:val="100"/>
          <w:position w:val="0"/>
        </w:rPr>
        <w:t>元。</w:t>
      </w:r>
    </w:p>
    <w:p>
      <w:pPr>
        <w:pStyle w:val="Style17"/>
        <w:keepNext w:val="0"/>
        <w:keepLines w:val="0"/>
        <w:widowControl w:val="0"/>
        <w:shd w:val="clear" w:color="auto" w:fill="auto"/>
        <w:bidi w:val="0"/>
        <w:spacing w:before="0" w:after="300" w:line="324" w:lineRule="exact"/>
        <w:ind w:left="0" w:right="0"/>
        <w:jc w:val="both"/>
      </w:pPr>
      <w:r>
        <w:rPr>
          <w:color w:val="000000"/>
          <w:spacing w:val="0"/>
          <w:w w:val="100"/>
          <w:position w:val="0"/>
        </w:rPr>
        <w:t>根据本公司于授予日的股票市场价格（公允价值）以及预计可行权日及离职率，于</w:t>
      </w:r>
      <w:r>
        <w:rPr>
          <w:rFonts w:ascii="Times New Roman" w:eastAsia="Times New Roman" w:hAnsi="Times New Roman" w:cs="Times New Roman"/>
          <w:color w:val="000000"/>
          <w:spacing w:val="0"/>
          <w:w w:val="100"/>
          <w:position w:val="0"/>
        </w:rPr>
        <w:t>2021</w:t>
      </w:r>
      <w:r>
        <w:rPr>
          <w:color w:val="000000"/>
          <w:spacing w:val="0"/>
          <w:w w:val="100"/>
          <w:position w:val="0"/>
        </w:rPr>
        <w:t>年度确认股份支付费用人民币</w:t>
      </w:r>
    </w:p>
    <w:p>
      <w:pPr>
        <w:pStyle w:val="Style38"/>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100,529,688.15 </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 xml:space="preserve">年：人民币 </w:t>
      </w:r>
      <w:r>
        <w:rPr>
          <w:color w:val="000000"/>
          <w:spacing w:val="0"/>
          <w:w w:val="100"/>
          <w:position w:val="0"/>
        </w:rPr>
        <w:t>95,960,156.8</w:t>
      </w:r>
      <w:r>
        <w:rPr>
          <w:color w:val="000000"/>
          <w:spacing w:val="0"/>
          <w:w w:val="100"/>
          <w:position w:val="0"/>
        </w:rPr>
        <w:t>1</w:t>
      </w:r>
      <w:r>
        <w:rPr>
          <w:rFonts w:ascii="SimSun" w:eastAsia="SimSun" w:hAnsi="SimSun" w:cs="SimSun"/>
          <w:color w:val="000000"/>
          <w:spacing w:val="0"/>
          <w:w w:val="100"/>
          <w:position w:val="0"/>
        </w:rPr>
        <w:t>元）。</w:t>
      </w:r>
    </w:p>
    <w:p>
      <w:pPr>
        <w:pStyle w:val="Style24"/>
        <w:keepNext/>
        <w:keepLines/>
        <w:widowControl w:val="0"/>
        <w:shd w:val="clear" w:color="auto" w:fill="auto"/>
        <w:bidi w:val="0"/>
        <w:spacing w:before="0" w:after="360" w:line="240" w:lineRule="auto"/>
        <w:ind w:left="0" w:right="0" w:firstLine="0"/>
        <w:jc w:val="left"/>
      </w:pPr>
      <w:bookmarkStart w:id="1766" w:name="bookmark1766"/>
      <w:bookmarkStart w:id="1767" w:name="bookmark1767"/>
      <w:bookmarkStart w:id="1768" w:name="bookmark1768"/>
      <w:r>
        <w:rPr>
          <w:color w:val="000000"/>
          <w:spacing w:val="0"/>
          <w:w w:val="100"/>
          <w:position w:val="0"/>
          <w:sz w:val="24"/>
          <w:szCs w:val="24"/>
        </w:rPr>
        <w:t>十四、承诺及或有事项</w:t>
      </w:r>
      <w:bookmarkEnd w:id="1766"/>
      <w:bookmarkEnd w:id="1767"/>
      <w:bookmarkEnd w:id="1768"/>
    </w:p>
    <w:p>
      <w:pPr>
        <w:pStyle w:val="Style30"/>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69"/>
      <w:bookmarkEnd w:id="1770"/>
      <w:bookmarkEnd w:id="177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tbl>
      <w:tblPr>
        <w:tblOverlap w:val="never"/>
        <w:jc w:val="center"/>
        <w:tblLayout w:type="fixed"/>
      </w:tblPr>
      <w:tblGrid>
        <w:gridCol w:w="4896"/>
        <w:gridCol w:w="2539"/>
        <w:gridCol w:w="221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已签约但未拨备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179,755,500.00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66,498,240.82</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72"/>
      <w:bookmarkEnd w:id="1773"/>
      <w:bookmarkEnd w:id="1774"/>
    </w:p>
    <w:p>
      <w:pPr>
        <w:pStyle w:val="Style30"/>
        <w:keepNext/>
        <w:keepLines/>
        <w:widowControl w:val="0"/>
        <w:shd w:val="clear" w:color="auto" w:fill="auto"/>
        <w:bidi w:val="0"/>
        <w:spacing w:before="0" w:after="280" w:line="240" w:lineRule="auto"/>
        <w:ind w:left="0" w:right="0" w:firstLine="0"/>
        <w:jc w:val="left"/>
      </w:pPr>
      <w:bookmarkStart w:id="1772" w:name="bookmark1772"/>
      <w:bookmarkStart w:id="1773" w:name="bookmark1773"/>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72"/>
      <w:bookmarkEnd w:id="1773"/>
      <w:bookmarkEnd w:id="1775"/>
    </w:p>
    <w:p>
      <w:pPr>
        <w:pStyle w:val="Style1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年起，</w:t>
      </w:r>
      <w:r>
        <w:rPr>
          <w:rFonts w:ascii="Times New Roman" w:eastAsia="Times New Roman" w:hAnsi="Times New Roman" w:cs="Times New Roman"/>
          <w:color w:val="000000"/>
          <w:spacing w:val="0"/>
          <w:w w:val="100"/>
          <w:position w:val="0"/>
        </w:rPr>
        <w:t>Illumina,Inc</w:t>
      </w:r>
      <w:r>
        <w:rPr>
          <w:rFonts w:ascii="Times New Roman" w:eastAsia="Times New Roman" w:hAnsi="Times New Roman" w:cs="Times New Roman"/>
          <w:color w:val="000000"/>
          <w:spacing w:val="0"/>
          <w:w w:val="100"/>
          <w:position w:val="0"/>
        </w:rPr>
        <w:t>.</w:t>
      </w:r>
      <w:r>
        <w:rPr>
          <w:color w:val="000000"/>
          <w:spacing w:val="0"/>
          <w:w w:val="100"/>
          <w:position w:val="0"/>
        </w:rPr>
        <w:t>及其子公司（以下简称</w:t>
      </w:r>
      <w:r>
        <w:rPr>
          <w:rFonts w:ascii="Times New Roman" w:eastAsia="Times New Roman" w:hAnsi="Times New Roman" w:cs="Times New Roman"/>
          <w:color w:val="000000"/>
          <w:spacing w:val="0"/>
          <w:w w:val="100"/>
          <w:position w:val="0"/>
        </w:rPr>
        <w:t>“Illumina”</w:t>
      </w:r>
      <w:r>
        <w:rPr>
          <w:color w:val="000000"/>
          <w:spacing w:val="0"/>
          <w:w w:val="100"/>
          <w:position w:val="0"/>
        </w:rPr>
        <w:t>）</w:t>
      </w:r>
      <w:r>
        <w:rPr>
          <w:color w:val="000000"/>
          <w:spacing w:val="0"/>
          <w:w w:val="100"/>
          <w:position w:val="0"/>
        </w:rPr>
        <w:t>对公司提起专利侵权、商标侵权诉讼。截至本财务报表批准 日，公司在美国、丹麦、中国香港存在尚未完结的诉讼，具体情况如下：</w:t>
      </w:r>
    </w:p>
    <w:p>
      <w:pPr>
        <w:pStyle w:val="Style17"/>
        <w:keepNext w:val="0"/>
        <w:keepLines w:val="0"/>
        <w:widowControl w:val="0"/>
        <w:shd w:val="clear" w:color="auto" w:fill="auto"/>
        <w:bidi w:val="0"/>
        <w:spacing w:before="0" w:after="0" w:line="315" w:lineRule="exact"/>
        <w:ind w:left="0" w:right="0"/>
        <w:jc w:val="both"/>
      </w:pPr>
      <w:r>
        <w:rPr>
          <w:color w:val="000000"/>
          <w:spacing w:val="0"/>
          <w:w w:val="100"/>
          <w:position w:val="0"/>
        </w:rPr>
        <w:t>丹麦诉讼案件</w:t>
      </w:r>
    </w:p>
    <w:p>
      <w:pPr>
        <w:pStyle w:val="Style17"/>
        <w:keepNext w:val="0"/>
        <w:keepLines w:val="0"/>
        <w:widowControl w:val="0"/>
        <w:shd w:val="clear" w:color="auto" w:fill="auto"/>
        <w:bidi w:val="0"/>
        <w:spacing w:before="0" w:after="280" w:line="315"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Illumina</w:t>
      </w:r>
      <w:r>
        <w:rPr>
          <w:color w:val="000000"/>
          <w:spacing w:val="0"/>
          <w:w w:val="100"/>
          <w:position w:val="0"/>
        </w:rPr>
        <w:t>向丹麦海事和商业高等法院提起诉讼，主张公司子公司</w:t>
      </w:r>
      <w:r>
        <w:rPr>
          <w:rFonts w:ascii="Times New Roman" w:eastAsia="Times New Roman" w:hAnsi="Times New Roman" w:cs="Times New Roman"/>
          <w:color w:val="000000"/>
          <w:spacing w:val="0"/>
          <w:w w:val="100"/>
          <w:position w:val="0"/>
        </w:rPr>
        <w:t>BGI Europe A/S</w:t>
      </w:r>
      <w:r>
        <w:rPr>
          <w:color w:val="000000"/>
          <w:spacing w:val="0"/>
          <w:w w:val="100"/>
          <w:position w:val="0"/>
        </w:rPr>
        <w:t>侵犯其专利权及商标权。 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日提交答辩，并申请中止丹麦诉讼。法院于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日批准该申请，待欧洲专利局对涉诉的原告专利 有效性做出裁决后再继续审理。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sz w:val="18"/>
          <w:szCs w:val="18"/>
        </w:rPr>
        <w:t>0，</w:t>
      </w:r>
      <w:r>
        <w:rPr>
          <w:color w:val="000000"/>
          <w:spacing w:val="0"/>
          <w:w w:val="100"/>
          <w:position w:val="0"/>
        </w:rPr>
        <w:t>法院驳回</w:t>
      </w:r>
      <w:r>
        <w:rPr>
          <w:rFonts w:ascii="Times New Roman" w:eastAsia="Times New Roman" w:hAnsi="Times New Roman" w:cs="Times New Roman"/>
          <w:color w:val="000000"/>
          <w:spacing w:val="0"/>
          <w:w w:val="100"/>
          <w:position w:val="0"/>
        </w:rPr>
        <w:t>Illumina</w:t>
      </w:r>
      <w:r>
        <w:rPr>
          <w:color w:val="000000"/>
          <w:spacing w:val="0"/>
          <w:w w:val="100"/>
          <w:position w:val="0"/>
        </w:rPr>
        <w:t>关于解除丹麦案件中止状态的申请。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 </w:t>
      </w:r>
      <w:r>
        <w:rPr>
          <w:rFonts w:ascii="Times New Roman" w:eastAsia="Times New Roman" w:hAnsi="Times New Roman" w:cs="Times New Roman"/>
          <w:color w:val="000000"/>
          <w:spacing w:val="0"/>
          <w:w w:val="100"/>
          <w:position w:val="0"/>
        </w:rPr>
        <w:t>Illumina</w:t>
      </w:r>
      <w:r>
        <w:rPr>
          <w:color w:val="000000"/>
          <w:spacing w:val="0"/>
          <w:w w:val="100"/>
          <w:position w:val="0"/>
        </w:rPr>
        <w:t>向丹麦海事和商业高等法院提起诉讼，主张公司子公司</w:t>
      </w:r>
      <w:r>
        <w:rPr>
          <w:rFonts w:ascii="Times New Roman" w:eastAsia="Times New Roman" w:hAnsi="Times New Roman" w:cs="Times New Roman"/>
          <w:color w:val="000000"/>
          <w:spacing w:val="0"/>
          <w:w w:val="100"/>
          <w:position w:val="0"/>
        </w:rPr>
        <w:t>BGI Europe A/S</w:t>
      </w:r>
      <w:r>
        <w:rPr>
          <w:color w:val="000000"/>
          <w:spacing w:val="0"/>
          <w:w w:val="100"/>
          <w:position w:val="0"/>
        </w:rPr>
        <w:t>,</w:t>
      </w:r>
      <w:r>
        <w:rPr>
          <w:color w:val="000000"/>
          <w:spacing w:val="0"/>
          <w:w w:val="100"/>
          <w:position w:val="0"/>
        </w:rPr>
        <w:t>公司关联方侵犯其专利权，要求丹麦海事和 商业高等法院向公司、公司关联方颁发临时禁令。法院已于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日举行案件管理会议听证会。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sz w:val="18"/>
          <w:szCs w:val="18"/>
        </w:rPr>
        <w:t xml:space="preserve">0 </w:t>
      </w:r>
      <w:r>
        <w:rPr>
          <w:color w:val="000000"/>
          <w:spacing w:val="0"/>
          <w:w w:val="100"/>
          <w:position w:val="0"/>
        </w:rPr>
        <w:t>原 被告双方均参加了法院举行的案件管理电话会议，法院要求原被告双方于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日前提交综合的论证。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日，丹麦法院裁定驳回</w:t>
      </w:r>
      <w:r>
        <w:rPr>
          <w:rFonts w:ascii="Times New Roman" w:eastAsia="Times New Roman" w:hAnsi="Times New Roman" w:cs="Times New Roman"/>
          <w:color w:val="000000"/>
          <w:spacing w:val="0"/>
          <w:w w:val="100"/>
          <w:position w:val="0"/>
        </w:rPr>
        <w:t>Illumina</w:t>
      </w:r>
      <w:r>
        <w:rPr>
          <w:color w:val="000000"/>
          <w:spacing w:val="0"/>
          <w:w w:val="100"/>
          <w:position w:val="0"/>
        </w:rPr>
        <w:t>提出的临时禁令申请。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Illumina</w:t>
      </w:r>
      <w:r>
        <w:rPr>
          <w:color w:val="000000"/>
          <w:spacing w:val="0"/>
          <w:w w:val="100"/>
          <w:position w:val="0"/>
        </w:rPr>
        <w:t>就丹麦法院的裁定提起上诉。法院于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日判决维持一审法院关于驳回</w:t>
      </w:r>
      <w:r>
        <w:rPr>
          <w:rFonts w:ascii="Times New Roman" w:eastAsia="Times New Roman" w:hAnsi="Times New Roman" w:cs="Times New Roman"/>
          <w:color w:val="000000"/>
          <w:spacing w:val="0"/>
          <w:w w:val="100"/>
          <w:position w:val="0"/>
        </w:rPr>
        <w:t>Illumia</w:t>
      </w:r>
      <w:r>
        <w:rPr>
          <w:color w:val="000000"/>
          <w:spacing w:val="0"/>
          <w:w w:val="100"/>
          <w:position w:val="0"/>
        </w:rPr>
        <w:t>临时禁令申请的裁决，并判令</w:t>
      </w:r>
      <w:r>
        <w:rPr>
          <w:rFonts w:ascii="Times New Roman" w:eastAsia="Times New Roman" w:hAnsi="Times New Roman" w:cs="Times New Roman"/>
          <w:color w:val="000000"/>
          <w:spacing w:val="0"/>
          <w:w w:val="100"/>
          <w:position w:val="0"/>
        </w:rPr>
        <w:t>Illumina</w:t>
      </w:r>
      <w:r>
        <w:rPr>
          <w:color w:val="000000"/>
          <w:spacing w:val="0"/>
          <w:w w:val="100"/>
          <w:position w:val="0"/>
        </w:rPr>
        <w:t>向被告支付</w:t>
      </w:r>
      <w:r>
        <w:rPr>
          <w:rFonts w:ascii="Times New Roman" w:eastAsia="Times New Roman" w:hAnsi="Times New Roman" w:cs="Times New Roman"/>
          <w:color w:val="000000"/>
          <w:spacing w:val="0"/>
          <w:w w:val="100"/>
          <w:position w:val="0"/>
        </w:rPr>
        <w:t>100</w:t>
      </w:r>
      <w:r>
        <w:rPr>
          <w:color w:val="000000"/>
          <w:spacing w:val="0"/>
          <w:w w:val="100"/>
          <w:position w:val="0"/>
        </w:rPr>
        <w:t>万丹麦克朗的诉讼费用。目前， 丹麦海事和商业高等法院尚未量化损害赔偿金额，管理层认为结案时间和结果均存在重大不确定性，且公司无法可靠估计可 能产生的负债金额。因此，上述案件构成了公司的或有事项，在本财务报表中未对本案件确认预计负债。</w:t>
      </w:r>
    </w:p>
    <w:p>
      <w:pPr>
        <w:pStyle w:val="Style17"/>
        <w:keepNext w:val="0"/>
        <w:keepLines w:val="0"/>
        <w:widowControl w:val="0"/>
        <w:shd w:val="clear" w:color="auto" w:fill="auto"/>
        <w:bidi w:val="0"/>
        <w:spacing w:before="0" w:after="0" w:line="314" w:lineRule="exact"/>
        <w:ind w:left="0" w:right="0"/>
        <w:jc w:val="both"/>
      </w:pPr>
      <w:r>
        <w:rPr>
          <w:color w:val="000000"/>
          <w:spacing w:val="0"/>
          <w:w w:val="100"/>
          <w:position w:val="0"/>
        </w:rPr>
        <w:t>美国诉讼案件</w:t>
      </w:r>
    </w:p>
    <w:p>
      <w:pPr>
        <w:pStyle w:val="Style17"/>
        <w:keepNext w:val="0"/>
        <w:keepLines w:val="0"/>
        <w:widowControl w:val="0"/>
        <w:shd w:val="clear" w:color="auto" w:fill="auto"/>
        <w:bidi w:val="0"/>
        <w:spacing w:before="0" w:after="280" w:line="314"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rPr>
        <w:t>Illumina</w:t>
      </w:r>
      <w:r>
        <w:rPr>
          <w:color w:val="000000"/>
          <w:spacing w:val="0"/>
          <w:w w:val="100"/>
          <w:position w:val="0"/>
        </w:rPr>
        <w:t>在美国加州北区联邦地区法院提起诉讼，诉称公司、公司关联方侵犯其专利 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日，美国加州北区联邦地区法院颁发临时禁令，禁止公司、公司关联方在美国销售、制造、许诺销售或使 用涉嫌被诉侵权产品。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sz w:val="18"/>
          <w:szCs w:val="18"/>
        </w:rPr>
        <w:t>0</w:t>
      </w:r>
      <w:r>
        <w:rPr>
          <w:color w:val="000000"/>
          <w:spacing w:val="0"/>
          <w:w w:val="100"/>
          <w:position w:val="0"/>
        </w:rPr>
        <w:t>美国加州北区联邦地区法院分别下令限缩了临时禁令的范围。</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日，法院举行了陪审团审讯</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sz w:val="18"/>
          <w:szCs w:val="18"/>
        </w:rPr>
        <w:t>0，</w:t>
      </w:r>
      <w:r>
        <w:rPr>
          <w:color w:val="000000"/>
          <w:spacing w:val="0"/>
          <w:w w:val="100"/>
          <w:position w:val="0"/>
        </w:rPr>
        <w:t>陪审团裁定被告对部分专利造成侵权，原告</w:t>
      </w:r>
      <w:r>
        <w:rPr>
          <w:rFonts w:ascii="Times New Roman" w:eastAsia="Times New Roman" w:hAnsi="Times New Roman" w:cs="Times New Roman"/>
          <w:color w:val="000000"/>
          <w:spacing w:val="0"/>
          <w:w w:val="100"/>
          <w:position w:val="0"/>
        </w:rPr>
        <w:t>Illumina</w:t>
      </w:r>
      <w:r>
        <w:rPr>
          <w:color w:val="000000"/>
          <w:spacing w:val="0"/>
          <w:w w:val="100"/>
          <w:position w:val="0"/>
        </w:rPr>
        <w:t>部分专利无效， 并支持被告对原告</w:t>
      </w:r>
      <w:r>
        <w:rPr>
          <w:rFonts w:ascii="Times New Roman" w:eastAsia="Times New Roman" w:hAnsi="Times New Roman" w:cs="Times New Roman"/>
          <w:color w:val="000000"/>
          <w:spacing w:val="0"/>
          <w:w w:val="100"/>
          <w:position w:val="0"/>
        </w:rPr>
        <w:t>Illumina</w:t>
      </w:r>
      <w:r>
        <w:rPr>
          <w:color w:val="000000"/>
          <w:spacing w:val="0"/>
          <w:w w:val="100"/>
          <w:position w:val="0"/>
        </w:rPr>
        <w:t>的损害赔偿为</w:t>
      </w:r>
      <w:r>
        <w:rPr>
          <w:rFonts w:ascii="Times New Roman" w:eastAsia="Times New Roman" w:hAnsi="Times New Roman" w:cs="Times New Roman"/>
          <w:color w:val="000000"/>
          <w:spacing w:val="0"/>
          <w:w w:val="100"/>
          <w:position w:val="0"/>
        </w:rPr>
        <w:t>800</w:t>
      </w:r>
      <w:r>
        <w:rPr>
          <w:color w:val="000000"/>
          <w:spacing w:val="0"/>
          <w:w w:val="100"/>
          <w:position w:val="0"/>
        </w:rPr>
        <w:t>万美元。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日，法院作出一审判决，判决结果与此前陪审团的裁定结 果基本一致，即判定原告</w:t>
      </w:r>
      <w:r>
        <w:rPr>
          <w:rFonts w:ascii="Times New Roman" w:eastAsia="Times New Roman" w:hAnsi="Times New Roman" w:cs="Times New Roman"/>
          <w:color w:val="000000"/>
          <w:spacing w:val="0"/>
          <w:w w:val="100"/>
          <w:position w:val="0"/>
        </w:rPr>
        <w:t>Illumina</w:t>
      </w:r>
      <w:r>
        <w:rPr>
          <w:color w:val="000000"/>
          <w:spacing w:val="0"/>
          <w:w w:val="100"/>
          <w:position w:val="0"/>
        </w:rPr>
        <w:t>的部分专利无效，但被告对另一部分专利构成侵权，支持原告</w:t>
      </w:r>
      <w:r>
        <w:rPr>
          <w:rFonts w:ascii="Times New Roman" w:eastAsia="Times New Roman" w:hAnsi="Times New Roman" w:cs="Times New Roman"/>
          <w:color w:val="000000"/>
          <w:spacing w:val="0"/>
          <w:w w:val="100"/>
          <w:position w:val="0"/>
        </w:rPr>
        <w:t>Illumina</w:t>
      </w:r>
      <w:r>
        <w:rPr>
          <w:color w:val="000000"/>
          <w:spacing w:val="0"/>
          <w:w w:val="100"/>
          <w:position w:val="0"/>
        </w:rPr>
        <w:t>的损害赔偿请求，金 额约为</w:t>
      </w:r>
      <w:r>
        <w:rPr>
          <w:rFonts w:ascii="Times New Roman" w:eastAsia="Times New Roman" w:hAnsi="Times New Roman" w:cs="Times New Roman"/>
          <w:color w:val="000000"/>
          <w:spacing w:val="0"/>
          <w:w w:val="100"/>
          <w:position w:val="0"/>
        </w:rPr>
        <w:t>800</w:t>
      </w:r>
      <w:r>
        <w:rPr>
          <w:color w:val="000000"/>
          <w:spacing w:val="0"/>
          <w:w w:val="100"/>
          <w:position w:val="0"/>
        </w:rPr>
        <w:t>万美元。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日，法院在前述一审判决的基础上作出禁令，在涉诉专利有效期内禁止被告就禁令所涉产品 在美国实施进口、销售、许诺销售、分销、使用等行为。针对该诉讼，由于本公司关联方作为本次诉讼的被告人，是相关设 备的提供方，已确认对该赔偿责任承担兜底责任，且本公司无法可靠估计</w:t>
      </w:r>
      <w:r>
        <w:rPr>
          <w:rFonts w:ascii="Times New Roman" w:eastAsia="Times New Roman" w:hAnsi="Times New Roman" w:cs="Times New Roman"/>
          <w:color w:val="000000"/>
          <w:spacing w:val="0"/>
          <w:w w:val="100"/>
          <w:position w:val="0"/>
        </w:rPr>
        <w:t>Illumina</w:t>
      </w:r>
      <w:r>
        <w:rPr>
          <w:color w:val="000000"/>
          <w:spacing w:val="0"/>
          <w:w w:val="100"/>
          <w:position w:val="0"/>
        </w:rPr>
        <w:t>直接向本公司提出索赔的具体金额，因此， 上述案件构成了公司的或有事项，在本财务报表中未对本案件确认预计负债。</w:t>
      </w:r>
    </w:p>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香港诉讼案件</w:t>
      </w:r>
    </w:p>
    <w:p>
      <w:pPr>
        <w:pStyle w:val="Style17"/>
        <w:keepNext w:val="0"/>
        <w:keepLines w:val="0"/>
        <w:widowControl w:val="0"/>
        <w:shd w:val="clear" w:color="auto" w:fill="auto"/>
        <w:bidi w:val="0"/>
        <w:spacing w:before="0" w:after="70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Illumina</w:t>
      </w:r>
      <w:r>
        <w:rPr>
          <w:color w:val="000000"/>
          <w:spacing w:val="0"/>
          <w:w w:val="100"/>
          <w:position w:val="0"/>
        </w:rPr>
        <w:t>在香港特别行政区高等法院提起诉讼，主张公司、公司关联方侵犯其专利权。</w:t>
      </w:r>
      <w:r>
        <w:rPr>
          <w:rFonts w:ascii="Times New Roman" w:eastAsia="Times New Roman" w:hAnsi="Times New Roman" w:cs="Times New Roman"/>
          <w:color w:val="000000"/>
          <w:spacing w:val="0"/>
          <w:w w:val="100"/>
          <w:position w:val="0"/>
        </w:rPr>
        <w:t>Illumina</w:t>
      </w:r>
      <w:r>
        <w:rPr>
          <w:color w:val="000000"/>
          <w:spacing w:val="0"/>
          <w:w w:val="100"/>
          <w:position w:val="0"/>
        </w:rPr>
        <w:t>同时向法 院申请了临时禁制令。法院于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sz w:val="18"/>
          <w:szCs w:val="18"/>
        </w:rPr>
        <w:t>0</w:t>
      </w:r>
      <w:r>
        <w:rPr>
          <w:color w:val="000000"/>
          <w:spacing w:val="0"/>
          <w:w w:val="100"/>
          <w:position w:val="0"/>
        </w:rPr>
        <w:t>就临时禁制令申请举行了指示聆讯，对于公司、公司关联方在中国香港地区的 业务限制进行了约定，该约定自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sz w:val="18"/>
          <w:szCs w:val="18"/>
        </w:rPr>
        <w:t>0</w:t>
      </w:r>
      <w:r>
        <w:rPr>
          <w:color w:val="000000"/>
          <w:spacing w:val="0"/>
          <w:w w:val="100"/>
          <w:position w:val="0"/>
        </w:rPr>
        <w:t>起生效。公司、公司关联方已于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sz w:val="18"/>
          <w:szCs w:val="18"/>
        </w:rPr>
        <w:t>0</w:t>
      </w:r>
      <w:r>
        <w:rPr>
          <w:color w:val="000000"/>
          <w:spacing w:val="0"/>
          <w:w w:val="100"/>
          <w:position w:val="0"/>
        </w:rPr>
        <w:t xml:space="preserve">向法庭提交抗辩书及反诉及侵 </w:t>
      </w:r>
      <w:r>
        <w:rPr>
          <w:color w:val="000000"/>
          <w:spacing w:val="0"/>
          <w:w w:val="100"/>
          <w:position w:val="0"/>
        </w:rPr>
        <w:t>权异议详情。法院于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日就</w:t>
      </w:r>
      <w:r>
        <w:rPr>
          <w:rFonts w:ascii="Times New Roman" w:eastAsia="Times New Roman" w:hAnsi="Times New Roman" w:cs="Times New Roman"/>
          <w:color w:val="000000"/>
          <w:spacing w:val="0"/>
          <w:w w:val="100"/>
          <w:position w:val="0"/>
        </w:rPr>
        <w:t>Illumina</w:t>
      </w:r>
      <w:r>
        <w:rPr>
          <w:color w:val="000000"/>
          <w:spacing w:val="0"/>
          <w:w w:val="100"/>
          <w:position w:val="0"/>
        </w:rPr>
        <w:t>的临时禁令申请进行审理后作出令状，对公司、公司关联方在香港地区的 业务进行进一步限制。正式庭审定于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日举行。管理层认为此案件处于较早期阶段，结案时间 和结果均存在重大不确定性，且公司无法可靠估计可能产生的负债金额。因此，上述案件构成了公司的或有事项，在本财务 报表中未对本案件确认预计负债。</w:t>
      </w:r>
    </w:p>
    <w:p>
      <w:pPr>
        <w:pStyle w:val="Style30"/>
        <w:keepNext/>
        <w:keepLines/>
        <w:widowControl w:val="0"/>
        <w:shd w:val="clear" w:color="auto" w:fill="auto"/>
        <w:bidi w:val="0"/>
        <w:spacing w:before="0" w:line="240" w:lineRule="auto"/>
        <w:ind w:left="0" w:right="0" w:firstLine="0"/>
        <w:jc w:val="both"/>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76"/>
      <w:bookmarkEnd w:id="1777"/>
      <w:bookmarkEnd w:id="1778"/>
    </w:p>
    <w:p>
      <w:pPr>
        <w:pStyle w:val="Style17"/>
        <w:keepNext w:val="0"/>
        <w:keepLines w:val="0"/>
        <w:widowControl w:val="0"/>
        <w:shd w:val="clear" w:color="auto" w:fill="auto"/>
        <w:bidi w:val="0"/>
        <w:spacing w:before="0" w:after="360" w:line="240" w:lineRule="auto"/>
        <w:ind w:left="0" w:right="0"/>
        <w:jc w:val="both"/>
      </w:pPr>
      <w:r>
        <w:rPr>
          <w:color w:val="000000"/>
          <w:spacing w:val="0"/>
          <w:w w:val="100"/>
          <w:position w:val="0"/>
        </w:rPr>
        <w:t>公司不存在需要披露的重要或有事项。</w:t>
      </w:r>
    </w:p>
    <w:p>
      <w:pPr>
        <w:pStyle w:val="Style24"/>
        <w:keepNext/>
        <w:keepLines/>
        <w:widowControl w:val="0"/>
        <w:shd w:val="clear" w:color="auto" w:fill="auto"/>
        <w:bidi w:val="0"/>
        <w:spacing w:before="0" w:after="360" w:line="240" w:lineRule="auto"/>
        <w:ind w:left="0" w:right="0" w:firstLine="0"/>
        <w:jc w:val="left"/>
      </w:pPr>
      <w:bookmarkStart w:id="1779" w:name="bookmark1779"/>
      <w:bookmarkStart w:id="1780" w:name="bookmark1780"/>
      <w:bookmarkStart w:id="1781" w:name="bookmark1781"/>
      <w:r>
        <w:rPr>
          <w:color w:val="000000"/>
          <w:spacing w:val="0"/>
          <w:w w:val="100"/>
          <w:position w:val="0"/>
          <w:sz w:val="24"/>
          <w:szCs w:val="24"/>
        </w:rPr>
        <w:t>十五、资产负债表日后事项</w:t>
      </w:r>
      <w:bookmarkEnd w:id="1779"/>
      <w:bookmarkEnd w:id="1780"/>
      <w:bookmarkEnd w:id="1781"/>
    </w:p>
    <w:p>
      <w:pPr>
        <w:pStyle w:val="Style30"/>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82"/>
      <w:bookmarkEnd w:id="1783"/>
      <w:bookmarkEnd w:id="17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143,469,964.40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143,469,964.40</w:t>
            </w:r>
          </w:p>
        </w:tc>
      </w:tr>
    </w:tbl>
    <w:p>
      <w:pPr>
        <w:widowControl w:val="0"/>
        <w:spacing w:after="359" w:line="1" w:lineRule="exact"/>
      </w:pPr>
    </w:p>
    <w:p>
      <w:pPr>
        <w:pStyle w:val="Style30"/>
        <w:keepNext/>
        <w:keepLines/>
        <w:widowControl w:val="0"/>
        <w:shd w:val="clear" w:color="auto" w:fill="auto"/>
        <w:bidi w:val="0"/>
        <w:spacing w:before="0" w:after="26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85"/>
      <w:bookmarkEnd w:id="1786"/>
      <w:bookmarkEnd w:id="1787"/>
    </w:p>
    <w:p>
      <w:pPr>
        <w:pStyle w:val="Style17"/>
        <w:keepNext w:val="0"/>
        <w:keepLines w:val="0"/>
        <w:widowControl w:val="0"/>
        <w:shd w:val="clear" w:color="auto" w:fill="auto"/>
        <w:tabs>
          <w:tab w:pos="901" w:val="left"/>
        </w:tabs>
        <w:bidi w:val="0"/>
        <w:spacing w:before="0" w:after="0" w:line="318" w:lineRule="exact"/>
        <w:ind w:left="0" w:right="0"/>
        <w:jc w:val="both"/>
      </w:pPr>
      <w:bookmarkStart w:id="1788" w:name="bookmark1788"/>
      <w:r>
        <w:rPr>
          <w:color w:val="000000"/>
          <w:spacing w:val="0"/>
          <w:w w:val="100"/>
          <w:position w:val="0"/>
        </w:rPr>
        <w:t>（</w:t>
      </w:r>
      <w:bookmarkEnd w:id="1788"/>
      <w:r>
        <w:rPr>
          <w:rFonts w:ascii="Times New Roman" w:eastAsia="Times New Roman" w:hAnsi="Times New Roman" w:cs="Times New Roman"/>
          <w:color w:val="000000"/>
          <w:spacing w:val="0"/>
          <w:w w:val="100"/>
          <w:position w:val="0"/>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日发行的公司债券</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及</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将于</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日将期满，本公司决定对</w:t>
      </w:r>
      <w:r>
        <w:rPr>
          <w:rFonts w:ascii="Times New Roman" w:eastAsia="Times New Roman" w:hAnsi="Times New Roman" w:cs="Times New Roman"/>
          <w:color w:val="000000"/>
          <w:spacing w:val="0"/>
          <w:w w:val="100"/>
          <w:position w:val="0"/>
        </w:rPr>
        <w:t>“20</w:t>
      </w:r>
      <w:r>
        <w:rPr>
          <w:color w:val="000000"/>
          <w:spacing w:val="0"/>
          <w:w w:val="100"/>
          <w:position w:val="0"/>
        </w:rPr>
        <w:t>华 大</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债券行使发行人赎回选择权，兑付日期为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日，并对赎回登记日登记在册的</w:t>
      </w:r>
      <w:r>
        <w:rPr>
          <w:rFonts w:ascii="Times New Roman" w:eastAsia="Times New Roman" w:hAnsi="Times New Roman" w:cs="Times New Roman"/>
          <w:color w:val="000000"/>
          <w:spacing w:val="0"/>
          <w:w w:val="100"/>
          <w:position w:val="0"/>
        </w:rPr>
        <w:t>“20</w:t>
      </w:r>
      <w:r>
        <w:rPr>
          <w:color w:val="000000"/>
          <w:spacing w:val="0"/>
          <w:w w:val="100"/>
          <w:position w:val="0"/>
        </w:rPr>
        <w:t>华大</w:t>
      </w:r>
      <w:r>
        <w:rPr>
          <w:rFonts w:ascii="Times New Roman" w:eastAsia="Times New Roman" w:hAnsi="Times New Roman" w:cs="Times New Roman"/>
          <w:color w:val="000000"/>
          <w:spacing w:val="0"/>
          <w:w w:val="100"/>
          <w:position w:val="0"/>
        </w:rPr>
        <w:t>01”</w:t>
      </w:r>
      <w:r>
        <w:rPr>
          <w:color w:val="000000"/>
          <w:spacing w:val="0"/>
          <w:w w:val="100"/>
          <w:position w:val="0"/>
        </w:rPr>
        <w:t>和</w:t>
      </w:r>
      <w:r>
        <w:rPr>
          <w:rFonts w:ascii="Times New Roman" w:eastAsia="Times New Roman" w:hAnsi="Times New Roman" w:cs="Times New Roman"/>
          <w:color w:val="000000"/>
          <w:spacing w:val="0"/>
          <w:w w:val="100"/>
          <w:position w:val="0"/>
        </w:rPr>
        <w:t xml:space="preserve">“20 </w:t>
      </w:r>
      <w:r>
        <w:rPr>
          <w:color w:val="000000"/>
          <w:spacing w:val="0"/>
          <w:w w:val="100"/>
          <w:position w:val="0"/>
        </w:rPr>
        <w:t>华大</w:t>
      </w:r>
      <w:r>
        <w:rPr>
          <w:rFonts w:ascii="Times New Roman" w:eastAsia="Times New Roman" w:hAnsi="Times New Roman" w:cs="Times New Roman"/>
          <w:color w:val="000000"/>
          <w:spacing w:val="0"/>
          <w:w w:val="100"/>
          <w:position w:val="0"/>
        </w:rPr>
        <w:t>02”</w:t>
      </w:r>
      <w:r>
        <w:rPr>
          <w:color w:val="000000"/>
          <w:spacing w:val="0"/>
          <w:w w:val="100"/>
          <w:position w:val="0"/>
        </w:rPr>
        <w:t>债券将以人民币</w:t>
      </w:r>
      <w:r>
        <w:rPr>
          <w:rFonts w:ascii="Times New Roman" w:eastAsia="Times New Roman" w:hAnsi="Times New Roman" w:cs="Times New Roman"/>
          <w:color w:val="000000"/>
          <w:spacing w:val="0"/>
          <w:w w:val="100"/>
          <w:position w:val="0"/>
        </w:rPr>
        <w:t>103.5</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张的价格全部赎回，赎回登记日次一交易日起，该两种债券将停止交易，并将在赎回完成 后，于深圳证券交易所摘牌。截至本报表披露日，本公司对该两种债券尚未实际赎回。</w:t>
      </w:r>
    </w:p>
    <w:p>
      <w:pPr>
        <w:pStyle w:val="Style17"/>
        <w:keepNext w:val="0"/>
        <w:keepLines w:val="0"/>
        <w:widowControl w:val="0"/>
        <w:shd w:val="clear" w:color="auto" w:fill="auto"/>
        <w:bidi w:val="0"/>
        <w:spacing w:before="0" w:after="360" w:line="318" w:lineRule="exact"/>
        <w:ind w:left="0" w:right="0"/>
        <w:jc w:val="both"/>
      </w:pPr>
      <w:bookmarkStart w:id="1789" w:name="bookmark1789"/>
      <w:r>
        <w:rPr>
          <w:color w:val="000000"/>
          <w:spacing w:val="0"/>
          <w:w w:val="100"/>
          <w:position w:val="0"/>
        </w:rPr>
        <w:t>（</w:t>
      </w:r>
      <w:bookmarkEnd w:id="1789"/>
      <w:r>
        <w:rPr>
          <w:rFonts w:ascii="Times New Roman" w:eastAsia="Times New Roman" w:hAnsi="Times New Roman" w:cs="Times New Roman"/>
          <w:color w:val="000000"/>
          <w:spacing w:val="0"/>
          <w:w w:val="100"/>
          <w:position w:val="0"/>
        </w:rPr>
        <w:t>2</w:t>
      </w:r>
      <w:r>
        <w:rPr>
          <w:color w:val="000000"/>
          <w:spacing w:val="0"/>
          <w:w w:val="100"/>
          <w:position w:val="0"/>
        </w:rPr>
        <w:t>） 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日，本公司通过回购专用证券账户以集中竞价交易方式累计回购股份数量</w:t>
      </w:r>
      <w:r>
        <w:rPr>
          <w:rFonts w:ascii="Times New Roman" w:eastAsia="Times New Roman" w:hAnsi="Times New Roman" w:cs="Times New Roman"/>
          <w:color w:val="000000"/>
          <w:spacing w:val="0"/>
          <w:w w:val="100"/>
          <w:position w:val="0"/>
        </w:rPr>
        <w:t xml:space="preserve">4,000,099 </w:t>
      </w:r>
      <w:r>
        <w:rPr>
          <w:color w:val="000000"/>
          <w:spacing w:val="0"/>
          <w:w w:val="100"/>
          <w:position w:val="0"/>
        </w:rPr>
        <w:t>股用于员工持股计划或股权激励，占本公司目前总股本</w:t>
      </w:r>
      <w:r>
        <w:rPr>
          <w:rFonts w:ascii="Times New Roman" w:eastAsia="Times New Roman" w:hAnsi="Times New Roman" w:cs="Times New Roman"/>
          <w:color w:val="000000"/>
          <w:spacing w:val="0"/>
          <w:w w:val="100"/>
          <w:position w:val="0"/>
        </w:rPr>
        <w:t>413,914,325</w:t>
      </w:r>
      <w:r>
        <w:rPr>
          <w:color w:val="000000"/>
          <w:spacing w:val="0"/>
          <w:w w:val="100"/>
          <w:position w:val="0"/>
        </w:rPr>
        <w:t>股的</w:t>
      </w:r>
      <w:r>
        <w:rPr>
          <w:rFonts w:ascii="Times New Roman" w:eastAsia="Times New Roman" w:hAnsi="Times New Roman" w:cs="Times New Roman"/>
          <w:color w:val="000000"/>
          <w:spacing w:val="0"/>
          <w:w w:val="100"/>
          <w:position w:val="0"/>
        </w:rPr>
        <w:t>0.9664%</w:t>
      </w:r>
      <w:r>
        <w:rPr>
          <w:color w:val="000000"/>
          <w:spacing w:val="0"/>
          <w:w w:val="100"/>
          <w:position w:val="0"/>
        </w:rPr>
        <w:t>。截至本报表披露日，本次回购方案已实施 完毕。</w:t>
      </w:r>
    </w:p>
    <w:p>
      <w:pPr>
        <w:pStyle w:val="Style24"/>
        <w:keepNext/>
        <w:keepLines/>
        <w:widowControl w:val="0"/>
        <w:shd w:val="clear" w:color="auto" w:fill="auto"/>
        <w:bidi w:val="0"/>
        <w:spacing w:before="0" w:after="360" w:line="240" w:lineRule="auto"/>
        <w:ind w:left="0" w:right="0" w:firstLine="0"/>
        <w:jc w:val="left"/>
      </w:pPr>
      <w:bookmarkStart w:id="1790" w:name="bookmark1790"/>
      <w:bookmarkStart w:id="1791" w:name="bookmark1791"/>
      <w:bookmarkStart w:id="1792" w:name="bookmark1792"/>
      <w:r>
        <w:rPr>
          <w:color w:val="000000"/>
          <w:spacing w:val="0"/>
          <w:w w:val="100"/>
          <w:position w:val="0"/>
          <w:sz w:val="24"/>
          <w:szCs w:val="24"/>
        </w:rPr>
        <w:t>十六、其他重要事项</w:t>
      </w:r>
      <w:bookmarkEnd w:id="1790"/>
      <w:bookmarkEnd w:id="1791"/>
      <w:bookmarkEnd w:id="1792"/>
    </w:p>
    <w:p>
      <w:pPr>
        <w:pStyle w:val="Style30"/>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93"/>
      <w:bookmarkEnd w:id="1794"/>
      <w:bookmarkEnd w:id="1795"/>
    </w:p>
    <w:p>
      <w:pPr>
        <w:pStyle w:val="Style30"/>
        <w:keepNext/>
        <w:keepLines/>
        <w:widowControl w:val="0"/>
        <w:shd w:val="clear" w:color="auto" w:fill="auto"/>
        <w:tabs>
          <w:tab w:pos="493" w:val="left"/>
        </w:tabs>
        <w:bidi w:val="0"/>
        <w:spacing w:before="0" w:after="260" w:line="240" w:lineRule="auto"/>
        <w:ind w:left="0" w:right="0" w:firstLine="0"/>
        <w:jc w:val="left"/>
      </w:pPr>
      <w:bookmarkStart w:id="1793" w:name="bookmark1793"/>
      <w:bookmarkStart w:id="1794" w:name="bookmark1794"/>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1</w:t>
      </w:r>
      <w:r>
        <w:rPr>
          <w:color w:val="000000"/>
          <w:spacing w:val="0"/>
          <w:w w:val="100"/>
          <w:position w:val="0"/>
        </w:rPr>
        <w:t>）</w:t>
        <w:tab/>
        <w:t>公司无报告分部的，或者不能披露各报告分部的资产总额和负债总额的，应说明原因</w:t>
      </w:r>
      <w:bookmarkEnd w:id="1793"/>
      <w:bookmarkEnd w:id="1794"/>
      <w:bookmarkEnd w:id="1797"/>
    </w:p>
    <w:p>
      <w:pPr>
        <w:pStyle w:val="Style17"/>
        <w:keepNext w:val="0"/>
        <w:keepLines w:val="0"/>
        <w:widowControl w:val="0"/>
        <w:shd w:val="clear" w:color="auto" w:fill="auto"/>
        <w:bidi w:val="0"/>
        <w:spacing w:before="0" w:after="360" w:line="314" w:lineRule="exact"/>
        <w:ind w:left="0" w:right="0"/>
        <w:jc w:val="both"/>
      </w:pPr>
      <w:r>
        <w:rPr>
          <w:color w:val="000000"/>
          <w:spacing w:val="0"/>
          <w:w w:val="100"/>
          <w:position w:val="0"/>
        </w:rPr>
        <w:t>公司依托世界领先的生物信息研发、转化和应用平台，通过基因检测、分析、解读等手段，提供完整的基因组学解决方 案，为临床行为提供诊断和治疗依据，为生命科学及医学创新提供技术和研究服务。管理层从内部组织机构、管理要求、内 部报告制度等方面考虑，认为公司内各公司的业务具有明显的相似性，因此把集团内所有公司视为一个经营分部。</w:t>
      </w:r>
    </w:p>
    <w:p>
      <w:pPr>
        <w:pStyle w:val="Style30"/>
        <w:keepNext/>
        <w:keepLines/>
        <w:widowControl w:val="0"/>
        <w:shd w:val="clear" w:color="auto" w:fill="auto"/>
        <w:tabs>
          <w:tab w:pos="493" w:val="left"/>
        </w:tabs>
        <w:bidi w:val="0"/>
        <w:spacing w:before="0" w:line="240" w:lineRule="auto"/>
        <w:ind w:left="0" w:right="0" w:firstLine="0"/>
        <w:jc w:val="both"/>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2</w:t>
      </w:r>
      <w:r>
        <w:rPr>
          <w:color w:val="000000"/>
          <w:spacing w:val="0"/>
          <w:w w:val="100"/>
          <w:position w:val="0"/>
        </w:rPr>
        <w:t>）</w:t>
        <w:tab/>
        <w:t>其他说明</w:t>
      </w:r>
      <w:bookmarkEnd w:id="1798"/>
      <w:bookmarkEnd w:id="1799"/>
      <w:bookmarkEnd w:id="1801"/>
    </w:p>
    <w:p>
      <w:pPr>
        <w:pStyle w:val="Style17"/>
        <w:keepNext w:val="0"/>
        <w:keepLines w:val="0"/>
        <w:widowControl w:val="0"/>
        <w:shd w:val="clear" w:color="auto" w:fill="auto"/>
        <w:bidi w:val="0"/>
        <w:spacing w:before="0" w:after="120" w:line="240" w:lineRule="auto"/>
        <w:ind w:left="0" w:right="0"/>
        <w:jc w:val="both"/>
      </w:pPr>
      <w:r>
        <w:rPr>
          <w:b/>
          <w:bCs/>
          <w:color w:val="000000"/>
          <w:spacing w:val="0"/>
          <w:w w:val="100"/>
          <w:position w:val="0"/>
        </w:rPr>
        <w:t>产品和劳务信息</w:t>
      </w:r>
    </w:p>
    <w:p>
      <w:pPr>
        <w:pStyle w:val="Style26"/>
        <w:keepNext w:val="0"/>
        <w:keepLines w:val="0"/>
        <w:widowControl w:val="0"/>
        <w:shd w:val="clear" w:color="auto" w:fill="auto"/>
        <w:bidi w:val="0"/>
        <w:spacing w:before="0" w:after="0" w:line="240" w:lineRule="auto"/>
        <w:ind w:left="341" w:right="0" w:firstLine="0"/>
        <w:jc w:val="left"/>
      </w:pPr>
      <w:r>
        <w:rPr>
          <w:color w:val="000000"/>
          <w:spacing w:val="0"/>
          <w:w w:val="100"/>
          <w:position w:val="0"/>
        </w:rPr>
        <w:t>对外交易收入</w:t>
      </w:r>
    </w:p>
    <w:tbl>
      <w:tblPr>
        <w:tblOverlap w:val="never"/>
        <w:jc w:val="center"/>
        <w:tblLayout w:type="fixed"/>
      </w:tblPr>
      <w:tblGrid>
        <w:gridCol w:w="4910"/>
        <w:gridCol w:w="2146"/>
        <w:gridCol w:w="2218"/>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生育健康基础研究和临床应用服务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1,192,492,862.98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1,177,896,346.71</w:t>
            </w:r>
          </w:p>
        </w:tc>
      </w:tr>
    </w:tbl>
    <w:p>
      <w:pPr>
        <w:spacing w:lineRule="exact" w:line="1"/>
        <w:rPr>
          <w:sz w:val="2"/>
          <w:szCs w:val="2"/>
        </w:rPr>
      </w:pPr>
      <w:r>
        <w:br w:type="page"/>
      </w:r>
    </w:p>
    <w:tbl>
      <w:tblPr>
        <w:tblOverlap w:val="never"/>
        <w:jc w:val="center"/>
        <w:tblLayout w:type="fixed"/>
      </w:tblPr>
      <w:tblGrid>
        <w:gridCol w:w="4910"/>
        <w:gridCol w:w="2146"/>
        <w:gridCol w:w="2218"/>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肿瘤防控及转化医学类服务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379,778,659.87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351,242,349.13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感染防控基础研究和临床应用服务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1,158,406,959.48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669,570,471.10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多组学大数据服务与合成业务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641,590,091.11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625,923,966.99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精准医学检测综合方案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3,382,122,301.56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5,562,289,151.54</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11,746,440.11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10,307,717.36</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6,766,137,315.11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8,397,230,002.83</w:t>
            </w:r>
          </w:p>
        </w:tc>
      </w:tr>
    </w:tbl>
    <w:p>
      <w:pPr>
        <w:widowControl w:val="0"/>
        <w:spacing w:after="359" w:line="1" w:lineRule="exact"/>
      </w:pPr>
    </w:p>
    <w:p>
      <w:pPr>
        <w:pStyle w:val="Style17"/>
        <w:keepNext w:val="0"/>
        <w:keepLines w:val="0"/>
        <w:widowControl w:val="0"/>
        <w:shd w:val="clear" w:color="auto" w:fill="auto"/>
        <w:bidi w:val="0"/>
        <w:spacing w:before="0" w:after="120" w:line="240" w:lineRule="auto"/>
        <w:ind w:left="0" w:right="0"/>
        <w:jc w:val="left"/>
      </w:pPr>
      <w:r>
        <w:rPr>
          <w:b/>
          <w:bCs/>
          <w:color w:val="000000"/>
          <w:spacing w:val="0"/>
          <w:w w:val="100"/>
          <w:position w:val="0"/>
        </w:rPr>
        <w:t>地理信息</w:t>
      </w:r>
    </w:p>
    <w:p>
      <w:pPr>
        <w:pStyle w:val="Style26"/>
        <w:keepNext w:val="0"/>
        <w:keepLines w:val="0"/>
        <w:widowControl w:val="0"/>
        <w:shd w:val="clear" w:color="auto" w:fill="auto"/>
        <w:bidi w:val="0"/>
        <w:spacing w:before="0" w:after="0" w:line="240" w:lineRule="auto"/>
        <w:ind w:left="341" w:right="0" w:firstLine="0"/>
        <w:jc w:val="left"/>
      </w:pPr>
      <w:r>
        <w:rPr>
          <w:color w:val="000000"/>
          <w:spacing w:val="0"/>
          <w:w w:val="100"/>
          <w:position w:val="0"/>
        </w:rPr>
        <w:t>对外交易收入</w:t>
      </w:r>
    </w:p>
    <w:tbl>
      <w:tblPr>
        <w:tblOverlap w:val="never"/>
        <w:jc w:val="center"/>
        <w:tblLayout w:type="fixed"/>
      </w:tblPr>
      <w:tblGrid>
        <w:gridCol w:w="4973"/>
        <w:gridCol w:w="2146"/>
        <w:gridCol w:w="2155"/>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中国大陆（不含中国港澳台）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2,884,583,106.73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2,798,390,071.99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欧洲及非洲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938,752,055.65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989,698,700.79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432,133,047.25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832,545,665.39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亚洲（含中国港澳台）及大洋洲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2,510,669,105.48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3,776,595,564.66</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6,766,137,315.11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8,397,230,002.83</w:t>
            </w:r>
          </w:p>
        </w:tc>
      </w:tr>
    </w:tbl>
    <w:p>
      <w:pPr>
        <w:pStyle w:val="Style26"/>
        <w:keepNext w:val="0"/>
        <w:keepLines w:val="0"/>
        <w:widowControl w:val="0"/>
        <w:shd w:val="clear" w:color="auto" w:fill="auto"/>
        <w:bidi w:val="0"/>
        <w:spacing w:before="0" w:after="0" w:line="240" w:lineRule="auto"/>
        <w:ind w:left="341" w:right="0" w:firstLine="0"/>
        <w:jc w:val="left"/>
      </w:pPr>
      <w:r>
        <w:rPr>
          <w:color w:val="000000"/>
          <w:spacing w:val="0"/>
          <w:w w:val="100"/>
          <w:position w:val="0"/>
        </w:rPr>
        <w:t>对外交易收入归属于客户所处区域。</w:t>
      </w:r>
    </w:p>
    <w:p>
      <w:pPr>
        <w:widowControl w:val="0"/>
        <w:spacing w:after="359" w:line="1" w:lineRule="exact"/>
      </w:pP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非流动资产总额</w:t>
      </w:r>
    </w:p>
    <w:tbl>
      <w:tblPr>
        <w:tblOverlap w:val="never"/>
        <w:jc w:val="center"/>
        <w:tblLayout w:type="fixed"/>
      </w:tblPr>
      <w:tblGrid>
        <w:gridCol w:w="4982"/>
        <w:gridCol w:w="2141"/>
        <w:gridCol w:w="2150"/>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区域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中国大陆（不含中国港澳台）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1,491,996,331.48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1,273,846,887.43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207,493,109.88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183,193,507.47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9,919,559.72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17,978,831.02</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113,396,261.49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55,017,479.84</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1,822,805,262.57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1,530,036,705.76</w:t>
            </w:r>
          </w:p>
        </w:tc>
      </w:tr>
    </w:tbl>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非流动资产归属于该资产所处区域，不包括金融资产、递延所得税资产。</w:t>
      </w:r>
    </w:p>
    <w:p>
      <w:pPr>
        <w:widowControl w:val="0"/>
        <w:spacing w:after="279" w:line="1" w:lineRule="exact"/>
      </w:pPr>
    </w:p>
    <w:p>
      <w:pPr>
        <w:pStyle w:val="Style17"/>
        <w:keepNext w:val="0"/>
        <w:keepLines w:val="0"/>
        <w:widowControl w:val="0"/>
        <w:shd w:val="clear" w:color="auto" w:fill="auto"/>
        <w:bidi w:val="0"/>
        <w:spacing w:before="0" w:after="0" w:line="322" w:lineRule="exact"/>
        <w:ind w:left="0" w:right="0"/>
        <w:jc w:val="left"/>
      </w:pPr>
      <w:r>
        <w:rPr>
          <w:b/>
          <w:bCs/>
          <w:color w:val="000000"/>
          <w:spacing w:val="0"/>
          <w:w w:val="100"/>
          <w:position w:val="0"/>
        </w:rPr>
        <w:t>主要客户信息</w:t>
      </w:r>
    </w:p>
    <w:p>
      <w:pPr>
        <w:pStyle w:val="Style17"/>
        <w:keepNext w:val="0"/>
        <w:keepLines w:val="0"/>
        <w:widowControl w:val="0"/>
        <w:shd w:val="clear" w:color="auto" w:fill="auto"/>
        <w:bidi w:val="0"/>
        <w:spacing w:before="0" w:after="360" w:line="322"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年度，营业收入（产生的收入达到或超过本公司收入</w:t>
      </w:r>
      <w:r>
        <w:rPr>
          <w:rFonts w:ascii="Times New Roman" w:eastAsia="Times New Roman" w:hAnsi="Times New Roman" w:cs="Times New Roman"/>
          <w:color w:val="000000"/>
          <w:spacing w:val="0"/>
          <w:w w:val="100"/>
          <w:position w:val="0"/>
        </w:rPr>
        <w:t>10%</w:t>
      </w:r>
      <w:r>
        <w:rPr>
          <w:color w:val="000000"/>
          <w:spacing w:val="0"/>
          <w:w w:val="100"/>
          <w:position w:val="0"/>
        </w:rPr>
        <w:t>）人民币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042,920,865.84</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年：人民币</w:t>
      </w:r>
      <w:r>
        <w:rPr>
          <w:rFonts w:ascii="Times New Roman" w:eastAsia="Times New Roman" w:hAnsi="Times New Roman" w:cs="Times New Roman"/>
          <w:color w:val="000000"/>
          <w:spacing w:val="0"/>
          <w:w w:val="100"/>
          <w:position w:val="0"/>
        </w:rPr>
        <w:t xml:space="preserve">1,303,837,890.56 </w:t>
      </w:r>
      <w:r>
        <w:rPr>
          <w:color w:val="000000"/>
          <w:spacing w:val="0"/>
          <w:w w:val="100"/>
          <w:position w:val="0"/>
        </w:rPr>
        <w:t>元）来自于对某一单个客户的收入。</w:t>
      </w:r>
    </w:p>
    <w:p>
      <w:pPr>
        <w:pStyle w:val="Style30"/>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802"/>
      <w:bookmarkEnd w:id="1803"/>
      <w:bookmarkEnd w:id="1804"/>
    </w:p>
    <w:p>
      <w:pPr>
        <w:pStyle w:val="Style17"/>
        <w:keepNext w:val="0"/>
        <w:keepLines w:val="0"/>
        <w:widowControl w:val="0"/>
        <w:shd w:val="clear" w:color="auto" w:fill="auto"/>
        <w:bidi w:val="0"/>
        <w:spacing w:before="0" w:after="12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）作为出租人</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与租赁有关的损益列示如下:</w:t>
      </w:r>
    </w:p>
    <w:tbl>
      <w:tblPr>
        <w:tblOverlap w:val="never"/>
        <w:jc w:val="center"/>
        <w:tblLayout w:type="fixed"/>
      </w:tblPr>
      <w:tblGrid>
        <w:gridCol w:w="5832"/>
        <w:gridCol w:w="3816"/>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3,698,512.57</w:t>
            </w:r>
          </w:p>
        </w:tc>
      </w:tr>
    </w:tbl>
    <w:p>
      <w:pPr>
        <w:widowControl w:val="0"/>
        <w:spacing w:after="359" w:line="1" w:lineRule="exact"/>
      </w:pPr>
    </w:p>
    <w:p>
      <w:pPr>
        <w:pStyle w:val="Style26"/>
        <w:keepNext w:val="0"/>
        <w:keepLines w:val="0"/>
        <w:widowControl w:val="0"/>
        <w:shd w:val="clear" w:color="auto" w:fill="auto"/>
        <w:bidi w:val="0"/>
        <w:spacing w:before="0" w:after="0" w:line="240" w:lineRule="auto"/>
        <w:ind w:left="346" w:right="0" w:firstLine="0"/>
        <w:jc w:val="left"/>
      </w:pPr>
      <w:r>
        <w:rPr>
          <w:color w:val="000000"/>
          <w:spacing w:val="0"/>
          <w:w w:val="100"/>
          <w:position w:val="0"/>
        </w:rPr>
        <w:t>根据与承租人签订的租赁合同，不可撤销租赁的最低租赁收款额如下:</w:t>
      </w:r>
    </w:p>
    <w:tbl>
      <w:tblPr>
        <w:tblOverlap w:val="never"/>
        <w:jc w:val="center"/>
        <w:tblLayout w:type="fixed"/>
      </w:tblPr>
      <w:tblGrid>
        <w:gridCol w:w="5832"/>
        <w:gridCol w:w="3816"/>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2,452,830.19</w:t>
            </w:r>
          </w:p>
        </w:tc>
      </w:tr>
    </w:tbl>
    <w:p>
      <w:pPr>
        <w:widowControl w:val="0"/>
        <w:spacing w:after="359" w:line="1" w:lineRule="exact"/>
      </w:pPr>
    </w:p>
    <w:p>
      <w:pPr>
        <w:pStyle w:val="Style17"/>
        <w:keepNext w:val="0"/>
        <w:keepLines w:val="0"/>
        <w:widowControl w:val="0"/>
        <w:shd w:val="clear" w:color="auto" w:fill="auto"/>
        <w:bidi w:val="0"/>
        <w:spacing w:before="0" w:after="36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）作为承租人</w:t>
      </w:r>
      <w:r>
        <w:br w:type="page"/>
      </w:r>
    </w:p>
    <w:tbl>
      <w:tblPr>
        <w:tblOverlap w:val="never"/>
        <w:jc w:val="center"/>
        <w:tblLayout w:type="fixed"/>
      </w:tblPr>
      <w:tblGrid>
        <w:gridCol w:w="5731"/>
        <w:gridCol w:w="392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租赁负债利息费用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9,715,553.20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计入当期损益的采用简化处理的短期租赁费用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21,794,427.62</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计入当期损益的采用简化处理的低价值资产租赁费用（短期租赁除外）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927,971.37</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103,207,810.44</w:t>
            </w:r>
          </w:p>
        </w:tc>
      </w:tr>
    </w:tbl>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本公司承租的租赁资产包括经营过程中使用的房屋及建筑物和机器设备，房屋及建筑物的租赁期通常为</w:t>
      </w:r>
      <w:r>
        <w:rPr>
          <w:rFonts w:ascii="Times New Roman" w:eastAsia="Times New Roman" w:hAnsi="Times New Roman" w:cs="Times New Roman"/>
          <w:color w:val="000000"/>
          <w:spacing w:val="0"/>
          <w:w w:val="100"/>
          <w:position w:val="0"/>
        </w:rPr>
        <w:t>1-3</w:t>
      </w:r>
      <w:r>
        <w:rPr>
          <w:color w:val="000000"/>
          <w:spacing w:val="0"/>
          <w:w w:val="100"/>
          <w:position w:val="0"/>
        </w:rPr>
        <w:t>年，机器设 备的租赁期通常为</w:t>
      </w:r>
      <w:r>
        <w:rPr>
          <w:rFonts w:ascii="Times New Roman" w:eastAsia="Times New Roman" w:hAnsi="Times New Roman" w:cs="Times New Roman"/>
          <w:color w:val="000000"/>
          <w:spacing w:val="0"/>
          <w:w w:val="100"/>
          <w:position w:val="0"/>
        </w:rPr>
        <w:t>3</w:t>
      </w:r>
      <w:r>
        <w:rPr>
          <w:color w:val="000000"/>
          <w:spacing w:val="0"/>
          <w:w w:val="100"/>
          <w:position w:val="0"/>
        </w:rPr>
        <w:t>年。</w:t>
      </w:r>
    </w:p>
    <w:p>
      <w:pPr>
        <w:widowControl w:val="0"/>
        <w:spacing w:after="359" w:line="1" w:lineRule="exact"/>
      </w:pPr>
    </w:p>
    <w:p>
      <w:pPr>
        <w:pStyle w:val="Style17"/>
        <w:keepNext w:val="0"/>
        <w:keepLines w:val="0"/>
        <w:widowControl w:val="0"/>
        <w:shd w:val="clear" w:color="auto" w:fill="auto"/>
        <w:bidi w:val="0"/>
        <w:spacing w:before="0" w:after="80" w:line="240" w:lineRule="auto"/>
        <w:ind w:left="0" w:right="0" w:firstLine="460"/>
        <w:jc w:val="both"/>
      </w:pPr>
      <w:r>
        <w:rPr>
          <w:b/>
          <w:bCs/>
          <w:color w:val="000000"/>
          <w:spacing w:val="0"/>
          <w:w w:val="100"/>
          <w:position w:val="0"/>
        </w:rPr>
        <w:t>融资租赁（仅适用于</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p>
      <w:pPr>
        <w:pStyle w:val="Style17"/>
        <w:keepNext w:val="0"/>
        <w:keepLines w:val="0"/>
        <w:widowControl w:val="0"/>
        <w:shd w:val="clear" w:color="auto" w:fill="auto"/>
        <w:bidi w:val="0"/>
        <w:spacing w:before="0" w:after="80" w:line="240" w:lineRule="auto"/>
        <w:ind w:left="0" w:right="0" w:firstLine="460"/>
        <w:jc w:val="both"/>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日，未确认融资费用的余额为人民币</w:t>
      </w:r>
      <w:r>
        <w:rPr>
          <w:rFonts w:ascii="Times New Roman" w:eastAsia="Times New Roman" w:hAnsi="Times New Roman" w:cs="Times New Roman"/>
          <w:color w:val="000000"/>
          <w:spacing w:val="0"/>
          <w:w w:val="100"/>
          <w:position w:val="0"/>
        </w:rPr>
        <w:t>5,175,123.74</w:t>
      </w:r>
      <w:r>
        <w:rPr>
          <w:color w:val="000000"/>
          <w:spacing w:val="0"/>
          <w:w w:val="100"/>
          <w:position w:val="0"/>
        </w:rPr>
        <w:t>元，采用实际利率法在租赁期内各个期间进行分摊。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根据与出租人签订的租赁合同，不可撤销租赁的最低租赁付款额如下:</w:t>
      </w:r>
    </w:p>
    <w:tbl>
      <w:tblPr>
        <w:tblOverlap w:val="never"/>
        <w:jc w:val="center"/>
        <w:tblLayout w:type="fixed"/>
      </w:tblPr>
      <w:tblGrid>
        <w:gridCol w:w="6317"/>
        <w:gridCol w:w="333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41,309,352.08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37,760,325.58</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79,069,677.66</w:t>
            </w:r>
          </w:p>
        </w:tc>
      </w:tr>
    </w:tbl>
    <w:p>
      <w:pPr>
        <w:widowControl w:val="0"/>
        <w:spacing w:after="359" w:line="1" w:lineRule="exact"/>
      </w:pPr>
    </w:p>
    <w:p>
      <w:pPr>
        <w:pStyle w:val="Style26"/>
        <w:keepNext w:val="0"/>
        <w:keepLines w:val="0"/>
        <w:widowControl w:val="0"/>
        <w:shd w:val="clear" w:color="auto" w:fill="auto"/>
        <w:bidi w:val="0"/>
        <w:spacing w:before="0" w:after="80" w:line="240" w:lineRule="auto"/>
        <w:ind w:left="341" w:right="0" w:firstLine="0"/>
        <w:jc w:val="left"/>
      </w:pPr>
      <w:r>
        <w:rPr>
          <w:b/>
          <w:bCs/>
          <w:color w:val="000000"/>
          <w:spacing w:val="0"/>
          <w:w w:val="100"/>
          <w:position w:val="0"/>
        </w:rPr>
        <w:t>重大经营租赁（仅适用于</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p>
      <w:pPr>
        <w:pStyle w:val="Style26"/>
        <w:keepNext w:val="0"/>
        <w:keepLines w:val="0"/>
        <w:widowControl w:val="0"/>
        <w:shd w:val="clear" w:color="auto" w:fill="auto"/>
        <w:bidi w:val="0"/>
        <w:spacing w:before="0" w:after="0" w:line="240" w:lineRule="auto"/>
        <w:ind w:left="341" w:right="0" w:firstLine="0"/>
        <w:jc w:val="left"/>
      </w:pPr>
      <w:r>
        <w:rPr>
          <w:color w:val="000000"/>
          <w:spacing w:val="0"/>
          <w:w w:val="100"/>
          <w:position w:val="0"/>
        </w:rPr>
        <w:t>根据与出租人签订的租赁合同，不可撤销租赁的最低租赁付款额如下:</w:t>
      </w:r>
    </w:p>
    <w:tbl>
      <w:tblPr>
        <w:tblOverlap w:val="never"/>
        <w:jc w:val="center"/>
        <w:tblLayout w:type="fixed"/>
      </w:tblPr>
      <w:tblGrid>
        <w:gridCol w:w="6259"/>
        <w:gridCol w:w="3389"/>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45,315,822.13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27,322,749.75</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w:t>
            </w:r>
            <w:r>
              <w:rPr>
                <w:color w:val="000000"/>
                <w:spacing w:val="0"/>
                <w:w w:val="100"/>
                <w:position w:val="0"/>
              </w:rPr>
              <w:t>年</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15,414,234.13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38,959,379.48</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127,012,185.49</w:t>
            </w:r>
          </w:p>
        </w:tc>
      </w:tr>
    </w:tbl>
    <w:p>
      <w:pPr>
        <w:widowControl w:val="0"/>
        <w:spacing w:after="239" w:line="1" w:lineRule="exact"/>
      </w:pPr>
    </w:p>
    <w:p>
      <w:pPr>
        <w:pStyle w:val="Style17"/>
        <w:keepNext w:val="0"/>
        <w:keepLines w:val="0"/>
        <w:widowControl w:val="0"/>
        <w:shd w:val="clear" w:color="auto" w:fill="auto"/>
        <w:bidi w:val="0"/>
        <w:spacing w:before="0" w:after="0" w:line="312" w:lineRule="exact"/>
        <w:ind w:left="0" w:right="0" w:firstLine="460"/>
        <w:jc w:val="left"/>
      </w:pPr>
      <w:r>
        <w:rPr>
          <w:b/>
          <w:bCs/>
          <w:color w:val="000000"/>
          <w:spacing w:val="0"/>
          <w:w w:val="100"/>
          <w:position w:val="0"/>
        </w:rPr>
        <w:t>其他租赁信息</w:t>
      </w:r>
    </w:p>
    <w:p>
      <w:pPr>
        <w:pStyle w:val="Style17"/>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使用权资产，参见附注七</w:t>
      </w:r>
      <w:r>
        <w:rPr>
          <w:rFonts w:ascii="Times New Roman" w:eastAsia="Times New Roman" w:hAnsi="Times New Roman" w:cs="Times New Roman"/>
          <w:color w:val="000000"/>
          <w:spacing w:val="0"/>
          <w:w w:val="100"/>
          <w:position w:val="0"/>
        </w:rPr>
        <w:t>“</w:t>
      </w:r>
      <w:r>
        <w:rPr>
          <w:color w:val="000000"/>
          <w:spacing w:val="0"/>
          <w:w w:val="100"/>
          <w:position w:val="0"/>
        </w:rPr>
        <w:t>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“17</w:t>
      </w:r>
      <w:r>
        <w:rPr>
          <w:color w:val="000000"/>
          <w:spacing w:val="0"/>
          <w:w w:val="100"/>
          <w:position w:val="0"/>
        </w:rPr>
        <w:t>、使用权资产</w:t>
      </w:r>
      <w:r>
        <w:rPr>
          <w:rFonts w:ascii="Times New Roman" w:eastAsia="Times New Roman" w:hAnsi="Times New Roman" w:cs="Times New Roman"/>
          <w:color w:val="000000"/>
          <w:spacing w:val="0"/>
          <w:w w:val="100"/>
          <w:position w:val="0"/>
        </w:rPr>
        <w:t>”</w:t>
      </w:r>
      <w:r>
        <w:rPr>
          <w:color w:val="000000"/>
          <w:spacing w:val="0"/>
          <w:w w:val="100"/>
          <w:position w:val="0"/>
        </w:rPr>
        <w:t>；对短期租赁和低价值资产租赁的简化处理，参 见附注五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“29</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；租赁负债，参见附注七</w:t>
      </w:r>
      <w:r>
        <w:rPr>
          <w:rFonts w:ascii="Times New Roman" w:eastAsia="Times New Roman" w:hAnsi="Times New Roman" w:cs="Times New Roman"/>
          <w:color w:val="000000"/>
          <w:spacing w:val="0"/>
          <w:w w:val="100"/>
          <w:position w:val="0"/>
        </w:rPr>
        <w:t>“</w:t>
      </w:r>
      <w:r>
        <w:rPr>
          <w:color w:val="000000"/>
          <w:spacing w:val="0"/>
          <w:w w:val="100"/>
          <w:position w:val="0"/>
        </w:rPr>
        <w:t>合并财务报表项目注释</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“36</w:t>
      </w:r>
      <w:r>
        <w:rPr>
          <w:color w:val="000000"/>
          <w:spacing w:val="0"/>
          <w:w w:val="100"/>
          <w:position w:val="0"/>
        </w:rPr>
        <w:t>、租赁负债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left"/>
      </w:pPr>
      <w:bookmarkStart w:id="1805" w:name="bookmark1805"/>
      <w:bookmarkStart w:id="1806" w:name="bookmark1806"/>
      <w:bookmarkStart w:id="1807" w:name="bookmark1807"/>
      <w:r>
        <w:rPr>
          <w:color w:val="000000"/>
          <w:spacing w:val="0"/>
          <w:w w:val="100"/>
          <w:position w:val="0"/>
          <w:sz w:val="24"/>
          <w:szCs w:val="24"/>
        </w:rPr>
        <w:t>十七、母公司财务报表主要项目注释</w:t>
      </w:r>
      <w:bookmarkEnd w:id="1805"/>
      <w:bookmarkEnd w:id="1806"/>
      <w:bookmarkEnd w:id="1807"/>
    </w:p>
    <w:p>
      <w:pPr>
        <w:pStyle w:val="Style30"/>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08"/>
      <w:bookmarkEnd w:id="1809"/>
      <w:bookmarkEnd w:id="1810"/>
    </w:p>
    <w:p>
      <w:pPr>
        <w:pStyle w:val="Style30"/>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08"/>
      <w:bookmarkEnd w:id="1809"/>
      <w:bookmarkEnd w:id="18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094"/>
        <w:gridCol w:w="701"/>
        <w:gridCol w:w="864"/>
        <w:gridCol w:w="614"/>
        <w:gridCol w:w="1094"/>
        <w:gridCol w:w="998"/>
        <w:gridCol w:w="701"/>
        <w:gridCol w:w="1003"/>
        <w:gridCol w:w="614"/>
        <w:gridCol w:w="101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061"/>
        <w:gridCol w:w="1094"/>
        <w:gridCol w:w="701"/>
        <w:gridCol w:w="864"/>
        <w:gridCol w:w="614"/>
        <w:gridCol w:w="1094"/>
        <w:gridCol w:w="998"/>
        <w:gridCol w:w="701"/>
        <w:gridCol w:w="1003"/>
        <w:gridCol w:w="614"/>
        <w:gridCol w:w="1013"/>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 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10,226,006.61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10,226,006.61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3,888,348.34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3,888,348.34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 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4,103,122.17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927,463.98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3,175,658.19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4,575,233.35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1,092,308.18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3,482,925.17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医学板块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4,103,122.17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927,463.98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3,175,658.19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4,575,233.35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1,092,308.18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3,482,925.17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14,329,128.78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927,463.98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13,401,664.80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8,463,581.69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1,092,308.18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7,371,273.51</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按单项计提坏账准备:</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699"/>
        <w:gridCol w:w="1699"/>
        <w:gridCol w:w="1704"/>
        <w:gridCol w:w="348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4,890,384.47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经过减值测试，预计可以收回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4,427,905.99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经过减值测试，预计可以收回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375,638.63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经过减值测试，预计可以收回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239,190.46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经过减值测试，预计可以收回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156,547.78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经过减值测试，预计可以收回</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135,941.28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经过减值测试，预计可以收回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经过减值测试，预计可以收回</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经过减值测试，预计可以收回</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10,226,006.61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按组合计提坏账准备：医学板块</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1,264,469.48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75,868.17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2,838,652.69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851,595.81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4,103,122.17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927,463.98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对于应收账款，本公司按照整个存续期预期信用损失计量信用损失准备。本公司确定应收账款预期信用损失时考虑历 史的实际减值情况并考虑当前状况及未来经济状况的预测，并将客户分为医学板块和科服板块以确定不同类型客户的预期 信用风险并计算预期信用损失。</w:t>
      </w:r>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按账龄披露</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11,490,476.09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2,838,652.69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14,329,128.78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12"/>
      <w:bookmarkEnd w:id="1813"/>
      <w:bookmarkEnd w:id="1814"/>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1,092,308.18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545,504.02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695,920.89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927,463.98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1,092,308.18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545,504.02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695,920.89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14,427.33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927,463.98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815"/>
      <w:bookmarkEnd w:id="1816"/>
      <w:bookmarkEnd w:id="181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14,427.33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19"/>
      <w:bookmarkEnd w:id="1820"/>
      <w:bookmarkEnd w:id="182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4,890,384.47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4,427,905.99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1,326,125.73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305,987.32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861,772.46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195,168.83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816,090.88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242,290.70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12,322,279.53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85.99%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23"/>
      <w:bookmarkEnd w:id="1824"/>
      <w:bookmarkEnd w:id="18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703,766,371.10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2,169,152,385.06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703,766,371.10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2,169,152,385.06</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0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26"/>
      <w:bookmarkEnd w:id="1827"/>
      <w:bookmarkEnd w:id="1828"/>
    </w:p>
    <w:p>
      <w:pPr>
        <w:pStyle w:val="Style30"/>
        <w:keepNext/>
        <w:keepLines/>
        <w:widowControl w:val="0"/>
        <w:shd w:val="clear" w:color="auto" w:fill="auto"/>
        <w:bidi w:val="0"/>
        <w:spacing w:before="0" w:after="340" w:line="240" w:lineRule="auto"/>
        <w:ind w:left="0" w:right="0" w:firstLine="400"/>
        <w:jc w:val="left"/>
      </w:pPr>
      <w:bookmarkStart w:id="1826" w:name="bookmark1826"/>
      <w:bookmarkStart w:id="1827" w:name="bookmark1827"/>
      <w:bookmarkStart w:id="1829" w:name="bookmark182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26"/>
      <w:bookmarkEnd w:id="1827"/>
      <w:bookmarkEnd w:id="18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698,233,274.94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2,163,313,607.83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4,064,270.27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4,756,622.64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员工借款、备用金等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475,351.78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58,249.41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1,523,821.74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1,790,612.69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704,296,718.73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2,169,919,092.57</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00"/>
        <w:jc w:val="left"/>
      </w:pPr>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30"/>
      <w:bookmarkEnd w:id="1831"/>
      <w:bookmarkEnd w:id="18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266,707.51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766,707.51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236,359.88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236,359.88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30,347.63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530,347.63</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损失准备本期变动金额重大的账面余额变动情况</w:t>
      </w:r>
    </w:p>
    <w:p>
      <w:pPr>
        <w:pStyle w:val="Style17"/>
        <w:keepNext w:val="0"/>
        <w:keepLines w:val="0"/>
        <w:widowControl w:val="0"/>
        <w:shd w:val="clear" w:color="auto" w:fill="auto"/>
        <w:bidi w:val="0"/>
        <w:spacing w:before="0" w:after="120" w:line="240" w:lineRule="auto"/>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511,639,910.52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192,656,808.21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704,296,718.73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0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3</w:t>
      </w:r>
      <w:bookmarkEnd w:id="1835"/>
      <w:r>
        <w:rPr>
          <w:color w:val="000000"/>
          <w:spacing w:val="0"/>
          <w:w w:val="100"/>
          <w:position w:val="0"/>
        </w:rPr>
        <w:t>）本期计提、收回或转回的坏账准备情况</w:t>
      </w:r>
      <w:bookmarkEnd w:id="1833"/>
      <w:bookmarkEnd w:id="1834"/>
      <w:bookmarkEnd w:id="1836"/>
    </w:p>
    <w:p>
      <w:pPr>
        <w:pStyle w:val="Style17"/>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本期计提坏账准备情况：</w:t>
      </w:r>
    </w:p>
    <w:p>
      <w:pPr>
        <w:pStyle w:val="Style17"/>
        <w:keepNext w:val="0"/>
        <w:keepLines w:val="0"/>
        <w:widowControl w:val="0"/>
        <w:shd w:val="clear" w:color="auto" w:fill="auto"/>
        <w:bidi w:val="0"/>
        <w:spacing w:before="0" w:after="340" w:line="240" w:lineRule="auto"/>
        <w:ind w:left="0" w:right="440" w:firstLine="0"/>
        <w:jc w:val="right"/>
      </w:pPr>
      <w:r>
        <w:rPr>
          <w:color w:val="000000"/>
          <w:spacing w:val="0"/>
          <w:w w:val="100"/>
          <w:position w:val="0"/>
        </w:rPr>
        <w:t>单位：元</w:t>
      </w:r>
      <w:r>
        <w:br w:type="page"/>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766,707.51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236,359.88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530,347.63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766,707.51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236,359.88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530,347.63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0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4</w:t>
      </w:r>
      <w:bookmarkEnd w:id="1839"/>
      <w:r>
        <w:rPr>
          <w:color w:val="000000"/>
          <w:spacing w:val="0"/>
          <w:w w:val="100"/>
          <w:position w:val="0"/>
        </w:rPr>
        <w:t>）按欠款方归集的期末余额前五名的其他应收款情况</w:t>
      </w:r>
      <w:bookmarkEnd w:id="1837"/>
      <w:bookmarkEnd w:id="1838"/>
      <w:bookmarkEnd w:id="18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230,911,150.11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69,860,419.26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60,847,212.41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56,417,761.52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52,252,885.60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470,289,428.90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0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3</w:t>
      </w:r>
      <w:bookmarkEnd w:id="1843"/>
      <w:r>
        <w:rPr>
          <w:color w:val="000000"/>
          <w:spacing w:val="0"/>
          <w:w w:val="100"/>
          <w:position w:val="0"/>
        </w:rPr>
        <w:t>、长期股权投资</w:t>
      </w:r>
      <w:bookmarkEnd w:id="1841"/>
      <w:bookmarkEnd w:id="1842"/>
      <w:bookmarkEnd w:id="18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5,649,828,057.11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5,649,828,057.11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3,179,116,683.88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3,179,116,683.88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83,234,789.43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83,234,789.43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88,958,068.21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88,958,068.21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5,733,062,846.54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5,733,062,846.54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3,268,074,752.09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3,268,074,752.09</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0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45"/>
      <w:bookmarkEnd w:id="1846"/>
      <w:bookmarkEnd w:id="18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16"/>
        <w:gridCol w:w="1421"/>
        <w:gridCol w:w="850"/>
        <w:gridCol w:w="1277"/>
        <w:gridCol w:w="1133"/>
        <w:gridCol w:w="1416"/>
        <w:gridCol w:w="86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其他（注）</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上海华大基因科技有限公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16,576,742.23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16,576,742.23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北京华大优康科技有限公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9,720,608.00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9,720,608.00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武汉华大医学检验所有限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325,000,001.00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375,360,000.00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596,895.02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700,956,896.02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1416"/>
        <w:gridCol w:w="1421"/>
        <w:gridCol w:w="850"/>
        <w:gridCol w:w="1277"/>
        <w:gridCol w:w="1133"/>
        <w:gridCol w:w="1416"/>
        <w:gridCol w:w="864"/>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南京华大基因科技有限公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19,033,750.00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19,033,750.00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北京华大医学检验所有限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1,570,776.39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11,860,776.39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0" w:lineRule="exact"/>
              <w:ind w:left="0" w:right="0" w:firstLine="0"/>
              <w:jc w:val="both"/>
            </w:pPr>
            <w:r>
              <w:rPr>
                <w:color w:val="000000"/>
                <w:spacing w:val="0"/>
                <w:w w:val="100"/>
                <w:position w:val="0"/>
              </w:rPr>
              <w:t>本溪华大医学检验所有限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BGI Health (HK)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105,430,858.63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1,021,515,000.00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1,126,945,858.63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天津华大基因科技有限公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17,536,894.85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17,536,894.85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天津华大医学检验所有限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170,412,939.62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224,670,200.00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1,256,621.10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396,339,760.72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深圳华大医学检验实验室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114,218,595.80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38,003,078.06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167,171,673.86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广州华大基因医学检验所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1,028,144.54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11,028,144.54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深圳华大基因科技服务有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2,189,170,915.80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3,697,036.40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2,192,867,952.20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潍坊华大基因健康科技有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云南华大基因医学有限公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华大生物科技（武汉）有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19,835,995.57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19,835,995.57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深圳华大基因生物医学工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12,431,955.96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182,781.20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12,614,737.16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BGI Europe A/S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2,370,717.38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471,232.92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2,841,950.30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青岛华大精准医学管理中 心有限公司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石家庄华大医学检验实验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室有限公司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31,763,100.00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46,763,100.00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青岛青西华大基因有限公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668,494,800.00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693,494,800.00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武汉华大基因技术服务有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深圳华大因源医药科技有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29,716,694.16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314,155.29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30,030,849.45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华大数极生物科技（深 圳）有限公司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17,740,014.88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17,740,014.88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深圳华大青启生物科技有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1416"/>
        <w:gridCol w:w="1421"/>
        <w:gridCol w:w="850"/>
        <w:gridCol w:w="1277"/>
        <w:gridCol w:w="1133"/>
        <w:gridCol w:w="1416"/>
        <w:gridCol w:w="86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上海华大医学检验所有限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1,570,776.39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60,256,176.39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海南华大基因科技有限公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17,394,206.40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17,394,206.40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北京华大吉比爱生物技术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2,544,657.73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2,544,657.73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BGI TECH SOLUTIONS (HONGKONG) CO.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1,884,931.65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1,884,931.65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Americas Corporation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1,099,543.47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1,099,543.47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BGI Genomics UK Co.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471,232.92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471,232.92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深圳华大因凡医药科技有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314,155.29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314,155.29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北京六合华大基因科技有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502,648.46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502,648.46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3,179,116,683.88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2,397,808,500.00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72,902,873.23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5,649,828,057.11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744" w:right="0" w:firstLine="0"/>
        <w:jc w:val="left"/>
      </w:pPr>
      <w:r>
        <w:rPr>
          <w:color w:val="000000"/>
          <w:spacing w:val="0"/>
          <w:w w:val="100"/>
          <w:position w:val="0"/>
        </w:rPr>
        <w:t>注：本年增减变动</w:t>
      </w:r>
      <w:r>
        <w:rPr>
          <w:rFonts w:ascii="Times New Roman" w:eastAsia="Times New Roman" w:hAnsi="Times New Roman" w:cs="Times New Roman"/>
          <w:color w:val="000000"/>
          <w:spacing w:val="0"/>
          <w:w w:val="100"/>
          <w:position w:val="0"/>
        </w:rPr>
        <w:t>-</w:t>
      </w:r>
      <w:r>
        <w:rPr>
          <w:color w:val="000000"/>
          <w:spacing w:val="0"/>
          <w:w w:val="100"/>
          <w:position w:val="0"/>
        </w:rPr>
        <w:t>其他系本公司对子公司以自身权益工具结算的股份支付合计人民币</w:t>
      </w:r>
      <w:r>
        <w:rPr>
          <w:rFonts w:ascii="Times New Roman" w:eastAsia="Times New Roman" w:hAnsi="Times New Roman" w:cs="Times New Roman"/>
          <w:color w:val="000000"/>
          <w:spacing w:val="0"/>
          <w:w w:val="100"/>
          <w:position w:val="0"/>
        </w:rPr>
        <w:t>72,902,873.23</w:t>
      </w:r>
      <w:r>
        <w:rPr>
          <w:color w:val="000000"/>
          <w:spacing w:val="0"/>
          <w:w w:val="100"/>
          <w:position w:val="0"/>
        </w:rPr>
        <w:t>元。</w:t>
      </w:r>
    </w:p>
    <w:p>
      <w:pPr>
        <w:widowControl w:val="0"/>
        <w:spacing w:after="359" w:line="1" w:lineRule="exact"/>
      </w:pPr>
    </w:p>
    <w:p>
      <w:pPr>
        <w:pStyle w:val="Style30"/>
        <w:keepNext/>
        <w:keepLines/>
        <w:widowControl w:val="0"/>
        <w:shd w:val="clear" w:color="auto" w:fill="auto"/>
        <w:bidi w:val="0"/>
        <w:spacing w:before="0" w:line="240" w:lineRule="auto"/>
        <w:ind w:left="0" w:right="0" w:firstLine="400"/>
        <w:jc w:val="left"/>
      </w:pPr>
      <w:bookmarkStart w:id="1848" w:name="bookmark1848"/>
      <w:bookmarkStart w:id="1849" w:name="bookmark1849"/>
      <w:bookmarkStart w:id="1850" w:name="bookmark18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48"/>
      <w:bookmarkEnd w:id="1849"/>
      <w:bookmarkEnd w:id="18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094"/>
        <w:gridCol w:w="1090"/>
        <w:gridCol w:w="552"/>
        <w:gridCol w:w="998"/>
        <w:gridCol w:w="682"/>
        <w:gridCol w:w="1147"/>
        <w:gridCol w:w="835"/>
        <w:gridCol w:w="418"/>
        <w:gridCol w:w="326"/>
        <w:gridCol w:w="1090"/>
        <w:gridCol w:w="57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减值 准备 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减少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权益法下确</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认的投资损</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合收益</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其他权益变动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宣告发放</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现金股利</w:t>
            </w:r>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计提</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line="240" w:lineRule="auto"/>
              <w:ind w:left="0" w:right="0" w:firstLine="0"/>
              <w:jc w:val="right"/>
            </w:pPr>
            <w:r>
              <w:rPr>
                <w:color w:val="000000"/>
                <w:spacing w:val="0"/>
                <w:w w:val="100"/>
                <w:position w:val="0"/>
              </w:rPr>
              <w:t>其</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武汉古奥基因科技有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7,300,429.09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-141,698.05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7,158,731.04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深圳华每嘉中企业管 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338,336.72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-338,336.72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7,638,765.81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-480,034.77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7,158,731.04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both"/>
            </w:pPr>
            <w:r>
              <w:rPr>
                <w:color w:val="000000"/>
                <w:spacing w:val="0"/>
                <w:w w:val="100"/>
                <w:position w:val="0"/>
              </w:rPr>
              <w:t>山东泰山华大医学检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验所有限公司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8,541,485.84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8,565,890.32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深圳同并相联科技有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广州中健云康网络科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11,597,299.07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1,137,307.56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4,775,561.44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17,510,168.07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094"/>
        <w:gridCol w:w="1090"/>
        <w:gridCol w:w="552"/>
        <w:gridCol w:w="998"/>
        <w:gridCol w:w="682"/>
        <w:gridCol w:w="1147"/>
        <w:gridCol w:w="835"/>
        <w:gridCol w:w="418"/>
        <w:gridCol w:w="326"/>
        <w:gridCol w:w="1090"/>
        <w:gridCol w:w="571"/>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北京恩迪生物科技股 份有限公司</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61,180,517.49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827,240.71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-62,007,758.20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河源巴伐利亚健康管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81,319,302.40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1,988,952.75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-57,232,196.76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76,076,058.39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88,958,068.21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1,508,917.98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-57,232,196.76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83,234,789.43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07" w:lineRule="exact"/>
        <w:ind w:left="384"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：本年其他权益变动系广州中健云康网络科技有限公司新增投资者增资人民币</w:t>
      </w:r>
      <w:r>
        <w:rPr>
          <w:rFonts w:ascii="Times New Roman" w:eastAsia="Times New Roman" w:hAnsi="Times New Roman" w:cs="Times New Roman"/>
          <w:color w:val="000000"/>
          <w:spacing w:val="0"/>
          <w:w w:val="100"/>
          <w:position w:val="0"/>
        </w:rPr>
        <w:t>30,000,000.00</w:t>
      </w:r>
      <w:r>
        <w:rPr>
          <w:color w:val="000000"/>
          <w:spacing w:val="0"/>
          <w:w w:val="100"/>
          <w:position w:val="0"/>
        </w:rPr>
        <w:t>元，导致公司持股比例 稀释，本公司增加资本公积人民币</w:t>
      </w:r>
      <w:r>
        <w:rPr>
          <w:rFonts w:ascii="Times New Roman" w:eastAsia="Times New Roman" w:hAnsi="Times New Roman" w:cs="Times New Roman"/>
          <w:color w:val="000000"/>
          <w:spacing w:val="0"/>
          <w:w w:val="100"/>
          <w:position w:val="0"/>
        </w:rPr>
        <w:t>4,775,561.44</w:t>
      </w:r>
      <w:r>
        <w:rPr>
          <w:color w:val="000000"/>
          <w:spacing w:val="0"/>
          <w:w w:val="100"/>
          <w:position w:val="0"/>
        </w:rPr>
        <w:t>元。</w:t>
      </w:r>
    </w:p>
    <w:p>
      <w:pPr>
        <w:pStyle w:val="Style17"/>
        <w:keepNext w:val="0"/>
        <w:keepLines w:val="0"/>
        <w:widowControl w:val="0"/>
        <w:shd w:val="clear" w:color="auto" w:fill="auto"/>
        <w:bidi w:val="0"/>
        <w:spacing w:before="0" w:after="380" w:line="317" w:lineRule="exact"/>
        <w:ind w:left="38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：本年其他权益变动系本公司对北京恩迪生物科技有限公司的投资转入其他非流动金融资产核算，成本及收益合计 人民币 </w:t>
      </w:r>
      <w:r>
        <w:rPr>
          <w:rFonts w:ascii="Times New Roman" w:eastAsia="Times New Roman" w:hAnsi="Times New Roman" w:cs="Times New Roman"/>
          <w:color w:val="000000"/>
          <w:spacing w:val="0"/>
          <w:w w:val="100"/>
          <w:position w:val="0"/>
        </w:rPr>
        <w:t xml:space="preserve">62,007,758.20 </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38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4</w:t>
      </w:r>
      <w:bookmarkEnd w:id="1853"/>
      <w:r>
        <w:rPr>
          <w:color w:val="000000"/>
          <w:spacing w:val="0"/>
          <w:w w:val="100"/>
          <w:position w:val="0"/>
        </w:rPr>
        <w:t>、营业收入和营业成本</w:t>
      </w:r>
      <w:bookmarkEnd w:id="1851"/>
      <w:bookmarkEnd w:id="1852"/>
      <w:bookmarkEnd w:id="18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71,776,497.29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32,450,131.05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65,693,012.72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15,204,802.83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955,614,480.32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1,296,511,042.37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353,346.91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1,027,390,977.61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32,473,451.90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1,362,204,055.09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15,558,149.74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1"/>
        <w:gridCol w:w="3206"/>
        <w:gridCol w:w="322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1,027,390,977.61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1,027,390,977.61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1,027,390,977.61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1,027,390,977.61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1,027,390,977.61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1,027,390,977.61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1,027,390,977.61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1,027,390,977.61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1,027,390,977.61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1,027,390,977.61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生育健康基础研究和临床应用服务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19,776,402.79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19,776,402.79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肿瘤防控及转化医学类服务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40,922,429.89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40,922,429.89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感染防控基础研究和临床应用服务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10,913,633.57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10,913,633.57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精准医学检测综合方案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164,031.04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164,031.04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955,614,480.32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955,614,480.32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1,027,390,977.61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1,027,390,977.61</w:t>
            </w:r>
          </w:p>
        </w:tc>
      </w:tr>
    </w:tbl>
    <w:p>
      <w:pPr>
        <w:spacing w:lineRule="exact" w:line="1"/>
        <w:rPr>
          <w:sz w:val="2"/>
          <w:szCs w:val="2"/>
        </w:rPr>
      </w:pPr>
      <w:r>
        <w:br w:type="page"/>
      </w:r>
    </w:p>
    <w:tbl>
      <w:tblPr>
        <w:tblOverlap w:val="never"/>
        <w:jc w:val="center"/>
        <w:tblLayout w:type="fixed"/>
      </w:tblPr>
      <w:tblGrid>
        <w:gridCol w:w="3221"/>
        <w:gridCol w:w="3206"/>
        <w:gridCol w:w="322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361,053,098.02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361,053,098.02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666,337,879.59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666,337,879.59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1,027,390,977.61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1,027,390,977.61</w:t>
            </w:r>
          </w:p>
        </w:tc>
      </w:tr>
    </w:tbl>
    <w:p>
      <w:pPr>
        <w:widowControl w:val="0"/>
        <w:spacing w:after="119" w:line="1" w:lineRule="exact"/>
      </w:pPr>
    </w:p>
    <w:p>
      <w:pPr>
        <w:pStyle w:val="Style17"/>
        <w:keepNext w:val="0"/>
        <w:keepLines w:val="0"/>
        <w:widowControl w:val="0"/>
        <w:shd w:val="clear" w:color="auto" w:fill="auto"/>
        <w:bidi w:val="0"/>
        <w:spacing w:before="0" w:after="120" w:line="240" w:lineRule="auto"/>
        <w:ind w:left="0" w:right="0"/>
        <w:jc w:val="left"/>
      </w:pPr>
      <w:r>
        <w:rPr>
          <w:color w:val="000000"/>
          <w:spacing w:val="0"/>
          <w:w w:val="100"/>
          <w:position w:val="0"/>
        </w:rPr>
        <w:t>与履约义务相关的信息：</w:t>
      </w:r>
    </w:p>
    <w:p>
      <w:pPr>
        <w:pStyle w:val="Style17"/>
        <w:keepNext w:val="0"/>
        <w:keepLines w:val="0"/>
        <w:widowControl w:val="0"/>
        <w:shd w:val="clear" w:color="auto" w:fill="auto"/>
        <w:bidi w:val="0"/>
        <w:spacing w:before="0" w:after="0" w:line="240" w:lineRule="auto"/>
        <w:ind w:left="0" w:right="0"/>
        <w:jc w:val="left"/>
      </w:pPr>
      <w:r>
        <w:rPr>
          <w:b/>
          <w:bCs/>
          <w:color w:val="000000"/>
          <w:spacing w:val="0"/>
          <w:w w:val="100"/>
          <w:position w:val="0"/>
        </w:rPr>
        <w:t>生育健康基础研究和临床应用服务、肿瘤防控及转化医学类服务、感染防控基础研究和临床应用服务</w:t>
      </w:r>
    </w:p>
    <w:p>
      <w:pPr>
        <w:pStyle w:val="Style17"/>
        <w:keepNext w:val="0"/>
        <w:keepLines w:val="0"/>
        <w:widowControl w:val="0"/>
        <w:shd w:val="clear" w:color="auto" w:fill="auto"/>
        <w:bidi w:val="0"/>
        <w:spacing w:before="0" w:after="320" w:line="317" w:lineRule="exact"/>
        <w:ind w:left="0" w:right="0" w:firstLine="760"/>
        <w:jc w:val="left"/>
      </w:pPr>
      <w:r>
        <w:rPr>
          <w:color w:val="000000"/>
          <w:spacing w:val="0"/>
          <w:w w:val="100"/>
          <w:position w:val="0"/>
        </w:rPr>
        <w:t>向客户交付样本检测报告时完成履约义务。合同价款结算以合同约定为准。</w:t>
      </w:r>
    </w:p>
    <w:p>
      <w:pPr>
        <w:pStyle w:val="Style17"/>
        <w:keepNext w:val="0"/>
        <w:keepLines w:val="0"/>
        <w:widowControl w:val="0"/>
        <w:shd w:val="clear" w:color="auto" w:fill="auto"/>
        <w:bidi w:val="0"/>
        <w:spacing w:before="0" w:after="0" w:line="317" w:lineRule="exact"/>
        <w:ind w:left="0" w:right="0"/>
        <w:jc w:val="both"/>
      </w:pPr>
      <w:r>
        <w:rPr>
          <w:b/>
          <w:bCs/>
          <w:color w:val="000000"/>
          <w:spacing w:val="0"/>
          <w:w w:val="100"/>
          <w:position w:val="0"/>
        </w:rPr>
        <w:t>精准医学检测综合方案</w:t>
      </w:r>
    </w:p>
    <w:p>
      <w:pPr>
        <w:pStyle w:val="Style17"/>
        <w:keepNext w:val="0"/>
        <w:keepLines w:val="0"/>
        <w:widowControl w:val="0"/>
        <w:shd w:val="clear" w:color="auto" w:fill="auto"/>
        <w:bidi w:val="0"/>
        <w:spacing w:before="0" w:after="0" w:line="317" w:lineRule="exact"/>
        <w:ind w:left="380" w:right="0"/>
        <w:jc w:val="left"/>
      </w:pPr>
      <w:r>
        <w:rPr>
          <w:color w:val="000000"/>
          <w:spacing w:val="0"/>
          <w:w w:val="100"/>
          <w:position w:val="0"/>
        </w:rPr>
        <w:t>货物送至客户指定收货地点，完成货物交付并取得客户关于货物签收或验收的证据时完成履约义务。合同价款结算以 合同约定为准。</w:t>
      </w:r>
    </w:p>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与分摊至剩余履约义务的交易价格相关的信息：</w:t>
      </w:r>
    </w:p>
    <w:p>
      <w:pPr>
        <w:pStyle w:val="Style17"/>
        <w:keepNext w:val="0"/>
        <w:keepLines w:val="0"/>
        <w:widowControl w:val="0"/>
        <w:shd w:val="clear" w:color="auto" w:fill="auto"/>
        <w:bidi w:val="0"/>
        <w:spacing w:before="0" w:after="0" w:line="317" w:lineRule="exact"/>
        <w:ind w:left="0" w:right="0" w:firstLine="76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7"/>
        <w:keepNext w:val="0"/>
        <w:keepLines w:val="0"/>
        <w:widowControl w:val="0"/>
        <w:shd w:val="clear" w:color="auto" w:fill="auto"/>
        <w:bidi w:val="0"/>
        <w:spacing w:before="0" w:after="120" w:line="317" w:lineRule="exact"/>
        <w:ind w:left="0" w:right="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当年确认的包括在合同负债年初账面价值中的收入如下:</w:t>
      </w:r>
    </w:p>
    <w:tbl>
      <w:tblPr>
        <w:tblOverlap w:val="never"/>
        <w:jc w:val="center"/>
        <w:tblLayout w:type="fixed"/>
      </w:tblPr>
      <w:tblGrid>
        <w:gridCol w:w="4920"/>
        <w:gridCol w:w="2357"/>
        <w:gridCol w:w="237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7,410,976.82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8,936,093.43</w:t>
            </w:r>
          </w:p>
        </w:tc>
      </w:tr>
    </w:tbl>
    <w:p>
      <w:pPr>
        <w:widowControl w:val="0"/>
        <w:spacing w:after="639" w:line="1" w:lineRule="exact"/>
      </w:pPr>
    </w:p>
    <w:p>
      <w:pPr>
        <w:pStyle w:val="Style30"/>
        <w:keepNext/>
        <w:keepLines/>
        <w:widowControl w:val="0"/>
        <w:shd w:val="clear" w:color="auto" w:fill="auto"/>
        <w:bidi w:val="0"/>
        <w:spacing w:before="0" w:line="240" w:lineRule="auto"/>
        <w:ind w:left="0" w:right="0" w:firstLine="38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5</w:t>
      </w:r>
      <w:bookmarkEnd w:id="1857"/>
      <w:r>
        <w:rPr>
          <w:color w:val="000000"/>
          <w:spacing w:val="0"/>
          <w:w w:val="100"/>
          <w:position w:val="0"/>
        </w:rPr>
        <w:t>、投资收益</w:t>
      </w:r>
      <w:bookmarkEnd w:id="1855"/>
      <w:bookmarkEnd w:id="1856"/>
      <w:bookmarkEnd w:id="18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1,508,917.98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1,135,544.15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1,091,252.26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6,081,589.52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2,767,800.00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417,999.99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367,610.96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其他非流动金融资产在持有期间取得的投 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2,526,150.00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2,641,509.43</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line="240" w:lineRule="auto"/>
              <w:ind w:left="0" w:right="0" w:firstLine="0"/>
              <w:jc w:val="left"/>
            </w:pPr>
            <w:r>
              <w:rPr>
                <w:color w:val="000000"/>
                <w:spacing w:val="0"/>
                <w:w w:val="100"/>
                <w:position w:val="0"/>
              </w:rPr>
              <w:t>长期股权投资转其他非流动金融资产核算</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产生投资收益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1,406,875.94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9,718,996.17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9,356,254.06</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380"/>
        <w:jc w:val="left"/>
      </w:pPr>
      <w:bookmarkStart w:id="1859" w:name="bookmark1859"/>
      <w:bookmarkStart w:id="1860" w:name="bookmark1860"/>
      <w:bookmarkStart w:id="1861" w:name="bookmark1861"/>
      <w:r>
        <w:rPr>
          <w:color w:val="000000"/>
          <w:spacing w:val="0"/>
          <w:w w:val="100"/>
          <w:position w:val="0"/>
          <w:sz w:val="24"/>
          <w:szCs w:val="24"/>
        </w:rPr>
        <w:t>十八、补充资料</w:t>
      </w:r>
      <w:bookmarkEnd w:id="1859"/>
      <w:bookmarkEnd w:id="1860"/>
      <w:bookmarkEnd w:id="1861"/>
    </w:p>
    <w:p>
      <w:pPr>
        <w:pStyle w:val="Style30"/>
        <w:keepNext/>
        <w:keepLines/>
        <w:widowControl w:val="0"/>
        <w:shd w:val="clear" w:color="auto" w:fill="auto"/>
        <w:bidi w:val="0"/>
        <w:spacing w:before="0" w:line="240" w:lineRule="auto"/>
        <w:ind w:left="0" w:right="0" w:firstLine="380"/>
        <w:jc w:val="left"/>
      </w:pPr>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62"/>
      <w:bookmarkEnd w:id="1863"/>
      <w:bookmarkEnd w:id="1864"/>
    </w:p>
    <w:p>
      <w:pPr>
        <w:pStyle w:val="Style17"/>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220" w:line="240" w:lineRule="auto"/>
        <w:ind w:left="0" w:right="440" w:firstLine="0"/>
        <w:jc w:val="right"/>
      </w:pPr>
      <w:r>
        <w:rPr>
          <w:color w:val="000000"/>
          <w:spacing w:val="0"/>
          <w:w w:val="100"/>
          <w:position w:val="0"/>
        </w:rPr>
        <w:t>单位：元</w:t>
      </w:r>
      <w:r>
        <w:br w:type="page"/>
      </w:r>
    </w:p>
    <w:tbl>
      <w:tblPr>
        <w:tblOverlap w:val="never"/>
        <w:jc w:val="center"/>
        <w:tblLayout w:type="fixed"/>
      </w:tblPr>
      <w:tblGrid>
        <w:gridCol w:w="5251"/>
        <w:gridCol w:w="1421"/>
        <w:gridCol w:w="291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-43,574,897.49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计入当期损益的政府补助（与公司正常经营业务密切相关，符合 国家政策规定、按照一定标准定额或定量持续享受的政府补助除 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53,119,540.90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8,977,145.92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 金融资产、交易性金融负债产生的公允价值变动损益，以及处置 交易性金融资产交易性金融负债和可供出售金融资产取得的投资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135,314,056.42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4,792,000.00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-37,250,458.87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4,254,535.17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处置或注销子公司产生的投资收益</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20,499,877.95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1,938,295.70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103,193,748.40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7"/>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其他符合非经常性损益定义的损益项目的具体情况:</w:t>
      </w:r>
    </w:p>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317" w:lineRule="exact"/>
        <w:ind w:left="0" w:right="0" w:firstLine="760"/>
        <w:jc w:val="left"/>
      </w:pPr>
      <w:r>
        <w:rPr>
          <w:color w:val="000000"/>
          <w:spacing w:val="0"/>
          <w:w w:val="100"/>
          <w:position w:val="0"/>
        </w:rPr>
        <w:t>公司其他符合非经常性损益定义的损益项目为处置或注销子公司产生的投资收益。</w:t>
      </w:r>
    </w:p>
    <w:p>
      <w:pPr>
        <w:pStyle w:val="Style17"/>
        <w:keepNext w:val="0"/>
        <w:keepLines w:val="0"/>
        <w:widowControl w:val="0"/>
        <w:shd w:val="clear" w:color="auto" w:fill="auto"/>
        <w:bidi w:val="0"/>
        <w:spacing w:before="0" w:after="140" w:line="317" w:lineRule="exact"/>
        <w:ind w:left="40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 目的情况说明</w:t>
      </w:r>
    </w:p>
    <w:p>
      <w:pPr>
        <w:pStyle w:val="Style17"/>
        <w:keepNext w:val="0"/>
        <w:keepLines w:val="0"/>
        <w:widowControl w:val="0"/>
        <w:shd w:val="clear" w:color="auto" w:fill="auto"/>
        <w:bidi w:val="0"/>
        <w:spacing w:before="0" w:after="260"/>
        <w:ind w:left="0" w:right="0" w:firstLine="4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400"/>
        <w:jc w:val="left"/>
      </w:pPr>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65"/>
      <w:bookmarkEnd w:id="1866"/>
      <w:bookmarkEnd w:id="1867"/>
    </w:p>
    <w:tbl>
      <w:tblPr>
        <w:tblOverlap w:val="never"/>
        <w:jc w:val="center"/>
        <w:tblLayout w:type="fixed"/>
      </w:tblPr>
      <w:tblGrid>
        <w:gridCol w:w="2842"/>
        <w:gridCol w:w="2126"/>
        <w:gridCol w:w="2270"/>
        <w:gridCol w:w="234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3.2995</w:t>
            </w:r>
          </w:p>
        </w:tc>
      </w:tr>
    </w:tbl>
    <w:sectPr>
      <w:footnotePr>
        <w:pos w:val="pageBottom"/>
        <w:numFmt w:val="decimal"/>
        <w:numRestart w:val="continuous"/>
      </w:footnotePr>
      <w:pgSz w:w="11900" w:h="16840"/>
      <w:pgMar w:top="1383" w:right="689" w:bottom="1431" w:left="7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5">
    <w:name w:val="Table of contents_"/>
    <w:basedOn w:val="DefaultParagraphFont"/>
    <w:link w:val="Style14"/>
    <w:rPr>
      <w:rFonts w:ascii="SimSun" w:eastAsia="SimSun" w:hAnsi="SimSun" w:cs="SimSun"/>
      <w:b w:val="0"/>
      <w:bCs w:val="0"/>
      <w:i w:val="0"/>
      <w:iCs w:val="0"/>
      <w:smallCaps w:val="0"/>
      <w:strike w:val="0"/>
      <w:sz w:val="28"/>
      <w:szCs w:val="28"/>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Heading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Heading #4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6">
    <w:name w:val="Picture caption_"/>
    <w:basedOn w:val="DefaultParagraphFont"/>
    <w:link w:val="Style35"/>
    <w:rPr>
      <w:rFonts w:ascii="SimSun" w:eastAsia="SimSun" w:hAnsi="SimSun" w:cs="SimSun"/>
      <w:b w:val="0"/>
      <w:bCs w:val="0"/>
      <w:i w:val="0"/>
      <w:iCs w:val="0"/>
      <w:smallCaps w:val="0"/>
      <w:strike w:val="0"/>
      <w:color w:val="333333"/>
      <w:sz w:val="15"/>
      <w:szCs w:val="15"/>
      <w:u w:val="none"/>
      <w:shd w:val="clear" w:color="auto" w:fill="auto"/>
    </w:rPr>
  </w:style>
  <w:style w:type="character" w:customStyle="1" w:styleId="CharStyle39">
    <w:name w:val="Body text (3)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4">
    <w:name w:val="Body text (8)_"/>
    <w:basedOn w:val="DefaultParagraphFont"/>
    <w:link w:val="Style73"/>
    <w:rPr>
      <w:rFonts w:ascii="SimSun" w:eastAsia="SimSun" w:hAnsi="SimSun" w:cs="SimSun"/>
      <w:b/>
      <w:bCs/>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spacing w:after="42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2"/>
    <w:basedOn w:val="Normal"/>
    <w:link w:val="CharStyle11"/>
    <w:pPr>
      <w:widowControl w:val="0"/>
      <w:shd w:val="clear" w:color="auto" w:fill="auto"/>
      <w:spacing w:before="270" w:after="6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Table of contents"/>
    <w:basedOn w:val="Normal"/>
    <w:link w:val="CharStyle15"/>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17">
    <w:name w:val="Body text"/>
    <w:basedOn w:val="Normal"/>
    <w:link w:val="CharStyle18"/>
    <w:qFormat/>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0">
    <w:name w:val="Other"/>
    <w:basedOn w:val="Normal"/>
    <w:link w:val="CharStyle21"/>
    <w:pPr>
      <w:widowControl w:val="0"/>
      <w:shd w:val="clear" w:color="auto" w:fill="auto"/>
      <w:spacing w:after="10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Heading #3"/>
    <w:basedOn w:val="Normal"/>
    <w:link w:val="CharStyle25"/>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Heading #4"/>
    <w:basedOn w:val="Normal"/>
    <w:link w:val="CharStyle3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Picture caption"/>
    <w:basedOn w:val="Normal"/>
    <w:link w:val="CharStyle36"/>
    <w:pPr>
      <w:widowControl w:val="0"/>
      <w:shd w:val="clear" w:color="auto" w:fill="auto"/>
      <w:ind w:left="2860"/>
    </w:pPr>
    <w:rPr>
      <w:rFonts w:ascii="SimSun" w:eastAsia="SimSun" w:hAnsi="SimSun" w:cs="SimSun"/>
      <w:b w:val="0"/>
      <w:bCs w:val="0"/>
      <w:i w:val="0"/>
      <w:iCs w:val="0"/>
      <w:smallCaps w:val="0"/>
      <w:strike w:val="0"/>
      <w:color w:val="333333"/>
      <w:sz w:val="15"/>
      <w:szCs w:val="15"/>
      <w:u w:val="none"/>
      <w:shd w:val="clear" w:color="auto" w:fill="auto"/>
    </w:rPr>
  </w:style>
  <w:style w:type="paragraph" w:customStyle="1" w:styleId="Style38">
    <w:name w:val="Body text (3)"/>
    <w:basedOn w:val="Normal"/>
    <w:link w:val="CharStyle39"/>
    <w:pPr>
      <w:widowControl w:val="0"/>
      <w:shd w:val="clear" w:color="auto" w:fill="auto"/>
      <w:spacing w:line="307"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3">
    <w:name w:val="Body text (8)"/>
    <w:basedOn w:val="Normal"/>
    <w:link w:val="CharStyle74"/>
    <w:pPr>
      <w:widowControl w:val="0"/>
      <w:shd w:val="clear" w:color="auto" w:fill="auto"/>
      <w:spacing w:after="300"/>
      <w:jc w:val="center"/>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深圳华大基因股份有限公司2021年年度报告全文</dc:title>
  <dc:subject/>
  <dc:creator>深圳华大基因股份有限公司</dc:creator>
  <cp:keywords/>
</cp:coreProperties>
</file>