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0pt;margin-top:125.849983pt;width:594.550pt;height:716.1pt;mso-position-horizontal-relative:page;mso-position-vertical-relative:page;z-index:-726544" type="#_x0000_t202" filled="false" stroked="false">
            <v:textbox inset="0,0,0,0">
              <w:txbxContent>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spacing w:before="150"/>
                    <w:ind w:left="0" w:right="1118" w:firstLine="0"/>
                    <w:jc w:val="right"/>
                    <w:rPr>
                      <w:rFonts w:ascii="Times New Roman" w:hAnsi="Times New Roman" w:cs="Times New Roman" w:eastAsia="Times New Roman" w:hint="default"/>
                      <w:sz w:val="18"/>
                      <w:szCs w:val="18"/>
                    </w:rPr>
                  </w:pPr>
                  <w:r>
                    <w:rPr>
                      <w:rFonts w:ascii="Times New Roman"/>
                      <w:sz w:val="18"/>
                    </w:rPr>
                    <w:t>1</w:t>
                  </w:r>
                </w:p>
              </w:txbxContent>
            </v:textbox>
            <w10:wrap type="none"/>
          </v:shape>
        </w:pict>
      </w:r>
      <w:r>
        <w:rPr/>
        <w:pict>
          <v:group style="position:absolute;margin-left:55.200001pt;margin-top:49.079983pt;width:484.9pt;height:.1pt;mso-position-horizontal-relative:page;mso-position-vertical-relative:page;z-index:1072" coordorigin="1104,982" coordsize="9698,2">
            <v:shape style="position:absolute;left:1104;top:982;width:9698;height:2" coordorigin="1104,982" coordsize="9698,0" path="m1104,982l10802,982e" filled="false" stroked="true" strokeweight=".72pt" strokecolor="#000000">
              <v:path arrowok="t"/>
            </v:shape>
            <w10:wrap type="none"/>
          </v:group>
        </w:pict>
      </w:r>
      <w:r>
        <w:rPr/>
        <w:pict>
          <v:group style="position:absolute;margin-left:0pt;margin-top:82.099983pt;width:594.550pt;height:759.85pt;mso-position-horizontal-relative:page;mso-position-vertical-relative:page;z-index:-726496" coordorigin="0,1642" coordsize="11891,15197">
            <v:shape style="position:absolute;left:0;top:2517;width:11891;height:14321" type="#_x0000_t75" stroked="false">
              <v:imagedata r:id="rId6" o:title=""/>
            </v:shape>
            <v:shape style="position:absolute;left:2551;top:4310;width:6870;height:254" type="#_x0000_t75" stroked="false">
              <v:imagedata r:id="rId7" o:title=""/>
            </v:shape>
            <v:shape style="position:absolute;left:4850;top:1642;width:2204;height:1512" type="#_x0000_t75" stroked="false">
              <v:imagedata r:id="rId8" o:title=""/>
            </v:shape>
            <v:group style="position:absolute;left:2174;top:6796;width:7680;height:2154" coordorigin="2174,6796" coordsize="7680,2154">
              <v:shape style="position:absolute;left:2174;top:6796;width:7680;height:2154" coordorigin="2174,6796" coordsize="7680,2154" path="m2174,8950l9854,8950,9854,6796,2174,6796,2174,8950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line="567" w:lineRule="exact" w:before="0"/>
        <w:ind w:left="1649" w:right="1656" w:firstLine="0"/>
        <w:jc w:val="center"/>
        <w:rPr>
          <w:rFonts w:ascii="微软雅黑" w:hAnsi="微软雅黑" w:cs="微软雅黑" w:eastAsia="微软雅黑" w:hint="default"/>
          <w:sz w:val="44"/>
          <w:szCs w:val="44"/>
        </w:rPr>
      </w:pPr>
      <w:r>
        <w:rPr>
          <w:rFonts w:ascii="微软雅黑" w:hAnsi="微软雅黑" w:cs="微软雅黑" w:eastAsia="微软雅黑" w:hint="default"/>
          <w:b/>
          <w:bCs/>
          <w:sz w:val="44"/>
          <w:szCs w:val="44"/>
        </w:rPr>
        <w:t>中科院成都信息技术股份有限公司</w:t>
      </w:r>
      <w:r>
        <w:rPr>
          <w:rFonts w:ascii="微软雅黑" w:hAnsi="微软雅黑" w:cs="微软雅黑" w:eastAsia="微软雅黑" w:hint="default"/>
          <w:sz w:val="44"/>
          <w:szCs w:val="44"/>
        </w:rPr>
      </w:r>
    </w:p>
    <w:p>
      <w:pPr>
        <w:spacing w:line="240" w:lineRule="auto" w:before="15"/>
        <w:rPr>
          <w:rFonts w:ascii="微软雅黑" w:hAnsi="微软雅黑" w:cs="微软雅黑" w:eastAsia="微软雅黑" w:hint="default"/>
          <w:b/>
          <w:bCs/>
          <w:sz w:val="63"/>
          <w:szCs w:val="63"/>
        </w:rPr>
      </w:pPr>
    </w:p>
    <w:p>
      <w:pPr>
        <w:spacing w:before="0"/>
        <w:ind w:left="1649" w:right="1650" w:firstLine="0"/>
        <w:jc w:val="center"/>
        <w:rPr>
          <w:rFonts w:ascii="微软雅黑" w:hAnsi="微软雅黑" w:cs="微软雅黑" w:eastAsia="微软雅黑" w:hint="default"/>
          <w:sz w:val="44"/>
          <w:szCs w:val="44"/>
        </w:rPr>
      </w:pPr>
      <w:r>
        <w:rPr>
          <w:rFonts w:ascii="微软雅黑" w:hAnsi="微软雅黑" w:cs="微软雅黑" w:eastAsia="微软雅黑" w:hint="default"/>
          <w:b/>
          <w:bCs/>
          <w:sz w:val="44"/>
          <w:szCs w:val="44"/>
        </w:rPr>
        <w:t>2017</w:t>
      </w:r>
      <w:r>
        <w:rPr>
          <w:rFonts w:ascii="微软雅黑" w:hAnsi="微软雅黑" w:cs="微软雅黑" w:eastAsia="微软雅黑" w:hint="default"/>
          <w:b/>
          <w:bCs/>
          <w:spacing w:val="-26"/>
          <w:sz w:val="44"/>
          <w:szCs w:val="44"/>
        </w:rPr>
        <w:t> </w:t>
      </w:r>
      <w:r>
        <w:rPr>
          <w:rFonts w:ascii="微软雅黑" w:hAnsi="微软雅黑" w:cs="微软雅黑" w:eastAsia="微软雅黑" w:hint="default"/>
          <w:b/>
          <w:bCs/>
          <w:sz w:val="44"/>
          <w:szCs w:val="44"/>
        </w:rPr>
        <w:t>年度报告</w:t>
      </w:r>
      <w:r>
        <w:rPr>
          <w:rFonts w:ascii="微软雅黑" w:hAnsi="微软雅黑" w:cs="微软雅黑" w:eastAsia="微软雅黑" w:hint="default"/>
          <w:sz w:val="44"/>
          <w:szCs w:val="44"/>
        </w:rPr>
      </w:r>
    </w:p>
    <w:p>
      <w:pPr>
        <w:spacing w:line="240" w:lineRule="auto" w:before="3"/>
        <w:rPr>
          <w:rFonts w:ascii="微软雅黑" w:hAnsi="微软雅黑" w:cs="微软雅黑" w:eastAsia="微软雅黑" w:hint="default"/>
          <w:b/>
          <w:bCs/>
          <w:sz w:val="28"/>
          <w:szCs w:val="28"/>
        </w:rPr>
      </w:pPr>
    </w:p>
    <w:p>
      <w:pPr>
        <w:pStyle w:val="Heading2"/>
        <w:spacing w:line="240" w:lineRule="auto"/>
        <w:ind w:left="1649" w:right="1649"/>
        <w:jc w:val="center"/>
        <w:rPr>
          <w:rFonts w:ascii="Times New Roman" w:hAnsi="Times New Roman" w:cs="Times New Roman" w:eastAsia="Times New Roman" w:hint="default"/>
          <w:b w:val="0"/>
          <w:bCs w:val="0"/>
        </w:rPr>
      </w:pPr>
      <w:r>
        <w:rPr>
          <w:rFonts w:ascii="Times New Roman"/>
        </w:rPr>
        <w:t>2018-011</w:t>
      </w:r>
      <w:r>
        <w:rPr>
          <w:rFonts w:ascii="Times New Roman"/>
          <w:b w:val="0"/>
        </w:rPr>
      </w:r>
    </w:p>
    <w:p>
      <w:pPr>
        <w:spacing w:line="240" w:lineRule="auto" w:before="10"/>
        <w:rPr>
          <w:rFonts w:ascii="Times New Roman" w:hAnsi="Times New Roman" w:cs="Times New Roman" w:eastAsia="Times New Roman" w:hint="default"/>
          <w:b/>
          <w:bCs/>
          <w:sz w:val="12"/>
          <w:szCs w:val="12"/>
        </w:rPr>
      </w:pPr>
    </w:p>
    <w:p>
      <w:pPr>
        <w:spacing w:line="2154" w:lineRule="exact"/>
        <w:ind w:left="11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shape style="width:384pt;height:107.7pt;mso-position-horizontal-relative:char;mso-position-vertical-relative:line" type="#_x0000_t202" filled="true" fillcolor="#ffffff" stroked="true" strokeweight="1.25pt" strokecolor="#000000">
            <w10:anchorlock/>
            <v:textbox inset="0,0,0,0">
              <w:txbxContent>
                <w:p>
                  <w:pPr>
                    <w:spacing w:line="268" w:lineRule="auto" w:before="41"/>
                    <w:ind w:left="144" w:right="20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公司董事会、监事会及董事、监事、高级管理人员保证</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本年度报告内容的真实、准确、完整，不存在虚假记载、误</w:t>
                  </w:r>
                  <w:r>
                    <w:rPr>
                      <w:rFonts w:ascii="Microsoft JhengHei" w:hAnsi="Microsoft JhengHei" w:cs="Microsoft JhengHei" w:eastAsia="Microsoft JhengHei" w:hint="default"/>
                      <w:b/>
                      <w:bCs/>
                      <w:spacing w:val="-44"/>
                      <w:sz w:val="28"/>
                      <w:szCs w:val="28"/>
                    </w:rPr>
                    <w:t> </w:t>
                  </w:r>
                  <w:r>
                    <w:rPr>
                      <w:rFonts w:ascii="Microsoft JhengHei" w:hAnsi="Microsoft JhengHei" w:cs="Microsoft JhengHei" w:eastAsia="Microsoft JhengHei" w:hint="default"/>
                      <w:b/>
                      <w:bCs/>
                      <w:spacing w:val="-44"/>
                      <w:sz w:val="28"/>
                      <w:szCs w:val="28"/>
                    </w:rPr>
                  </w:r>
                  <w:r>
                    <w:rPr>
                      <w:rFonts w:ascii="Microsoft JhengHei" w:hAnsi="Microsoft JhengHei" w:cs="Microsoft JhengHei" w:eastAsia="Microsoft JhengHei" w:hint="default"/>
                      <w:b/>
                      <w:bCs/>
                      <w:sz w:val="28"/>
                      <w:szCs w:val="28"/>
                    </w:rPr>
                    <w:t>导性陈述或者重大遗漏，并承担个别和连带的法律责任。</w:t>
                  </w:r>
                  <w:r>
                    <w:rPr>
                      <w:rFonts w:ascii="Microsoft JhengHei" w:hAnsi="Microsoft JhengHei" w:cs="Microsoft JhengHei" w:eastAsia="Microsoft JhengHei" w:hint="default"/>
                      <w:sz w:val="28"/>
                      <w:szCs w:val="28"/>
                    </w:rPr>
                  </w:r>
                </w:p>
              </w:txbxContent>
            </v:textbox>
            <v:fill type="solid"/>
          </v:shape>
        </w:pict>
      </w:r>
      <w:r>
        <w:rPr>
          <w:rFonts w:ascii="Times New Roman" w:hAnsi="Times New Roman" w:cs="Times New Roman" w:eastAsia="Times New Roman" w:hint="default"/>
          <w:position w:val="-42"/>
          <w:sz w:val="20"/>
          <w:szCs w:val="20"/>
        </w:rPr>
      </w:r>
    </w:p>
    <w:p>
      <w:pPr>
        <w:spacing w:after="0" w:line="2154" w:lineRule="exact"/>
        <w:rPr>
          <w:rFonts w:ascii="Times New Roman" w:hAnsi="Times New Roman" w:cs="Times New Roman" w:eastAsia="Times New Roman" w:hint="default"/>
          <w:sz w:val="20"/>
          <w:szCs w:val="20"/>
        </w:rPr>
        <w:sectPr>
          <w:headerReference w:type="default" r:id="rId5"/>
          <w:type w:val="continuous"/>
          <w:pgSz w:w="11910" w:h="16840"/>
          <w:pgMar w:header="748" w:top="1060" w:bottom="280" w:left="980" w:right="980"/>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7"/>
          <w:szCs w:val="27"/>
        </w:rPr>
      </w:pPr>
    </w:p>
    <w:p>
      <w:pPr>
        <w:pStyle w:val="Heading1"/>
        <w:spacing w:line="240" w:lineRule="auto"/>
        <w:ind w:left="2802" w:right="153"/>
        <w:jc w:val="left"/>
        <w:rPr>
          <w:b w:val="0"/>
          <w:bCs w:val="0"/>
        </w:rPr>
      </w:pPr>
      <w:bookmarkStart w:name="_TOC_250010"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公司负责人王晓宇、主管会计工作负责人刘小兵及会计机构负责人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彭庶星声明：保证年度报告中财务报告的真实、准确、完整。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408" w:lineRule="auto" w:before="0"/>
        <w:ind w:left="152" w:right="149"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者的实质承诺，敬请投资者及相关人士对此保持足够的风险认识，充分理解计</w:t>
      </w:r>
      <w:r>
        <w:rPr>
          <w:rFonts w:ascii="宋体" w:hAnsi="宋体" w:cs="宋体" w:eastAsia="宋体" w:hint="default"/>
          <w:b/>
          <w:bCs/>
          <w:w w:val="99"/>
          <w:sz w:val="28"/>
          <w:szCs w:val="28"/>
        </w:rPr>
        <w:t> </w:t>
      </w:r>
      <w:r>
        <w:rPr>
          <w:rFonts w:ascii="宋体" w:hAnsi="宋体" w:cs="宋体" w:eastAsia="宋体" w:hint="default"/>
          <w:b/>
          <w:bCs/>
          <w:sz w:val="28"/>
          <w:szCs w:val="28"/>
        </w:rPr>
        <w:t>划、预测与承诺之间的差异，注意投资风险。</w:t>
      </w:r>
      <w:r>
        <w:rPr>
          <w:rFonts w:ascii="宋体" w:hAnsi="宋体" w:cs="宋体" w:eastAsia="宋体" w:hint="default"/>
          <w:sz w:val="28"/>
          <w:szCs w:val="28"/>
        </w:rPr>
      </w:r>
    </w:p>
    <w:p>
      <w:pPr>
        <w:spacing w:line="398" w:lineRule="auto" w:before="162"/>
        <w:ind w:left="152" w:right="15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分，详细描述了公司经营中可能存在的风险及应对措施，敬请投资者关注相关</w:t>
      </w:r>
      <w:r>
        <w:rPr>
          <w:rFonts w:ascii="宋体" w:hAnsi="宋体" w:cs="宋体" w:eastAsia="宋体" w:hint="default"/>
          <w:b/>
          <w:bCs/>
          <w:w w:val="99"/>
          <w:sz w:val="28"/>
          <w:szCs w:val="28"/>
        </w:rPr>
        <w:t> </w:t>
      </w:r>
      <w:r>
        <w:rPr>
          <w:rFonts w:ascii="宋体" w:hAnsi="宋体" w:cs="宋体" w:eastAsia="宋体" w:hint="default"/>
          <w:b/>
          <w:bCs/>
          <w:sz w:val="28"/>
          <w:szCs w:val="28"/>
        </w:rPr>
        <w:t>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100,000,000</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5</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9"/>
          <w:footerReference w:type="default" r:id="rId10"/>
          <w:pgSz w:w="11910" w:h="16840"/>
          <w:pgMar w:header="880" w:footer="974" w:top="1100" w:bottom="11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1649" w:right="164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TOC_25001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8"/>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8"/>
              </w:rPr>
              <w:t> </w:t>
            </w:r>
            <w:r>
              <w:rPr/>
              <w:t>重要事项</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8"/>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8"/>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8"/>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8"/>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8"/>
              </w:rPr>
              <w:t> </w:t>
            </w:r>
            <w:r>
              <w:rPr/>
              <w:t>公司债券相关情况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7"/>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第十二节</w:t>
          </w:r>
          <w:r>
            <w:rPr>
              <w:spacing w:val="-18"/>
            </w:rPr>
            <w:t> </w:t>
          </w:r>
          <w:r>
            <w:rPr/>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880" w:footer="974" w:top="1100" w:bottom="1160" w:left="980" w:right="980"/>
        </w:sectPr>
      </w:pPr>
    </w:p>
    <w:p>
      <w:pPr>
        <w:spacing w:before="894"/>
        <w:ind w:left="1649" w:right="164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中科信息、本集团、本公司、母公司、公司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中国科学院控股有限公司，曾用名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中国科学院国有资产经营有限责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，发行人控股股东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中科院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中国科学院</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宇中投资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成都宇中投资管理中心（有限合伙</w:t>
            </w:r>
            <w:r>
              <w:rPr>
                <w:rFonts w:ascii="宋体" w:hAnsi="宋体" w:cs="宋体" w:eastAsia="宋体" w:hint="default"/>
                <w:spacing w:val="-92"/>
                <w:sz w:val="18"/>
                <w:szCs w:val="18"/>
              </w:rPr>
              <w:t>）</w:t>
            </w:r>
            <w:r>
              <w:rPr>
                <w:rFonts w:ascii="宋体" w:hAnsi="宋体" w:cs="宋体" w:eastAsia="宋体" w:hint="default"/>
                <w:sz w:val="18"/>
                <w:szCs w:val="18"/>
              </w:rPr>
              <w:t>，发行人股东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四川埃徳凯森科技有限公司，发行人股东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恒合经纬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深圳市恒合经纬投资管理合伙企业（有限合伙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，发行人股东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国科瑞祺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国科瑞祺物联网创业投资有限公司，发行人股东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联升创投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上海联升创业投资有限公司，发行人股东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科泰石油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胜利油田科泰石油技术有限公司，发行人股东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成都中科石油工程技术股份有限公司，发行人控股子公司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成都中科信息技术有限公司，发行人全资子公司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中科院金华信息技术有限公司，发行人全资子公司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深圳市中钞科信金融科技有限公司，发行人对外投资企业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中钞长城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中钞长城金融设备控股有限公司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信达投资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深圳市信达投资发展有限公司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杂志社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四川计算机应用杂志社有限公司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瑞拓科技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人民币元，特别注明的除外</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58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算法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
              <w:jc w:val="both"/>
              <w:rPr>
                <w:rFonts w:ascii="宋体" w:hAnsi="宋体" w:cs="宋体" w:eastAsia="宋体" w:hint="default"/>
                <w:sz w:val="18"/>
                <w:szCs w:val="18"/>
              </w:rPr>
            </w:pPr>
            <w:r>
              <w:rPr>
                <w:rFonts w:ascii="宋体" w:hAnsi="宋体" w:cs="宋体" w:eastAsia="宋体" w:hint="default"/>
                <w:spacing w:val="-3"/>
                <w:w w:val="99"/>
                <w:sz w:val="18"/>
                <w:szCs w:val="18"/>
              </w:rPr>
              <w:t>算法（</w:t>
            </w:r>
            <w:r>
              <w:rPr>
                <w:rFonts w:ascii="Times New Roman" w:hAnsi="Times New Roman" w:cs="Times New Roman" w:eastAsia="Times New Roman" w:hint="default"/>
                <w:spacing w:val="-3"/>
                <w:w w:val="99"/>
                <w:sz w:val="18"/>
                <w:szCs w:val="18"/>
              </w:rPr>
              <w:t>Algorithm</w:t>
            </w:r>
            <w:r>
              <w:rPr>
                <w:rFonts w:ascii="宋体" w:hAnsi="宋体" w:cs="宋体" w:eastAsia="宋体" w:hint="default"/>
                <w:spacing w:val="-3"/>
                <w:w w:val="99"/>
                <w:sz w:val="18"/>
                <w:szCs w:val="18"/>
              </w:rPr>
              <w:t>），一般是指求解某类计算、分析或推理问题的策略</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pacing w:val="-2"/>
                <w:sz w:val="18"/>
                <w:szCs w:val="18"/>
              </w:rPr>
              <w:t>机制，一般利用计算机技术，形成一系列解决问题的清晰指令，能够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对一定规范的输入，在有限时间内获得所要求的输出。一个算法的优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劣可以用空间复杂度与时间复杂度来衡量。针对问题的不同，可以有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很多算法，比如机器学习算法就是一类从数据中自动分析获得规律， </w:t>
            </w:r>
            <w:r>
              <w:rPr>
                <w:rFonts w:ascii="宋体" w:hAnsi="宋体" w:cs="宋体" w:eastAsia="宋体" w:hint="default"/>
                <w:spacing w:val="-2"/>
                <w:sz w:val="18"/>
                <w:szCs w:val="18"/>
              </w:rPr>
              <w:t>并利用规律对未知数据进行预测的算法。再比如模式识别算法就是通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过计算机用数学技术方法来研究客体模式（如视觉和听觉信息）的自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动处理和判读。</w:t>
            </w:r>
          </w:p>
        </w:tc>
      </w:tr>
    </w:tbl>
    <w:p>
      <w:pPr>
        <w:spacing w:after="0" w:line="314" w:lineRule="auto"/>
        <w:jc w:val="both"/>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before="44"/>
        <w:ind w:left="0" w:right="156" w:firstLine="0"/>
        <w:jc w:val="right"/>
        <w:rPr>
          <w:rFonts w:ascii="宋体" w:hAnsi="宋体" w:cs="宋体" w:eastAsia="宋体" w:hint="default"/>
          <w:sz w:val="18"/>
          <w:szCs w:val="18"/>
        </w:rPr>
      </w:pPr>
      <w:r>
        <w:rPr/>
        <w:pict>
          <v:shape style="position:absolute;margin-left:56.400002pt;margin-top:-426.918274pt;width:479.3pt;height:477.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计算机自动推理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计算机自动推理是计算机科学的一个分支，属于人工智能学科研究的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一种，它的主要研究方向是利用计算机进行自动化的逻辑证明，其内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容一般可分为演绎推理和非演绎推理。</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智能识别及分析技术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2"/>
                            <w:sz w:val="18"/>
                            <w:szCs w:val="18"/>
                          </w:rPr>
                          <w:t>智能识别及分析技术是面向智能化生产、服务与管理的应用计算机技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术，主要解决目标特征数据自动采集、海量数据归纳与分析、复杂图</w:t>
                        </w:r>
                        <w:r>
                          <w:rPr>
                            <w:rFonts w:ascii="宋体" w:hAnsi="宋体" w:cs="宋体" w:eastAsia="宋体" w:hint="default"/>
                            <w:sz w:val="18"/>
                            <w:szCs w:val="18"/>
                          </w:rPr>
                          <w:t> 像理解与机器学习问题。</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机器视觉技术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是一门涉及人工智能、神经生物学、心理物理学、计算机科学、图像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处理、模式识别等诸多领域的交叉学科。机器视觉主要用计算机来模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拟人的视觉功能，从客观事物的图像中提取信息，进行处理并加以理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解，最终用于实际检测、测量和控制。</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GIS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8"/>
                          <w:jc w:val="left"/>
                          <w:rPr>
                            <w:rFonts w:ascii="宋体" w:hAnsi="宋体" w:cs="宋体" w:eastAsia="宋体" w:hint="default"/>
                            <w:sz w:val="18"/>
                            <w:szCs w:val="18"/>
                          </w:rPr>
                        </w:pPr>
                        <w:r>
                          <w:rPr>
                            <w:rFonts w:ascii="宋体" w:hAnsi="宋体" w:cs="宋体" w:eastAsia="宋体" w:hint="default"/>
                            <w:spacing w:val="-1"/>
                            <w:w w:val="99"/>
                            <w:sz w:val="18"/>
                            <w:szCs w:val="18"/>
                          </w:rPr>
                          <w:t>地理信息系统（</w:t>
                        </w:r>
                        <w:r>
                          <w:rPr>
                            <w:rFonts w:ascii="Times New Roman" w:hAnsi="Times New Roman" w:cs="Times New Roman" w:eastAsia="Times New Roman" w:hint="default"/>
                            <w:spacing w:val="-1"/>
                            <w:w w:val="99"/>
                            <w:sz w:val="18"/>
                            <w:szCs w:val="18"/>
                          </w:rPr>
                          <w:t>Geographic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Information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），是以地理空间数据</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pacing w:val="-2"/>
                            <w:sz w:val="18"/>
                            <w:szCs w:val="18"/>
                          </w:rPr>
                          <w:t>库为基础，在计算机软硬件的支持下，运用系统工程和信息科学的理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论，科学管理和综合分析具有空间内涵的地理数据，以提供管理、决</w:t>
                        </w:r>
                        <w:r>
                          <w:rPr>
                            <w:rFonts w:ascii="宋体" w:hAnsi="宋体" w:cs="宋体" w:eastAsia="宋体" w:hint="default"/>
                            <w:sz w:val="18"/>
                            <w:szCs w:val="18"/>
                          </w:rPr>
                          <w:t> 策等所需信息的技术系统。</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
                          <w:jc w:val="both"/>
                          <w:rPr>
                            <w:rFonts w:ascii="宋体" w:hAnsi="宋体" w:cs="宋体" w:eastAsia="宋体" w:hint="default"/>
                            <w:sz w:val="18"/>
                            <w:szCs w:val="18"/>
                          </w:rPr>
                        </w:pPr>
                        <w:r>
                          <w:rPr>
                            <w:rFonts w:ascii="宋体" w:hAnsi="宋体" w:cs="宋体" w:eastAsia="宋体" w:hint="default"/>
                            <w:spacing w:val="-3"/>
                            <w:sz w:val="18"/>
                            <w:szCs w:val="18"/>
                          </w:rPr>
                          <w:t>通过各种信息传感设备，如传感器、射频识别（</w:t>
                        </w:r>
                        <w:r>
                          <w:rPr>
                            <w:rFonts w:ascii="Times New Roman" w:hAnsi="Times New Roman" w:cs="Times New Roman" w:eastAsia="Times New Roman" w:hint="default"/>
                            <w:spacing w:val="-3"/>
                            <w:sz w:val="18"/>
                            <w:szCs w:val="18"/>
                          </w:rPr>
                          <w:t>RFID</w:t>
                        </w:r>
                        <w:r>
                          <w:rPr>
                            <w:rFonts w:ascii="宋体" w:hAnsi="宋体" w:cs="宋体" w:eastAsia="宋体" w:hint="default"/>
                            <w:spacing w:val="-3"/>
                            <w:sz w:val="18"/>
                            <w:szCs w:val="18"/>
                          </w:rPr>
                          <w:t>）技术、全球定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位系统、红外感应器、激光扫描器、气体感应器等各种装置与技术， 实时采集任何需要监控、连接、互动的物体或过程，采集其声、光、 </w:t>
                        </w:r>
                        <w:r>
                          <w:rPr>
                            <w:rFonts w:ascii="宋体" w:hAnsi="宋体" w:cs="宋体" w:eastAsia="宋体" w:hint="default"/>
                            <w:spacing w:val="-2"/>
                            <w:sz w:val="18"/>
                            <w:szCs w:val="18"/>
                          </w:rPr>
                          <w:t>热、电、力学、化学、生物、位置等各种需要的信息，与互联网结合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形成的一个巨大网络。其目的是实现物与物、物与人，所有的物品与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网络的连接，方便识别、管理和控制。</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SCADA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Supervisory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Control </w:t>
                        </w:r>
                        <w:r>
                          <w:rPr>
                            <w:rFonts w:ascii="Times New Roman" w:hAnsi="Times New Roman" w:cs="Times New Roman" w:eastAsia="Times New Roman" w:hint="default"/>
                            <w:spacing w:val="-1"/>
                            <w:w w:val="99"/>
                            <w:sz w:val="18"/>
                            <w:szCs w:val="18"/>
                          </w:rPr>
                          <w:t>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Acquisition</w:t>
                        </w:r>
                        <w:r>
                          <w:rPr>
                            <w:rFonts w:ascii="Times New Roman" w:hAnsi="Times New Roman" w:cs="Times New Roman" w:eastAsia="Times New Roman" w:hint="default"/>
                            <w:w w:val="99"/>
                            <w:sz w:val="18"/>
                            <w:szCs w:val="18"/>
                          </w:rPr>
                          <w:t> </w:t>
                        </w:r>
                        <w:r>
                          <w:rPr>
                            <w:rFonts w:ascii="宋体" w:hAnsi="宋体" w:cs="宋体" w:eastAsia="宋体" w:hint="default"/>
                            <w:spacing w:val="-7"/>
                            <w:sz w:val="18"/>
                            <w:szCs w:val="18"/>
                          </w:rPr>
                          <w:t>系统，即数据采集与监视控制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系统，应用领域很广，可以应用于电力、冶金、石油、化工、燃气、 铁路等领域的数据采集与监视控制以及过程控制等诸多领域。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CNG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压缩天然气。</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LNG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液化天然气。</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，又称无线射频识别，是一种通信技术</w:t>
                        </w:r>
                        <w:r>
                          <w:rPr>
                            <w:rFonts w:ascii="宋体" w:hAnsi="宋体" w:cs="宋体" w:eastAsia="宋体" w:hint="default"/>
                            <w:w w:val="99"/>
                            <w:sz w:val="18"/>
                            <w:szCs w:val="18"/>
                          </w:rPr>
                          <w:t>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特定目标之间建立机械或光学接触。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642" w:right="153"/>
        <w:jc w:val="left"/>
        <w:rPr>
          <w:b w:val="0"/>
          <w:bCs w:val="0"/>
        </w:rPr>
      </w:pPr>
      <w:bookmarkStart w:name="_TOC_250009"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300678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中科信息</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Chengdu</w:t>
            </w:r>
            <w:r>
              <w:rPr>
                <w:rFonts w:ascii="Times New Roman"/>
                <w:spacing w:val="-3"/>
                <w:sz w:val="18"/>
              </w:rPr>
              <w:t> </w:t>
            </w:r>
            <w:r>
              <w:rPr>
                <w:rFonts w:ascii="Times New Roman"/>
                <w:sz w:val="18"/>
              </w:rPr>
              <w:t>Information</w:t>
            </w:r>
            <w:r>
              <w:rPr>
                <w:rFonts w:ascii="Times New Roman"/>
                <w:spacing w:val="-5"/>
                <w:sz w:val="18"/>
              </w:rPr>
              <w:t> </w:t>
            </w:r>
            <w:r>
              <w:rPr>
                <w:rFonts w:ascii="Times New Roman"/>
                <w:sz w:val="18"/>
              </w:rPr>
              <w:t>Technology</w:t>
            </w:r>
            <w:r>
              <w:rPr>
                <w:rFonts w:ascii="Times New Roman"/>
                <w:spacing w:val="-5"/>
                <w:sz w:val="18"/>
              </w:rPr>
              <w:t> </w:t>
            </w:r>
            <w:r>
              <w:rPr>
                <w:rFonts w:ascii="Times New Roman"/>
                <w:sz w:val="18"/>
              </w:rPr>
              <w:t>of</w:t>
            </w:r>
            <w:r>
              <w:rPr>
                <w:rFonts w:ascii="Times New Roman"/>
                <w:spacing w:val="-6"/>
                <w:sz w:val="18"/>
              </w:rPr>
              <w:t> </w:t>
            </w:r>
            <w:r>
              <w:rPr>
                <w:rFonts w:ascii="Times New Roman"/>
                <w:sz w:val="18"/>
              </w:rPr>
              <w:t>Chinese</w:t>
            </w:r>
            <w:r>
              <w:rPr>
                <w:rFonts w:ascii="Times New Roman"/>
                <w:spacing w:val="-14"/>
                <w:sz w:val="18"/>
              </w:rPr>
              <w:t> </w:t>
            </w:r>
            <w:r>
              <w:rPr>
                <w:rFonts w:ascii="Times New Roman"/>
                <w:sz w:val="18"/>
              </w:rPr>
              <w:t>Academy</w:t>
            </w:r>
            <w:r>
              <w:rPr>
                <w:rFonts w:ascii="Times New Roman"/>
                <w:spacing w:val="-8"/>
                <w:sz w:val="18"/>
              </w:rPr>
              <w:t> </w:t>
            </w:r>
            <w:r>
              <w:rPr>
                <w:rFonts w:ascii="Times New Roman"/>
                <w:sz w:val="18"/>
              </w:rPr>
              <w:t>of</w:t>
            </w:r>
            <w:r>
              <w:rPr>
                <w:rFonts w:ascii="Times New Roman"/>
                <w:spacing w:val="-6"/>
                <w:sz w:val="18"/>
              </w:rPr>
              <w:t> </w:t>
            </w:r>
            <w:r>
              <w:rPr>
                <w:rFonts w:ascii="Times New Roman"/>
                <w:sz w:val="18"/>
              </w:rPr>
              <w:t>Sciences</w:t>
            </w:r>
            <w:r>
              <w:rPr>
                <w:rFonts w:ascii="Times New Roman"/>
                <w:spacing w:val="-2"/>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成都高新区天晖路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号晶科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610041</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610041</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1">
              <w:r>
                <w:rPr>
                  <w:rFonts w:ascii="Times New Roman"/>
                  <w:sz w:val="18"/>
                </w:rPr>
                <w:t>http://www.casit.com.cn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吴琳琳</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028-85135151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028-85229357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dsh@casit.com.cn</w:t>
              </w:r>
            </w:hyperlink>
          </w:p>
        </w:tc>
      </w:tr>
    </w:tbl>
    <w:p>
      <w:pPr>
        <w:spacing w:line="240" w:lineRule="auto" w:before="4"/>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巨</w:t>
            </w:r>
            <w:r>
              <w:rPr>
                <w:rFonts w:ascii="宋体" w:hAnsi="宋体" w:cs="宋体" w:eastAsia="宋体" w:hint="default"/>
                <w:sz w:val="18"/>
                <w:szCs w:val="18"/>
              </w:rPr>
              <w:t>潮资讯</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2"/>
              <w:jc w:val="left"/>
              <w:rPr>
                <w:rFonts w:ascii="宋体" w:hAnsi="宋体" w:cs="宋体" w:eastAsia="宋体" w:hint="default"/>
                <w:sz w:val="18"/>
                <w:szCs w:val="18"/>
              </w:rPr>
            </w:pPr>
            <w:r>
              <w:rPr>
                <w:rFonts w:ascii="宋体" w:hAnsi="宋体" w:cs="宋体" w:eastAsia="宋体" w:hint="default"/>
                <w:sz w:val="18"/>
                <w:szCs w:val="18"/>
              </w:rPr>
              <w:t>四川省成都市人民南路四段</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号中科院成都信息技术股份有限公司董 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罗东先、李丽</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北京市西城区金融大街兴盛 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号国信证券大厦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谭杰伦、杜畅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290,694,326.03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244,081,189.12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268,699,760.02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42,536,330.87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38,761,009.22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40,576,497.30</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30,991,792.18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34,152,256.14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32,820,073.17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12,052,326.74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-20,974,759.17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7,486,046.82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0.5410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0.5410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14.19%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689,087,643.31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454,026,764.27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458,157,063.02</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524,838,968.64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334,127,637.77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304641628.55</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26,766,530.97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56,115,170.68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42,302,609.45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165,510,014.93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-1,101,847.48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13,349,862.86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-43,190.95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30,331,506.44</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-1,293,888.05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8,347,240.40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-2,277,862.70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26,216,302.53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5" w:right="0"/>
              <w:jc w:val="left"/>
              <w:rPr>
                <w:rFonts w:ascii="Times New Roman" w:hAnsi="Times New Roman" w:cs="Times New Roman" w:eastAsia="Times New Roman" w:hint="default"/>
                <w:sz w:val="18"/>
                <w:szCs w:val="18"/>
              </w:rPr>
            </w:pPr>
            <w:r>
              <w:rPr>
                <w:rFonts w:ascii="Times New Roman"/>
                <w:sz w:val="18"/>
              </w:rPr>
              <w:t>-43,170,781.61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0" w:right="0"/>
              <w:jc w:val="left"/>
              <w:rPr>
                <w:rFonts w:ascii="Times New Roman" w:hAnsi="Times New Roman" w:cs="Times New Roman" w:eastAsia="Times New Roman" w:hint="default"/>
                <w:sz w:val="18"/>
                <w:szCs w:val="18"/>
              </w:rPr>
            </w:pPr>
            <w:r>
              <w:rPr>
                <w:rFonts w:ascii="Times New Roman"/>
                <w:sz w:val="18"/>
              </w:rPr>
              <w:t>7,103,292.66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1" w:right="0"/>
              <w:jc w:val="left"/>
              <w:rPr>
                <w:rFonts w:ascii="Times New Roman" w:hAnsi="Times New Roman" w:cs="Times New Roman" w:eastAsia="Times New Roman" w:hint="default"/>
                <w:sz w:val="18"/>
                <w:szCs w:val="18"/>
              </w:rPr>
            </w:pPr>
            <w:r>
              <w:rPr>
                <w:rFonts w:ascii="Times New Roman"/>
                <w:sz w:val="18"/>
              </w:rPr>
              <w:t>-54,304,426.23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1" w:right="0"/>
              <w:jc w:val="left"/>
              <w:rPr>
                <w:rFonts w:ascii="Times New Roman" w:hAnsi="Times New Roman" w:cs="Times New Roman" w:eastAsia="Times New Roman" w:hint="default"/>
                <w:sz w:val="18"/>
                <w:szCs w:val="18"/>
              </w:rPr>
            </w:pPr>
            <w:r>
              <w:rPr>
                <w:rFonts w:ascii="Times New Roman"/>
                <w:sz w:val="18"/>
              </w:rPr>
              <w:t>102,424,241.92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-65,313.91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14,636,150.28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4,527,797.70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9,050,816.24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-901,771.02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60,800.00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60,800.00</w:t>
            </w:r>
          </w:p>
        </w:tc>
        <w:tc>
          <w:tcPr>
            <w:tcW w:w="1711"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其他营业外收入和支 出主要系子公司中科 石油劳务工意外交通 事故赔偿款 </w:t>
            </w:r>
            <w:r>
              <w:rPr>
                <w:rFonts w:ascii="Times New Roman" w:hAnsi="Times New Roman" w:cs="Times New Roman" w:eastAsia="Times New Roman" w:hint="default"/>
                <w:sz w:val="18"/>
                <w:szCs w:val="18"/>
              </w:rPr>
              <w:t>962,571.02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94"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629"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36,004.14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753,913.40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11,550.33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2,478,558.73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683,516.80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1,366,742.44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-257,367.72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-15,072.69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11,544,538.69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4,608,753.08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7,756,424.13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8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非经常性损益》中列举的非经常性损益项目界定为经常性损益的项目，应</w:t>
      </w:r>
      <w:r>
        <w:rPr>
          <w:rFonts w:ascii="宋体" w:hAnsi="宋体" w:cs="宋体" w:eastAsia="宋体" w:hint="default"/>
          <w:spacing w:val="-41"/>
          <w:sz w:val="18"/>
          <w:szCs w:val="18"/>
        </w:rPr>
        <w:t> </w:t>
      </w:r>
      <w:r>
        <w:rPr>
          <w:rFonts w:ascii="宋体" w:hAnsi="宋体" w:cs="宋体" w:eastAsia="宋体" w:hint="default"/>
          <w:sz w:val="18"/>
          <w:szCs w:val="18"/>
        </w:rPr>
        <w:t>说明原因</w:t>
      </w:r>
    </w:p>
    <w:p>
      <w:pPr>
        <w:spacing w:before="7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4"/>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608" w:right="669"/>
        <w:jc w:val="center"/>
        <w:rPr>
          <w:b w:val="0"/>
          <w:bCs w:val="0"/>
        </w:rPr>
      </w:pPr>
      <w:bookmarkStart w:name="_TOC_250008"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5"/>
        <w:rPr>
          <w:rFonts w:ascii="宋体" w:hAnsi="宋体" w:cs="宋体" w:eastAsia="宋体" w:hint="default"/>
          <w:b/>
          <w:bCs/>
          <w:sz w:val="30"/>
          <w:szCs w:val="30"/>
        </w:rPr>
      </w:pPr>
    </w:p>
    <w:p>
      <w:pPr>
        <w:pStyle w:val="BodyText"/>
        <w:spacing w:line="408" w:lineRule="auto" w:before="0"/>
        <w:ind w:right="206" w:firstLine="480"/>
        <w:jc w:val="both"/>
        <w:rPr>
          <w:rFonts w:ascii="宋体" w:hAnsi="宋体" w:cs="宋体" w:eastAsia="宋体" w:hint="default"/>
        </w:rPr>
      </w:pPr>
      <w:r>
        <w:rPr>
          <w:spacing w:val="-4"/>
        </w:rPr>
        <w:t>公司主营业务是以智能识别及分析技术为核心，为客户提供信息化解决方案（包括软件及硬件）及相</w:t>
      </w:r>
      <w:r>
        <w:rPr>
          <w:w w:val="100"/>
        </w:rPr>
        <w:t> </w:t>
      </w:r>
      <w:r>
        <w:rPr/>
        <w:t>关服务，目前主要应用在现场会议领域、烟草领域、印钞检测领域、石油领域、政府及其他领域。</w:t>
      </w:r>
      <w:r>
        <w:rPr>
          <w:rFonts w:ascii="宋体" w:hAnsi="宋体" w:cs="宋体" w:eastAsia="宋体" w:hint="default"/>
        </w:rPr>
        <w:t> </w:t>
      </w:r>
    </w:p>
    <w:p>
      <w:pPr>
        <w:pStyle w:val="BodyText"/>
        <w:spacing w:line="408" w:lineRule="auto"/>
        <w:ind w:right="185" w:firstLine="480"/>
        <w:jc w:val="both"/>
        <w:rPr>
          <w:rFonts w:ascii="宋体" w:hAnsi="宋体" w:cs="宋体" w:eastAsia="宋体" w:hint="default"/>
        </w:rPr>
      </w:pPr>
      <w:r>
        <w:rPr>
          <w:spacing w:val="-4"/>
        </w:rPr>
        <w:t>公司前身为中国科学院成都计算机应用研究所，在基础理论，尤其是数学算法领域有着丰厚的研究成</w:t>
      </w:r>
      <w:r>
        <w:rPr>
          <w:w w:val="100"/>
        </w:rPr>
        <w:t> </w:t>
      </w:r>
      <w:r>
        <w:rPr>
          <w:spacing w:val="-2"/>
        </w:rPr>
        <w:t>果。公司在承继成都计算所优秀研究人员和先进成果基础上，并经过多年的研发、业务实践应用积累，在</w:t>
      </w:r>
      <w:r>
        <w:rPr>
          <w:spacing w:val="-47"/>
        </w:rPr>
        <w:t> </w:t>
      </w:r>
      <w:r>
        <w:rPr>
          <w:spacing w:val="-47"/>
        </w:rPr>
      </w:r>
      <w:r>
        <w:rPr>
          <w:spacing w:val="-2"/>
        </w:rPr>
        <w:t>高速机器视觉、数据智能分析等技术上拥有多项自主知识产权，是国内领先的行业信息化整体解决方案、</w:t>
      </w:r>
      <w:r>
        <w:rPr>
          <w:spacing w:val="-21"/>
        </w:rPr>
        <w:t> </w:t>
      </w:r>
      <w:r>
        <w:rPr>
          <w:spacing w:val="-21"/>
        </w:rPr>
      </w:r>
      <w:r>
        <w:rPr/>
        <w:t>智能化工程和相关产品与技术服务提供商。</w:t>
      </w:r>
      <w:r>
        <w:rPr>
          <w:rFonts w:ascii="宋体" w:hAnsi="宋体" w:cs="宋体" w:eastAsia="宋体" w:hint="default"/>
        </w:rPr>
        <w:t> </w:t>
      </w:r>
    </w:p>
    <w:p>
      <w:pPr>
        <w:pStyle w:val="BodyText"/>
        <w:spacing w:line="405" w:lineRule="auto"/>
        <w:ind w:right="0" w:firstLine="480"/>
        <w:jc w:val="left"/>
        <w:rPr>
          <w:rFonts w:ascii="宋体" w:hAnsi="宋体" w:cs="宋体" w:eastAsia="宋体" w:hint="default"/>
        </w:rPr>
      </w:pPr>
      <w:r>
        <w:rPr>
          <w:spacing w:val="-6"/>
          <w:w w:val="100"/>
        </w:rPr>
        <w:t>机器视觉技术主要用于代替人眼检测或识别，即外观特征辨识与理解，涵盖人脸识别和物体识别领域；</w:t>
      </w:r>
      <w:r>
        <w:rPr>
          <w:w w:val="100"/>
        </w:rPr>
        <w:t> </w:t>
      </w:r>
      <w:r>
        <w:rPr>
          <w:spacing w:val="-2"/>
        </w:rPr>
        <w:t>智能分析技术主要研究模仿人类逻辑思考和识别的模式，完成自动推理、结论推断、结果解释及目标辨识</w:t>
      </w:r>
      <w:r>
        <w:rPr>
          <w:spacing w:val="-43"/>
        </w:rPr>
        <w:t> </w:t>
      </w:r>
      <w:r>
        <w:rPr>
          <w:spacing w:val="-43"/>
        </w:rPr>
      </w:r>
      <w:r>
        <w:rPr>
          <w:spacing w:val="-2"/>
        </w:rPr>
        <w:t>等，常以模型或算法体现。对于不同类型的智能分析问题，需要相对应的算法来解决，因而寻找更有效的</w:t>
      </w:r>
      <w:r>
        <w:rPr>
          <w:spacing w:val="-50"/>
        </w:rPr>
        <w:t> </w:t>
      </w:r>
      <w:r>
        <w:rPr>
          <w:spacing w:val="-50"/>
        </w:rPr>
      </w:r>
      <w:r>
        <w:rPr>
          <w:spacing w:val="-2"/>
        </w:rPr>
        <w:t>算法是智能分析技术最核心的技术切入点。公司拥有的优势技术还包括高速图像实时处理、图像建模及算</w:t>
      </w:r>
      <w:r>
        <w:rPr>
          <w:spacing w:val="-43"/>
        </w:rPr>
        <w:t> </w:t>
      </w:r>
      <w:r>
        <w:rPr>
          <w:spacing w:val="-43"/>
        </w:rPr>
      </w:r>
      <w:r>
        <w:rPr>
          <w:spacing w:val="-2"/>
        </w:rPr>
        <w:t>法、光机电一体化、机器学习、大数据、虚拟现实、软件工程及物联网技术等，在推进信息化和工业化的</w:t>
      </w:r>
      <w:r>
        <w:rPr>
          <w:spacing w:val="-42"/>
        </w:rPr>
        <w:t> </w:t>
      </w:r>
      <w:r>
        <w:rPr>
          <w:spacing w:val="-42"/>
        </w:rPr>
      </w:r>
      <w:r>
        <w:rPr/>
        <w:t>融合</w:t>
      </w:r>
      <w:r>
        <w:rPr>
          <w:sz w:val="24"/>
          <w:szCs w:val="24"/>
        </w:rPr>
        <w:t>、</w:t>
      </w:r>
      <w:r>
        <w:rPr/>
        <w:t>大力推进工业大数据应用</w:t>
      </w:r>
      <w:r>
        <w:rPr>
          <w:sz w:val="24"/>
          <w:szCs w:val="24"/>
        </w:rPr>
        <w:t>、</w:t>
      </w:r>
      <w:r>
        <w:rPr/>
        <w:t>智慧城市特别是智慧政务及大数据应用方面取得了新的成效。</w:t>
      </w:r>
      <w:r>
        <w:rPr>
          <w:rFonts w:ascii="宋体" w:hAnsi="宋体" w:cs="宋体" w:eastAsia="宋体" w:hint="default"/>
        </w:rPr>
        <w:t> </w:t>
      </w:r>
    </w:p>
    <w:p>
      <w:pPr>
        <w:pStyle w:val="BodyText"/>
        <w:spacing w:line="408" w:lineRule="auto" w:before="11"/>
        <w:ind w:right="206" w:firstLine="480"/>
        <w:jc w:val="both"/>
        <w:rPr>
          <w:rFonts w:ascii="宋体" w:hAnsi="宋体" w:cs="宋体" w:eastAsia="宋体" w:hint="default"/>
        </w:rPr>
      </w:pPr>
      <w:r>
        <w:rPr>
          <w:spacing w:val="-4"/>
        </w:rPr>
        <w:t>公司以“服务国家重大需求、助力行业产业升级”为使命，</w:t>
      </w:r>
      <w:r>
        <w:rPr>
          <w:rFonts w:ascii="宋体" w:hAnsi="宋体" w:cs="宋体" w:eastAsia="宋体" w:hint="default"/>
          <w:spacing w:val="-4"/>
        </w:rPr>
        <w:t>30</w:t>
      </w:r>
      <w:r>
        <w:rPr>
          <w:spacing w:val="-4"/>
        </w:rPr>
        <w:t>多年坚持深耕行业，运用丰富的“行业</w:t>
      </w:r>
      <w:r>
        <w:rPr>
          <w:spacing w:val="-3"/>
          <w:w w:val="100"/>
        </w:rPr>
        <w:t> </w:t>
      </w:r>
      <w:r>
        <w:rPr/>
        <w:t>专家</w:t>
      </w:r>
      <w:r>
        <w:rPr>
          <w:rFonts w:ascii="宋体" w:hAnsi="宋体" w:cs="宋体" w:eastAsia="宋体" w:hint="default"/>
        </w:rPr>
        <w:t>+</w:t>
      </w:r>
      <w:r>
        <w:rPr/>
        <w:t>技术专家”优势，凭借“技术</w:t>
      </w:r>
      <w:r>
        <w:rPr>
          <w:rFonts w:ascii="宋体" w:hAnsi="宋体" w:cs="宋体" w:eastAsia="宋体" w:hint="default"/>
        </w:rPr>
        <w:t>+</w:t>
      </w:r>
      <w:r>
        <w:rPr/>
        <w:t>服务”“软件</w:t>
      </w:r>
      <w:r>
        <w:rPr>
          <w:rFonts w:ascii="宋体" w:hAnsi="宋体" w:cs="宋体" w:eastAsia="宋体" w:hint="default"/>
        </w:rPr>
        <w:t>+</w:t>
      </w:r>
      <w:r>
        <w:rPr/>
        <w:t>硬件”的业务特色，成为党和国家重大会议的选举设</w:t>
      </w:r>
      <w:r>
        <w:rPr>
          <w:spacing w:val="-25"/>
        </w:rPr>
        <w:t> </w:t>
      </w:r>
      <w:r>
        <w:rPr>
          <w:spacing w:val="-25"/>
        </w:rPr>
      </w:r>
      <w:r>
        <w:rPr>
          <w:spacing w:val="-2"/>
        </w:rPr>
        <w:t>备和服务提供商、烟草行业信息化建设的重点技术依托单位和国家印钞行业重大检测装备的研发、制造提</w:t>
      </w:r>
      <w:r>
        <w:rPr>
          <w:spacing w:val="-44"/>
        </w:rPr>
        <w:t> </w:t>
      </w:r>
      <w:r>
        <w:rPr>
          <w:spacing w:val="-44"/>
        </w:rPr>
      </w:r>
      <w:r>
        <w:rPr>
          <w:spacing w:val="-2"/>
        </w:rPr>
        <w:t>供商、数字油田信息化建设的重要参与者，公司被列为四川省“高新技术产业示范科研单位”和“高新技</w:t>
      </w:r>
      <w:r>
        <w:rPr>
          <w:spacing w:val="-42"/>
        </w:rPr>
        <w:t> </w:t>
      </w:r>
      <w:r>
        <w:rPr>
          <w:spacing w:val="-42"/>
        </w:rPr>
      </w:r>
      <w:r>
        <w:rPr>
          <w:spacing w:val="-2"/>
        </w:rPr>
        <w:t>术产业示范企业”，同时还是“中科院智慧城市产业联盟副理事长单位”、“中科院人工智能产学研创新</w:t>
      </w:r>
      <w:r>
        <w:rPr>
          <w:spacing w:val="-42"/>
        </w:rPr>
        <w:t> </w:t>
      </w:r>
      <w:r>
        <w:rPr>
          <w:spacing w:val="-42"/>
        </w:rPr>
      </w:r>
      <w:r>
        <w:rPr/>
        <w:t>联盟理事单位”。</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报告期内，公司主要产品和服务主要包括：</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633" w:right="0"/>
        <w:jc w:val="left"/>
      </w:pPr>
      <w:r>
        <w:rPr/>
        <w:t>（一）应用于现场会议领域的数字会议系列产品与信息化整体解决方案</w:t>
      </w:r>
      <w:r>
        <w:rPr>
          <w:rFonts w:ascii="宋体" w:hAnsi="宋体" w:cs="宋体" w:eastAsia="宋体" w:hint="default"/>
          <w:w w:val="100"/>
        </w:rPr>
        <w:t> </w:t>
      </w:r>
      <w:r>
        <w:rPr>
          <w:spacing w:val="-4"/>
        </w:rPr>
        <w:t>数字会议系统产品，包括</w:t>
      </w:r>
      <w:r>
        <w:rPr>
          <w:rFonts w:ascii="宋体" w:hAnsi="宋体" w:cs="宋体" w:eastAsia="宋体" w:hint="default"/>
          <w:spacing w:val="-4"/>
        </w:rPr>
        <w:t>RFID/</w:t>
      </w:r>
      <w:r>
        <w:rPr>
          <w:spacing w:val="-4"/>
        </w:rPr>
        <w:t>人脸识别报到系统、有线</w:t>
      </w:r>
      <w:r>
        <w:rPr>
          <w:rFonts w:ascii="宋体" w:hAnsi="宋体" w:cs="宋体" w:eastAsia="宋体" w:hint="default"/>
          <w:spacing w:val="-4"/>
        </w:rPr>
        <w:t>/</w:t>
      </w:r>
      <w:r>
        <w:rPr>
          <w:spacing w:val="-4"/>
        </w:rPr>
        <w:t>无线电子表决系统、智能电子选举系统等会</w:t>
      </w:r>
    </w:p>
    <w:p>
      <w:pPr>
        <w:pStyle w:val="BodyText"/>
        <w:spacing w:line="408" w:lineRule="auto"/>
        <w:ind w:right="0"/>
        <w:jc w:val="left"/>
        <w:rPr>
          <w:rFonts w:ascii="宋体" w:hAnsi="宋体" w:cs="宋体" w:eastAsia="宋体" w:hint="default"/>
        </w:rPr>
      </w:pPr>
      <w:r>
        <w:rPr>
          <w:spacing w:val="-2"/>
        </w:rPr>
        <w:t>议全流程各子系统；现场会议服务，包括携带相关硬件设备（如报到系统、表决系统、智能票箱、计票通</w:t>
      </w:r>
      <w:r>
        <w:rPr>
          <w:spacing w:val="-42"/>
        </w:rPr>
        <w:t> </w:t>
      </w:r>
      <w:r>
        <w:rPr>
          <w:spacing w:val="-42"/>
        </w:rPr>
      </w:r>
      <w:r>
        <w:rPr/>
        <w:t>等）为客户提供包括表决、报到、选举等在内的现场会议服务。</w:t>
      </w:r>
      <w:r>
        <w:rPr>
          <w:rFonts w:ascii="宋体" w:hAnsi="宋体" w:cs="宋体" w:eastAsia="宋体" w:hint="default"/>
        </w:rPr>
        <w:t> </w:t>
      </w:r>
    </w:p>
    <w:p>
      <w:pPr>
        <w:pStyle w:val="BodyText"/>
        <w:spacing w:line="408" w:lineRule="auto"/>
        <w:ind w:right="209" w:firstLine="480"/>
        <w:jc w:val="both"/>
        <w:rPr>
          <w:rFonts w:ascii="宋体" w:hAnsi="宋体" w:cs="宋体" w:eastAsia="宋体" w:hint="default"/>
        </w:rPr>
      </w:pPr>
      <w:r>
        <w:rPr>
          <w:spacing w:val="-1"/>
        </w:rPr>
        <w:t>解决方案包括应用于现场会议的集中式大会选举、电子表决、基层</w:t>
      </w:r>
      <w:r>
        <w:rPr>
          <w:rFonts w:ascii="宋体" w:hAnsi="宋体" w:cs="宋体" w:eastAsia="宋体" w:hint="default"/>
          <w:spacing w:val="-1"/>
        </w:rPr>
        <w:t>/</w:t>
      </w:r>
      <w:r>
        <w:rPr>
          <w:spacing w:val="-1"/>
        </w:rPr>
        <w:t>社区等分散式选举、基于人脸识</w:t>
      </w:r>
      <w:r>
        <w:rPr>
          <w:w w:val="100"/>
        </w:rPr>
        <w:t> </w:t>
      </w:r>
      <w:r>
        <w:rPr/>
        <w:t>别和</w:t>
      </w:r>
      <w:r>
        <w:rPr>
          <w:rFonts w:ascii="宋体" w:hAnsi="宋体" w:cs="宋体" w:eastAsia="宋体" w:hint="default"/>
        </w:rPr>
        <w:t>RFID</w:t>
      </w:r>
      <w:r>
        <w:rPr/>
        <w:t>技术的通道式签到系统解决方案。相关产品还包括通用表格识别系统、干部考评系统等。</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633" w:right="0"/>
        <w:jc w:val="left"/>
      </w:pPr>
      <w:r>
        <w:rPr/>
        <w:t>（二）应用于烟草领域覆盖农</w:t>
      </w:r>
      <w:r>
        <w:rPr>
          <w:rFonts w:ascii="宋体" w:hAnsi="宋体" w:cs="宋体" w:eastAsia="宋体" w:hint="default"/>
        </w:rPr>
        <w:t>-</w:t>
      </w:r>
      <w:r>
        <w:rPr/>
        <w:t>工</w:t>
      </w:r>
      <w:r>
        <w:rPr>
          <w:rFonts w:ascii="宋体" w:hAnsi="宋体" w:cs="宋体" w:eastAsia="宋体" w:hint="default"/>
        </w:rPr>
        <w:t>-</w:t>
      </w:r>
      <w:r>
        <w:rPr/>
        <w:t>商全产业链的信息化产品与整体解决方案</w:t>
      </w:r>
      <w:r>
        <w:rPr>
          <w:rFonts w:ascii="宋体" w:hAnsi="宋体" w:cs="宋体" w:eastAsia="宋体" w:hint="default"/>
          <w:w w:val="100"/>
        </w:rPr>
        <w:t> </w:t>
      </w:r>
      <w:r>
        <w:rPr>
          <w:spacing w:val="-2"/>
        </w:rPr>
        <w:t>公司为烟草行业提供包括农业、工业和商业全产业链信息化建设整体解决方案和烟草智能制造服务，</w:t>
      </w:r>
    </w:p>
    <w:p>
      <w:pPr>
        <w:pStyle w:val="BodyText"/>
        <w:spacing w:line="408" w:lineRule="auto"/>
        <w:ind w:right="206"/>
        <w:jc w:val="both"/>
        <w:rPr>
          <w:rFonts w:ascii="宋体" w:hAnsi="宋体" w:cs="宋体" w:eastAsia="宋体" w:hint="default"/>
        </w:rPr>
      </w:pPr>
      <w:r>
        <w:rPr>
          <w:spacing w:val="-2"/>
        </w:rPr>
        <w:t>提供包括行业信息化规划、信息化基础平台建设、行业信息化深度应用、卷烟智能化生产、行业物流信息</w:t>
      </w:r>
      <w:r>
        <w:rPr>
          <w:spacing w:val="-47"/>
        </w:rPr>
        <w:t> </w:t>
      </w:r>
      <w:r>
        <w:rPr>
          <w:spacing w:val="-47"/>
        </w:rPr>
      </w:r>
      <w:r>
        <w:rPr>
          <w:spacing w:val="-2"/>
        </w:rPr>
        <w:t>化等众多技术、产品和服务。典型产品有烟叶种植专家分析系统、烟叶数字化仓储及物流综合平台、一体</w:t>
      </w:r>
      <w:r>
        <w:rPr>
          <w:spacing w:val="-50"/>
        </w:rPr>
        <w:t> </w:t>
      </w:r>
      <w:r>
        <w:rPr>
          <w:spacing w:val="-50"/>
        </w:rPr>
      </w:r>
      <w:r>
        <w:rPr>
          <w:spacing w:val="-2"/>
        </w:rPr>
        <w:t>化烟叶收购系统、卷烟厂卷接包车间生产数据采集及智能诊断分析系统、卷烟辅料生命周期跟踪及管理系</w:t>
      </w:r>
      <w:r>
        <w:rPr>
          <w:spacing w:val="-44"/>
        </w:rPr>
        <w:t> </w:t>
      </w:r>
      <w:r>
        <w:rPr>
          <w:spacing w:val="-44"/>
        </w:rPr>
      </w:r>
      <w:r>
        <w:rPr>
          <w:spacing w:val="-2"/>
        </w:rPr>
        <w:t>统、烟草工业大数据平台、烟箱缺条检测系统、卷烟研发信息管理系统、设备管理系统，以及烟草行业数</w:t>
      </w:r>
      <w:r>
        <w:rPr>
          <w:spacing w:val="-43"/>
        </w:rPr>
        <w:t> </w:t>
      </w:r>
      <w:r>
        <w:rPr>
          <w:spacing w:val="-43"/>
        </w:rPr>
      </w:r>
      <w:r>
        <w:rPr>
          <w:spacing w:val="-2"/>
        </w:rPr>
        <w:t>据中心平台、行业私有云平台规划与建设、信息化基础设施运维管理、烟草物流园区信息化基础设施建设</w:t>
      </w:r>
      <w:r>
        <w:rPr>
          <w:spacing w:val="-43"/>
        </w:rPr>
        <w:t> </w:t>
      </w:r>
      <w:r>
        <w:rPr>
          <w:spacing w:val="-43"/>
        </w:rPr>
      </w:r>
      <w:r>
        <w:rPr/>
        <w:t>等等。</w:t>
      </w:r>
      <w:r>
        <w:rPr>
          <w:rFonts w:ascii="宋体" w:hAnsi="宋体" w:cs="宋体" w:eastAsia="宋体" w:hint="default"/>
        </w:rPr>
        <w:t> </w:t>
      </w:r>
    </w:p>
    <w:p>
      <w:pPr>
        <w:pStyle w:val="BodyText"/>
        <w:spacing w:line="408" w:lineRule="auto"/>
        <w:ind w:left="633" w:right="0"/>
        <w:jc w:val="left"/>
      </w:pPr>
      <w:r>
        <w:rPr/>
        <w:t>（三）应用于印钞检测领域的全生产流程在线质量检测产品与整体解决方案</w:t>
      </w:r>
      <w:r>
        <w:rPr>
          <w:rFonts w:ascii="宋体" w:hAnsi="宋体" w:cs="宋体" w:eastAsia="宋体" w:hint="default"/>
          <w:w w:val="100"/>
        </w:rPr>
        <w:t> </w:t>
      </w:r>
      <w:r>
        <w:rPr>
          <w:spacing w:val="-4"/>
        </w:rPr>
        <w:t>公司在国内率先将高速机器视觉与智能分析技术应用于印钞质量在线检测。公司应用于印钞检测领域</w:t>
      </w:r>
    </w:p>
    <w:p>
      <w:pPr>
        <w:pStyle w:val="BodyText"/>
        <w:spacing w:line="408" w:lineRule="auto"/>
        <w:ind w:right="185"/>
        <w:jc w:val="both"/>
        <w:rPr>
          <w:rFonts w:ascii="宋体" w:hAnsi="宋体" w:cs="宋体" w:eastAsia="宋体" w:hint="default"/>
        </w:rPr>
      </w:pPr>
      <w:r>
        <w:rPr>
          <w:spacing w:val="-2"/>
        </w:rPr>
        <w:t>的产品涵盖了从造纸、印刷、胶印到检封整个工艺流程，钞票大张质量检查机、印钞凹印在线检测系统、</w:t>
      </w:r>
      <w:r>
        <w:rPr>
          <w:spacing w:val="-21"/>
        </w:rPr>
        <w:t> </w:t>
      </w:r>
      <w:r>
        <w:rPr>
          <w:spacing w:val="-21"/>
        </w:rPr>
      </w:r>
      <w:r>
        <w:rPr>
          <w:spacing w:val="-2"/>
        </w:rPr>
        <w:t>纸机在线质量检测系统、分切质量在线检测系统、钞票清分图像处理设备已在行业中广泛应用。公司印钞</w:t>
      </w:r>
      <w:r>
        <w:rPr>
          <w:spacing w:val="-42"/>
        </w:rPr>
        <w:t> </w:t>
      </w:r>
      <w:r>
        <w:rPr>
          <w:spacing w:val="-42"/>
        </w:rPr>
      </w:r>
      <w:r>
        <w:rPr/>
        <w:t>检测领域在线质量检测产品在国内处于领先水平。</w:t>
      </w:r>
      <w:r>
        <w:rPr>
          <w:rFonts w:ascii="宋体" w:hAnsi="宋体" w:cs="宋体" w:eastAsia="宋体" w:hint="default"/>
        </w:rPr>
        <w:t> </w:t>
      </w:r>
    </w:p>
    <w:p>
      <w:pPr>
        <w:pStyle w:val="BodyText"/>
        <w:spacing w:line="408" w:lineRule="auto"/>
        <w:ind w:left="633" w:right="0"/>
        <w:jc w:val="left"/>
      </w:pPr>
      <w:r>
        <w:rPr/>
        <w:t>（四）应用于油气领域的油气田数字化生产管理产品与整体解决方案</w:t>
      </w:r>
      <w:r>
        <w:rPr>
          <w:rFonts w:ascii="宋体" w:hAnsi="宋体" w:cs="宋体" w:eastAsia="宋体" w:hint="default"/>
          <w:w w:val="100"/>
        </w:rPr>
        <w:t> </w:t>
      </w:r>
      <w:r>
        <w:rPr>
          <w:spacing w:val="-4"/>
        </w:rPr>
        <w:t>公司为油气领域客户提供油气田数字化生产管理整体解决方案，可实现电子巡井、自动采集、实时监</w:t>
      </w:r>
    </w:p>
    <w:p>
      <w:pPr>
        <w:pStyle w:val="BodyText"/>
        <w:spacing w:line="408" w:lineRule="auto"/>
        <w:ind w:right="209"/>
        <w:jc w:val="both"/>
        <w:rPr>
          <w:rFonts w:ascii="宋体" w:hAnsi="宋体" w:cs="宋体" w:eastAsia="宋体" w:hint="default"/>
        </w:rPr>
      </w:pPr>
      <w:r>
        <w:rPr/>
        <w:t>控、智能防御、高效管理、科学指挥等多种功能。公司提供的天然气管网集输及</w:t>
      </w:r>
      <w:r>
        <w:rPr>
          <w:rFonts w:ascii="宋体" w:hAnsi="宋体" w:cs="宋体" w:eastAsia="宋体" w:hint="default"/>
        </w:rPr>
        <w:t>CNG/LNG</w:t>
      </w:r>
      <w:r>
        <w:rPr/>
        <w:t>站控领域的数字</w:t>
      </w:r>
      <w:r>
        <w:rPr>
          <w:spacing w:val="-23"/>
        </w:rPr>
        <w:t> </w:t>
      </w:r>
      <w:r>
        <w:rPr>
          <w:spacing w:val="-23"/>
        </w:rPr>
      </w:r>
      <w:r>
        <w:rPr/>
        <w:t>化管理整体解决方案产品能够为天然气管网的日常生产、调度、维护、管理提供充分的技术支撑。</w:t>
      </w:r>
      <w:r>
        <w:rPr>
          <w:rFonts w:ascii="宋体" w:hAnsi="宋体" w:cs="宋体" w:eastAsia="宋体" w:hint="default"/>
        </w:rPr>
        <w:t> </w:t>
      </w:r>
    </w:p>
    <w:p>
      <w:pPr>
        <w:pStyle w:val="BodyText"/>
        <w:spacing w:line="408" w:lineRule="auto"/>
        <w:ind w:right="0" w:firstLine="480"/>
        <w:jc w:val="left"/>
        <w:rPr>
          <w:rFonts w:ascii="宋体" w:hAnsi="宋体" w:cs="宋体" w:eastAsia="宋体" w:hint="default"/>
        </w:rPr>
      </w:pPr>
      <w:r>
        <w:rPr>
          <w:spacing w:val="-5"/>
          <w:w w:val="100"/>
        </w:rPr>
        <w:t>天然气管网集输</w:t>
      </w:r>
      <w:r>
        <w:rPr>
          <w:rFonts w:ascii="宋体" w:hAnsi="宋体" w:cs="宋体" w:eastAsia="宋体" w:hint="default"/>
          <w:spacing w:val="-5"/>
          <w:w w:val="100"/>
        </w:rPr>
        <w:t>SCADA</w:t>
      </w:r>
      <w:r>
        <w:rPr>
          <w:spacing w:val="-5"/>
          <w:w w:val="100"/>
        </w:rPr>
        <w:t>系统、</w:t>
      </w:r>
      <w:r>
        <w:rPr>
          <w:rFonts w:ascii="宋体" w:hAnsi="宋体" w:cs="宋体" w:eastAsia="宋体" w:hint="default"/>
          <w:spacing w:val="-5"/>
          <w:w w:val="100"/>
        </w:rPr>
        <w:t>CNG/LNG</w:t>
      </w:r>
      <w:r>
        <w:rPr>
          <w:spacing w:val="-5"/>
          <w:w w:val="100"/>
        </w:rPr>
        <w:t>场站控制及生产调度管理系统、油气井台智能视频监控分析系统、</w:t>
      </w:r>
      <w:r>
        <w:rPr>
          <w:w w:val="100"/>
        </w:rPr>
        <w:t> </w:t>
      </w:r>
      <w:r>
        <w:rPr>
          <w:spacing w:val="-2"/>
        </w:rPr>
        <w:t>能源型企业三维管网综合管理平台、油气田大型地面工程信息化整体解决方案等产品为公司在油气领域的</w:t>
      </w:r>
      <w:r>
        <w:rPr>
          <w:spacing w:val="-43"/>
        </w:rPr>
        <w:t> </w:t>
      </w:r>
      <w:r>
        <w:rPr>
          <w:spacing w:val="-43"/>
        </w:rPr>
      </w:r>
      <w:r>
        <w:rPr/>
        <w:t>优势产品。</w:t>
      </w:r>
      <w:r>
        <w:rPr>
          <w:rFonts w:ascii="宋体" w:hAnsi="宋体" w:cs="宋体" w:eastAsia="宋体" w:hint="default"/>
        </w:rPr>
        <w:t> </w:t>
      </w:r>
    </w:p>
    <w:p>
      <w:pPr>
        <w:pStyle w:val="BodyText"/>
        <w:spacing w:line="410" w:lineRule="auto"/>
        <w:ind w:left="633" w:right="0"/>
        <w:jc w:val="left"/>
      </w:pPr>
      <w:r>
        <w:rPr/>
        <w:t>（五）应用于政府及其它领域的产品</w:t>
      </w:r>
      <w:r>
        <w:rPr>
          <w:rFonts w:ascii="宋体" w:hAnsi="宋体" w:cs="宋体" w:eastAsia="宋体" w:hint="default"/>
          <w:w w:val="100"/>
        </w:rPr>
        <w:t> </w:t>
      </w:r>
      <w:r>
        <w:rPr>
          <w:spacing w:val="-4"/>
        </w:rPr>
        <w:t>公司以云计算、大数据、物联网和移动互联技术为依托，提供新型智慧城市关键技术、平台系统、运</w:t>
      </w:r>
    </w:p>
    <w:p>
      <w:pPr>
        <w:pStyle w:val="BodyText"/>
        <w:spacing w:line="408" w:lineRule="auto" w:before="44"/>
        <w:ind w:right="185"/>
        <w:jc w:val="both"/>
        <w:rPr>
          <w:rFonts w:ascii="宋体" w:hAnsi="宋体" w:cs="宋体" w:eastAsia="宋体" w:hint="default"/>
        </w:rPr>
      </w:pPr>
      <w:r>
        <w:rPr>
          <w:spacing w:val="-2"/>
        </w:rPr>
        <w:t>维服务。在整合政务平台和数据基础上，公司基于大数据分析平台和机器学习平台实现了政务信息数据的</w:t>
      </w:r>
      <w:r>
        <w:rPr>
          <w:spacing w:val="-42"/>
        </w:rPr>
        <w:t> </w:t>
      </w:r>
      <w:r>
        <w:rPr>
          <w:spacing w:val="-42"/>
        </w:rPr>
      </w:r>
      <w:r>
        <w:rPr>
          <w:spacing w:val="-2"/>
        </w:rPr>
        <w:t>管理优化和应用创新。公司提供智慧政务服务平台整体解决方案、省级政务大数据共享及民生服务平台系</w:t>
      </w:r>
      <w:r>
        <w:rPr>
          <w:spacing w:val="-43"/>
        </w:rPr>
        <w:t> </w:t>
      </w:r>
      <w:r>
        <w:rPr>
          <w:spacing w:val="-43"/>
        </w:rPr>
      </w:r>
      <w:r>
        <w:rPr>
          <w:spacing w:val="-2"/>
        </w:rPr>
        <w:t>统、省级政法部门信息化资源共享平台系统、视频大数据智能检索分析系统等，为智慧人大、智慧政协、</w:t>
      </w:r>
      <w:r>
        <w:rPr>
          <w:spacing w:val="-21"/>
        </w:rPr>
        <w:t> </w:t>
      </w:r>
      <w:r>
        <w:rPr>
          <w:spacing w:val="-21"/>
        </w:rPr>
      </w:r>
      <w:r>
        <w:rPr/>
        <w:t>智慧组工、智慧统计和智慧教育建设提供技术、产品和服务。</w:t>
      </w:r>
      <w:r>
        <w:rPr>
          <w:rFonts w:ascii="宋体" w:hAnsi="宋体" w:cs="宋体" w:eastAsia="宋体" w:hint="default"/>
        </w:rPr>
        <w:t> </w:t>
      </w:r>
    </w:p>
    <w:p>
      <w:pPr>
        <w:pStyle w:val="BodyText"/>
        <w:spacing w:line="408" w:lineRule="auto"/>
        <w:ind w:right="206"/>
        <w:jc w:val="both"/>
      </w:pPr>
      <w:r>
        <w:rPr>
          <w:rFonts w:ascii="宋体" w:hAnsi="宋体" w:cs="宋体" w:eastAsia="宋体" w:hint="default"/>
          <w:w w:val="100"/>
        </w:rPr>
        <w:t>    </w:t>
      </w:r>
      <w:r>
        <w:rPr>
          <w:spacing w:val="-2"/>
        </w:rPr>
        <w:t>除此之外，公司还将智能识别与分析技术应用于医药、玻璃检测等领域，主要产品包括经食道超声模</w:t>
      </w:r>
      <w:r>
        <w:rPr>
          <w:w w:val="100"/>
        </w:rPr>
        <w:t> </w:t>
      </w:r>
      <w:r>
        <w:rPr>
          <w:spacing w:val="-2"/>
        </w:rPr>
        <w:t>拟教学及临床技能培训系统、超薄大型透明材料边部高精度检测平台、主动式多源融合室内精准定位平台</w:t>
      </w:r>
      <w:r>
        <w:rPr>
          <w:spacing w:val="-43"/>
        </w:rPr>
        <w:t> </w:t>
      </w:r>
      <w:r>
        <w:rPr>
          <w:spacing w:val="-43"/>
        </w:rPr>
      </w:r>
      <w:r>
        <w:rPr/>
        <w:t>等。</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before="0"/>
        <w:ind w:left="573" w:right="0"/>
        <w:jc w:val="left"/>
      </w:pPr>
      <w:r>
        <w:rPr/>
        <w:t>（无）</w:t>
      </w:r>
    </w:p>
    <w:p>
      <w:pPr>
        <w:spacing w:line="240" w:lineRule="auto" w:before="9"/>
        <w:rPr>
          <w:rFonts w:ascii="宋体" w:hAnsi="宋体" w:cs="宋体" w:eastAsia="宋体" w:hint="default"/>
          <w:sz w:val="29"/>
          <w:szCs w:val="29"/>
        </w:rPr>
      </w:pPr>
    </w:p>
    <w:p>
      <w:pPr>
        <w:pStyle w:val="Heading2"/>
        <w:spacing w:line="240" w:lineRule="auto"/>
        <w:ind w:right="0"/>
        <w:jc w:val="left"/>
        <w:rPr>
          <w:b w:val="0"/>
          <w:bCs w:val="0"/>
        </w:rPr>
      </w:pP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right="0"/>
        <w:jc w:val="left"/>
        <w:rPr>
          <w:rFonts w:ascii="宋体" w:hAnsi="宋体" w:cs="宋体" w:eastAsia="宋体" w:hint="default"/>
        </w:rPr>
      </w:pPr>
      <w:r>
        <w:rPr/>
        <w:t>公司的核心竞争力主要体现在如下几个方面：</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w w:val="100"/>
        </w:rPr>
        <w:t>   </w:t>
      </w:r>
      <w:r>
        <w:rPr/>
        <w:t>（一）政策优势</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firstLine="480"/>
        <w:jc w:val="left"/>
        <w:rPr>
          <w:rFonts w:ascii="宋体" w:hAnsi="宋体" w:cs="宋体" w:eastAsia="宋体" w:hint="default"/>
        </w:rPr>
      </w:pPr>
      <w:r>
        <w:rPr>
          <w:spacing w:val="-2"/>
        </w:rPr>
        <w:t>在党的“十九大”上，习近平总书记提出了加快建设制造强国，加快发展先进制造业，推动互联网、</w:t>
      </w:r>
      <w:r>
        <w:rPr>
          <w:w w:val="100"/>
        </w:rPr>
        <w:t> </w:t>
      </w:r>
      <w:r>
        <w:rPr>
          <w:spacing w:val="-5"/>
        </w:rPr>
        <w:t>大数据、人工智能和实体经济深度融合的要求。在国家战略的指引下，公司更坚定了“满足国家重大需求，</w:t>
      </w:r>
      <w:r>
        <w:rPr>
          <w:spacing w:val="-11"/>
        </w:rPr>
        <w:t> </w:t>
      </w:r>
      <w:r>
        <w:rPr>
          <w:spacing w:val="-11"/>
        </w:rPr>
      </w:r>
      <w:r>
        <w:rPr/>
        <w:t>服务传统产业升级”发展道路。公司自成立以来始终坚持面向行业发展不动摇，在现场会议、印钞检测、</w:t>
      </w:r>
      <w:r>
        <w:rPr>
          <w:w w:val="100"/>
        </w:rPr>
        <w:t> </w:t>
      </w:r>
      <w:r>
        <w:rPr>
          <w:spacing w:val="-2"/>
        </w:rPr>
        <w:t>烟草、石油等领域的信息化业务上持续坚持数十年深耕细作，积累了丰富的行业经验，拥有一大批具有信</w:t>
      </w:r>
      <w:r>
        <w:rPr>
          <w:spacing w:val="-45"/>
        </w:rPr>
        <w:t> </w:t>
      </w:r>
      <w:r>
        <w:rPr>
          <w:spacing w:val="-45"/>
        </w:rPr>
      </w:r>
      <w:r>
        <w:rPr>
          <w:spacing w:val="-2"/>
        </w:rPr>
        <w:t>息化技术特长的行业专家，形成了一定程度的行业技术壁垒优势。加之近年来，国家和地方连续出台促进</w:t>
      </w:r>
      <w:r>
        <w:rPr>
          <w:spacing w:val="-44"/>
        </w:rPr>
        <w:t> </w:t>
      </w:r>
      <w:r>
        <w:rPr>
          <w:spacing w:val="-44"/>
        </w:rPr>
      </w:r>
      <w:r>
        <w:rPr>
          <w:spacing w:val="-2"/>
        </w:rPr>
        <w:t>人工智能技术研发和产业发展的政策规划，把人工智能产业作为国家重要战略布局，也为这些行业的未来</w:t>
      </w:r>
      <w:r>
        <w:rPr>
          <w:spacing w:val="-44"/>
        </w:rPr>
        <w:t> </w:t>
      </w:r>
      <w:r>
        <w:rPr>
          <w:spacing w:val="-44"/>
        </w:rPr>
      </w:r>
      <w:r>
        <w:rPr/>
        <w:t>发展和产业升级指明了路径。公司将继续聚焦主营业务，以市场为导向，以智能识别与分析技术为抓手，</w:t>
      </w:r>
      <w:r>
        <w:rPr>
          <w:w w:val="100"/>
        </w:rPr>
        <w:t> </w:t>
      </w:r>
      <w:r>
        <w:rPr>
          <w:spacing w:val="-2"/>
        </w:rPr>
        <w:t>着力打造高速机器视觉、高效数学算法、光机电一体化、机器学习、大数据、虚拟现实、软件工程及物联</w:t>
      </w:r>
      <w:r>
        <w:rPr>
          <w:spacing w:val="-42"/>
        </w:rPr>
        <w:t> </w:t>
      </w:r>
      <w:r>
        <w:rPr>
          <w:spacing w:val="-42"/>
        </w:rPr>
      </w:r>
      <w:r>
        <w:rPr>
          <w:spacing w:val="-2"/>
        </w:rPr>
        <w:t>网技术深度融合的特色优势，集中优势资源不断提升核心竞争力，巩固和夯实在现场会议、印钞检测、烟</w:t>
      </w:r>
      <w:r>
        <w:rPr>
          <w:spacing w:val="-47"/>
        </w:rPr>
        <w:t> </w:t>
      </w:r>
      <w:r>
        <w:rPr>
          <w:spacing w:val="-47"/>
        </w:rPr>
      </w:r>
      <w:r>
        <w:rPr>
          <w:spacing w:val="-2"/>
        </w:rPr>
        <w:t>草、石油领域的优势地位。同时，做好智慧政务、智慧城市、智慧医疗等重要领域的业务体系构建和产品</w:t>
      </w:r>
      <w:r>
        <w:rPr>
          <w:spacing w:val="-43"/>
        </w:rPr>
        <w:t> </w:t>
      </w:r>
      <w:r>
        <w:rPr>
          <w:spacing w:val="-43"/>
        </w:rPr>
      </w:r>
      <w:r>
        <w:rPr/>
        <w:t>应用推广，打造出新领域的核心竞争力。</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（二）品牌优势</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firstLine="480"/>
        <w:jc w:val="both"/>
        <w:rPr>
          <w:rFonts w:ascii="宋体" w:hAnsi="宋体" w:cs="宋体" w:eastAsia="宋体" w:hint="default"/>
        </w:rPr>
      </w:pPr>
      <w:r>
        <w:rPr>
          <w:spacing w:val="-4"/>
          <w:w w:val="100"/>
        </w:rPr>
        <w:t>作为一家面向行业信息化系统服务和整体解决方案提供商，公司创新性的产品与整体解决方案在各行</w:t>
      </w:r>
      <w:r>
        <w:rPr>
          <w:w w:val="100"/>
        </w:rPr>
        <w:t> </w:t>
      </w:r>
      <w:r>
        <w:rPr>
          <w:spacing w:val="-2"/>
        </w:rPr>
        <w:t>业细分领域积累了一系列成功案例，拥有众多值得信赖的优质客户，具有相当的行业品牌影响力，并逐步</w:t>
      </w:r>
      <w:r>
        <w:rPr>
          <w:spacing w:val="-45"/>
        </w:rPr>
        <w:t> </w:t>
      </w:r>
      <w:r>
        <w:rPr>
          <w:spacing w:val="-45"/>
        </w:rPr>
      </w:r>
      <w:r>
        <w:rPr/>
        <w:t>形成了公司的核心竞争力。</w:t>
      </w:r>
      <w:r>
        <w:rPr>
          <w:rFonts w:ascii="宋体" w:hAnsi="宋体" w:cs="宋体" w:eastAsia="宋体" w:hint="default"/>
        </w:rPr>
        <w:t> </w:t>
      </w:r>
    </w:p>
    <w:p>
      <w:pPr>
        <w:pStyle w:val="BodyText"/>
        <w:spacing w:line="408" w:lineRule="auto"/>
        <w:ind w:right="0" w:firstLine="480"/>
        <w:jc w:val="left"/>
        <w:rPr>
          <w:rFonts w:ascii="宋体" w:hAnsi="宋体" w:cs="宋体" w:eastAsia="宋体" w:hint="default"/>
        </w:rPr>
      </w:pPr>
      <w:r>
        <w:rPr>
          <w:spacing w:val="-2"/>
        </w:rPr>
        <w:t>在电子会议领域，公司前身中科院成都计算机应用研究所自</w:t>
      </w:r>
      <w:r>
        <w:rPr>
          <w:rFonts w:ascii="宋体" w:hAnsi="宋体" w:cs="宋体" w:eastAsia="宋体" w:hint="default"/>
          <w:spacing w:val="-2"/>
        </w:rPr>
        <w:t>1978</w:t>
      </w:r>
      <w:r>
        <w:rPr>
          <w:spacing w:val="-2"/>
        </w:rPr>
        <w:t>年成功研制出我国第一代电子票箱、</w:t>
      </w:r>
      <w:r>
        <w:rPr>
          <w:w w:val="100"/>
        </w:rPr>
        <w:t> </w:t>
      </w:r>
      <w:r>
        <w:rPr>
          <w:spacing w:val="-2"/>
        </w:rPr>
        <w:t>电子表决器和报到机，并于</w:t>
      </w:r>
      <w:r>
        <w:rPr>
          <w:rFonts w:ascii="宋体" w:hAnsi="宋体" w:cs="宋体" w:eastAsia="宋体" w:hint="default"/>
          <w:spacing w:val="-2"/>
        </w:rPr>
        <w:t>1982</w:t>
      </w:r>
      <w:r>
        <w:rPr>
          <w:spacing w:val="-2"/>
        </w:rPr>
        <w:t>年首次在党的“十二大”中成功使用。三十余年来，电子会议选举系统先</w:t>
      </w:r>
      <w:r>
        <w:rPr>
          <w:spacing w:val="-38"/>
        </w:rPr>
        <w:t> </w:t>
      </w:r>
      <w:r>
        <w:rPr>
          <w:spacing w:val="-38"/>
        </w:rPr>
      </w:r>
      <w:r>
        <w:rPr>
          <w:spacing w:val="-2"/>
        </w:rPr>
        <w:t>后连续为党的“十二大”至“十九大”及六届至十三届全国人大、政协会议选举服务，系统已成功推广到</w:t>
      </w:r>
      <w:r>
        <w:rPr>
          <w:spacing w:val="-45"/>
        </w:rPr>
        <w:t> </w:t>
      </w:r>
      <w:r>
        <w:rPr>
          <w:spacing w:val="-45"/>
        </w:rPr>
      </w:r>
      <w:r>
        <w:rPr>
          <w:spacing w:val="-2"/>
        </w:rPr>
        <w:t>全国</w:t>
      </w:r>
      <w:r>
        <w:rPr>
          <w:rFonts w:ascii="宋体" w:hAnsi="宋体" w:cs="宋体" w:eastAsia="宋体" w:hint="default"/>
          <w:spacing w:val="-2"/>
        </w:rPr>
        <w:t>20</w:t>
      </w:r>
      <w:r>
        <w:rPr>
          <w:spacing w:val="-2"/>
        </w:rPr>
        <w:t>余个省市，获得党中央、全国人大、中科院、四川省人民政府多次嘉奖，被列入国家级科技成果重</w:t>
      </w:r>
      <w:r>
        <w:rPr>
          <w:spacing w:val="-41"/>
        </w:rPr>
        <w:t> </w:t>
      </w:r>
      <w:r>
        <w:rPr>
          <w:spacing w:val="-41"/>
        </w:rPr>
      </w:r>
      <w:r>
        <w:rPr/>
        <w:t>点推广计划、国家火炬计划，是我国电子会议领域的领军企业。</w:t>
      </w:r>
      <w:r>
        <w:rPr>
          <w:rFonts w:ascii="宋体" w:hAnsi="宋体" w:cs="宋体" w:eastAsia="宋体" w:hint="default"/>
        </w:rPr>
        <w:t> </w:t>
      </w:r>
    </w:p>
    <w:p>
      <w:pPr>
        <w:pStyle w:val="BodyText"/>
        <w:spacing w:line="408" w:lineRule="auto"/>
        <w:ind w:right="206" w:firstLine="480"/>
        <w:jc w:val="both"/>
      </w:pPr>
      <w:r>
        <w:rPr>
          <w:spacing w:val="-4"/>
        </w:rPr>
        <w:t>在印钞检测领域，公司与中钞长城、信达投资共同设立中钞科信开展印钞检测业务，公司开创高速机</w:t>
      </w:r>
      <w:r>
        <w:rPr>
          <w:w w:val="100"/>
        </w:rPr>
        <w:t> </w:t>
      </w:r>
      <w:r>
        <w:rPr>
          <w:spacing w:val="-2"/>
        </w:rPr>
        <w:t>器视觉技术在印钞行业应用先河，是国内唯一可提供从钞纸整选到钞票封装全流程质量检测和数据追溯解</w:t>
      </w:r>
      <w:r>
        <w:rPr>
          <w:spacing w:val="-43"/>
        </w:rPr>
        <w:t> </w:t>
      </w:r>
      <w:r>
        <w:rPr>
          <w:spacing w:val="-43"/>
        </w:rPr>
      </w:r>
      <w:r>
        <w:rPr>
          <w:spacing w:val="-2"/>
        </w:rPr>
        <w:t>决方案的供应商。以信息化手段提升印钞行业质量检测及生产管理水平，为保障国家金融安全做出了显著</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206"/>
        <w:jc w:val="both"/>
        <w:rPr>
          <w:rFonts w:ascii="宋体" w:hAnsi="宋体" w:cs="宋体" w:eastAsia="宋体" w:hint="default"/>
        </w:rPr>
      </w:pPr>
      <w:r>
        <w:rPr>
          <w:spacing w:val="-2"/>
        </w:rPr>
        <w:t>贡献，多次荣获中国人民银行科技进步奖。公司检测设备全力保障了中国印钞造币总公司第三代机检工艺</w:t>
      </w:r>
      <w:r>
        <w:rPr>
          <w:spacing w:val="-43"/>
        </w:rPr>
        <w:t> </w:t>
      </w:r>
      <w:r>
        <w:rPr>
          <w:spacing w:val="-43"/>
        </w:rPr>
      </w:r>
      <w:r>
        <w:rPr>
          <w:spacing w:val="-2"/>
        </w:rPr>
        <w:t>的顺利推行，有效保障了各版人民币的顺利发行，同时机检设备全面替代进口同类设备，为国家金融安全</w:t>
      </w:r>
      <w:r>
        <w:rPr>
          <w:spacing w:val="-42"/>
        </w:rPr>
        <w:t> </w:t>
      </w:r>
      <w:r>
        <w:rPr>
          <w:spacing w:val="-42"/>
        </w:rPr>
      </w:r>
      <w:r>
        <w:rPr/>
        <w:t>提供了保障并节省了大量外汇，是中国印钞检测行业最重要的检测设备供应商。</w:t>
      </w:r>
      <w:r>
        <w:rPr>
          <w:rFonts w:ascii="宋体" w:hAnsi="宋体" w:cs="宋体" w:eastAsia="宋体" w:hint="default"/>
        </w:rPr>
        <w:t> </w:t>
      </w:r>
    </w:p>
    <w:p>
      <w:pPr>
        <w:pStyle w:val="BodyText"/>
        <w:spacing w:line="408" w:lineRule="auto"/>
        <w:ind w:right="206" w:firstLine="480"/>
        <w:jc w:val="both"/>
        <w:rPr>
          <w:rFonts w:ascii="宋体" w:hAnsi="宋体" w:cs="宋体" w:eastAsia="宋体" w:hint="default"/>
        </w:rPr>
      </w:pPr>
      <w:r>
        <w:rPr>
          <w:spacing w:val="-4"/>
        </w:rPr>
        <w:t>在烟草领域，公司继续朝着全覆盖、大应用、高智能、强安全目标迈进，推动信息化手段与烟草业务</w:t>
      </w:r>
      <w:r>
        <w:rPr>
          <w:w w:val="100"/>
        </w:rPr>
        <w:t> </w:t>
      </w:r>
      <w:r>
        <w:rPr>
          <w:spacing w:val="-2"/>
        </w:rPr>
        <w:t>的深度融合。在行业信息化规划、信息化基础平台建设、卷烟智能化生产、卷烟物流配送、卷烟生产大数</w:t>
      </w:r>
      <w:r>
        <w:rPr>
          <w:spacing w:val="-43"/>
        </w:rPr>
        <w:t> </w:t>
      </w:r>
      <w:r>
        <w:rPr>
          <w:spacing w:val="-43"/>
        </w:rPr>
      </w:r>
      <w:r>
        <w:rPr>
          <w:spacing w:val="-2"/>
        </w:rPr>
        <w:t>据智能诊断分析等领域硕果累累，众多信息化整体解决方案的成功落地形成了良好的案例示范效应，树立</w:t>
      </w:r>
      <w:r>
        <w:rPr>
          <w:spacing w:val="-43"/>
        </w:rPr>
        <w:t> </w:t>
      </w:r>
      <w:r>
        <w:rPr>
          <w:spacing w:val="-43"/>
        </w:rPr>
      </w:r>
      <w:r>
        <w:rPr>
          <w:spacing w:val="-2"/>
        </w:rPr>
        <w:t>了优良的品牌形象。公司成为国内为数不多能为烟草行业提供烟草农业、烟草工业和烟草商业全产业链信</w:t>
      </w:r>
      <w:r>
        <w:rPr>
          <w:spacing w:val="-42"/>
        </w:rPr>
        <w:t> </w:t>
      </w:r>
      <w:r>
        <w:rPr>
          <w:spacing w:val="-42"/>
        </w:rPr>
      </w:r>
      <w:r>
        <w:rPr/>
        <w:t>息化建设整体解决方案的供应商之一。</w:t>
      </w:r>
      <w:r>
        <w:rPr>
          <w:rFonts w:ascii="宋体" w:hAnsi="宋体" w:cs="宋体" w:eastAsia="宋体" w:hint="default"/>
        </w:rPr>
        <w:t> </w:t>
      </w:r>
    </w:p>
    <w:p>
      <w:pPr>
        <w:pStyle w:val="BodyText"/>
        <w:spacing w:line="408" w:lineRule="auto"/>
        <w:ind w:right="0" w:firstLine="480"/>
        <w:jc w:val="left"/>
        <w:rPr>
          <w:rFonts w:ascii="宋体" w:hAnsi="宋体" w:cs="宋体" w:eastAsia="宋体" w:hint="default"/>
        </w:rPr>
      </w:pPr>
      <w:r>
        <w:rPr>
          <w:spacing w:val="-6"/>
          <w:w w:val="100"/>
        </w:rPr>
        <w:t>公司长期服务于油气行业信息化建设，为客户提供油气田数字化生产管理整体解决方案，集电子巡井、</w:t>
      </w:r>
      <w:r>
        <w:rPr>
          <w:w w:val="100"/>
        </w:rPr>
        <w:t> </w:t>
      </w:r>
      <w:r>
        <w:rPr/>
        <w:t>自动采集、实时监控、智能防御、高效管理、科学指挥于一体；同时提供天然气管网集输及</w:t>
      </w:r>
      <w:r>
        <w:rPr>
          <w:rFonts w:ascii="宋体" w:hAnsi="宋体" w:cs="宋体" w:eastAsia="宋体" w:hint="default"/>
        </w:rPr>
        <w:t>CNG/LNG</w:t>
      </w:r>
      <w:r>
        <w:rPr/>
        <w:t>站控</w:t>
      </w:r>
      <w:r>
        <w:rPr>
          <w:spacing w:val="-25"/>
        </w:rPr>
        <w:t> </w:t>
      </w:r>
      <w:r>
        <w:rPr/>
        <w:t>领域的数字化管理整体解决方案，为天然气管网的日常生产、调度、维护、管理提供技术支撑。近十年来</w:t>
      </w:r>
      <w:r>
        <w:rPr>
          <w:w w:val="100"/>
        </w:rPr>
        <w:t> </w:t>
      </w:r>
      <w:r>
        <w:rPr>
          <w:spacing w:val="-2"/>
        </w:rPr>
        <w:t>积极投身塔里木油田和西南油气田的产能建设项目，在油气田自动控制系统、地面通讯系统，视频监控系</w:t>
      </w:r>
      <w:r>
        <w:rPr>
          <w:spacing w:val="-44"/>
        </w:rPr>
        <w:t> </w:t>
      </w:r>
      <w:r>
        <w:rPr>
          <w:spacing w:val="-44"/>
        </w:rPr>
      </w:r>
      <w:r>
        <w:rPr>
          <w:spacing w:val="-2"/>
        </w:rPr>
        <w:t>统、处理厂</w:t>
      </w:r>
      <w:r>
        <w:rPr>
          <w:rFonts w:ascii="宋体" w:hAnsi="宋体" w:cs="宋体" w:eastAsia="宋体" w:hint="default"/>
          <w:spacing w:val="-2"/>
        </w:rPr>
        <w:t>/</w:t>
      </w:r>
      <w:r>
        <w:rPr>
          <w:spacing w:val="-2"/>
        </w:rPr>
        <w:t>净化厂</w:t>
      </w:r>
      <w:r>
        <w:rPr>
          <w:rFonts w:ascii="宋体" w:hAnsi="宋体" w:cs="宋体" w:eastAsia="宋体" w:hint="default"/>
          <w:spacing w:val="-2"/>
        </w:rPr>
        <w:t>DCS</w:t>
      </w:r>
      <w:r>
        <w:rPr>
          <w:spacing w:val="-2"/>
        </w:rPr>
        <w:t>系统等领域累计完成各类工程项目几十项，成为我国油气行业信息化服务与智能化</w:t>
      </w:r>
      <w:r>
        <w:rPr>
          <w:spacing w:val="-41"/>
        </w:rPr>
        <w:t> </w:t>
      </w:r>
      <w:r>
        <w:rPr>
          <w:spacing w:val="-41"/>
        </w:rPr>
      </w:r>
      <w:r>
        <w:rPr/>
        <w:t>工程建设重要提供商。</w:t>
      </w:r>
      <w:r>
        <w:rPr>
          <w:rFonts w:ascii="宋体" w:hAnsi="宋体" w:cs="宋体" w:eastAsia="宋体" w:hint="default"/>
        </w:rPr>
        <w:t> </w:t>
      </w:r>
    </w:p>
    <w:p>
      <w:pPr>
        <w:pStyle w:val="BodyText"/>
        <w:spacing w:line="408" w:lineRule="auto"/>
        <w:ind w:right="0" w:firstLine="480"/>
        <w:jc w:val="left"/>
        <w:rPr>
          <w:rFonts w:ascii="宋体" w:hAnsi="宋体" w:cs="宋体" w:eastAsia="宋体" w:hint="default"/>
        </w:rPr>
      </w:pPr>
      <w:r>
        <w:rPr>
          <w:spacing w:val="-2"/>
        </w:rPr>
        <w:t>公司以云计算、大数据、物联网和移动互联等新一代信息技术为依托，提供新型智慧城市关键技术、</w:t>
      </w:r>
      <w:r>
        <w:rPr>
          <w:w w:val="100"/>
        </w:rPr>
        <w:t> </w:t>
      </w:r>
      <w:r>
        <w:rPr>
          <w:spacing w:val="-2"/>
        </w:rPr>
        <w:t>平台系统和运维服务。公司秉承“技术为支撑，安全是保障，应用为导向”的原则作为智慧城市业务领域</w:t>
      </w:r>
      <w:r>
        <w:rPr>
          <w:spacing w:val="-43"/>
        </w:rPr>
        <w:t> </w:t>
      </w:r>
      <w:r>
        <w:rPr>
          <w:spacing w:val="-43"/>
        </w:rPr>
      </w:r>
      <w:r>
        <w:rPr>
          <w:spacing w:val="-2"/>
        </w:rPr>
        <w:t>的切入点，积极探索在政务管理、民生服务、产业升级等相关领域的智慧城市业务全面发展。积极拓展智</w:t>
      </w:r>
      <w:r>
        <w:rPr>
          <w:spacing w:val="-48"/>
        </w:rPr>
        <w:t> </w:t>
      </w:r>
      <w:r>
        <w:rPr>
          <w:spacing w:val="-48"/>
        </w:rPr>
      </w:r>
      <w:r>
        <w:rPr>
          <w:spacing w:val="-2"/>
        </w:rPr>
        <w:t>慧政务相关业务的应用落地和推广实施，先后在政务民生服务、人大政协议案、政法信息共享、统计大数</w:t>
      </w:r>
      <w:r>
        <w:rPr>
          <w:spacing w:val="-47"/>
        </w:rPr>
        <w:t> </w:t>
      </w:r>
      <w:r>
        <w:rPr>
          <w:spacing w:val="-47"/>
        </w:rPr>
      </w:r>
      <w:r>
        <w:rPr>
          <w:spacing w:val="-2"/>
        </w:rPr>
        <w:t>据分析、区域经济运行监测分析等领域推出了多个产品与解决方案并落地实施，取得了良好的经济和社会</w:t>
      </w:r>
      <w:r>
        <w:rPr>
          <w:spacing w:val="-44"/>
        </w:rPr>
        <w:t> </w:t>
      </w:r>
      <w:r>
        <w:rPr>
          <w:spacing w:val="-44"/>
        </w:rPr>
      </w:r>
      <w:r>
        <w:rPr/>
        <w:t>效益，树立了良好的案例示范效应。</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t>（三）自主核心技术研发优势</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right="185"/>
        <w:jc w:val="both"/>
      </w:pPr>
      <w:r>
        <w:rPr>
          <w:rFonts w:ascii="宋体" w:hAnsi="宋体" w:cs="宋体" w:eastAsia="宋体" w:hint="default"/>
          <w:w w:val="100"/>
        </w:rPr>
        <w:t>    </w:t>
      </w:r>
      <w:r>
        <w:rPr>
          <w:spacing w:val="-2"/>
        </w:rPr>
        <w:t>公司是由成立于</w:t>
      </w:r>
      <w:r>
        <w:rPr>
          <w:rFonts w:ascii="宋体" w:hAnsi="宋体" w:cs="宋体" w:eastAsia="宋体" w:hint="default"/>
          <w:spacing w:val="-2"/>
        </w:rPr>
        <w:t>1958</w:t>
      </w:r>
      <w:r>
        <w:rPr>
          <w:spacing w:val="-2"/>
        </w:rPr>
        <w:t>年的中科院成都计算机应用研究所整体转制的高科技企业，拥有以中科院院士张</w:t>
      </w:r>
      <w:r>
        <w:rPr>
          <w:w w:val="100"/>
        </w:rPr>
        <w:t> </w:t>
      </w:r>
      <w:r>
        <w:rPr>
          <w:spacing w:val="-2"/>
        </w:rPr>
        <w:t>景中领衔的一流应用基础研究团队，多年来专注于人工智能领域的计算机自动推理理论研究，打造出从基</w:t>
      </w:r>
      <w:r>
        <w:rPr>
          <w:spacing w:val="-43"/>
        </w:rPr>
        <w:t> </w:t>
      </w:r>
      <w:r>
        <w:rPr>
          <w:spacing w:val="-43"/>
        </w:rPr>
      </w:r>
      <w:r>
        <w:rPr>
          <w:spacing w:val="-2"/>
        </w:rPr>
        <w:t>础研究、研发到技术开发再到实践应用、产业化的完整链条。</w:t>
      </w:r>
      <w:r>
        <w:rPr>
          <w:rFonts w:ascii="宋体" w:hAnsi="宋体" w:cs="宋体" w:eastAsia="宋体" w:hint="default"/>
          <w:spacing w:val="-2"/>
        </w:rPr>
        <w:t>60</w:t>
      </w:r>
      <w:r>
        <w:rPr>
          <w:spacing w:val="-2"/>
        </w:rPr>
        <w:t>年的深厚科研积淀和众多研发成果，使公</w:t>
      </w:r>
      <w:r>
        <w:rPr>
          <w:spacing w:val="-48"/>
        </w:rPr>
        <w:t> </w:t>
      </w:r>
      <w:r>
        <w:rPr>
          <w:spacing w:val="-48"/>
        </w:rPr>
      </w:r>
      <w:r>
        <w:rPr>
          <w:spacing w:val="-2"/>
        </w:rPr>
        <w:t>司在计算机应用领域的应用基础理论、关键技术、工程与产品三个层次上形成了独特的综合优势，在高速</w:t>
      </w:r>
      <w:r>
        <w:rPr>
          <w:spacing w:val="-43"/>
        </w:rPr>
        <w:t> </w:t>
      </w:r>
      <w:r>
        <w:rPr>
          <w:spacing w:val="-43"/>
        </w:rPr>
      </w:r>
      <w:r>
        <w:rPr>
          <w:spacing w:val="-2"/>
        </w:rPr>
        <w:t>机器视觉、智能识别与分析领域始终处于国际先进、国内领先水平。</w:t>
      </w:r>
      <w:r>
        <w:rPr>
          <w:rFonts w:ascii="宋体" w:hAnsi="宋体" w:cs="宋体" w:eastAsia="宋体" w:hint="default"/>
          <w:spacing w:val="-2"/>
        </w:rPr>
        <w:t>1978</w:t>
      </w:r>
      <w:r>
        <w:rPr>
          <w:spacing w:val="-2"/>
        </w:rPr>
        <w:t>年研制出我国第一代电子选举系</w:t>
      </w:r>
      <w:r>
        <w:rPr>
          <w:spacing w:val="-40"/>
        </w:rPr>
        <w:t> </w:t>
      </w:r>
      <w:r>
        <w:rPr>
          <w:spacing w:val="-40"/>
        </w:rPr>
      </w:r>
      <w:r>
        <w:rPr>
          <w:spacing w:val="-2"/>
        </w:rPr>
        <w:t>统，填补了国内空白，并连续</w:t>
      </w:r>
      <w:r>
        <w:rPr>
          <w:rFonts w:ascii="宋体" w:hAnsi="宋体" w:cs="宋体" w:eastAsia="宋体" w:hint="default"/>
          <w:spacing w:val="-2"/>
        </w:rPr>
        <w:t>40</w:t>
      </w:r>
      <w:r>
        <w:rPr>
          <w:spacing w:val="-2"/>
        </w:rPr>
        <w:t>年持续创新升级，形成以电子选举、表决、报到、发言、智能会议终端等</w:t>
      </w:r>
      <w:r>
        <w:rPr>
          <w:spacing w:val="-45"/>
        </w:rPr>
        <w:t> </w:t>
      </w:r>
      <w:r>
        <w:rPr>
          <w:spacing w:val="-45"/>
        </w:rPr>
      </w:r>
      <w:r>
        <w:rPr>
          <w:spacing w:val="-2"/>
        </w:rPr>
        <w:t>系列数字会议产品，成为我国数字会议领域的领军企业。公司也是国内首家将高速图像识别技术引入印钞</w:t>
      </w:r>
      <w:r>
        <w:rPr>
          <w:spacing w:val="-42"/>
        </w:rPr>
        <w:t> </w:t>
      </w:r>
      <w:r>
        <w:rPr>
          <w:spacing w:val="-42"/>
        </w:rPr>
      </w:r>
      <w:r>
        <w:rPr>
          <w:spacing w:val="-2"/>
        </w:rPr>
        <w:t>行业号码在线质量检测的企业，带动了我国印钞行业在线质量检测设备的技术革新，引领了行业自动化检</w:t>
      </w:r>
      <w:r>
        <w:rPr>
          <w:spacing w:val="-43"/>
        </w:rPr>
        <w:t> </w:t>
      </w:r>
      <w:r>
        <w:rPr>
          <w:spacing w:val="-43"/>
        </w:rPr>
      </w:r>
      <w:r>
        <w:rPr>
          <w:spacing w:val="-2"/>
        </w:rPr>
        <w:t>测技术的潮流和方向，是国内少数能提供高端特种印刷行业全工艺流程质量检测与数据追溯系统的企业。</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212" w:right="146"/>
        <w:jc w:val="both"/>
        <w:rPr>
          <w:rFonts w:ascii="宋体" w:hAnsi="宋体" w:cs="宋体" w:eastAsia="宋体" w:hint="default"/>
        </w:rPr>
      </w:pPr>
      <w:r>
        <w:rPr>
          <w:spacing w:val="-2"/>
        </w:rPr>
        <w:t>公司还面向烟草、油气等传统行业提供系列信息化整体解决方案、产品与服务，致力于传统工业企业实现</w:t>
      </w:r>
      <w:r>
        <w:rPr>
          <w:spacing w:val="-44"/>
        </w:rPr>
        <w:t> </w:t>
      </w:r>
      <w:r>
        <w:rPr>
          <w:spacing w:val="-44"/>
        </w:rPr>
      </w:r>
      <w:r>
        <w:rPr/>
        <w:t>制造智慧化，促进人工智能技术与制造业深度融合。</w:t>
      </w:r>
      <w:r>
        <w:rPr>
          <w:rFonts w:ascii="宋体" w:hAnsi="宋体" w:cs="宋体" w:eastAsia="宋体" w:hint="default"/>
        </w:rPr>
        <w:t> </w:t>
      </w:r>
    </w:p>
    <w:p>
      <w:pPr>
        <w:pStyle w:val="BodyText"/>
        <w:spacing w:line="408" w:lineRule="auto"/>
        <w:ind w:left="212" w:right="149"/>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公司具有较为完善的研发机制和创新能力。先后建设了“中科信息</w:t>
      </w:r>
      <w:r>
        <w:rPr>
          <w:rFonts w:ascii="宋体" w:hAnsi="宋体" w:cs="宋体" w:eastAsia="宋体" w:hint="default"/>
        </w:rPr>
        <w:t>-</w:t>
      </w:r>
      <w:r>
        <w:rPr/>
        <w:t>成都信息工程大学机器视觉联合</w:t>
      </w:r>
      <w:r>
        <w:rPr>
          <w:w w:val="100"/>
        </w:rPr>
        <w:t> </w:t>
      </w:r>
      <w:r>
        <w:rPr>
          <w:spacing w:val="-2"/>
        </w:rPr>
        <w:t>实验室”、“四川省企业技术中心”、“成都物联网研发中心”、“智能医学创新培训中心”、“四川省</w:t>
      </w:r>
      <w:r>
        <w:rPr>
          <w:spacing w:val="-49"/>
        </w:rPr>
        <w:t> </w:t>
      </w:r>
      <w:r>
        <w:rPr>
          <w:spacing w:val="-49"/>
        </w:rPr>
      </w:r>
      <w:r>
        <w:rPr/>
        <w:t>计算机学会虚拟仿真专委会”</w:t>
      </w:r>
      <w:r>
        <w:rPr>
          <w:spacing w:val="72"/>
        </w:rPr>
        <w:t> </w:t>
      </w:r>
      <w:r>
        <w:rPr>
          <w:rFonts w:ascii="宋体" w:hAnsi="宋体" w:cs="宋体" w:eastAsia="宋体" w:hint="default"/>
          <w:spacing w:val="72"/>
        </w:rPr>
      </w:r>
      <w:r>
        <w:rPr/>
        <w:t>等多个创新平台。公司研发中心在应用基础研究支撑下，专注细分行业的</w:t>
      </w:r>
      <w:r>
        <w:rPr>
          <w:spacing w:val="-97"/>
        </w:rPr>
        <w:t> </w:t>
      </w:r>
      <w:r>
        <w:rPr>
          <w:spacing w:val="-97"/>
        </w:rPr>
      </w:r>
      <w:r>
        <w:rPr>
          <w:spacing w:val="-2"/>
        </w:rPr>
        <w:t>技术与产品的研发，密切关注技术和行业前沿领域动态，根据市场需求，不断创新，打造符合客户需求的</w:t>
      </w:r>
      <w:r>
        <w:rPr>
          <w:spacing w:val="-47"/>
        </w:rPr>
        <w:t> </w:t>
      </w:r>
      <w:r>
        <w:rPr>
          <w:spacing w:val="-47"/>
        </w:rPr>
      </w:r>
      <w:r>
        <w:rPr/>
        <w:t>具有市场竞争力的产品与技术。</w:t>
      </w:r>
      <w:r>
        <w:rPr>
          <w:rFonts w:ascii="宋体" w:hAnsi="宋体" w:cs="宋体" w:eastAsia="宋体" w:hint="default"/>
        </w:rPr>
        <w:t> </w:t>
      </w:r>
    </w:p>
    <w:p>
      <w:pPr>
        <w:pStyle w:val="BodyText"/>
        <w:spacing w:line="408" w:lineRule="auto"/>
        <w:ind w:left="212" w:right="146"/>
        <w:jc w:val="both"/>
        <w:rPr>
          <w:rFonts w:ascii="宋体" w:hAnsi="宋体" w:cs="宋体" w:eastAsia="宋体" w:hint="default"/>
        </w:rPr>
      </w:pPr>
      <w:r>
        <w:rPr>
          <w:rFonts w:ascii="宋体" w:hAnsi="宋体" w:cs="宋体" w:eastAsia="宋体" w:hint="default"/>
          <w:w w:val="100"/>
        </w:rPr>
        <w:t>    </w:t>
      </w:r>
      <w:r>
        <w:rPr>
          <w:spacing w:val="-2"/>
        </w:rPr>
        <w:t>公司始终坚持在核心技术上的持续投入，进行自主核心技术产品研发，不断拓宽产品线和综合服务能</w:t>
      </w:r>
      <w:r>
        <w:rPr>
          <w:w w:val="100"/>
        </w:rPr>
        <w:t> </w:t>
      </w:r>
      <w:r>
        <w:rPr>
          <w:spacing w:val="-2"/>
        </w:rPr>
        <w:t>力，除政府、烟草、印钞、石油行业外，还为金融、医疗、教育、交通、公安、军工等多个行业提供领先</w:t>
      </w:r>
      <w:r>
        <w:rPr>
          <w:spacing w:val="-45"/>
        </w:rPr>
        <w:t> </w:t>
      </w:r>
      <w:r>
        <w:rPr>
          <w:spacing w:val="-45"/>
        </w:rPr>
      </w:r>
      <w:r>
        <w:rPr>
          <w:spacing w:val="-2"/>
        </w:rPr>
        <w:t>的产品、技术和解决方案。为迎接新一轮技术革命的挑战，公司紧紧把握国家人工智能发展战略，加快了</w:t>
      </w:r>
      <w:r>
        <w:rPr>
          <w:spacing w:val="-50"/>
        </w:rPr>
        <w:t> </w:t>
      </w:r>
      <w:r>
        <w:rPr>
          <w:spacing w:val="-50"/>
        </w:rPr>
      </w:r>
      <w:r>
        <w:rPr/>
        <w:t>在人工智能、云计算、大数据方面的技术与产品研发步伐，并不断取得新进展。</w:t>
      </w:r>
      <w:r>
        <w:rPr>
          <w:rFonts w:ascii="宋体" w:hAnsi="宋体" w:cs="宋体" w:eastAsia="宋体" w:hint="default"/>
        </w:rPr>
        <w:t> </w:t>
      </w:r>
    </w:p>
    <w:p>
      <w:pPr>
        <w:pStyle w:val="BodyText"/>
        <w:spacing w:line="240" w:lineRule="auto"/>
        <w:ind w:left="633" w:right="0"/>
        <w:jc w:val="left"/>
        <w:rPr>
          <w:rFonts w:ascii="宋体" w:hAnsi="宋体" w:cs="宋体" w:eastAsia="宋体" w:hint="default"/>
        </w:rPr>
      </w:pPr>
      <w:r>
        <w:rPr/>
        <w:t>报告期内，公司及全资子公司成都中科共新增专利和软件著作权共 </w:t>
      </w:r>
      <w:r>
        <w:rPr>
          <w:rFonts w:ascii="宋体" w:hAnsi="宋体" w:cs="宋体" w:eastAsia="宋体" w:hint="default"/>
        </w:rPr>
        <w:t>24</w:t>
      </w:r>
      <w:r>
        <w:rPr>
          <w:rFonts w:ascii="宋体" w:hAnsi="宋体" w:cs="宋体" w:eastAsia="宋体" w:hint="default"/>
          <w:spacing w:val="-6"/>
        </w:rPr>
        <w:t> </w:t>
      </w:r>
      <w:r>
        <w:rPr/>
        <w:t>项，具体情况如下：</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4079"/>
        <w:gridCol w:w="994"/>
        <w:gridCol w:w="1733"/>
        <w:gridCol w:w="1136"/>
        <w:gridCol w:w="1241"/>
      </w:tblGrid>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发明名称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专利号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证书编号</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一种选票接票系统及分拣选票的方法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ZL201410304674.0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2017.01.25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2358012</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83"/>
              <w:jc w:val="left"/>
              <w:rPr>
                <w:rFonts w:ascii="宋体" w:hAnsi="宋体" w:cs="宋体" w:eastAsia="宋体" w:hint="default"/>
                <w:sz w:val="18"/>
                <w:szCs w:val="18"/>
              </w:rPr>
            </w:pPr>
            <w:r>
              <w:rPr>
                <w:rFonts w:ascii="宋体" w:hAnsi="宋体" w:cs="宋体" w:eastAsia="宋体" w:hint="default"/>
                <w:sz w:val="18"/>
                <w:szCs w:val="18"/>
              </w:rPr>
              <w:t>基于复合运动和自适应非局部先验的超分辨率重 建方法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ZL201410103217.5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2017.02.01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2364558</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卷烟机耗材监控系统及监控方法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ZL201410593459.7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2017.09.01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2605631</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一种远程智能车辆监控系统及方法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ZL201410424350.0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2017.12.08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2731394</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一种挂式电子表决器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ZL201620822548.9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2017.05.31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6181755</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一种带有可插接数据处理终端的智能计票一体机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ZL201720290001.3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2017.10.20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6547328</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主控模块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ZL201630632330.2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2017.05.24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4157275</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阅读机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ZL201630632843.3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2017.07.04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4207217</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计票一体机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ZL201630632239.0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2017.07.28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4227025</w:t>
            </w:r>
          </w:p>
        </w:tc>
      </w:tr>
    </w:tbl>
    <w:p>
      <w:pPr>
        <w:spacing w:line="240" w:lineRule="auto" w:before="11"/>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2132"/>
        <w:gridCol w:w="4674"/>
        <w:gridCol w:w="1136"/>
        <w:gridCol w:w="1241"/>
      </w:tblGrid>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证书编号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0"/>
              <w:jc w:val="center"/>
              <w:rPr>
                <w:rFonts w:ascii="宋体" w:hAnsi="宋体" w:cs="宋体" w:eastAsia="宋体" w:hint="default"/>
                <w:sz w:val="18"/>
                <w:szCs w:val="18"/>
              </w:rPr>
            </w:pPr>
            <w:r>
              <w:rPr>
                <w:rFonts w:ascii="宋体" w:hAnsi="宋体" w:cs="宋体" w:eastAsia="宋体" w:hint="default"/>
                <w:sz w:val="18"/>
                <w:szCs w:val="18"/>
              </w:rPr>
              <w:t>文件名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发证日期</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1619739</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数据分布式安全存储新技术软件</w:t>
            </w:r>
            <w:r>
              <w:rPr>
                <w:rFonts w:ascii="Times New Roman" w:hAnsi="Times New Roman" w:cs="Times New Roman" w:eastAsia="Times New Roman" w:hint="default"/>
                <w:sz w:val="18"/>
                <w:szCs w:val="18"/>
              </w:rPr>
              <w:t>V1.0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2017.02.08</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1997212</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烟叶生产过程与移动应用管理平台</w:t>
            </w:r>
            <w:r>
              <w:rPr>
                <w:rFonts w:ascii="Times New Roman" w:hAnsi="Times New Roman" w:cs="Times New Roman" w:eastAsia="Times New Roman" w:hint="default"/>
                <w:sz w:val="18"/>
                <w:szCs w:val="18"/>
              </w:rPr>
              <w:t>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2017.07.31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2027194</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预决算审查监督管理平台</w:t>
            </w:r>
            <w:r>
              <w:rPr>
                <w:rFonts w:ascii="Times New Roman" w:hAnsi="Times New Roman" w:cs="Times New Roman" w:eastAsia="Times New Roman" w:hint="default"/>
                <w:sz w:val="18"/>
                <w:szCs w:val="18"/>
              </w:rPr>
              <w:t>V1.0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2017.08.11</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2099652</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烟草烟叶收购视频监控系统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2017.09.14</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2298061</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姓名排序软件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2301661</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选票清点软件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2301595</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集中计票引导箱软件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2300226</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选票制作与模式生产软件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2297943</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综合进展显示软件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2297952</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后台计票软件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Times New Roman"/>
                <w:sz w:val="18"/>
              </w:rPr>
              <w:t>2017.12.21</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2304428</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另选人录入软件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2017.12.22</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2304424</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票箱计票软件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2017.12.22</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132"/>
        <w:gridCol w:w="4674"/>
        <w:gridCol w:w="1136"/>
        <w:gridCol w:w="1241"/>
      </w:tblGrid>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2304431</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选举主控软件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2017.12.22</w:t>
            </w:r>
          </w:p>
        </w:tc>
      </w:tr>
      <w:tr>
        <w:trPr>
          <w:trHeight w:val="322"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2316917</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滚屏显示软件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2017.12.6</w:t>
            </w:r>
          </w:p>
        </w:tc>
      </w:tr>
      <w:tr>
        <w:trPr>
          <w:trHeight w:val="32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2328707</w:t>
            </w:r>
            <w:r>
              <w:rPr>
                <w:rFonts w:ascii="宋体" w:hAnsi="宋体" w:cs="宋体" w:eastAsia="宋体" w:hint="default"/>
                <w:sz w:val="18"/>
                <w:szCs w:val="18"/>
              </w:rPr>
              <w:t>号</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结果输出软件</w:t>
            </w:r>
            <w:r>
              <w:rPr>
                <w:rFonts w:ascii="Times New Roman" w:hAnsi="Times New Roman" w:cs="Times New Roman" w:eastAsia="Times New Roman" w:hint="default"/>
                <w:sz w:val="18"/>
                <w:szCs w:val="18"/>
              </w:rPr>
              <w:t>V9.0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2017.12.29</w:t>
            </w:r>
          </w:p>
        </w:tc>
      </w:tr>
    </w:tbl>
    <w:p>
      <w:pPr>
        <w:pStyle w:val="BodyText"/>
        <w:spacing w:line="408" w:lineRule="auto" w:before="64"/>
        <w:ind w:left="633" w:right="0"/>
        <w:jc w:val="left"/>
      </w:pPr>
      <w:r>
        <w:rPr/>
        <w:t>（四）人才优势</w:t>
      </w:r>
      <w:r>
        <w:rPr>
          <w:rFonts w:ascii="宋体" w:hAnsi="宋体" w:cs="宋体" w:eastAsia="宋体" w:hint="default"/>
          <w:w w:val="100"/>
        </w:rPr>
        <w:t> </w:t>
      </w:r>
      <w:r>
        <w:rPr>
          <w:spacing w:val="-2"/>
        </w:rPr>
        <w:t>公司承继中科院成都计算机应用研究所深厚的科研积淀和一大批高素质科研人才，是中科院在西部地</w:t>
      </w:r>
    </w:p>
    <w:p>
      <w:pPr>
        <w:pStyle w:val="BodyText"/>
        <w:spacing w:line="408" w:lineRule="auto"/>
        <w:ind w:left="212" w:right="146"/>
        <w:jc w:val="both"/>
        <w:rPr>
          <w:rFonts w:ascii="宋体" w:hAnsi="宋体" w:cs="宋体" w:eastAsia="宋体" w:hint="default"/>
        </w:rPr>
      </w:pPr>
      <w:r>
        <w:rPr>
          <w:spacing w:val="-2"/>
        </w:rPr>
        <w:t>区最重要的数学与计算机科学研究基地，拥有计算机科学与技术博士后流动工作站。截至本报告期内，公</w:t>
      </w:r>
      <w:r>
        <w:rPr>
          <w:spacing w:val="-43"/>
        </w:rPr>
        <w:t> </w:t>
      </w:r>
      <w:r>
        <w:rPr>
          <w:spacing w:val="-43"/>
        </w:rPr>
      </w:r>
      <w:r>
        <w:rPr/>
        <w:t>司拥有</w:t>
      </w:r>
      <w:r>
        <w:rPr>
          <w:rFonts w:ascii="宋体" w:hAnsi="宋体" w:cs="宋体" w:eastAsia="宋体" w:hint="default"/>
        </w:rPr>
        <w:t>8</w:t>
      </w:r>
      <w:r>
        <w:rPr/>
        <w:t>名博士生导师，</w:t>
      </w:r>
      <w:r>
        <w:rPr>
          <w:rFonts w:ascii="宋体" w:hAnsi="宋体" w:cs="宋体" w:eastAsia="宋体" w:hint="default"/>
        </w:rPr>
        <w:t>14</w:t>
      </w:r>
      <w:r>
        <w:rPr/>
        <w:t>名硕士生导师，专注于计算机自动推理、智能识别及分析等领域的研究工作，</w:t>
      </w:r>
      <w:r>
        <w:rPr>
          <w:spacing w:val="-25"/>
        </w:rPr>
        <w:t> </w:t>
      </w:r>
      <w:r>
        <w:rPr>
          <w:spacing w:val="-25"/>
        </w:rPr>
      </w:r>
      <w:r>
        <w:rPr/>
        <w:t>正高级工程师</w:t>
      </w:r>
      <w:r>
        <w:rPr>
          <w:rFonts w:ascii="宋体" w:hAnsi="宋体" w:cs="宋体" w:eastAsia="宋体" w:hint="default"/>
        </w:rPr>
        <w:t>12</w:t>
      </w:r>
      <w:r>
        <w:rPr/>
        <w:t>人，高级工程师</w:t>
      </w:r>
      <w:r>
        <w:rPr>
          <w:rFonts w:ascii="宋体" w:hAnsi="宋体" w:cs="宋体" w:eastAsia="宋体" w:hint="default"/>
        </w:rPr>
        <w:t>63</w:t>
      </w:r>
      <w:r>
        <w:rPr/>
        <w:t>人。</w:t>
      </w:r>
      <w:r>
        <w:rPr>
          <w:rFonts w:ascii="宋体" w:hAnsi="宋体" w:cs="宋体" w:eastAsia="宋体" w:hint="default"/>
        </w:rPr>
        <w:t> </w:t>
      </w:r>
    </w:p>
    <w:p>
      <w:pPr>
        <w:pStyle w:val="BodyText"/>
        <w:spacing w:line="408" w:lineRule="auto"/>
        <w:ind w:left="212" w:right="146" w:firstLine="420"/>
        <w:jc w:val="both"/>
        <w:rPr>
          <w:rFonts w:ascii="宋体" w:hAnsi="宋体" w:cs="宋体" w:eastAsia="宋体" w:hint="default"/>
        </w:rPr>
      </w:pPr>
      <w:r>
        <w:rPr>
          <w:spacing w:val="-2"/>
        </w:rPr>
        <w:t>公司人才梯队完整，人才引进、培养、激励、留人机制健全，在业务实践中培养和引进了一大批既精</w:t>
      </w:r>
      <w:r>
        <w:rPr>
          <w:w w:val="100"/>
        </w:rPr>
        <w:t> </w:t>
      </w:r>
      <w:r>
        <w:rPr>
          <w:spacing w:val="-2"/>
        </w:rPr>
        <w:t>通专业技术又具备行业经验的复合型人才，并为其打造晋升通道、制定职业生涯规划，为人才施展才华提</w:t>
      </w:r>
      <w:r>
        <w:rPr>
          <w:spacing w:val="-45"/>
        </w:rPr>
        <w:t> </w:t>
      </w:r>
      <w:r>
        <w:rPr>
          <w:spacing w:val="-45"/>
        </w:rPr>
      </w:r>
      <w:r>
        <w:rPr/>
        <w:t>供各种平台和机会。</w:t>
      </w:r>
      <w:r>
        <w:rPr>
          <w:rFonts w:ascii="宋体" w:hAnsi="宋体" w:cs="宋体" w:eastAsia="宋体" w:hint="default"/>
        </w:rPr>
        <w:t> </w:t>
      </w:r>
    </w:p>
    <w:p>
      <w:pPr>
        <w:pStyle w:val="BodyText"/>
        <w:spacing w:line="240" w:lineRule="auto"/>
        <w:ind w:left="212" w:right="0"/>
        <w:jc w:val="both"/>
        <w:rPr>
          <w:rFonts w:ascii="宋体" w:hAnsi="宋体" w:cs="宋体" w:eastAsia="宋体" w:hint="default"/>
        </w:rPr>
      </w:pPr>
      <w:r>
        <w:rPr>
          <w:rFonts w:ascii="宋体" w:hAnsi="宋体" w:cs="宋体" w:eastAsia="宋体" w:hint="default"/>
          <w:w w:val="100"/>
        </w:rPr>
        <w:t>    </w:t>
      </w:r>
      <w:r>
        <w:rPr/>
        <w:t>（五）稳定的客户资源及渠道支撑优势</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212" w:right="125" w:firstLine="420"/>
        <w:jc w:val="both"/>
        <w:rPr>
          <w:rFonts w:ascii="宋体" w:hAnsi="宋体" w:cs="宋体" w:eastAsia="宋体" w:hint="default"/>
        </w:rPr>
      </w:pPr>
      <w:r>
        <w:rPr>
          <w:spacing w:val="-2"/>
        </w:rPr>
        <w:t>公司扎根于行业信息化建设，以过硬的专业技术和数十年来对行业业务特点的深入理解，为下游客户</w:t>
      </w:r>
      <w:r>
        <w:rPr>
          <w:w w:val="100"/>
        </w:rPr>
        <w:t> </w:t>
      </w:r>
      <w:r>
        <w:rPr>
          <w:spacing w:val="-2"/>
        </w:rPr>
        <w:t>提供满足其特定需求的信息化系统解决方案及相关服务。众多成功应用案例和拳头产品形成的良好口碑使</w:t>
      </w:r>
      <w:r>
        <w:rPr>
          <w:spacing w:val="-43"/>
        </w:rPr>
        <w:t> </w:t>
      </w:r>
      <w:r>
        <w:rPr>
          <w:spacing w:val="-43"/>
        </w:rPr>
      </w:r>
      <w:r>
        <w:rPr>
          <w:spacing w:val="-2"/>
        </w:rPr>
        <w:t>公司与业内众多有影响力的客户形成了长期合作关系，形成了较强的客户资源优势。公司以成都为研发基</w:t>
      </w:r>
      <w:r>
        <w:rPr>
          <w:spacing w:val="-44"/>
        </w:rPr>
        <w:t> </w:t>
      </w:r>
      <w:r>
        <w:rPr>
          <w:spacing w:val="-44"/>
        </w:rPr>
      </w:r>
      <w:r>
        <w:rPr>
          <w:spacing w:val="-2"/>
        </w:rPr>
        <w:t>地和销售、服务中心，在河南、新疆、深圳、浙江、山西等地设立办事处或子公司，逐渐形成了以北京、</w:t>
      </w:r>
      <w:r>
        <w:rPr>
          <w:spacing w:val="-21"/>
        </w:rPr>
        <w:t> </w:t>
      </w:r>
      <w:r>
        <w:rPr>
          <w:spacing w:val="-21"/>
        </w:rPr>
      </w:r>
      <w:r>
        <w:rPr/>
        <w:t>四川、重庆、河南、新疆为核心市场区域</w:t>
      </w:r>
      <w:r>
        <w:rPr>
          <w:spacing w:val="62"/>
        </w:rPr>
        <w:t> </w:t>
      </w:r>
      <w:r>
        <w:rPr>
          <w:rFonts w:ascii="宋体" w:hAnsi="宋体" w:cs="宋体" w:eastAsia="宋体" w:hint="default"/>
          <w:spacing w:val="62"/>
        </w:rPr>
      </w:r>
      <w:r>
        <w:rPr/>
        <w:t>，向上海、天津、江苏、山东、云南、贵州、浙江、黑龙江、</w:t>
      </w:r>
      <w:r>
        <w:rPr>
          <w:spacing w:val="-86"/>
        </w:rPr>
        <w:t> </w:t>
      </w:r>
      <w:r>
        <w:rPr>
          <w:spacing w:val="-86"/>
        </w:rPr>
      </w:r>
      <w:r>
        <w:rPr>
          <w:spacing w:val="-2"/>
        </w:rPr>
        <w:t>宁夏、深圳等</w:t>
      </w:r>
      <w:r>
        <w:rPr>
          <w:rFonts w:ascii="宋体" w:hAnsi="宋体" w:cs="宋体" w:eastAsia="宋体" w:hint="default"/>
          <w:spacing w:val="-2"/>
        </w:rPr>
        <w:t>28</w:t>
      </w:r>
      <w:r>
        <w:rPr>
          <w:spacing w:val="-2"/>
        </w:rPr>
        <w:t>个省、直辖市、自治区辐射的国内营销及服务网络。公司主要客户覆盖中央及国家机关、</w:t>
      </w:r>
      <w:r>
        <w:rPr>
          <w:spacing w:val="-19"/>
        </w:rPr>
        <w:t> </w:t>
      </w:r>
      <w:r>
        <w:rPr>
          <w:spacing w:val="-19"/>
        </w:rPr>
      </w:r>
      <w:r>
        <w:rPr>
          <w:spacing w:val="-2"/>
        </w:rPr>
        <w:t>各省市政府机构、中国印钞造币总公司和泰国、印尼等各国央行，以及国内外多家金融、能源、制造、烟</w:t>
      </w:r>
      <w:r>
        <w:rPr>
          <w:spacing w:val="-45"/>
        </w:rPr>
        <w:t> </w:t>
      </w:r>
      <w:r>
        <w:rPr>
          <w:spacing w:val="-45"/>
        </w:rPr>
      </w:r>
      <w:r>
        <w:rPr/>
        <w:t>草等各大中型企业。多行业丰富的客户资源保障了公司业务持续稳健的发展。</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left="2964" w:right="0"/>
        <w:jc w:val="left"/>
        <w:rPr>
          <w:b w:val="0"/>
          <w:bCs w:val="0"/>
        </w:rPr>
      </w:pPr>
      <w:bookmarkStart w:name="_TOC_250007" w:id="4"/>
      <w:r>
        <w:rPr/>
        <w:t>第四节</w:t>
      </w:r>
      <w:r>
        <w:rPr>
          <w:spacing w:val="-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6" w:firstLine="420"/>
        <w:jc w:val="both"/>
        <w:rPr>
          <w:rFonts w:ascii="宋体" w:hAnsi="宋体" w:cs="宋体" w:eastAsia="宋体" w:hint="default"/>
        </w:rPr>
      </w:pPr>
      <w:r>
        <w:rPr>
          <w:spacing w:val="-2"/>
        </w:rPr>
        <w:t>在公司董事会、管理层和全体员工共同努力下，公司紧抓市场机遇，继续深耕传统行业并积极探索新</w:t>
      </w:r>
      <w:r>
        <w:rPr>
          <w:w w:val="100"/>
        </w:rPr>
        <w:t> </w:t>
      </w:r>
      <w:r>
        <w:rPr>
          <w:spacing w:val="-2"/>
        </w:rPr>
        <w:t>业务领域，不断加强研发投入，强化产品竞争力，加强重点行业市场拓展，推动公司经营业绩实现持续增</w:t>
      </w:r>
      <w:r>
        <w:rPr>
          <w:spacing w:val="-47"/>
        </w:rPr>
        <w:t> </w:t>
      </w:r>
      <w:r>
        <w:rPr>
          <w:spacing w:val="-47"/>
        </w:rPr>
      </w:r>
      <w:r>
        <w:rPr>
          <w:spacing w:val="-2"/>
        </w:rPr>
        <w:t>长。报告期内，公司实现营业收入</w:t>
      </w:r>
      <w:r>
        <w:rPr>
          <w:rFonts w:ascii="宋体" w:hAnsi="宋体" w:cs="宋体" w:eastAsia="宋体" w:hint="default"/>
          <w:spacing w:val="-2"/>
        </w:rPr>
        <w:t>2.9</w:t>
      </w:r>
      <w:r>
        <w:rPr>
          <w:spacing w:val="-2"/>
        </w:rPr>
        <w:t>亿元，同比增长</w:t>
      </w:r>
      <w:r>
        <w:rPr>
          <w:rFonts w:ascii="宋体" w:hAnsi="宋体" w:cs="宋体" w:eastAsia="宋体" w:hint="default"/>
          <w:spacing w:val="-2"/>
        </w:rPr>
        <w:t>19%</w:t>
      </w:r>
      <w:r>
        <w:rPr>
          <w:spacing w:val="-2"/>
        </w:rPr>
        <w:t>；归属上市公司股东净利润</w:t>
      </w:r>
      <w:r>
        <w:rPr>
          <w:rFonts w:ascii="宋体" w:hAnsi="宋体" w:cs="宋体" w:eastAsia="宋体" w:hint="default"/>
          <w:spacing w:val="-2"/>
        </w:rPr>
        <w:t>4254</w:t>
      </w:r>
      <w:r>
        <w:rPr>
          <w:spacing w:val="-2"/>
        </w:rPr>
        <w:t>万元，同比增长</w:t>
      </w:r>
      <w:r>
        <w:rPr>
          <w:spacing w:val="-40"/>
        </w:rPr>
        <w:t> </w:t>
      </w:r>
      <w:r>
        <w:rPr>
          <w:spacing w:val="-40"/>
        </w:rPr>
      </w:r>
      <w:r>
        <w:rPr>
          <w:rFonts w:ascii="宋体" w:hAnsi="宋体" w:cs="宋体" w:eastAsia="宋体" w:hint="default"/>
        </w:rPr>
        <w:t>10%</w:t>
      </w:r>
      <w:r>
        <w:rPr/>
        <w:t>。</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（一）影响报告期业绩的主要原因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市场开拓能力增强，总体发展态势向好</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8"/>
        <w:jc w:val="both"/>
        <w:rPr>
          <w:rFonts w:ascii="宋体" w:hAnsi="宋体" w:cs="宋体" w:eastAsia="宋体" w:hint="default"/>
        </w:rPr>
      </w:pPr>
      <w:r>
        <w:rPr>
          <w:rFonts w:ascii="宋体" w:hAnsi="宋体" w:cs="宋体" w:eastAsia="宋体" w:hint="default"/>
          <w:w w:val="100"/>
        </w:rPr>
        <w:t>    </w:t>
      </w:r>
      <w:r>
        <w:rPr>
          <w:spacing w:val="-3"/>
        </w:rPr>
        <w:t>报告期内，公司聚焦行业客户，加强市场拓展，持续改进和完善市场营销体系。公司对重点项目进行</w:t>
      </w:r>
      <w:r>
        <w:rPr>
          <w:w w:val="100"/>
        </w:rPr>
        <w:t> </w:t>
      </w:r>
      <w:r>
        <w:rPr>
          <w:spacing w:val="-2"/>
        </w:rPr>
        <w:t>了全面策划和重点跟踪，充分调动各部门员工及合作伙伴的协同意识，实现共享资源、优势互补，</w:t>
      </w:r>
      <w:r>
        <w:rPr>
          <w:rFonts w:ascii="宋体" w:hAnsi="宋体" w:cs="宋体" w:eastAsia="宋体" w:hint="default"/>
          <w:spacing w:val="-2"/>
        </w:rPr>
        <w:t>2017</w:t>
      </w:r>
      <w:r>
        <w:rPr>
          <w:spacing w:val="-2"/>
        </w:rPr>
        <w:t>年</w:t>
      </w:r>
      <w:r>
        <w:rPr>
          <w:spacing w:val="-44"/>
        </w:rPr>
        <w:t> </w:t>
      </w:r>
      <w:r>
        <w:rPr/>
        <w:t>度新签合同金额较</w:t>
      </w:r>
      <w:r>
        <w:rPr>
          <w:rFonts w:ascii="宋体" w:hAnsi="宋体" w:cs="宋体" w:eastAsia="宋体" w:hint="default"/>
        </w:rPr>
        <w:t>2016</w:t>
      </w:r>
      <w:r>
        <w:rPr/>
        <w:t>年度增长</w:t>
      </w:r>
      <w:r>
        <w:rPr>
          <w:rFonts w:ascii="宋体" w:hAnsi="宋体" w:cs="宋体" w:eastAsia="宋体" w:hint="default"/>
        </w:rPr>
        <w:t>11%</w:t>
      </w:r>
      <w:r>
        <w:rPr/>
        <w:t>，市场开拓能力有所提升。</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数字会议和油气领域信息化需求增长</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10"/>
        <w:rPr>
          <w:rFonts w:ascii="宋体" w:hAnsi="宋体" w:cs="宋体" w:eastAsia="宋体" w:hint="default"/>
          <w:sz w:val="14"/>
          <w:szCs w:val="14"/>
        </w:rPr>
      </w:pPr>
    </w:p>
    <w:p>
      <w:pPr>
        <w:pStyle w:val="BodyText"/>
        <w:spacing w:line="408" w:lineRule="auto" w:before="0"/>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公司营业收入同比增长</w:t>
      </w:r>
      <w:r>
        <w:rPr>
          <w:rFonts w:ascii="宋体" w:hAnsi="宋体" w:cs="宋体" w:eastAsia="宋体" w:hint="default"/>
        </w:rPr>
        <w:t>19%</w:t>
      </w:r>
      <w:r>
        <w:rPr/>
        <w:t>，主要受益于下游市场需求增长。随着国家把大力发展人工智能、大数据</w:t>
      </w:r>
      <w:r>
        <w:rPr>
          <w:w w:val="100"/>
        </w:rPr>
        <w:t> </w:t>
      </w:r>
      <w:r>
        <w:rPr>
          <w:spacing w:val="-2"/>
        </w:rPr>
        <w:t>产业推上国家战略层面，特别是党的“十九大”报告中明确指出，要推动互联网、大数据、人工智能和实</w:t>
      </w:r>
      <w:r>
        <w:rPr>
          <w:spacing w:val="-43"/>
        </w:rPr>
        <w:t> </w:t>
      </w:r>
      <w:r>
        <w:rPr>
          <w:spacing w:val="-43"/>
        </w:rPr>
      </w:r>
      <w:r>
        <w:rPr>
          <w:spacing w:val="-5"/>
        </w:rPr>
        <w:t>体经济深度融合，公司下游客户所在行业信息化建设投入持续加大、智慧化升级需求日益增大。报告期内， </w:t>
      </w:r>
      <w:r>
        <w:rPr>
          <w:spacing w:val="-5"/>
        </w:rPr>
      </w:r>
      <w:r>
        <w:rPr>
          <w:spacing w:val="-2"/>
        </w:rPr>
        <w:t>公司数字会议和油气领域业务增长较快，其中全国数字会议业务需求增长迅猛，带来数字会议业务的快速</w:t>
      </w:r>
      <w:r>
        <w:rPr>
          <w:spacing w:val="-43"/>
        </w:rPr>
        <w:t> </w:t>
      </w:r>
      <w:r>
        <w:rPr>
          <w:spacing w:val="-43"/>
        </w:rPr>
      </w:r>
      <w:r>
        <w:rPr>
          <w:spacing w:val="-2"/>
        </w:rPr>
        <w:t>增长，塔里木油田产能建设加速为油气业务增长创造了条件，两个业务板块实现的营业收入和毛利增幅均</w:t>
      </w:r>
      <w:r>
        <w:rPr>
          <w:spacing w:val="-42"/>
        </w:rPr>
        <w:t> </w:t>
      </w:r>
      <w:r>
        <w:rPr>
          <w:spacing w:val="-42"/>
        </w:rPr>
      </w:r>
      <w:r>
        <w:rPr/>
        <w:t>超过</w:t>
      </w:r>
      <w:r>
        <w:rPr>
          <w:rFonts w:ascii="宋体" w:hAnsi="宋体" w:cs="宋体" w:eastAsia="宋体" w:hint="default"/>
        </w:rPr>
        <w:t>20%</w:t>
      </w:r>
      <w:r>
        <w:rPr/>
        <w:t>。</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3.</w:t>
      </w:r>
      <w:r>
        <w:rPr/>
        <w:t>研发成效明显，有效支撑业务发展</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w w:val="100"/>
        </w:rPr>
        <w:t>    </w:t>
      </w:r>
      <w:r>
        <w:rPr>
          <w:spacing w:val="-5"/>
        </w:rPr>
        <w:t>公司多年来始终坚持“创新驱动发展”战略，持续投入自主核心技术研发，不断增强在高速机器视觉、</w:t>
      </w:r>
      <w:r>
        <w:rPr>
          <w:w w:val="100"/>
        </w:rPr>
        <w:t> </w:t>
      </w:r>
      <w:r>
        <w:rPr>
          <w:spacing w:val="-2"/>
        </w:rPr>
        <w:t>智能识别与分析技术方面的核心竞争力，并保持国内同行业的领先地位。凭借在行业内数十年的经验和对</w:t>
      </w:r>
      <w:r>
        <w:rPr>
          <w:spacing w:val="-43"/>
        </w:rPr>
        <w:t> </w:t>
      </w:r>
      <w:r>
        <w:rPr>
          <w:spacing w:val="-43"/>
        </w:rPr>
      </w:r>
      <w:r>
        <w:rPr>
          <w:spacing w:val="-2"/>
        </w:rPr>
        <w:t>客户业务需求的准确把握，积极将新一代信息技术与行业发展趋势相结合，不断推出既满足市场需要又具</w:t>
      </w:r>
      <w:r>
        <w:rPr>
          <w:spacing w:val="-43"/>
        </w:rPr>
        <w:t> </w:t>
      </w:r>
      <w:r>
        <w:rPr>
          <w:spacing w:val="-43"/>
        </w:rPr>
      </w:r>
      <w:r>
        <w:rPr>
          <w:spacing w:val="-2"/>
        </w:rPr>
        <w:t>有一定领先性的产品和服务，形成众多行业示范型和典型案例，助力行业市场推广，驱动公司主营业务盈</w:t>
      </w:r>
      <w:r>
        <w:rPr>
          <w:spacing w:val="-42"/>
        </w:rPr>
        <w:t> </w:t>
      </w:r>
      <w:r>
        <w:rPr>
          <w:spacing w:val="-42"/>
        </w:rPr>
      </w:r>
      <w:r>
        <w:rPr>
          <w:spacing w:val="-5"/>
        </w:rPr>
        <w:t>利能力提升。报告期内，公司自主创新研发的第九代电子选举系统、新型大席位电子表决系统、“计票通”</w:t>
      </w:r>
      <w:r>
        <w:rPr>
          <w:spacing w:val="-8"/>
        </w:rPr>
        <w:t> </w:t>
      </w:r>
      <w:r>
        <w:rPr>
          <w:spacing w:val="-8"/>
        </w:rPr>
      </w:r>
      <w:r>
        <w:rPr>
          <w:spacing w:val="-2"/>
        </w:rPr>
        <w:t>基层选举系统、临床超声（心脏、体表等）教学及移动超声系统、云超声管理平台、卷烟生产大数据分析</w:t>
      </w:r>
      <w:r>
        <w:rPr>
          <w:spacing w:val="-45"/>
        </w:rPr>
        <w:t> </w:t>
      </w:r>
      <w:r>
        <w:rPr>
          <w:spacing w:val="-45"/>
        </w:rPr>
      </w:r>
      <w:r>
        <w:rPr>
          <w:spacing w:val="-7"/>
        </w:rPr>
        <w:t>平台、卷烟智能制造检测系统（如封箱缺条检测、嘴棒计数、滤嘴爆珠检测系统等）、政务大数据平台（民</w:t>
      </w:r>
      <w:r>
        <w:rPr>
          <w:spacing w:val="-18"/>
        </w:rPr>
        <w:t> </w:t>
      </w:r>
      <w:r>
        <w:rPr>
          <w:spacing w:val="-18"/>
        </w:rPr>
      </w:r>
      <w:r>
        <w:rPr>
          <w:spacing w:val="-2"/>
        </w:rPr>
        <w:t>生大数据、智慧统计、智慧人大、智慧政协等）和废钞销毁智能影像系统等系列产品在性能指标上均处于</w:t>
      </w:r>
    </w:p>
    <w:p>
      <w:pPr>
        <w:spacing w:after="0" w:line="408"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rPr>
          <w:rFonts w:ascii="宋体" w:hAnsi="宋体" w:cs="宋体" w:eastAsia="宋体" w:hint="default"/>
        </w:rPr>
      </w:pPr>
      <w:r>
        <w:rPr/>
        <w:t>行业标杆水平，并取得了很好的市场效果，也将支撑公司业务发展。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4.</w:t>
      </w:r>
      <w:r>
        <w:rPr/>
        <w:t>扩大业务规模，提升主营业务盈利能力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公司</w:t>
      </w:r>
      <w:r>
        <w:rPr>
          <w:rFonts w:ascii="宋体" w:hAnsi="宋体" w:cs="宋体" w:eastAsia="宋体" w:hint="default"/>
        </w:rPr>
        <w:t>2017</w:t>
      </w:r>
      <w:r>
        <w:rPr/>
        <w:t>年归属上市公司股东净利润较</w:t>
      </w:r>
      <w:r>
        <w:rPr>
          <w:rFonts w:ascii="宋体" w:hAnsi="宋体" w:cs="宋体" w:eastAsia="宋体" w:hint="default"/>
        </w:rPr>
        <w:t>2016</w:t>
      </w:r>
      <w:r>
        <w:rPr/>
        <w:t>年增长</w:t>
      </w:r>
      <w:r>
        <w:rPr>
          <w:rFonts w:ascii="宋体" w:hAnsi="宋体" w:cs="宋体" w:eastAsia="宋体" w:hint="default"/>
        </w:rPr>
        <w:t>10%</w:t>
      </w:r>
      <w:r>
        <w:rPr/>
        <w:t>，一方面得益于业务规模的增长，为公司效益</w:t>
      </w:r>
      <w:r>
        <w:rPr>
          <w:w w:val="100"/>
        </w:rPr>
        <w:t> </w:t>
      </w:r>
      <w:r>
        <w:rPr>
          <w:spacing w:val="-2"/>
        </w:rPr>
        <w:t>增长奠定了坚实的基础；另一方面，随着业务规模的扩大、业务覆盖地域的延伸，公司内部控制管理、项</w:t>
      </w:r>
      <w:r>
        <w:rPr>
          <w:spacing w:val="-43"/>
        </w:rPr>
        <w:t> </w:t>
      </w:r>
      <w:r>
        <w:rPr>
          <w:spacing w:val="-43"/>
        </w:rPr>
      </w:r>
      <w:r>
        <w:rPr>
          <w:spacing w:val="-2"/>
        </w:rPr>
        <w:t>目管理等难度逐渐增大，为保证公司业务的良性发展，公司加强了内控管理，节支增效，全年毛利率提高</w:t>
      </w:r>
      <w:r>
        <w:rPr>
          <w:spacing w:val="-47"/>
        </w:rPr>
        <w:t> </w:t>
      </w:r>
      <w:r>
        <w:rPr>
          <w:spacing w:val="-47"/>
        </w:rPr>
      </w:r>
      <w:r>
        <w:rPr>
          <w:rFonts w:ascii="宋体" w:hAnsi="宋体" w:cs="宋体" w:eastAsia="宋体" w:hint="default"/>
        </w:rPr>
        <w:t>3</w:t>
      </w:r>
      <w:r>
        <w:rPr/>
        <w:t>个百分点，支撑了公司净利润的增长。</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5.</w:t>
      </w:r>
      <w:r>
        <w:rPr/>
        <w:t>加大应收账款管理力度，确保项目正常回款</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right="206"/>
        <w:jc w:val="both"/>
        <w:rPr>
          <w:rFonts w:ascii="宋体" w:hAnsi="宋体" w:cs="宋体" w:eastAsia="宋体" w:hint="default"/>
        </w:rPr>
      </w:pPr>
      <w:r>
        <w:rPr>
          <w:rFonts w:ascii="宋体" w:hAnsi="宋体" w:cs="宋体" w:eastAsia="宋体" w:hint="default"/>
          <w:w w:val="100"/>
        </w:rPr>
        <w:t>    </w:t>
      </w:r>
      <w:r>
        <w:rPr>
          <w:spacing w:val="-2"/>
        </w:rPr>
        <w:t>随着公司业务规模的扩大、营业收入的增加，应收账款金额有所上升，为保证公司营运资金运转，公</w:t>
      </w:r>
      <w:r>
        <w:rPr>
          <w:w w:val="100"/>
        </w:rPr>
        <w:t> </w:t>
      </w:r>
      <w:r>
        <w:rPr>
          <w:spacing w:val="-2"/>
        </w:rPr>
        <w:t>司加强项目管理，加大大额项目款项催收力度，确保重大项目的正常到款；开展应收账款和其他应收款专</w:t>
      </w:r>
      <w:r>
        <w:rPr>
          <w:spacing w:val="-44"/>
        </w:rPr>
        <w:t> </w:t>
      </w:r>
      <w:r>
        <w:rPr>
          <w:spacing w:val="-44"/>
        </w:rPr>
      </w:r>
      <w:r>
        <w:rPr/>
        <w:t>项清理和催收工作。报告期内，公司经营活动产生的现金流量净额为</w:t>
      </w:r>
      <w:r>
        <w:rPr>
          <w:rFonts w:ascii="宋体" w:hAnsi="宋体" w:cs="宋体" w:eastAsia="宋体" w:hint="default"/>
        </w:rPr>
        <w:t>1,205</w:t>
      </w:r>
      <w:r>
        <w:rPr/>
        <w:t>万元。</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6.</w:t>
      </w:r>
      <w:r>
        <w:rPr/>
        <w:t>首发上市成功，增强可持续发展能力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jc w:val="left"/>
        <w:rPr>
          <w:rFonts w:ascii="宋体" w:hAnsi="宋体" w:cs="宋体" w:eastAsia="宋体" w:hint="default"/>
        </w:rPr>
      </w:pPr>
      <w:r>
        <w:rPr>
          <w:rFonts w:ascii="宋体" w:hAnsi="宋体" w:cs="宋体" w:eastAsia="宋体" w:hint="default"/>
          <w:w w:val="100"/>
        </w:rPr>
        <w:t>    </w:t>
      </w:r>
      <w:r>
        <w:rPr>
          <w:spacing w:val="-4"/>
        </w:rPr>
        <w:t>公司</w:t>
      </w:r>
      <w:r>
        <w:rPr>
          <w:rFonts w:ascii="宋体" w:hAnsi="宋体" w:cs="宋体" w:eastAsia="宋体" w:hint="default"/>
          <w:spacing w:val="-4"/>
        </w:rPr>
        <w:t>IPO</w:t>
      </w:r>
      <w:r>
        <w:rPr>
          <w:spacing w:val="-4"/>
        </w:rPr>
        <w:t>成功增强了可持续发展能力。</w:t>
      </w:r>
      <w:r>
        <w:rPr>
          <w:rFonts w:ascii="宋体" w:hAnsi="宋体" w:cs="宋体" w:eastAsia="宋体" w:hint="default"/>
          <w:spacing w:val="-4"/>
        </w:rPr>
        <w:t>2017</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28</w:t>
      </w:r>
      <w:r>
        <w:rPr>
          <w:spacing w:val="-4"/>
        </w:rPr>
        <w:t>日，公司首次公开发行股票并在深交所创业板上市，</w:t>
      </w:r>
      <w:r>
        <w:rPr>
          <w:w w:val="100"/>
        </w:rPr>
        <w:t> </w:t>
      </w:r>
      <w:r>
        <w:rPr/>
        <w:t>募集资金</w:t>
      </w:r>
      <w:r>
        <w:rPr>
          <w:rFonts w:ascii="宋体" w:hAnsi="宋体" w:cs="宋体" w:eastAsia="宋体" w:hint="default"/>
        </w:rPr>
        <w:t>15755</w:t>
      </w:r>
      <w:r>
        <w:rPr/>
        <w:t>万元，一方面优化了公司的财务结构，降低了公司资产负债率；另一方面提升了公司的市</w:t>
      </w:r>
      <w:r>
        <w:rPr>
          <w:spacing w:val="-30"/>
        </w:rPr>
        <w:t> </w:t>
      </w:r>
      <w:r>
        <w:rPr>
          <w:spacing w:val="-30"/>
        </w:rPr>
      </w:r>
      <w:r>
        <w:rPr/>
        <w:t>场知名度，增强了企业抗风险能力，为公司扩大经营规模、持续研发投入创造了良好的条件。</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t>（二）报告期内公司重点工作回顾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圆满完成国家重大专项任务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报告期内，公司集中优质资源开展新一代电子选举系统和新型电子表决系统研制任务。</w:t>
      </w:r>
      <w:r>
        <w:rPr>
          <w:rFonts w:ascii="宋体" w:hAnsi="宋体" w:cs="宋体" w:eastAsia="宋体" w:hint="default"/>
        </w:rPr>
        <w:t>2017</w:t>
      </w:r>
      <w:r>
        <w:rPr/>
        <w:t>年</w:t>
      </w:r>
      <w:r>
        <w:rPr>
          <w:rFonts w:ascii="宋体" w:hAnsi="宋体" w:cs="宋体" w:eastAsia="宋体" w:hint="default"/>
        </w:rPr>
        <w:t>8</w:t>
      </w:r>
      <w:r>
        <w:rPr/>
        <w:t>月，</w:t>
      </w:r>
      <w:r>
        <w:rPr>
          <w:w w:val="100"/>
        </w:rPr>
        <w:t> </w:t>
      </w:r>
      <w:r>
        <w:rPr>
          <w:spacing w:val="-2"/>
        </w:rPr>
        <w:t>成功完成了人民大会堂新型电子表决系统的安装调试任务；</w:t>
      </w:r>
      <w:r>
        <w:rPr>
          <w:rFonts w:ascii="宋体" w:hAnsi="宋体" w:cs="宋体" w:eastAsia="宋体" w:hint="default"/>
          <w:spacing w:val="-2"/>
        </w:rPr>
        <w:t>10</w:t>
      </w:r>
      <w:r>
        <w:rPr>
          <w:spacing w:val="-2"/>
        </w:rPr>
        <w:t>月，圆满完成了党的“十九大”选举服务任</w:t>
      </w:r>
      <w:r>
        <w:rPr>
          <w:spacing w:val="-40"/>
        </w:rPr>
        <w:t> </w:t>
      </w:r>
      <w:r>
        <w:rPr>
          <w:spacing w:val="-40"/>
        </w:rPr>
      </w:r>
      <w:r>
        <w:rPr>
          <w:spacing w:val="-2"/>
        </w:rPr>
        <w:t>务，来自全国的</w:t>
      </w:r>
      <w:r>
        <w:rPr>
          <w:rFonts w:ascii="宋体" w:hAnsi="宋体" w:cs="宋体" w:eastAsia="宋体" w:hint="default"/>
          <w:spacing w:val="-2"/>
        </w:rPr>
        <w:t>2300</w:t>
      </w:r>
      <w:r>
        <w:rPr>
          <w:spacing w:val="-2"/>
        </w:rPr>
        <w:t>多名代表亲身体验了它“快速、稳定、高效”的强大功能与独特魅力，并再次验证了</w:t>
      </w:r>
      <w:r>
        <w:rPr>
          <w:spacing w:val="-42"/>
        </w:rPr>
        <w:t> </w:t>
      </w:r>
      <w:r>
        <w:rPr>
          <w:spacing w:val="-42"/>
        </w:rPr>
      </w:r>
      <w:r>
        <w:rPr>
          <w:spacing w:val="-2"/>
        </w:rPr>
        <w:t>该产品的准确性、稳定性和适用性，得到了党和国家领导人及与会代表的高度赞誉。这是该系统连续</w:t>
      </w:r>
      <w:r>
        <w:rPr>
          <w:rFonts w:ascii="宋体" w:hAnsi="宋体" w:cs="宋体" w:eastAsia="宋体" w:hint="default"/>
          <w:spacing w:val="-2"/>
        </w:rPr>
        <w:t>30</w:t>
      </w:r>
      <w:r>
        <w:rPr>
          <w:spacing w:val="-2"/>
        </w:rPr>
        <w:t>多</w:t>
      </w:r>
      <w:r>
        <w:rPr>
          <w:spacing w:val="-41"/>
        </w:rPr>
        <w:t> </w:t>
      </w:r>
      <w:r>
        <w:rPr>
          <w:spacing w:val="-2"/>
        </w:rPr>
        <w:t>年来为党和国家重大会议选举服务取得的又一次胜利，充分展示了“数字会议国家队”先进的技术、优质</w:t>
      </w:r>
      <w:r>
        <w:rPr>
          <w:spacing w:val="-43"/>
        </w:rPr>
        <w:t> </w:t>
      </w:r>
      <w:r>
        <w:rPr>
          <w:spacing w:val="-43"/>
        </w:rPr>
      </w:r>
      <w:r>
        <w:rPr/>
        <w:t>的服务与过硬的业务能力。</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结合国家人工智能发展规划，坚定公司发展战略，加快发展步伐</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85"/>
        <w:jc w:val="both"/>
        <w:rPr>
          <w:rFonts w:ascii="宋体" w:hAnsi="宋体" w:cs="宋体" w:eastAsia="宋体" w:hint="default"/>
        </w:rPr>
      </w:pPr>
      <w:r>
        <w:rPr>
          <w:rFonts w:ascii="宋体" w:hAnsi="宋体" w:cs="宋体" w:eastAsia="宋体" w:hint="default"/>
          <w:w w:val="100"/>
        </w:rPr>
        <w:t>    </w:t>
      </w:r>
      <w:r>
        <w:rPr>
          <w:spacing w:val="-2"/>
        </w:rPr>
        <w:t>公司以“服务客户、成就员工、回报股东、贡献社会”为使命，集中专家团队、产</w:t>
      </w:r>
      <w:r>
        <w:rPr>
          <w:rFonts w:ascii="宋体" w:hAnsi="宋体" w:cs="宋体" w:eastAsia="宋体" w:hint="default"/>
          <w:spacing w:val="-2"/>
        </w:rPr>
        <w:t>-</w:t>
      </w:r>
      <w:r>
        <w:rPr>
          <w:spacing w:val="-2"/>
        </w:rPr>
        <w:t>学</w:t>
      </w:r>
      <w:r>
        <w:rPr>
          <w:rFonts w:ascii="宋体" w:hAnsi="宋体" w:cs="宋体" w:eastAsia="宋体" w:hint="default"/>
          <w:spacing w:val="-2"/>
        </w:rPr>
        <w:t>-</w:t>
      </w:r>
      <w:r>
        <w:rPr>
          <w:spacing w:val="-2"/>
        </w:rPr>
        <w:t>研平台、战略</w:t>
      </w:r>
      <w:r>
        <w:rPr>
          <w:w w:val="100"/>
        </w:rPr>
        <w:t> </w:t>
      </w:r>
      <w:r>
        <w:rPr>
          <w:spacing w:val="-2"/>
        </w:rPr>
        <w:t>合作伙伴等优质资源，将人工智能领域的计算机自动推理基础理论研究成果作为关键技术创新源泉，不断</w:t>
      </w:r>
      <w:r>
        <w:rPr>
          <w:spacing w:val="-42"/>
        </w:rPr>
        <w:t> </w:t>
      </w:r>
      <w:r>
        <w:rPr>
          <w:spacing w:val="-42"/>
        </w:rPr>
      </w:r>
      <w:r>
        <w:rPr>
          <w:spacing w:val="-2"/>
        </w:rPr>
        <w:t>强化在高速机器视觉、智能识别及分析技术领域的优势，综合运用高速机器视觉、机器学习、大数据、虚</w:t>
      </w:r>
      <w:r>
        <w:rPr>
          <w:spacing w:val="-43"/>
        </w:rPr>
        <w:t> </w:t>
      </w:r>
      <w:r>
        <w:rPr>
          <w:spacing w:val="-43"/>
        </w:rPr>
      </w:r>
      <w:r>
        <w:rPr>
          <w:spacing w:val="-2"/>
        </w:rPr>
        <w:t>拟现实、软件工程及物联网等关键技术，发挥公司多年来积累的丰富的信息化规划、软件开发与实施能力</w:t>
      </w:r>
      <w:r>
        <w:rPr>
          <w:spacing w:val="-43"/>
        </w:rPr>
        <w:t> </w:t>
      </w:r>
      <w:r>
        <w:rPr>
          <w:spacing w:val="-43"/>
        </w:rPr>
      </w:r>
      <w:r>
        <w:rPr>
          <w:spacing w:val="-2"/>
        </w:rPr>
        <w:t>和行业信息化建设经验特长，保持公司集成创新能力和独特的综合优势。聚焦主营业务，以市场为导向，</w:t>
      </w:r>
      <w:r>
        <w:rPr>
          <w:spacing w:val="-21"/>
        </w:rPr>
        <w:t> </w:t>
      </w:r>
      <w:r>
        <w:rPr>
          <w:spacing w:val="-21"/>
        </w:rPr>
      </w:r>
      <w:r>
        <w:rPr>
          <w:spacing w:val="-2"/>
        </w:rPr>
        <w:t>巩固和夯实在现场会议、烟草、印钞、石油领域的优势地位，扩大业务规模和区域市场。同时，做好智慧</w:t>
      </w:r>
      <w:r>
        <w:rPr>
          <w:spacing w:val="-42"/>
        </w:rPr>
        <w:t> </w:t>
      </w:r>
      <w:r>
        <w:rPr>
          <w:spacing w:val="-42"/>
        </w:rPr>
      </w:r>
      <w:r>
        <w:rPr/>
        <w:t>政务、智慧城市、智慧医疗等重要领域的业务体系构建和产品应用推广，打造出新领域的核心竞争力。</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left="212"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3.</w:t>
      </w:r>
      <w:r>
        <w:rPr/>
        <w:t>以市场为导向，加大研发力度</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212" w:right="0"/>
        <w:jc w:val="left"/>
        <w:rPr>
          <w:rFonts w:ascii="宋体" w:hAnsi="宋体" w:cs="宋体" w:eastAsia="宋体" w:hint="default"/>
        </w:rPr>
      </w:pPr>
      <w:r>
        <w:rPr>
          <w:rFonts w:ascii="宋体" w:hAnsi="宋体" w:cs="宋体" w:eastAsia="宋体" w:hint="default"/>
          <w:w w:val="100"/>
        </w:rPr>
        <w:t>    </w:t>
      </w:r>
      <w:r>
        <w:rPr>
          <w:spacing w:val="-2"/>
        </w:rPr>
        <w:t>报告期内，公司不断加大研发投入和市场推广力度，发生研发费用</w:t>
      </w:r>
      <w:r>
        <w:rPr>
          <w:rFonts w:ascii="宋体" w:hAnsi="宋体" w:cs="宋体" w:eastAsia="宋体" w:hint="default"/>
          <w:spacing w:val="-2"/>
        </w:rPr>
        <w:t>1,295</w:t>
      </w:r>
      <w:r>
        <w:rPr>
          <w:spacing w:val="-2"/>
        </w:rPr>
        <w:t>万元，同比增长</w:t>
      </w:r>
      <w:r>
        <w:rPr>
          <w:rFonts w:ascii="宋体" w:hAnsi="宋体" w:cs="宋体" w:eastAsia="宋体" w:hint="default"/>
          <w:spacing w:val="-2"/>
        </w:rPr>
        <w:t>58%</w:t>
      </w:r>
      <w:r>
        <w:rPr>
          <w:spacing w:val="-2"/>
        </w:rPr>
        <w:t>。公司持</w:t>
      </w:r>
      <w:r>
        <w:rPr>
          <w:w w:val="100"/>
        </w:rPr>
        <w:t> </w:t>
      </w:r>
      <w:r>
        <w:rPr>
          <w:spacing w:val="-2"/>
        </w:rPr>
        <w:t>续大力进行技术研发投入，面向行业应用需求，积极开发新产品、新系统，提升核心竞争力。第九代电子</w:t>
      </w:r>
      <w:r>
        <w:rPr>
          <w:spacing w:val="-43"/>
        </w:rPr>
        <w:t> </w:t>
      </w:r>
      <w:r>
        <w:rPr>
          <w:spacing w:val="-43"/>
        </w:rPr>
      </w:r>
      <w:r>
        <w:rPr>
          <w:spacing w:val="-2"/>
        </w:rPr>
        <w:t>选举系统在高速图像处理算法、智能分析等关键技术上有了新的突破，图像识别精度、智能分析能力、抗</w:t>
      </w:r>
      <w:r>
        <w:rPr>
          <w:spacing w:val="-47"/>
        </w:rPr>
        <w:t> </w:t>
      </w:r>
      <w:r>
        <w:rPr>
          <w:spacing w:val="-47"/>
        </w:rPr>
      </w:r>
      <w:r>
        <w:rPr>
          <w:spacing w:val="-2"/>
        </w:rPr>
        <w:t>干扰能力比前几代产品进一步增强；新型大席位表决系统采用双核心、双链路设计，具有超强的抗干扰能</w:t>
      </w:r>
      <w:r>
        <w:rPr>
          <w:spacing w:val="-43"/>
        </w:rPr>
        <w:t> </w:t>
      </w:r>
      <w:r>
        <w:rPr>
          <w:spacing w:val="-43"/>
        </w:rPr>
      </w:r>
      <w:r>
        <w:rPr>
          <w:spacing w:val="-2"/>
        </w:rPr>
        <w:t>力，是目前世界上规模最大、速度最快、精确度最高的表决系统；专为县乡人大和社区两委换届选举设计</w:t>
      </w:r>
      <w:r>
        <w:rPr>
          <w:spacing w:val="-46"/>
        </w:rPr>
        <w:t> </w:t>
      </w:r>
      <w:r>
        <w:rPr>
          <w:spacing w:val="-46"/>
        </w:rPr>
      </w:r>
      <w:r>
        <w:rPr/>
        <w:t>的“计票通”智能计票一体机在识别精度和选票适应能力方面比前代产品大幅提升，同时设备更为轻便、</w:t>
      </w:r>
      <w:r>
        <w:rPr>
          <w:w w:val="100"/>
        </w:rPr>
        <w:t> </w:t>
      </w:r>
      <w:r>
        <w:rPr>
          <w:spacing w:val="-2"/>
        </w:rPr>
        <w:t>简单、快速，已成功应用于港澳地区人大代表选举；面向智慧车间、智能制造研发的卷烟生产大数据分析</w:t>
      </w:r>
      <w:r>
        <w:rPr>
          <w:spacing w:val="-44"/>
        </w:rPr>
        <w:t> </w:t>
      </w:r>
      <w:r>
        <w:rPr>
          <w:spacing w:val="-44"/>
        </w:rPr>
      </w:r>
      <w:r>
        <w:rPr>
          <w:spacing w:val="-2"/>
        </w:rPr>
        <w:t>平台、卷烟厂装箱防差错系统成功应用并成为数字工厂人工智能创新应用示范；烟支嘴棒计数、滤嘴爆珠</w:t>
      </w:r>
      <w:r>
        <w:rPr>
          <w:spacing w:val="-44"/>
        </w:rPr>
        <w:t> </w:t>
      </w:r>
      <w:r>
        <w:rPr>
          <w:spacing w:val="-44"/>
        </w:rPr>
      </w:r>
      <w:r>
        <w:rPr>
          <w:spacing w:val="-2"/>
        </w:rPr>
        <w:t>检测系统的检测精度和速度远远超过竞争对手，已形成了系列化产品并开始推广应用；高速机器视觉技术</w:t>
      </w:r>
      <w:r>
        <w:rPr>
          <w:spacing w:val="-43"/>
        </w:rPr>
        <w:t> </w:t>
      </w:r>
      <w:r>
        <w:rPr>
          <w:spacing w:val="-43"/>
        </w:rPr>
      </w:r>
      <w:r>
        <w:rPr>
          <w:spacing w:val="-5"/>
        </w:rPr>
        <w:t>在薄膜检测、玻璃检测、印染质量检测、复杂环境动态人脸识别、废钞销毁检测等方面均取得一定的突破。</w:t>
      </w:r>
      <w:r>
        <w:rPr>
          <w:spacing w:val="-8"/>
        </w:rPr>
        <w:t> </w:t>
      </w:r>
      <w:r>
        <w:rPr>
          <w:spacing w:val="-8"/>
        </w:rPr>
      </w:r>
      <w:r>
        <w:rPr>
          <w:spacing w:val="-2"/>
        </w:rPr>
        <w:t>报告期内公司发布的新产品还包括面向智慧政务的民生大数据系统和统计大数据平台；面向智慧医疗的临</w:t>
      </w:r>
      <w:r>
        <w:rPr>
          <w:spacing w:val="-43"/>
        </w:rPr>
        <w:t> </w:t>
      </w:r>
      <w:r>
        <w:rPr>
          <w:spacing w:val="-43"/>
        </w:rPr>
      </w:r>
      <w:r>
        <w:rPr>
          <w:spacing w:val="-2"/>
        </w:rPr>
        <w:t>床超声体表教学系统、云超声管理平台；面向智能视频的视频摘要、人脸识别检测及人体关节检测技术等</w:t>
      </w:r>
      <w:r>
        <w:rPr>
          <w:spacing w:val="-45"/>
        </w:rPr>
        <w:t> </w:t>
      </w:r>
      <w:r>
        <w:rPr>
          <w:spacing w:val="-45"/>
        </w:rPr>
      </w:r>
      <w:r>
        <w:rPr>
          <w:spacing w:val="-2"/>
        </w:rPr>
        <w:t>等。这些面向公司主要业务领域及新业务的研发成果问世，为公司业务在智慧政务、智慧城市、智慧医疗</w:t>
      </w:r>
      <w:r>
        <w:rPr>
          <w:spacing w:val="-46"/>
        </w:rPr>
        <w:t> </w:t>
      </w:r>
      <w:r>
        <w:rPr>
          <w:spacing w:val="-46"/>
        </w:rPr>
      </w:r>
      <w:r>
        <w:rPr/>
        <w:t>领域的深入拓展创造了条件。</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4.</w:t>
      </w:r>
      <w:r>
        <w:rPr/>
        <w:t>以人为本，强化人才队伍建设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212" w:right="206"/>
        <w:jc w:val="both"/>
        <w:rPr>
          <w:rFonts w:ascii="宋体" w:hAnsi="宋体" w:cs="宋体" w:eastAsia="宋体" w:hint="default"/>
        </w:rPr>
      </w:pPr>
      <w:r>
        <w:rPr>
          <w:rFonts w:ascii="宋体" w:hAnsi="宋体" w:cs="宋体" w:eastAsia="宋体" w:hint="default"/>
          <w:w w:val="100"/>
        </w:rPr>
        <w:t>    </w:t>
      </w:r>
      <w:r>
        <w:rPr>
          <w:spacing w:val="-2"/>
        </w:rPr>
        <w:t>在人才队伍建设上，公司始终坚持优胜劣汰原则，在保持核心人才队伍稳定的同时，严格执行考核制</w:t>
      </w:r>
      <w:r>
        <w:rPr>
          <w:w w:val="100"/>
        </w:rPr>
        <w:t> </w:t>
      </w:r>
      <w:r>
        <w:rPr>
          <w:spacing w:val="-2"/>
        </w:rPr>
        <w:t>度，落实激励措施，并不断健全完善用人、留人机制。重视员工培训，以多形态的企业培训形式促进员工</w:t>
      </w:r>
      <w:r>
        <w:rPr>
          <w:spacing w:val="-43"/>
        </w:rPr>
        <w:t> </w:t>
      </w:r>
      <w:r>
        <w:rPr>
          <w:spacing w:val="-43"/>
        </w:rPr>
      </w:r>
      <w:r>
        <w:rPr/>
        <w:t>成长，实现技术水平与业务管理水平的双提升。注重专业人才队伍建设，报告期内有</w:t>
      </w:r>
      <w:r>
        <w:rPr>
          <w:rFonts w:ascii="宋体" w:hAnsi="宋体" w:cs="宋体" w:eastAsia="宋体" w:hint="default"/>
        </w:rPr>
        <w:t>2</w:t>
      </w:r>
      <w:r>
        <w:rPr/>
        <w:t>人获得正高级、</w:t>
      </w:r>
      <w:r>
        <w:rPr>
          <w:rFonts w:ascii="宋体" w:hAnsi="宋体" w:cs="宋体" w:eastAsia="宋体" w:hint="default"/>
        </w:rPr>
        <w:t>10</w:t>
      </w:r>
      <w:r>
        <w:rPr>
          <w:rFonts w:ascii="宋体" w:hAnsi="宋体" w:cs="宋体" w:eastAsia="宋体" w:hint="default"/>
          <w:spacing w:val="-20"/>
        </w:rPr>
        <w:t> </w:t>
      </w:r>
      <w:r>
        <w:rPr/>
        <w:t>人获得副高级、</w:t>
      </w:r>
      <w:r>
        <w:rPr>
          <w:rFonts w:ascii="宋体" w:hAnsi="宋体" w:cs="宋体" w:eastAsia="宋体" w:hint="default"/>
        </w:rPr>
        <w:t>25</w:t>
      </w:r>
      <w:r>
        <w:rPr/>
        <w:t>人获得中级技术职务任职资格，</w:t>
      </w:r>
      <w:r>
        <w:rPr>
          <w:rFonts w:ascii="宋体" w:hAnsi="宋体" w:cs="宋体" w:eastAsia="宋体" w:hint="default"/>
        </w:rPr>
        <w:t>2</w:t>
      </w:r>
      <w:r>
        <w:rPr/>
        <w:t>人获得中国科学院</w:t>
      </w:r>
      <w:r>
        <w:rPr>
          <w:rFonts w:ascii="宋体" w:hAnsi="宋体" w:cs="宋体" w:eastAsia="宋体" w:hint="default"/>
        </w:rPr>
        <w:t>2017</w:t>
      </w:r>
      <w:r>
        <w:rPr/>
        <w:t>年度西部之光人才引进培养计</w:t>
      </w:r>
      <w:r>
        <w:rPr>
          <w:spacing w:val="-27"/>
        </w:rPr>
        <w:t> </w:t>
      </w:r>
      <w:r>
        <w:rPr>
          <w:spacing w:val="-27"/>
        </w:rPr>
      </w:r>
      <w:r>
        <w:rPr/>
        <w:t>划支持。</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5.</w:t>
      </w:r>
      <w:r>
        <w:rPr/>
        <w:t>公司获得的荣誉及资质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212" w:right="0"/>
        <w:jc w:val="left"/>
        <w:rPr>
          <w:rFonts w:ascii="宋体" w:hAnsi="宋体" w:cs="宋体" w:eastAsia="宋体" w:hint="default"/>
        </w:rPr>
      </w:pPr>
      <w:r>
        <w:rPr>
          <w:rFonts w:ascii="宋体" w:hAnsi="宋体" w:cs="宋体" w:eastAsia="宋体" w:hint="default"/>
          <w:w w:val="100"/>
        </w:rPr>
        <w:t>    </w:t>
      </w:r>
      <w:r>
        <w:rPr/>
        <w:t>报告期内，公司在资质体系建设方面成效良好，公司获得的荣誉及资质如下：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079"/>
        <w:gridCol w:w="3401"/>
        <w:gridCol w:w="1844"/>
      </w:tblGrid>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证书名称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b/>
                <w:bCs/>
                <w:sz w:val="21"/>
                <w:szCs w:val="21"/>
              </w:rPr>
              <w:t>颁发单位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颁发时间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国家高新技术企业（新证）</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pacing w:val="-3"/>
                <w:sz w:val="18"/>
                <w:szCs w:val="18"/>
              </w:rPr>
              <w:t>四川省科学技术厅、四川省财政厅、四川</w:t>
            </w:r>
            <w:r>
              <w:rPr>
                <w:rFonts w:ascii="宋体" w:hAnsi="宋体" w:cs="宋体" w:eastAsia="宋体" w:hint="default"/>
                <w:sz w:val="18"/>
                <w:szCs w:val="18"/>
              </w:rPr>
              <w:t> 省国家税务局、四川省地方税务局</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软件企业（新证）</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四川省软件行业协会</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质量管理体系认证证书（新证）</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中国质量认证中心</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环境管理体系认证证书（新证）</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中国质量认证中心</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职业健康安全管理体系认证证书（新证）</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中国质量认证中心</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中科院人工智能产学研创新联盟理事单位</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中科院人工智能产学研创新联盟</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100" w:bottom="1160" w:left="920" w:right="92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079"/>
        <w:gridCol w:w="3401"/>
        <w:gridCol w:w="1844"/>
      </w:tblGrid>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中科院智慧城市产业联盟副理事长单位</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中科院智慧城市产业联盟</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守合同重信用企业</w:t>
            </w:r>
            <w:r>
              <w:rPr>
                <w:rFonts w:ascii="宋体" w:hAnsi="宋体" w:cs="宋体" w:eastAsia="宋体"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成都市工商行政管理局</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2"/>
        <w:spacing w:line="240" w:lineRule="auto" w:before="26"/>
        <w:ind w:left="212"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21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9"/>
        <w:ind w:left="212"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3"/>
          <w:szCs w:val="23"/>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290,694,326.03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244,081,189.12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19.10%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89,196,851.95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39,149,832.07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59,853,717.20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49,079,071.52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73,012,790.17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37,641,940.14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46,037,639.05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79,844,779.75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22,593,327.66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38,365,565.64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176,099,367.99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181,312,911.42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110,767,914.25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58,874,148.27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13.99%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3,827,043.79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3,894,129.43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10,641,275.78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762,665.54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36,560,824.99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8,139,228.94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9.24%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19,900,515.49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19,602,375.27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6,322,836.44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10,312,885.57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27,177,429.39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9,360,856.76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87,508,781.37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16,025,374.72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23.54%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102,582,662.57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179,877,802.32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-38.41%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2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数字会议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89,196,851.95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40,821,454.04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烟草行业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59,853,717.20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47,763,516.98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21.95%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油气行业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73,012,790.17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46,623,966.93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93.97%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政府及事业单位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46,037,639.05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38,003,028.50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22,593,327.66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15,930,700.38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信息化解决方案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176,099,367.99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121,129,396.43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技术服务与开发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110,767,914.25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67,650,373.16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3,827,043.79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362,897.24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10,641,275.78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5,597,334.70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2,829.14%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36,560,824.99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22,778,407.72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804.30%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19,900,515.49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5,881,683.38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6,322,836.44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2,892,713.33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-38.69%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-19.83%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27,177,429.39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22,357,645.85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87,508,781.37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57,801,541.37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492.91%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102,582,662.57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71,833,340.48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9,743,728.38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13,795,158.02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信息化解决方案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111,385,668.05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124,676,326.45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24,795,242.06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14,351,008.93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技术服务与开发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外购材料及服务 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42,855,131.10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14,593,146.29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13.97%</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157"/>
        <w:ind w:left="419" w:right="0"/>
        <w:jc w:val="left"/>
      </w:pPr>
      <w:r>
        <w:rPr>
          <w:rFonts w:ascii="宋体" w:hAnsi="宋体" w:cs="宋体" w:eastAsia="宋体" w:hint="default"/>
          <w:w w:val="100"/>
        </w:rPr>
        <w:t> </w:t>
      </w:r>
      <w:r>
        <w:rPr/>
        <w:t>本公司于</w:t>
      </w:r>
      <w:r>
        <w:rPr>
          <w:spacing w:val="-49"/>
        </w:rPr>
        <w:t> </w:t>
      </w:r>
      <w:r>
        <w:rPr>
          <w:rFonts w:ascii="宋体" w:hAnsi="宋体" w:cs="宋体" w:eastAsia="宋体" w:hint="default"/>
        </w:rPr>
        <w:t>2016</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月投资设立全资子公司中科金华，注册资本人民币</w:t>
      </w:r>
      <w:r>
        <w:rPr>
          <w:spacing w:val="-51"/>
        </w:rPr>
        <w:t> </w:t>
      </w:r>
      <w:r>
        <w:rPr>
          <w:rFonts w:ascii="宋体" w:hAnsi="宋体" w:cs="宋体" w:eastAsia="宋体" w:hint="default"/>
        </w:rPr>
        <w:t>500</w:t>
      </w:r>
      <w:r>
        <w:rPr>
          <w:rFonts w:ascii="宋体" w:hAnsi="宋体" w:cs="宋体" w:eastAsia="宋体" w:hint="default"/>
          <w:spacing w:val="-49"/>
        </w:rPr>
        <w:t> </w:t>
      </w:r>
      <w:r>
        <w:rPr/>
        <w:t>万元，经营范围：计算机</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spacing w:val="-4"/>
        </w:rPr>
        <w:t>信息技术开发、技术服务；技术咨询；信息系统集成服务、计算机软硬件产品销售。中科金华于 </w:t>
      </w:r>
      <w:r>
        <w:rPr>
          <w:rFonts w:ascii="宋体" w:hAnsi="宋体" w:cs="宋体" w:eastAsia="宋体" w:hint="default"/>
        </w:rPr>
        <w:t>2017 </w:t>
      </w:r>
      <w:r>
        <w:rPr/>
        <w:t>年</w:t>
      </w:r>
      <w:r>
        <w:rPr>
          <w:spacing w:val="-75"/>
        </w:rPr>
        <w:t> </w:t>
      </w:r>
      <w:r>
        <w:rPr>
          <w:rFonts w:ascii="宋体" w:hAnsi="宋体" w:cs="宋体" w:eastAsia="宋体" w:hint="default"/>
        </w:rPr>
        <w:t>1</w:t>
      </w:r>
    </w:p>
    <w:p>
      <w:pPr>
        <w:spacing w:line="240" w:lineRule="auto" w:before="10"/>
        <w:rPr>
          <w:rFonts w:ascii="宋体" w:hAnsi="宋体" w:cs="宋体" w:eastAsia="宋体" w:hint="default"/>
          <w:sz w:val="14"/>
          <w:szCs w:val="14"/>
        </w:rPr>
      </w:pPr>
    </w:p>
    <w:p>
      <w:pPr>
        <w:pStyle w:val="BodyText"/>
        <w:spacing w:line="240" w:lineRule="auto" w:before="0"/>
        <w:ind w:right="153"/>
        <w:jc w:val="left"/>
      </w:pPr>
      <w:r>
        <w:rPr/>
        <w:t>月正式开展经营活动，故本公司自</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月起将其纳入合并范围。</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125,632,191.70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43.22%</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44,457,757.09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29,999,999.98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23,526,625.41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16,173,290.18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11,474,519.04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125,632,191.70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43.22%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22,071,269.70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13.72%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5,654,333.14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3.51%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5,145,299.15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3.20%</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4,628,460.48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3,477,523.08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3,165,653.85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22,071,269.70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1" w:right="0"/>
              <w:jc w:val="left"/>
              <w:rPr>
                <w:rFonts w:ascii="Times New Roman" w:hAnsi="Times New Roman" w:cs="Times New Roman" w:eastAsia="Times New Roman" w:hint="default"/>
                <w:sz w:val="18"/>
                <w:szCs w:val="18"/>
              </w:rPr>
            </w:pPr>
            <w:r>
              <w:rPr>
                <w:rFonts w:ascii="Times New Roman"/>
                <w:sz w:val="18"/>
              </w:rPr>
              <w:t>26,767,370.71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21,643,863.01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23.67%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33,721,634.26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23,315,750.42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研发费用、职工薪酬以及企业自行负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担的发行费用增加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9" w:right="0"/>
              <w:jc w:val="left"/>
              <w:rPr>
                <w:rFonts w:ascii="Times New Roman" w:hAnsi="Times New Roman" w:cs="Times New Roman" w:eastAsia="Times New Roman" w:hint="default"/>
                <w:sz w:val="18"/>
                <w:szCs w:val="18"/>
              </w:rPr>
            </w:pPr>
            <w:r>
              <w:rPr>
                <w:rFonts w:ascii="Times New Roman"/>
                <w:sz w:val="18"/>
              </w:rPr>
              <w:t>-1,680,146.88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-1,170,423.48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43.55%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利息收入增加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5"/>
        <w:ind w:right="0" w:firstLine="384"/>
        <w:jc w:val="left"/>
        <w:rPr>
          <w:sz w:val="18"/>
          <w:szCs w:val="18"/>
        </w:rPr>
      </w:pPr>
      <w:r>
        <w:rPr>
          <w:spacing w:val="-4"/>
        </w:rPr>
        <w:t>公司多年来始终坚持“创新驱动发展”战略，持续投入自主核心技术研发，不断增强在高速机器视觉、</w:t>
      </w:r>
      <w:r>
        <w:rPr>
          <w:w w:val="100"/>
        </w:rPr>
        <w:t> </w:t>
      </w:r>
      <w:r>
        <w:rPr>
          <w:spacing w:val="-2"/>
        </w:rPr>
        <w:t>智能识别与分析技术方面的核心竞争力，并保持国内同行业的领先地位。凭借在行业内数十年的经验和对</w:t>
      </w:r>
      <w:r>
        <w:rPr>
          <w:spacing w:val="-43"/>
        </w:rPr>
        <w:t> </w:t>
      </w:r>
      <w:r>
        <w:rPr>
          <w:spacing w:val="-43"/>
        </w:rPr>
      </w:r>
      <w:r>
        <w:rPr>
          <w:spacing w:val="-2"/>
        </w:rPr>
        <w:t>客户业务需求的准确把握，积极将新一代信息技术与行业发展趋势相结合，不断推出既满足市场需要又具</w:t>
      </w:r>
      <w:r>
        <w:rPr>
          <w:spacing w:val="-43"/>
        </w:rPr>
        <w:t> </w:t>
      </w:r>
      <w:r>
        <w:rPr>
          <w:spacing w:val="-43"/>
        </w:rPr>
      </w:r>
      <w:r>
        <w:rPr>
          <w:spacing w:val="-2"/>
        </w:rPr>
        <w:t>有一定领先性的产品和服务，形成众多行业示范型和典型案例，助力行业市场推广，驱动公司主营业务盈</w:t>
      </w:r>
      <w:r>
        <w:rPr>
          <w:spacing w:val="-42"/>
        </w:rPr>
        <w:t> </w:t>
      </w:r>
      <w:r>
        <w:rPr>
          <w:spacing w:val="-42"/>
        </w:rPr>
      </w:r>
      <w:r>
        <w:rPr>
          <w:spacing w:val="-5"/>
        </w:rPr>
        <w:t>利能力提升。报告期内，公司自主创新研发的第九代电子选举系统、新型大席位电子表决系统、“计票通”</w:t>
      </w:r>
      <w:r>
        <w:rPr>
          <w:spacing w:val="-8"/>
        </w:rPr>
        <w:t> </w:t>
      </w:r>
      <w:r>
        <w:rPr>
          <w:spacing w:val="-8"/>
        </w:rPr>
      </w:r>
      <w:r>
        <w:rPr>
          <w:spacing w:val="-2"/>
        </w:rPr>
        <w:t>智能计票一体机基层选举系统、临床超声（心脏、体表等）教学及移动超声系统、云超声管理平台、卷烟</w:t>
      </w:r>
      <w:r>
        <w:rPr>
          <w:spacing w:val="-42"/>
        </w:rPr>
        <w:t> </w:t>
      </w:r>
      <w:r>
        <w:rPr>
          <w:spacing w:val="-42"/>
        </w:rPr>
      </w:r>
      <w:r>
        <w:rPr>
          <w:spacing w:val="-2"/>
        </w:rPr>
        <w:t>生产大数据分析平台、卷烟智能制造检测系统（如封箱缺条检测、嘴棒计数、滤嘴爆珠检测系统等）、政</w:t>
      </w:r>
      <w:r>
        <w:rPr>
          <w:spacing w:val="-45"/>
        </w:rPr>
        <w:t> </w:t>
      </w:r>
      <w:r>
        <w:rPr>
          <w:spacing w:val="-45"/>
        </w:rPr>
      </w:r>
      <w:r>
        <w:rPr>
          <w:spacing w:val="-2"/>
        </w:rPr>
        <w:t>务大数据平台（民生大数据、智慧统计、智慧人大、智慧政协等）和废钞销毁智能影像系统等系列产品在</w:t>
      </w:r>
      <w:r>
        <w:rPr>
          <w:spacing w:val="-43"/>
        </w:rPr>
        <w:t> </w:t>
      </w:r>
      <w:r>
        <w:rPr>
          <w:spacing w:val="-43"/>
        </w:rPr>
      </w:r>
      <w:r>
        <w:rPr/>
        <w:t>性能指标上均处于行业标杆水平，并取得了很好的市场效果，也将支撑公司业务发展。</w:t>
      </w:r>
      <w:r>
        <w:rPr>
          <w:rFonts w:ascii="宋体" w:hAnsi="宋体" w:cs="宋体" w:eastAsia="宋体" w:hint="default"/>
          <w:w w:val="100"/>
        </w:rPr>
        <w:t> </w:t>
      </w:r>
      <w:r>
        <w:rPr>
          <w:sz w:val="18"/>
          <w:szCs w:val="18"/>
        </w:rPr>
        <w:t>近三年公司研发投入金额及占营业收入的比例</w:t>
      </w:r>
    </w:p>
    <w:p>
      <w:pPr>
        <w:spacing w:after="0" w:line="408" w:lineRule="auto"/>
        <w:jc w:val="left"/>
        <w:rPr>
          <w:sz w:val="18"/>
          <w:szCs w:val="18"/>
        </w:rPr>
        <w:sectPr>
          <w:pgSz w:w="11910" w:h="16840"/>
          <w:pgMar w:header="880" w:footer="974" w:top="1100" w:bottom="1160" w:left="980" w:right="9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12,946,436.26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8,187,295.80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13,976,643.05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281,736,058.39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231,603,448.18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269,683,731.65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252,578,207.35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6.77%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12,052,326.74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-20,974,759.17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4,100,100.00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4,000,528.21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147,257,301.63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751,253.67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19,501.54%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-143,157,201.63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3,249,274.54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-4,505.82%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1,731.98%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19,438,485.40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-51.77%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-10,838,485.40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-1,467.12%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17,070,125.11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-28,563,970.03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-159.76%</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51" w:firstLine="420"/>
        <w:jc w:val="both"/>
        <w:rPr>
          <w:rFonts w:ascii="宋体" w:hAnsi="宋体" w:cs="宋体" w:eastAsia="宋体" w:hint="default"/>
        </w:rPr>
      </w:pPr>
      <w:r>
        <w:rPr/>
        <w:t>经营活动产生的现金流量净额同比减亏</w:t>
      </w:r>
      <w:r>
        <w:rPr>
          <w:rFonts w:ascii="宋体" w:hAnsi="宋体" w:cs="宋体" w:eastAsia="宋体" w:hint="default"/>
        </w:rPr>
        <w:t>157.46%</w:t>
      </w:r>
      <w:r>
        <w:rPr/>
        <w:t>的原因为：公司加大了合同款的催收力度；投资活动</w:t>
      </w:r>
      <w:r>
        <w:rPr>
          <w:w w:val="100"/>
        </w:rPr>
        <w:t> </w:t>
      </w:r>
      <w:r>
        <w:rPr/>
        <w:t>现金流出小计同比增减</w:t>
      </w:r>
      <w:r>
        <w:rPr>
          <w:rFonts w:ascii="宋体" w:hAnsi="宋体" w:cs="宋体" w:eastAsia="宋体" w:hint="default"/>
        </w:rPr>
        <w:t>19501.54%</w:t>
      </w:r>
      <w:r>
        <w:rPr/>
        <w:t>的原因为：公司存放了</w:t>
      </w:r>
      <w:r>
        <w:rPr>
          <w:rFonts w:ascii="宋体" w:hAnsi="宋体" w:cs="宋体" w:eastAsia="宋体" w:hint="default"/>
        </w:rPr>
        <w:t>14,500</w:t>
      </w:r>
      <w:r>
        <w:rPr/>
        <w:t>万元定期存款；筹资活动现金流入小计同</w:t>
      </w:r>
      <w:r>
        <w:rPr>
          <w:spacing w:val="-28"/>
        </w:rPr>
        <w:t> </w:t>
      </w:r>
      <w:r>
        <w:rPr>
          <w:spacing w:val="-28"/>
        </w:rPr>
      </w:r>
      <w:r>
        <w:rPr/>
        <w:t>比增减</w:t>
      </w:r>
      <w:r>
        <w:rPr>
          <w:rFonts w:ascii="宋体" w:hAnsi="宋体" w:cs="宋体" w:eastAsia="宋体" w:hint="default"/>
        </w:rPr>
        <w:t>1731.98%</w:t>
      </w:r>
      <w:r>
        <w:rPr/>
        <w:t>的原因为：公司首次公开发行股票并在创业板上市募集资金</w:t>
      </w:r>
      <w:r>
        <w:rPr>
          <w:rFonts w:ascii="宋体" w:hAnsi="宋体" w:cs="宋体" w:eastAsia="宋体" w:hint="default"/>
        </w:rPr>
        <w:t>15,755</w:t>
      </w:r>
      <w:r>
        <w:rPr/>
        <w:t>万元。</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153"/>
        <w:jc w:val="left"/>
        <w:rPr>
          <w:b w:val="0"/>
          <w:bCs w:val="0"/>
        </w:rPr>
      </w:pP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5,939,489.83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按照权益法核算取得联营 公司中钞科信投资收益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12,015,962.06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应收款项坏账准备和存货 跌价准备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9,696,950.28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主要为政府补贴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965,184.72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意外伤亡赔偿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0"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275,527,533.5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112,192,349.00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169,121,978.6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102,595,971.80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64,222,820.55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63,206,380.39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99,033,833.81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97,094,343.98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20,948,707.88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20,487,085.87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年末受限资产为货币资金</w:t>
      </w:r>
      <w:r>
        <w:rPr>
          <w:rFonts w:ascii="Times New Roman" w:hAnsi="Times New Roman" w:cs="Times New Roman" w:eastAsia="Times New Roman" w:hint="default"/>
          <w:sz w:val="18"/>
          <w:szCs w:val="18"/>
        </w:rPr>
        <w:t>6,665,083.23</w:t>
      </w:r>
      <w:r>
        <w:rPr>
          <w:rFonts w:ascii="宋体" w:hAnsi="宋体" w:cs="宋体" w:eastAsia="宋体" w:hint="default"/>
          <w:sz w:val="18"/>
          <w:szCs w:val="18"/>
        </w:rPr>
        <w:t>元，受限原因为履约保证金。</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数字会议系列产品升 级及产业话项目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5,536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高速机器视觉技术研 发中心升级改造项目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营销服务网络建设项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2,467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烟草智能物流应用系 统升级开发及产业化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存放于募投专户</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4" w:top="1100" w:bottom="116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851" w:space="4069"/>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成都中科信 息技术有限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信息系统集 成，技术开 发及技术服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33,597,612.6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14,526,624.7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32,907,591.7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9,472,250.98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7,302,157.84</w:t>
            </w:r>
          </w:p>
        </w:tc>
      </w:tr>
      <w:tr>
        <w:trPr>
          <w:trHeight w:val="165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17"/>
              <w:jc w:val="both"/>
              <w:rPr>
                <w:rFonts w:ascii="宋体" w:hAnsi="宋体" w:cs="宋体" w:eastAsia="宋体" w:hint="default"/>
                <w:sz w:val="18"/>
                <w:szCs w:val="18"/>
              </w:rPr>
            </w:pPr>
            <w:r>
              <w:rPr>
                <w:rFonts w:ascii="宋体" w:hAnsi="宋体" w:cs="宋体" w:eastAsia="宋体" w:hint="default"/>
                <w:sz w:val="18"/>
                <w:szCs w:val="18"/>
              </w:rPr>
              <w:t>深圳市中钞 科信金融科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金融领域信 息系统集 成，技术开 发及技术服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294,141,530.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247,584,584.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115,231,717.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7,271,562.05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14,848,724.5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2"/>
        <w:rPr>
          <w:rFonts w:ascii="宋体" w:hAnsi="宋体" w:cs="宋体" w:eastAsia="宋体" w:hint="default"/>
          <w:sz w:val="12"/>
          <w:szCs w:val="12"/>
        </w:rPr>
      </w:pPr>
    </w:p>
    <w:p>
      <w:pPr>
        <w:pStyle w:val="BodyText"/>
        <w:spacing w:line="408" w:lineRule="auto" w:before="0"/>
        <w:ind w:right="146" w:firstLine="420"/>
        <w:jc w:val="both"/>
        <w:rPr>
          <w:rFonts w:ascii="宋体" w:hAnsi="宋体" w:cs="宋体" w:eastAsia="宋体" w:hint="default"/>
        </w:rPr>
      </w:pPr>
      <w:r>
        <w:rPr>
          <w:spacing w:val="-2"/>
        </w:rPr>
        <w:t>成都中科信息技术有限公司成立于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月，主要目的是承接母公司剥离的涉密业务，</w:t>
      </w:r>
      <w:r>
        <w:rPr>
          <w:rFonts w:ascii="宋体" w:hAnsi="宋体" w:cs="宋体" w:eastAsia="宋体" w:hint="default"/>
          <w:spacing w:val="-2"/>
        </w:rPr>
        <w:t>2016</w:t>
      </w:r>
      <w:r>
        <w:rPr>
          <w:spacing w:val="-2"/>
        </w:rPr>
        <w:t>年业务</w:t>
      </w:r>
      <w:r>
        <w:rPr>
          <w:w w:val="100"/>
        </w:rPr>
        <w:t> </w:t>
      </w:r>
      <w:r>
        <w:rPr>
          <w:spacing w:val="-2"/>
        </w:rPr>
        <w:t>较少，</w:t>
      </w:r>
      <w:r>
        <w:rPr>
          <w:rFonts w:ascii="宋体" w:hAnsi="宋体" w:cs="宋体" w:eastAsia="宋体" w:hint="default"/>
          <w:spacing w:val="-2"/>
        </w:rPr>
        <w:t>2017</w:t>
      </w:r>
      <w:r>
        <w:rPr>
          <w:spacing w:val="-2"/>
        </w:rPr>
        <w:t>年随着国家涉密业务投入加大，公司也实现了营业收入和净利润的高速增长。营业收入较</w:t>
      </w:r>
      <w:r>
        <w:rPr>
          <w:rFonts w:ascii="宋体" w:hAnsi="宋体" w:cs="宋体" w:eastAsia="宋体" w:hint="default"/>
          <w:spacing w:val="-2"/>
        </w:rPr>
        <w:t>2016</w:t>
      </w:r>
      <w:r>
        <w:rPr>
          <w:rFonts w:ascii="宋体" w:hAnsi="宋体" w:cs="宋体" w:eastAsia="宋体" w:hint="default"/>
          <w:spacing w:val="-36"/>
        </w:rPr>
        <w:t> </w:t>
      </w:r>
      <w:r>
        <w:rPr>
          <w:rFonts w:ascii="宋体" w:hAnsi="宋体" w:cs="宋体" w:eastAsia="宋体" w:hint="default"/>
          <w:spacing w:val="-36"/>
        </w:rPr>
      </w:r>
      <w:r>
        <w:rPr/>
        <w:t>年增长</w:t>
      </w:r>
      <w:r>
        <w:rPr>
          <w:rFonts w:ascii="宋体" w:hAnsi="宋体" w:cs="宋体" w:eastAsia="宋体" w:hint="default"/>
        </w:rPr>
        <w:t>144%</w:t>
      </w:r>
      <w:r>
        <w:rPr/>
        <w:t>，净利润较</w:t>
      </w:r>
      <w:r>
        <w:rPr>
          <w:rFonts w:ascii="宋体" w:hAnsi="宋体" w:cs="宋体" w:eastAsia="宋体" w:hint="default"/>
        </w:rPr>
        <w:t>2016</w:t>
      </w:r>
      <w:r>
        <w:rPr/>
        <w:t>年增长</w:t>
      </w:r>
      <w:r>
        <w:rPr>
          <w:rFonts w:ascii="宋体" w:hAnsi="宋体" w:cs="宋体" w:eastAsia="宋体" w:hint="default"/>
        </w:rPr>
        <w:t>498%</w:t>
      </w:r>
      <w:r>
        <w:rPr/>
        <w:t>。</w:t>
      </w:r>
      <w:r>
        <w:rPr>
          <w:rFonts w:ascii="宋体" w:hAnsi="宋体" w:cs="宋体" w:eastAsia="宋体" w:hint="default"/>
        </w:rPr>
        <w:t> </w:t>
      </w:r>
    </w:p>
    <w:p>
      <w:pPr>
        <w:pStyle w:val="BodyText"/>
        <w:spacing w:line="408" w:lineRule="auto"/>
        <w:ind w:right="146" w:firstLine="420"/>
        <w:jc w:val="both"/>
        <w:rPr>
          <w:rFonts w:ascii="宋体" w:hAnsi="宋体" w:cs="宋体" w:eastAsia="宋体" w:hint="default"/>
        </w:rPr>
      </w:pPr>
      <w:r>
        <w:rPr/>
        <w:t>深圳市中钞科信金融科技有限公司成立于</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2017</w:t>
      </w:r>
      <w:r>
        <w:rPr/>
        <w:t>年随着电子支付的广泛应用，给人民币印</w:t>
      </w:r>
      <w:r>
        <w:rPr>
          <w:w w:val="100"/>
        </w:rPr>
        <w:t> </w:t>
      </w:r>
      <w:r>
        <w:rPr/>
        <w:t>刷检测业务带来一定影响，</w:t>
      </w:r>
      <w:r>
        <w:rPr>
          <w:rFonts w:ascii="宋体" w:hAnsi="宋体" w:cs="宋体" w:eastAsia="宋体" w:hint="default"/>
        </w:rPr>
        <w:t>2017</w:t>
      </w:r>
      <w:r>
        <w:rPr/>
        <w:t>年其营业收入和净利润均有所下降，净利润较</w:t>
      </w:r>
      <w:r>
        <w:rPr>
          <w:rFonts w:ascii="宋体" w:hAnsi="宋体" w:cs="宋体" w:eastAsia="宋体" w:hint="default"/>
        </w:rPr>
        <w:t>2016</w:t>
      </w:r>
      <w:r>
        <w:rPr/>
        <w:t>年减少</w:t>
      </w:r>
      <w:r>
        <w:rPr>
          <w:rFonts w:ascii="宋体" w:hAnsi="宋体" w:cs="宋体" w:eastAsia="宋体" w:hint="default"/>
        </w:rPr>
        <w:t>59%</w:t>
      </w:r>
      <w:r>
        <w:rPr/>
        <w:t>。</w:t>
      </w:r>
      <w:r>
        <w:rPr>
          <w:rFonts w:ascii="宋体" w:hAnsi="宋体" w:cs="宋体" w:eastAsia="宋体" w:hint="default"/>
        </w:rPr>
        <w:t> </w:t>
      </w:r>
    </w:p>
    <w:p>
      <w:pPr>
        <w:spacing w:after="0" w:line="408" w:lineRule="auto"/>
        <w:jc w:val="both"/>
        <w:rPr>
          <w:rFonts w:ascii="宋体" w:hAnsi="宋体" w:cs="宋体" w:eastAsia="宋体" w:hint="default"/>
        </w:rPr>
        <w:sectPr>
          <w:type w:val="continuous"/>
          <w:pgSz w:w="11910" w:h="16840"/>
          <w:pgMar w:top="1060" w:bottom="28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4074"/>
        <w:jc w:val="left"/>
        <w:rPr>
          <w:rFonts w:ascii="宋体" w:hAnsi="宋体" w:cs="宋体" w:eastAsia="宋体" w:hint="default"/>
        </w:rPr>
      </w:pPr>
      <w:r>
        <w:rPr/>
        <w:t>（一）公司面临的形势分析</w:t>
      </w:r>
      <w:r>
        <w:rPr>
          <w:rFonts w:ascii="宋体" w:hAnsi="宋体" w:cs="宋体" w:eastAsia="宋体" w:hint="default"/>
          <w:w w:val="100"/>
        </w:rPr>
        <w:t> </w:t>
      </w:r>
      <w:r>
        <w:rPr>
          <w:rFonts w:ascii="宋体" w:hAnsi="宋体" w:cs="宋体" w:eastAsia="宋体" w:hint="default"/>
        </w:rPr>
        <w:t>1.</w:t>
      </w:r>
      <w:r>
        <w:rPr/>
        <w:t>公司核心技术和主营业务符合国家战略导向</w:t>
      </w:r>
      <w:r>
        <w:rPr>
          <w:rFonts w:ascii="宋体" w:hAnsi="宋体" w:cs="宋体" w:eastAsia="宋体" w:hint="default"/>
        </w:rPr>
        <w:t> </w:t>
      </w:r>
    </w:p>
    <w:p>
      <w:pPr>
        <w:pStyle w:val="BodyText"/>
        <w:spacing w:line="408" w:lineRule="auto"/>
        <w:ind w:right="0" w:firstLine="420"/>
        <w:jc w:val="left"/>
        <w:rPr>
          <w:rFonts w:ascii="宋体" w:hAnsi="宋体" w:cs="宋体" w:eastAsia="宋体" w:hint="default"/>
        </w:rPr>
      </w:pPr>
      <w:r>
        <w:rPr/>
        <w:t>新一轮信息技术革命的潮流已将大数据和人工智能技术推上国家战略层面。国务院</w:t>
      </w:r>
      <w:r>
        <w:rPr>
          <w:rFonts w:ascii="宋体" w:hAnsi="宋体" w:cs="宋体" w:eastAsia="宋体" w:hint="default"/>
        </w:rPr>
        <w:t>2017</w:t>
      </w:r>
      <w:r>
        <w:rPr/>
        <w:t>年</w:t>
      </w:r>
      <w:r>
        <w:rPr>
          <w:rFonts w:ascii="宋体" w:hAnsi="宋体" w:cs="宋体" w:eastAsia="宋体" w:hint="default"/>
        </w:rPr>
        <w:t>7</w:t>
      </w:r>
      <w:r>
        <w:rPr/>
        <w:t>月正式印</w:t>
      </w:r>
      <w:r>
        <w:rPr>
          <w:w w:val="100"/>
        </w:rPr>
        <w:t> </w:t>
      </w:r>
      <w:r>
        <w:rPr>
          <w:spacing w:val="-5"/>
        </w:rPr>
        <w:t>发的《新一代人工智能发展规划》，面向</w:t>
      </w:r>
      <w:r>
        <w:rPr>
          <w:rFonts w:ascii="宋体" w:hAnsi="宋体" w:cs="宋体" w:eastAsia="宋体" w:hint="default"/>
          <w:spacing w:val="-5"/>
        </w:rPr>
        <w:t>2030</w:t>
      </w:r>
      <w:r>
        <w:rPr>
          <w:spacing w:val="-5"/>
        </w:rPr>
        <w:t>年明确提出我国新一代人工智能发展的指导思想、战略目标、</w:t>
      </w:r>
      <w:r>
        <w:rPr>
          <w:spacing w:val="-1"/>
        </w:rPr>
        <w:t> </w:t>
      </w:r>
      <w:r>
        <w:rPr>
          <w:spacing w:val="-1"/>
        </w:rPr>
      </w:r>
      <w:r>
        <w:rPr>
          <w:spacing w:val="-2"/>
        </w:rPr>
        <w:t>重点任务和保障措施，将计算机视觉、机器学习、自然语言处理、机器人和语音识别归纳为人工智能的五</w:t>
      </w:r>
      <w:r>
        <w:rPr>
          <w:spacing w:val="-47"/>
        </w:rPr>
        <w:t> </w:t>
      </w:r>
      <w:r>
        <w:rPr>
          <w:spacing w:val="-47"/>
        </w:rPr>
      </w:r>
      <w:r>
        <w:rPr>
          <w:spacing w:val="-2"/>
        </w:rPr>
        <w:t>大核心技术，而公司核心技术——高速机器视觉技术和数据智能分析技术与国家的人工智能发展战略高度</w:t>
      </w:r>
      <w:r>
        <w:rPr>
          <w:spacing w:val="-43"/>
        </w:rPr>
        <w:t> </w:t>
      </w:r>
      <w:r>
        <w:rPr>
          <w:spacing w:val="-43"/>
        </w:rPr>
      </w:r>
      <w:r>
        <w:rPr>
          <w:spacing w:val="-2"/>
        </w:rPr>
        <w:t>契合。同时党的“十九大”报告中明确指出，要推动互联网、大数据、人工智能和实体经济深度融合，要</w:t>
      </w:r>
      <w:r>
        <w:rPr>
          <w:spacing w:val="-45"/>
        </w:rPr>
        <w:t> </w:t>
      </w:r>
      <w:r>
        <w:rPr>
          <w:spacing w:val="-45"/>
        </w:rPr>
      </w:r>
      <w:r>
        <w:rPr>
          <w:spacing w:val="-2"/>
        </w:rPr>
        <w:t>瞄准世界科技前沿，要强化基础研究。公司目前主要从事以智能识别及分析技术为核心，为客户提供信息</w:t>
      </w:r>
      <w:r>
        <w:rPr>
          <w:spacing w:val="-42"/>
        </w:rPr>
        <w:t> </w:t>
      </w:r>
      <w:r>
        <w:rPr>
          <w:spacing w:val="-42"/>
        </w:rPr>
      </w:r>
      <w:r>
        <w:rPr/>
        <w:t>化解决方案（包括软件及硬件）及相关服务，符合国家战略导向。</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rFonts w:ascii="宋体" w:hAnsi="宋体" w:cs="宋体" w:eastAsia="宋体" w:hint="default"/>
        </w:rPr>
        <w:t>2.</w:t>
      </w:r>
      <w:r>
        <w:rPr/>
        <w:t>公司主要业务领域信息化建设需求旺盛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84"/>
        <w:jc w:val="both"/>
        <w:rPr>
          <w:rFonts w:ascii="宋体" w:hAnsi="宋体" w:cs="宋体" w:eastAsia="宋体" w:hint="default"/>
        </w:rPr>
      </w:pPr>
      <w:r>
        <w:rPr>
          <w:rFonts w:ascii="宋体" w:hAnsi="宋体" w:cs="宋体" w:eastAsia="宋体" w:hint="default"/>
          <w:w w:val="100"/>
        </w:rPr>
        <w:t>    </w:t>
      </w:r>
      <w:r>
        <w:rPr>
          <w:spacing w:val="-2"/>
        </w:rPr>
        <w:t>在数字会议领域，随着社会主义民主建设进程的加快，市场对移动互联、物联网、智能终端等技术、</w:t>
      </w:r>
      <w:r>
        <w:rPr>
          <w:w w:val="100"/>
        </w:rPr>
        <w:t> </w:t>
      </w:r>
      <w:r>
        <w:rPr>
          <w:spacing w:val="-2"/>
        </w:rPr>
        <w:t>产品的需求持续增长。</w:t>
      </w:r>
      <w:r>
        <w:rPr>
          <w:rFonts w:ascii="宋体" w:hAnsi="宋体" w:cs="宋体" w:eastAsia="宋体" w:hint="default"/>
          <w:spacing w:val="-2"/>
        </w:rPr>
        <w:t>2018</w:t>
      </w:r>
      <w:r>
        <w:rPr>
          <w:spacing w:val="-2"/>
        </w:rPr>
        <w:t>年是国家及各省级两会的换届选举高峰年，为满足市场需求，公司研制的新型</w:t>
      </w:r>
      <w:r>
        <w:rPr>
          <w:spacing w:val="-45"/>
        </w:rPr>
        <w:t> </w:t>
      </w:r>
      <w:r>
        <w:rPr>
          <w:spacing w:val="-45"/>
        </w:rPr>
      </w:r>
      <w:r>
        <w:rPr/>
        <w:t>电子选举系统、电子表决系统将成为公司利润增长点。</w:t>
      </w:r>
      <w:r>
        <w:rPr>
          <w:rFonts w:ascii="宋体" w:hAnsi="宋体" w:cs="宋体" w:eastAsia="宋体" w:hint="default"/>
        </w:rPr>
        <w:t> </w:t>
      </w:r>
    </w:p>
    <w:p>
      <w:pPr>
        <w:pStyle w:val="BodyText"/>
        <w:spacing w:line="408" w:lineRule="auto"/>
        <w:ind w:right="0" w:firstLine="480"/>
        <w:jc w:val="left"/>
        <w:rPr>
          <w:rFonts w:ascii="宋体" w:hAnsi="宋体" w:cs="宋体" w:eastAsia="宋体" w:hint="default"/>
        </w:rPr>
      </w:pPr>
      <w:r>
        <w:rPr>
          <w:spacing w:val="-6"/>
        </w:rPr>
        <w:t>在政府领域信息化方面，《“十三五”国家政务信息化工程建设规划》明确提出，要以推行电子政务、</w:t>
      </w:r>
      <w:r>
        <w:rPr>
          <w:w w:val="100"/>
        </w:rPr>
        <w:t> </w:t>
      </w:r>
      <w:r>
        <w:rPr>
          <w:spacing w:val="-2"/>
        </w:rPr>
        <w:t>建设新型智慧城市等为抓手，以数据集中和共享为途径，建设全国一体化的国家大数据中心，公司在政务</w:t>
      </w:r>
      <w:r>
        <w:rPr>
          <w:spacing w:val="-44"/>
        </w:rPr>
        <w:t> </w:t>
      </w:r>
      <w:r>
        <w:rPr>
          <w:spacing w:val="-44"/>
        </w:rPr>
      </w:r>
      <w:r>
        <w:rPr/>
        <w:t>信息化领域长期积累的标杆案例以及稳定的客户、成熟的技术均能支撑业务增长。</w:t>
      </w:r>
      <w:r>
        <w:rPr>
          <w:rFonts w:ascii="宋体" w:hAnsi="宋体" w:cs="宋体" w:eastAsia="宋体" w:hint="default"/>
        </w:rPr>
        <w:t> </w:t>
      </w:r>
    </w:p>
    <w:p>
      <w:pPr>
        <w:pStyle w:val="BodyText"/>
        <w:spacing w:line="408" w:lineRule="auto"/>
        <w:ind w:right="206"/>
        <w:jc w:val="both"/>
        <w:rPr>
          <w:rFonts w:ascii="宋体" w:hAnsi="宋体" w:cs="宋体" w:eastAsia="宋体" w:hint="default"/>
        </w:rPr>
      </w:pPr>
      <w:r>
        <w:rPr>
          <w:rFonts w:ascii="宋体" w:hAnsi="宋体" w:cs="宋体" w:eastAsia="宋体" w:hint="default"/>
          <w:w w:val="100"/>
        </w:rPr>
        <w:t>    </w:t>
      </w:r>
      <w:r>
        <w:rPr>
          <w:spacing w:val="-2"/>
        </w:rPr>
        <w:t>油气行业信息化建设方面，受宏观经济稳中向好影响，国际原油价格趋稳缓慢回升，石油天然气作为</w:t>
      </w:r>
      <w:r>
        <w:rPr>
          <w:w w:val="100"/>
        </w:rPr>
        <w:t> </w:t>
      </w:r>
      <w:r>
        <w:rPr>
          <w:spacing w:val="-2"/>
        </w:rPr>
        <w:t>重要能源和优质化工原料，是关系国计民生的战略物资，从长远看，随着我国经济总量的逐年增长，国家</w:t>
      </w:r>
      <w:r>
        <w:rPr>
          <w:spacing w:val="-47"/>
        </w:rPr>
        <w:t> </w:t>
      </w:r>
      <w:r>
        <w:rPr>
          <w:spacing w:val="-47"/>
        </w:rPr>
      </w:r>
      <w:r>
        <w:rPr/>
        <w:t>对能源的需求将保持增长趋势，由此带来的信息化需求和智能工程建设需求也将呈增长态势。</w:t>
      </w:r>
      <w:r>
        <w:rPr>
          <w:rFonts w:ascii="宋体" w:hAnsi="宋体" w:cs="宋体" w:eastAsia="宋体" w:hint="default"/>
        </w:rPr>
        <w:t> </w:t>
      </w:r>
    </w:p>
    <w:p>
      <w:pPr>
        <w:pStyle w:val="BodyText"/>
        <w:spacing w:line="408" w:lineRule="auto"/>
        <w:ind w:right="20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烟草行业信息化建设方面，国家烟草专卖局先后发布《数字烟草发展纲要》</w:t>
      </w:r>
      <w:r>
        <w:rPr>
          <w:spacing w:val="70"/>
        </w:rPr>
        <w:t> </w:t>
      </w:r>
      <w:r>
        <w:rPr>
          <w:rFonts w:ascii="宋体" w:hAnsi="宋体" w:cs="宋体" w:eastAsia="宋体" w:hint="default"/>
          <w:spacing w:val="70"/>
        </w:rPr>
      </w:r>
      <w:r>
        <w:rPr/>
        <w:t>《烟草行业“十三五”</w:t>
      </w:r>
      <w:r>
        <w:rPr>
          <w:w w:val="100"/>
        </w:rPr>
        <w:t> </w:t>
      </w:r>
      <w:r>
        <w:rPr>
          <w:spacing w:val="-2"/>
        </w:rPr>
        <w:t>规划》，并部署了十一项主要发展任务，包括“深入实施创新驱动发展战略，引领行业转型升级；提高烟</w:t>
      </w:r>
      <w:r>
        <w:rPr>
          <w:spacing w:val="-42"/>
        </w:rPr>
        <w:t> </w:t>
      </w:r>
      <w:r>
        <w:rPr>
          <w:spacing w:val="-42"/>
        </w:rPr>
      </w:r>
      <w:r>
        <w:rPr>
          <w:spacing w:val="-2"/>
        </w:rPr>
        <w:t>叶生产现代化水平；提高卷烟流通现代化水平，提高精益管理水平”等，作为未来五年烟草行业信息化建</w:t>
      </w:r>
      <w:r>
        <w:rPr>
          <w:spacing w:val="-46"/>
        </w:rPr>
        <w:t> </w:t>
      </w:r>
      <w:r>
        <w:rPr>
          <w:spacing w:val="-46"/>
        </w:rPr>
      </w:r>
      <w:r>
        <w:rPr/>
        <w:t>设的发展指导，烟草行业信息化建设仍然有较高需求。</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t>（二）公司发展战略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7"/>
        <w:jc w:val="both"/>
      </w:pPr>
      <w:r>
        <w:rPr>
          <w:rFonts w:ascii="宋体" w:hAnsi="宋体" w:cs="宋体" w:eastAsia="宋体" w:hint="default"/>
          <w:w w:val="100"/>
        </w:rPr>
        <w:t>    </w:t>
      </w:r>
      <w:r>
        <w:rPr>
          <w:spacing w:val="-3"/>
        </w:rPr>
        <w:t>继续聚焦主营业务，以市场为导向，以智能识别与分析技术为抓手，发挥高速机器视觉、数据智能分</w:t>
      </w:r>
      <w:r>
        <w:rPr>
          <w:w w:val="100"/>
        </w:rPr>
        <w:t> </w:t>
      </w:r>
      <w:r>
        <w:rPr>
          <w:spacing w:val="-2"/>
        </w:rPr>
        <w:t>析的技术特点，着力打造高效数学算法、光机电一体化、机器学习、大数据、虚拟现实、软件工程及物联</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25"/>
        <w:jc w:val="both"/>
        <w:rPr>
          <w:rFonts w:ascii="宋体" w:hAnsi="宋体" w:cs="宋体" w:eastAsia="宋体" w:hint="default"/>
        </w:rPr>
      </w:pPr>
      <w:r>
        <w:rPr>
          <w:spacing w:val="-2"/>
        </w:rPr>
        <w:t>网技术深度融合的特色优势，集中优势资源不断提升核心竞争力，不断挖掘现有行业客户的信息化需求，</w:t>
      </w:r>
      <w:r>
        <w:rPr>
          <w:spacing w:val="-21"/>
        </w:rPr>
        <w:t> </w:t>
      </w:r>
      <w:r>
        <w:rPr>
          <w:spacing w:val="-21"/>
        </w:rPr>
      </w:r>
      <w:r>
        <w:rPr>
          <w:spacing w:val="-2"/>
        </w:rPr>
        <w:t>做精做深现有业务，继续保持在现场会议、烟草、石油、印钞检测、政府及其他行业信息化领域的优势地</w:t>
      </w:r>
      <w:r>
        <w:rPr>
          <w:spacing w:val="-43"/>
        </w:rPr>
        <w:t> </w:t>
      </w:r>
      <w:r>
        <w:rPr>
          <w:spacing w:val="-43"/>
        </w:rPr>
      </w:r>
      <w:r>
        <w:rPr>
          <w:spacing w:val="-2"/>
        </w:rPr>
        <w:t>位，同时大力拓展相关行业的区域市场，做宽做大业务规模，提高市场占有率。充分运用公司的核心技术</w:t>
      </w:r>
      <w:r>
        <w:rPr>
          <w:spacing w:val="-50"/>
        </w:rPr>
        <w:t> </w:t>
      </w:r>
      <w:r>
        <w:rPr>
          <w:spacing w:val="-50"/>
        </w:rPr>
      </w:r>
      <w:r>
        <w:rPr>
          <w:spacing w:val="-2"/>
        </w:rPr>
        <w:t>优势，做好智慧政务、智慧城市、智慧医疗等重要领域的业务体系构建和产品应用推广，加快拓展新的行</w:t>
      </w:r>
      <w:r>
        <w:rPr>
          <w:spacing w:val="-47"/>
        </w:rPr>
        <w:t> </w:t>
      </w:r>
      <w:r>
        <w:rPr>
          <w:spacing w:val="-47"/>
        </w:rPr>
      </w:r>
      <w:r>
        <w:rPr/>
        <w:t>业应用，打造出新领域的核心竞争力。积极推进资本运作，确保公司实现快速、持续、健康发展。</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t>（三）</w:t>
      </w:r>
      <w:r>
        <w:rPr>
          <w:rFonts w:ascii="宋体" w:hAnsi="宋体" w:cs="宋体" w:eastAsia="宋体" w:hint="default"/>
        </w:rPr>
        <w:t>2018</w:t>
      </w:r>
      <w:r>
        <w:rPr/>
        <w:t>年经营计划</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13"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1.</w:t>
      </w:r>
      <w:r>
        <w:rPr/>
        <w:t>全力保障全国“两会”选举、表决服务取得成功</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right="124" w:firstLine="480"/>
        <w:jc w:val="both"/>
        <w:rPr>
          <w:rFonts w:ascii="宋体" w:hAnsi="宋体" w:cs="宋体" w:eastAsia="宋体" w:hint="default"/>
        </w:rPr>
      </w:pPr>
      <w:r>
        <w:rPr>
          <w:spacing w:val="-4"/>
        </w:rPr>
        <w:t>高度重视为十三届全国人大、全国政协选举、表决服务工作，做好数字会议系统现场安装测试，集中</w:t>
      </w:r>
      <w:r>
        <w:rPr>
          <w:w w:val="100"/>
        </w:rPr>
        <w:t> </w:t>
      </w:r>
      <w:r>
        <w:rPr>
          <w:spacing w:val="-2"/>
        </w:rPr>
        <w:t>优势资源，全力保障全国“两会”服务的圆满完成。借党的“十九大”和全国“两会”会议服务的影响，</w:t>
      </w:r>
      <w:r>
        <w:rPr>
          <w:spacing w:val="-22"/>
        </w:rPr>
        <w:t> </w:t>
      </w:r>
      <w:r>
        <w:rPr>
          <w:spacing w:val="-22"/>
        </w:rPr>
      </w:r>
      <w:r>
        <w:rPr/>
        <w:t>提高公司数字会议产品的市场知名度，扩大数字会议产品的市场占有率。</w:t>
      </w:r>
      <w:r>
        <w:rPr>
          <w:rFonts w:ascii="宋体" w:hAnsi="宋体" w:cs="宋体" w:eastAsia="宋体" w:hint="default"/>
        </w:rPr>
        <w:t> </w:t>
      </w:r>
    </w:p>
    <w:p>
      <w:pPr>
        <w:pStyle w:val="BodyText"/>
        <w:spacing w:line="240" w:lineRule="auto"/>
        <w:ind w:left="513"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面向行业需求，做强主业，大力拓展新行业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24" w:firstLine="480"/>
        <w:jc w:val="both"/>
        <w:rPr>
          <w:rFonts w:ascii="宋体" w:hAnsi="宋体" w:cs="宋体" w:eastAsia="宋体" w:hint="default"/>
        </w:rPr>
      </w:pPr>
      <w:r>
        <w:rPr>
          <w:spacing w:val="-4"/>
        </w:rPr>
        <w:t>公司将继续深耕现场会议、烟草、油气、印钞检测、政府及其他领域客户的信息化需求，夯实成熟领</w:t>
      </w:r>
      <w:r>
        <w:rPr>
          <w:w w:val="100"/>
        </w:rPr>
        <w:t> </w:t>
      </w:r>
      <w:r>
        <w:rPr>
          <w:spacing w:val="-2"/>
        </w:rPr>
        <w:t>域的基础地位。在此基础上，公司将深入研究新一代信息技术发展趋势，不断提升智能识别与分析技术、</w:t>
      </w:r>
      <w:r>
        <w:rPr>
          <w:spacing w:val="-21"/>
        </w:rPr>
        <w:t> </w:t>
      </w:r>
      <w:r>
        <w:rPr>
          <w:spacing w:val="-21"/>
        </w:rPr>
      </w:r>
      <w:r>
        <w:rPr>
          <w:spacing w:val="-2"/>
        </w:rPr>
        <w:t>产品的核心竞争力，积极开发新系统、新产品，加快实现工业和政府大数据分析、智慧政务、智慧城市、</w:t>
      </w:r>
      <w:r>
        <w:rPr>
          <w:spacing w:val="-20"/>
        </w:rPr>
        <w:t> </w:t>
      </w:r>
      <w:r>
        <w:rPr>
          <w:spacing w:val="-20"/>
        </w:rPr>
      </w:r>
      <w:r>
        <w:rPr/>
        <w:t>智慧医疗以及图像视觉创新研发产品的产业化突破，大力开拓新市场、培育新的业务增长点。</w:t>
      </w:r>
      <w:r>
        <w:rPr>
          <w:rFonts w:ascii="宋体" w:hAnsi="宋体" w:cs="宋体" w:eastAsia="宋体" w:hint="default"/>
        </w:rPr>
        <w:t> </w:t>
      </w:r>
    </w:p>
    <w:p>
      <w:pPr>
        <w:pStyle w:val="BodyText"/>
        <w:spacing w:line="240" w:lineRule="auto"/>
        <w:ind w:left="258"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3.</w:t>
      </w:r>
      <w:r>
        <w:rPr/>
        <w:t>加强人才队伍建设，严抓内控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7" w:firstLine="105"/>
        <w:jc w:val="both"/>
        <w:rPr>
          <w:rFonts w:ascii="宋体" w:hAnsi="宋体" w:cs="宋体" w:eastAsia="宋体" w:hint="default"/>
        </w:rPr>
      </w:pPr>
      <w:r>
        <w:rPr>
          <w:rFonts w:ascii="宋体" w:hAnsi="宋体" w:cs="宋体" w:eastAsia="宋体" w:hint="default"/>
          <w:w w:val="100"/>
        </w:rPr>
        <w:t>   </w:t>
      </w:r>
      <w:r>
        <w:rPr>
          <w:spacing w:val="-3"/>
        </w:rPr>
        <w:t>坚持不懈做好人才队伍建设，优化人才结构、努力建设学习型企业，健全考核激励制度，充分调动员</w:t>
      </w:r>
      <w:r>
        <w:rPr>
          <w:w w:val="100"/>
        </w:rPr>
        <w:t> </w:t>
      </w:r>
      <w:r>
        <w:rPr>
          <w:spacing w:val="-2"/>
        </w:rPr>
        <w:t>工的积极性、创造性，为想干事、能干事的骨干人才搭建良好平台，实现人尽其才、才尽其用。完善研发</w:t>
      </w:r>
      <w:r>
        <w:rPr>
          <w:spacing w:val="-42"/>
        </w:rPr>
        <w:t> </w:t>
      </w:r>
      <w:r>
        <w:rPr>
          <w:spacing w:val="-42"/>
        </w:rPr>
      </w:r>
      <w:r>
        <w:rPr>
          <w:spacing w:val="-2"/>
        </w:rPr>
        <w:t>激励机制，充分调动员工创新积极性。以持之以恒的态度完善内部管理、严抓内控，降低各类风险，保护</w:t>
      </w:r>
      <w:r>
        <w:rPr>
          <w:spacing w:val="-43"/>
        </w:rPr>
        <w:t> </w:t>
      </w:r>
      <w:r>
        <w:rPr>
          <w:spacing w:val="-43"/>
        </w:rPr>
      </w:r>
      <w:r>
        <w:rPr/>
        <w:t>经营成果。</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4.</w:t>
      </w:r>
      <w:r>
        <w:rPr/>
        <w:t>充分利用资本市场，努力实现规模化发展</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right="148"/>
        <w:jc w:val="both"/>
        <w:rPr>
          <w:rFonts w:ascii="宋体" w:hAnsi="宋体" w:cs="宋体" w:eastAsia="宋体" w:hint="default"/>
        </w:rPr>
      </w:pPr>
      <w:r>
        <w:rPr>
          <w:rFonts w:ascii="宋体" w:hAnsi="宋体" w:cs="宋体" w:eastAsia="宋体" w:hint="default"/>
          <w:w w:val="100"/>
        </w:rPr>
        <w:t>    </w:t>
      </w:r>
      <w:r>
        <w:rPr>
          <w:spacing w:val="-3"/>
        </w:rPr>
        <w:t>公司将以核心业务为中心，借助资本市场的力量，积极推进业务整合，丰富公司现有产品链、技术支</w:t>
      </w:r>
      <w:r>
        <w:rPr>
          <w:w w:val="100"/>
        </w:rPr>
        <w:t> </w:t>
      </w:r>
      <w:r>
        <w:rPr/>
        <w:t>撑链，努力实现跨越式发展。</w:t>
      </w:r>
      <w:r>
        <w:rPr>
          <w:rFonts w:ascii="宋体" w:hAnsi="宋体" w:cs="宋体" w:eastAsia="宋体" w:hint="default"/>
        </w:rPr>
        <w:t> </w:t>
      </w:r>
    </w:p>
    <w:p>
      <w:pPr>
        <w:pStyle w:val="BodyText"/>
        <w:spacing w:line="408" w:lineRule="auto"/>
        <w:ind w:left="573" w:right="6354"/>
        <w:jc w:val="left"/>
        <w:rPr>
          <w:rFonts w:ascii="宋体" w:hAnsi="宋体" w:cs="宋体" w:eastAsia="宋体" w:hint="default"/>
        </w:rPr>
      </w:pPr>
      <w:r>
        <w:rPr/>
        <w:t>（四）可能面临的风险</w:t>
      </w:r>
      <w:r>
        <w:rPr>
          <w:rFonts w:ascii="宋体" w:hAnsi="宋体" w:cs="宋体" w:eastAsia="宋体" w:hint="default"/>
          <w:w w:val="100"/>
        </w:rPr>
        <w:t> </w:t>
      </w:r>
      <w:r>
        <w:rPr>
          <w:rFonts w:ascii="宋体" w:hAnsi="宋体" w:cs="宋体" w:eastAsia="宋体" w:hint="default"/>
        </w:rPr>
        <w:t>1.</w:t>
      </w:r>
      <w:r>
        <w:rPr/>
        <w:t>营业收入季节性波动风险</w:t>
      </w:r>
      <w:r>
        <w:rPr>
          <w:rFonts w:ascii="宋体" w:hAnsi="宋体" w:cs="宋体" w:eastAsia="宋体" w:hint="default"/>
        </w:rPr>
        <w:t> </w:t>
      </w:r>
    </w:p>
    <w:p>
      <w:pPr>
        <w:pStyle w:val="BodyText"/>
        <w:spacing w:line="408" w:lineRule="auto"/>
        <w:ind w:right="125" w:firstLine="420"/>
        <w:jc w:val="both"/>
        <w:rPr>
          <w:rFonts w:ascii="宋体" w:hAnsi="宋体" w:cs="宋体" w:eastAsia="宋体" w:hint="default"/>
        </w:rPr>
      </w:pPr>
      <w:r>
        <w:rPr>
          <w:spacing w:val="-2"/>
        </w:rPr>
        <w:t>公司所处行业具有一定的季节性，下游政府、石油、烟草等行业客户以国家机关或大型国有企事业单</w:t>
      </w:r>
      <w:r>
        <w:rPr>
          <w:w w:val="100"/>
        </w:rPr>
        <w:t> </w:t>
      </w:r>
      <w:r>
        <w:rPr>
          <w:spacing w:val="-2"/>
        </w:rPr>
        <w:t>位为主，其信息化采购具有较为规范的采购机制和采购流程，按预算决算体制执行，通常在上半年对全年</w:t>
      </w:r>
      <w:r>
        <w:rPr>
          <w:spacing w:val="-43"/>
        </w:rPr>
        <w:t> </w:t>
      </w:r>
      <w:r>
        <w:rPr>
          <w:spacing w:val="-43"/>
        </w:rPr>
      </w:r>
      <w:r>
        <w:rPr>
          <w:spacing w:val="-2"/>
        </w:rPr>
        <w:t>具体实施的信息化应用系统进行立项、采购和实施，项目验收和结款一般集中在第四季度，公司收入存在</w:t>
      </w:r>
      <w:r>
        <w:rPr>
          <w:spacing w:val="-44"/>
        </w:rPr>
        <w:t> </w:t>
      </w:r>
      <w:r>
        <w:rPr>
          <w:spacing w:val="-44"/>
        </w:rPr>
      </w:r>
      <w:r>
        <w:rPr>
          <w:spacing w:val="-2"/>
        </w:rPr>
        <w:t>季节性波动风险。公司主要客户属于政府或大型国企，其本身受国际国内形势变化和政策变动影响较大，</w:t>
      </w:r>
      <w:r>
        <w:rPr>
          <w:spacing w:val="-21"/>
        </w:rPr>
        <w:t> </w:t>
      </w:r>
      <w:r>
        <w:rPr>
          <w:spacing w:val="-21"/>
        </w:rPr>
      </w:r>
      <w:r>
        <w:rPr/>
        <w:t>进而影响公司订单的获得。</w:t>
      </w:r>
      <w:r>
        <w:rPr>
          <w:rFonts w:ascii="宋体" w:hAnsi="宋体" w:cs="宋体" w:eastAsia="宋体" w:hint="default"/>
        </w:rPr>
        <w:t> </w:t>
      </w:r>
    </w:p>
    <w:p>
      <w:pPr>
        <w:spacing w:after="0" w:line="408" w:lineRule="auto"/>
        <w:jc w:val="both"/>
        <w:rPr>
          <w:rFonts w:ascii="宋体" w:hAnsi="宋体" w:cs="宋体" w:eastAsia="宋体" w:hint="default"/>
        </w:rPr>
        <w:sectPr>
          <w:footerReference w:type="default" r:id="rId14"/>
          <w:pgSz w:w="11910" w:h="16840"/>
          <w:pgMar w:footer="974" w:header="880" w:top="1100" w:bottom="1160" w:left="980" w:right="980"/>
          <w:pgNumType w:start="28"/>
        </w:sectPr>
      </w:pPr>
    </w:p>
    <w:p>
      <w:pPr>
        <w:spacing w:line="240" w:lineRule="auto" w:before="10"/>
        <w:rPr>
          <w:rFonts w:ascii="宋体" w:hAnsi="宋体" w:cs="宋体" w:eastAsia="宋体" w:hint="default"/>
          <w:sz w:val="26"/>
          <w:szCs w:val="26"/>
        </w:rPr>
      </w:pPr>
    </w:p>
    <w:p>
      <w:pPr>
        <w:pStyle w:val="BodyText"/>
        <w:spacing w:line="408" w:lineRule="auto" w:before="36"/>
        <w:ind w:left="573" w:right="0" w:firstLine="60"/>
        <w:jc w:val="left"/>
      </w:pPr>
      <w:r>
        <w:rPr>
          <w:rFonts w:ascii="宋体" w:hAnsi="宋体" w:cs="宋体" w:eastAsia="宋体" w:hint="default"/>
        </w:rPr>
        <w:t>2.</w:t>
      </w:r>
      <w:r>
        <w:rPr/>
        <w:t>市场竞争加剧的风险</w:t>
      </w:r>
      <w:r>
        <w:rPr>
          <w:w w:val="100"/>
        </w:rPr>
        <w:t> </w:t>
      </w:r>
      <w:r>
        <w:rPr>
          <w:spacing w:val="-2"/>
        </w:rPr>
        <w:t>国内的行业信息化市场是充分竞争市场，通过多年发展，市场参与主体众多。在市场需求持续增长的</w:t>
      </w:r>
    </w:p>
    <w:p>
      <w:pPr>
        <w:pStyle w:val="BodyText"/>
        <w:spacing w:line="408" w:lineRule="auto"/>
        <w:ind w:right="0"/>
        <w:jc w:val="left"/>
        <w:rPr>
          <w:rFonts w:ascii="宋体" w:hAnsi="宋体" w:cs="宋体" w:eastAsia="宋体" w:hint="default"/>
        </w:rPr>
      </w:pPr>
      <w:r>
        <w:rPr>
          <w:spacing w:val="-5"/>
        </w:rPr>
        <w:t>情况下，会有更多的新兴企业进入信息化行业，公司面临市场竞争加剧，丢失订单、业绩大幅下降的风险。</w:t>
      </w:r>
      <w:r>
        <w:rPr>
          <w:spacing w:val="-10"/>
        </w:rPr>
        <w:t> </w:t>
      </w:r>
      <w:r>
        <w:rPr>
          <w:spacing w:val="-10"/>
        </w:rPr>
      </w:r>
      <w:r>
        <w:rPr>
          <w:spacing w:val="-2"/>
        </w:rPr>
        <w:t>公司一直高度重视研发工作，努力把握技术发展趋势、强化核心技术研发，推进技术的持续进步与新技术</w:t>
      </w:r>
      <w:r>
        <w:rPr>
          <w:spacing w:val="-42"/>
        </w:rPr>
        <w:t> </w:t>
      </w:r>
      <w:r>
        <w:rPr>
          <w:spacing w:val="-42"/>
        </w:rPr>
      </w:r>
      <w:r>
        <w:rPr/>
        <w:t>在产品中的应用，提升市场竞争能力，抵抗竞争加剧的风险。</w:t>
      </w:r>
      <w:r>
        <w:rPr>
          <w:rFonts w:ascii="宋体" w:hAnsi="宋体" w:cs="宋体" w:eastAsia="宋体" w:hint="default"/>
        </w:rPr>
        <w:t> </w:t>
      </w:r>
    </w:p>
    <w:p>
      <w:pPr>
        <w:pStyle w:val="BodyText"/>
        <w:spacing w:line="408" w:lineRule="auto"/>
        <w:ind w:left="573" w:right="0"/>
        <w:jc w:val="left"/>
      </w:pPr>
      <w:r>
        <w:rPr>
          <w:rFonts w:ascii="宋体" w:hAnsi="宋体" w:cs="宋体" w:eastAsia="宋体" w:hint="default"/>
        </w:rPr>
        <w:t>3.</w:t>
      </w:r>
      <w:r>
        <w:rPr/>
        <w:t>应收账款发生坏账的风险</w:t>
      </w:r>
      <w:r>
        <w:rPr>
          <w:w w:val="100"/>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日，公司应收账款余额为</w:t>
      </w:r>
      <w:r>
        <w:rPr>
          <w:rFonts w:ascii="宋体" w:hAnsi="宋体" w:cs="宋体" w:eastAsia="宋体" w:hint="default"/>
        </w:rPr>
        <w:t>16912</w:t>
      </w:r>
      <w:r>
        <w:rPr/>
        <w:t>万元。如果应收账款不能及时收回或出现损失，将</w:t>
      </w:r>
    </w:p>
    <w:p>
      <w:pPr>
        <w:pStyle w:val="BodyText"/>
        <w:spacing w:line="408" w:lineRule="auto"/>
        <w:ind w:right="0"/>
        <w:jc w:val="left"/>
        <w:rPr>
          <w:rFonts w:ascii="宋体" w:hAnsi="宋体" w:cs="宋体" w:eastAsia="宋体" w:hint="default"/>
        </w:rPr>
      </w:pPr>
      <w:r>
        <w:rPr>
          <w:spacing w:val="-2"/>
        </w:rPr>
        <w:t>对公司的流动性和经营业绩产生不利影响。公司将在</w:t>
      </w:r>
      <w:r>
        <w:rPr>
          <w:rFonts w:ascii="宋体" w:hAnsi="宋体" w:cs="宋体" w:eastAsia="宋体" w:hint="default"/>
          <w:spacing w:val="-2"/>
        </w:rPr>
        <w:t>2018</w:t>
      </w:r>
      <w:r>
        <w:rPr>
          <w:spacing w:val="-2"/>
        </w:rPr>
        <w:t>年开展应收账款催收专项工作，努力把应收账款</w:t>
      </w:r>
      <w:r>
        <w:rPr>
          <w:spacing w:val="-39"/>
        </w:rPr>
        <w:t> </w:t>
      </w:r>
      <w:r>
        <w:rPr>
          <w:spacing w:val="-39"/>
        </w:rPr>
      </w:r>
      <w:r>
        <w:rPr/>
        <w:t>总规模控制在合理范围。</w:t>
      </w:r>
      <w:r>
        <w:rPr>
          <w:rFonts w:ascii="宋体" w:hAnsi="宋体" w:cs="宋体" w:eastAsia="宋体" w:hint="default"/>
        </w:rPr>
        <w:t> </w:t>
      </w:r>
    </w:p>
    <w:p>
      <w:pPr>
        <w:pStyle w:val="BodyText"/>
        <w:spacing w:line="240" w:lineRule="auto"/>
        <w:ind w:left="573" w:right="0"/>
        <w:jc w:val="left"/>
      </w:pPr>
      <w:r>
        <w:rPr>
          <w:rFonts w:ascii="宋体" w:hAnsi="宋体" w:cs="宋体" w:eastAsia="宋体" w:hint="default"/>
        </w:rPr>
        <w:t>4.</w:t>
      </w:r>
      <w:r>
        <w:rPr/>
        <w:t>政府补助减少的风险</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rPr>
          <w:rFonts w:ascii="宋体" w:hAnsi="宋体" w:cs="宋体" w:eastAsia="宋体" w:hint="default"/>
        </w:rPr>
      </w:pPr>
      <w:r>
        <w:rPr>
          <w:rFonts w:ascii="宋体" w:hAnsi="宋体" w:cs="宋体" w:eastAsia="宋体" w:hint="default"/>
        </w:rPr>
        <w:t>2017</w:t>
      </w:r>
      <w:r>
        <w:rPr/>
        <w:t>年度，公司获得的政府补贴收入金额为</w:t>
      </w:r>
      <w:r>
        <w:rPr>
          <w:rFonts w:ascii="宋体" w:hAnsi="宋体" w:cs="宋体" w:eastAsia="宋体" w:hint="default"/>
        </w:rPr>
        <w:t>1463.62</w:t>
      </w:r>
      <w:r>
        <w:rPr/>
        <w:t>万元，占当期利润总额的比例为</w:t>
      </w:r>
      <w:r>
        <w:rPr>
          <w:rFonts w:ascii="宋体" w:hAnsi="宋体" w:cs="宋体" w:eastAsia="宋体" w:hint="default"/>
        </w:rPr>
        <w:t>29.91%</w:t>
      </w:r>
      <w:r>
        <w:rPr/>
        <w:t>。如果公</w:t>
      </w:r>
      <w:r>
        <w:rPr>
          <w:w w:val="100"/>
        </w:rPr>
        <w:t> </w:t>
      </w:r>
      <w:r>
        <w:rPr/>
        <w:t>司将来取得的政府补助减少，将对公司经营业绩产生不利影响。</w:t>
      </w:r>
      <w:r>
        <w:rPr>
          <w:rFonts w:ascii="宋体" w:hAnsi="宋体" w:cs="宋体" w:eastAsia="宋体" w:hint="default"/>
        </w:rPr>
        <w:t> </w:t>
      </w:r>
    </w:p>
    <w:p>
      <w:pPr>
        <w:pStyle w:val="BodyText"/>
        <w:spacing w:line="408" w:lineRule="auto"/>
        <w:ind w:left="573" w:right="0"/>
        <w:jc w:val="left"/>
      </w:pPr>
      <w:r>
        <w:rPr>
          <w:rFonts w:ascii="宋体" w:hAnsi="宋体" w:cs="宋体" w:eastAsia="宋体" w:hint="default"/>
        </w:rPr>
        <w:t>5.</w:t>
      </w:r>
      <w:r>
        <w:rPr/>
        <w:t>业务范围扩大带来的管理风险</w:t>
      </w:r>
      <w:r>
        <w:rPr>
          <w:w w:val="100"/>
        </w:rPr>
        <w:t> </w:t>
      </w:r>
      <w:r>
        <w:rPr>
          <w:spacing w:val="-2"/>
        </w:rPr>
        <w:t>公司目前来源于四川省内的企、事业单位及政府机关等客户营业收入占比较高，随着公司业务规模的</w:t>
      </w:r>
    </w:p>
    <w:p>
      <w:pPr>
        <w:pStyle w:val="BodyText"/>
        <w:spacing w:line="408" w:lineRule="auto"/>
        <w:ind w:right="0"/>
        <w:jc w:val="left"/>
        <w:rPr>
          <w:rFonts w:ascii="宋体" w:hAnsi="宋体" w:cs="宋体" w:eastAsia="宋体" w:hint="default"/>
        </w:rPr>
      </w:pPr>
      <w:r>
        <w:rPr/>
        <w:t>扩大，省外市场客户逐渐增加，报告期内，公司业务领域已扩展至河南、浙江、福建、西藏、新疆等地，</w:t>
      </w:r>
      <w:r>
        <w:rPr>
          <w:w w:val="100"/>
        </w:rPr>
        <w:t> </w:t>
      </w:r>
      <w:r>
        <w:rPr>
          <w:spacing w:val="-5"/>
        </w:rPr>
        <w:t>随着公司募集资金投资项目的实施，公司业务领域将进一步扩大，由此将带来人才紧缺、内控方面的风险。</w:t>
      </w:r>
      <w:r>
        <w:rPr>
          <w:spacing w:val="-4"/>
        </w:rPr>
        <w:t> </w:t>
      </w:r>
      <w:r>
        <w:rPr>
          <w:spacing w:val="-4"/>
        </w:rPr>
      </w:r>
      <w:r>
        <w:rPr>
          <w:spacing w:val="-2"/>
        </w:rPr>
        <w:t>公司董事会、管理层一直高度关注并致力于建立更加有效的决策体系，进一步完善内部控制体系，引进和</w:t>
      </w:r>
      <w:r>
        <w:rPr>
          <w:spacing w:val="-43"/>
        </w:rPr>
        <w:t> </w:t>
      </w:r>
      <w:r>
        <w:rPr>
          <w:spacing w:val="-43"/>
        </w:rPr>
      </w:r>
      <w:r>
        <w:rPr/>
        <w:t>培养技术、营销、管理人才，从而防范因业务范围扩大带来的管理风险问题。</w:t>
      </w:r>
      <w:r>
        <w:rPr>
          <w:rFonts w:ascii="宋体" w:hAnsi="宋体" w:cs="宋体" w:eastAsia="宋体" w:hint="default"/>
        </w:rPr>
        <w:t> </w:t>
      </w:r>
    </w:p>
    <w:p>
      <w:pPr>
        <w:pStyle w:val="BodyText"/>
        <w:spacing w:line="408" w:lineRule="auto"/>
        <w:ind w:left="573" w:right="0"/>
        <w:jc w:val="left"/>
      </w:pPr>
      <w:r>
        <w:rPr>
          <w:rFonts w:ascii="宋体" w:hAnsi="宋体" w:cs="宋体" w:eastAsia="宋体" w:hint="default"/>
        </w:rPr>
        <w:t>6.</w:t>
      </w:r>
      <w:r>
        <w:rPr/>
        <w:t>投资收益减少的风险</w:t>
      </w:r>
      <w:r>
        <w:rPr>
          <w:w w:val="100"/>
        </w:rPr>
        <w:t> </w:t>
      </w:r>
      <w:r>
        <w:rPr/>
        <w:t>报告期内，公司持有中钞科信</w:t>
      </w:r>
      <w:r>
        <w:rPr>
          <w:rFonts w:ascii="宋体" w:hAnsi="宋体" w:cs="宋体" w:eastAsia="宋体" w:hint="default"/>
        </w:rPr>
        <w:t>40%</w:t>
      </w:r>
      <w:r>
        <w:rPr/>
        <w:t>股权，并按权益法对中钞科信长期股权投资进行核算，在本期中钞</w:t>
      </w:r>
    </w:p>
    <w:p>
      <w:pPr>
        <w:pStyle w:val="BodyText"/>
        <w:spacing w:line="408" w:lineRule="auto"/>
        <w:ind w:right="206"/>
        <w:jc w:val="both"/>
        <w:rPr>
          <w:rFonts w:ascii="宋体" w:hAnsi="宋体" w:cs="宋体" w:eastAsia="宋体" w:hint="default"/>
        </w:rPr>
      </w:pPr>
      <w:r>
        <w:rPr>
          <w:spacing w:val="-2"/>
        </w:rPr>
        <w:t>科信净利润较上期下降</w:t>
      </w:r>
      <w:r>
        <w:rPr>
          <w:rFonts w:ascii="宋体" w:hAnsi="宋体" w:cs="宋体" w:eastAsia="宋体" w:hint="default"/>
          <w:spacing w:val="-2"/>
        </w:rPr>
        <w:t>59.24%</w:t>
      </w:r>
      <w:r>
        <w:rPr>
          <w:spacing w:val="-2"/>
        </w:rPr>
        <w:t>，本公司对中钞科信投资收益占当期利润总额的比例也下降至</w:t>
      </w:r>
      <w:r>
        <w:rPr>
          <w:rFonts w:ascii="宋体" w:hAnsi="宋体" w:cs="宋体" w:eastAsia="宋体" w:hint="default"/>
          <w:spacing w:val="-2"/>
        </w:rPr>
        <w:t>12.13%</w:t>
      </w:r>
      <w:r>
        <w:rPr>
          <w:spacing w:val="-2"/>
        </w:rPr>
        <w:t>。如果</w:t>
      </w:r>
      <w:r>
        <w:rPr>
          <w:spacing w:val="-36"/>
        </w:rPr>
        <w:t> </w:t>
      </w:r>
      <w:r>
        <w:rPr>
          <w:spacing w:val="-36"/>
        </w:rPr>
      </w:r>
      <w:r>
        <w:rPr>
          <w:spacing w:val="-2"/>
        </w:rPr>
        <w:t>中钞科信</w:t>
      </w:r>
      <w:r>
        <w:rPr>
          <w:rFonts w:ascii="宋体" w:hAnsi="宋体" w:cs="宋体" w:eastAsia="宋体" w:hint="default"/>
          <w:spacing w:val="-2"/>
        </w:rPr>
        <w:t>2018</w:t>
      </w:r>
      <w:r>
        <w:rPr>
          <w:spacing w:val="-2"/>
        </w:rPr>
        <w:t>年利润状况持续出现下滑，则将对本公司的财务状况产生不利影响，不排除在</w:t>
      </w:r>
      <w:r>
        <w:rPr>
          <w:rFonts w:ascii="宋体" w:hAnsi="宋体" w:cs="宋体" w:eastAsia="宋体" w:hint="default"/>
          <w:spacing w:val="-2"/>
        </w:rPr>
        <w:t>2018</w:t>
      </w:r>
      <w:r>
        <w:rPr>
          <w:spacing w:val="-2"/>
        </w:rPr>
        <w:t>年出现业</w:t>
      </w:r>
      <w:r>
        <w:rPr>
          <w:spacing w:val="-35"/>
        </w:rPr>
        <w:t> </w:t>
      </w:r>
      <w:r>
        <w:rPr>
          <w:spacing w:val="-35"/>
        </w:rPr>
      </w:r>
      <w:r>
        <w:rPr/>
        <w:t>绩波动、下滑的可能。</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73" w:right="0"/>
        <w:jc w:val="left"/>
      </w:pPr>
      <w:r>
        <w:rPr/>
        <w:t>（无）</w:t>
      </w:r>
    </w:p>
    <w:p>
      <w:pPr>
        <w:spacing w:after="0" w:line="240" w:lineRule="auto"/>
        <w:jc w:val="left"/>
        <w:sectPr>
          <w:pgSz w:w="11910" w:h="16840"/>
          <w:pgMar w:header="880" w:footer="974" w:top="11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spacing w:line="240" w:lineRule="auto"/>
        <w:ind w:right="1648"/>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10" w:lineRule="auto" w:before="157"/>
        <w:ind w:left="573" w:right="6354"/>
        <w:jc w:val="left"/>
        <w:rPr>
          <w:rFonts w:ascii="宋体" w:hAnsi="宋体" w:cs="宋体" w:eastAsia="宋体" w:hint="default"/>
        </w:rPr>
      </w:pPr>
      <w:r>
        <w:rPr/>
        <w:t>（一）公司的利润分配政策</w:t>
      </w:r>
      <w:r>
        <w:rPr>
          <w:rFonts w:ascii="宋体" w:hAnsi="宋体" w:cs="宋体" w:eastAsia="宋体" w:hint="default"/>
          <w:w w:val="100"/>
        </w:rPr>
        <w:t> </w:t>
      </w:r>
      <w:r>
        <w:rPr>
          <w:rFonts w:ascii="宋体" w:hAnsi="宋体" w:cs="宋体" w:eastAsia="宋体" w:hint="default"/>
        </w:rPr>
        <w:t>1</w:t>
      </w:r>
      <w:r>
        <w:rPr/>
        <w:t>、利润分配原则</w:t>
      </w:r>
      <w:r>
        <w:rPr>
          <w:rFonts w:ascii="宋体" w:hAnsi="宋体" w:cs="宋体" w:eastAsia="宋体" w:hint="default"/>
        </w:rPr>
        <w:t> </w:t>
      </w:r>
    </w:p>
    <w:p>
      <w:pPr>
        <w:pStyle w:val="BodyText"/>
        <w:spacing w:line="408" w:lineRule="auto" w:before="44"/>
        <w:ind w:right="146" w:firstLine="420"/>
        <w:jc w:val="both"/>
        <w:rPr>
          <w:rFonts w:ascii="宋体" w:hAnsi="宋体" w:cs="宋体" w:eastAsia="宋体" w:hint="default"/>
        </w:rPr>
      </w:pPr>
      <w:r>
        <w:rPr>
          <w:spacing w:val="-2"/>
        </w:rPr>
        <w:t>公司实行持续、稳定的利润分配政策，公司利润分配应重视对投资者的合理投资回报并兼顾公司的可</w:t>
      </w:r>
      <w:r>
        <w:rPr>
          <w:w w:val="100"/>
        </w:rPr>
        <w:t> </w:t>
      </w:r>
      <w:r>
        <w:rPr/>
        <w:t>持续发展。在符合利润分配原则、保证公司正常经营和长远发展的前提下，公司应注重现金分红。</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rFonts w:ascii="宋体" w:hAnsi="宋体" w:cs="宋体" w:eastAsia="宋体" w:hint="default"/>
        </w:rPr>
        <w:t>2</w:t>
      </w:r>
      <w:r>
        <w:rPr/>
        <w:t>、利润分配的形式和比例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rPr>
          <w:rFonts w:ascii="宋体" w:hAnsi="宋体" w:cs="宋体" w:eastAsia="宋体" w:hint="default"/>
        </w:rPr>
      </w:pPr>
      <w:r>
        <w:rPr>
          <w:spacing w:val="-2"/>
        </w:rPr>
        <w:t>公司可以采取现金、股票或现金和股票二者相结合的方式分配股利，并优先考虑采取现金方式分配利</w:t>
      </w:r>
      <w:r>
        <w:rPr>
          <w:w w:val="100"/>
        </w:rPr>
        <w:t> </w:t>
      </w:r>
      <w:r>
        <w:rPr>
          <w:spacing w:val="-2"/>
        </w:rPr>
        <w:t>润；在满足购买原材料的资金需求、可预期的重大投资计划或重大现金支出的前提下，公司董事会可以根</w:t>
      </w:r>
      <w:r>
        <w:rPr>
          <w:spacing w:val="-44"/>
        </w:rPr>
        <w:t> </w:t>
      </w:r>
      <w:r>
        <w:rPr>
          <w:spacing w:val="-44"/>
        </w:rPr>
      </w:r>
      <w:r>
        <w:rPr>
          <w:spacing w:val="2"/>
        </w:rPr>
        <w:t>据公司当期经营利润和现金流情况进行中期分红，具体方案须经公司董事会审议后提交公司股东大会批</w:t>
      </w:r>
      <w:r>
        <w:rPr>
          <w:spacing w:val="-30"/>
        </w:rPr>
        <w:t> </w:t>
      </w:r>
      <w:r>
        <w:rPr>
          <w:spacing w:val="-30"/>
        </w:rPr>
      </w:r>
      <w:r>
        <w:rPr/>
        <w:t>准。</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rFonts w:ascii="宋体" w:hAnsi="宋体" w:cs="宋体" w:eastAsia="宋体" w:hint="default"/>
        </w:rPr>
        <w:t>3</w:t>
      </w:r>
      <w:r>
        <w:rPr/>
        <w:t>、利润分配的具体政策</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573" w:right="153"/>
        <w:jc w:val="left"/>
      </w:pPr>
      <w:r>
        <w:rPr/>
        <w:t>（</w:t>
      </w:r>
      <w:r>
        <w:rPr>
          <w:rFonts w:ascii="宋体" w:hAnsi="宋体" w:cs="宋体" w:eastAsia="宋体" w:hint="default"/>
        </w:rPr>
        <w:t>1</w:t>
      </w:r>
      <w:r>
        <w:rPr/>
        <w:t>）利润分配的具体条件</w:t>
      </w:r>
      <w:r>
        <w:rPr>
          <w:rFonts w:ascii="宋体" w:hAnsi="宋体" w:cs="宋体" w:eastAsia="宋体" w:hint="default"/>
          <w:w w:val="100"/>
        </w:rPr>
        <w:t> </w:t>
      </w:r>
      <w:r>
        <w:rPr>
          <w:spacing w:val="-2"/>
        </w:rPr>
        <w:t>公司在当年度盈利且累计未分配利润为正的情况下，采取现金方式分红；采用股票股利进行利润分配</w:t>
      </w:r>
    </w:p>
    <w:p>
      <w:pPr>
        <w:pStyle w:val="BodyText"/>
        <w:spacing w:line="408" w:lineRule="auto"/>
        <w:ind w:right="125"/>
        <w:jc w:val="both"/>
        <w:rPr>
          <w:rFonts w:ascii="宋体" w:hAnsi="宋体" w:cs="宋体" w:eastAsia="宋体" w:hint="default"/>
        </w:rPr>
      </w:pPr>
      <w:r>
        <w:rPr>
          <w:spacing w:val="-2"/>
        </w:rPr>
        <w:t>的，应当具有公司成长性、每股净资产的摊薄等真实合理因素；公司董事会应当综合考虑所处行业特点、</w:t>
      </w:r>
      <w:r>
        <w:rPr>
          <w:spacing w:val="-21"/>
        </w:rPr>
        <w:t> </w:t>
      </w:r>
      <w:r>
        <w:rPr>
          <w:spacing w:val="-21"/>
        </w:rPr>
      </w:r>
      <w:r>
        <w:rPr>
          <w:spacing w:val="-2"/>
        </w:rPr>
        <w:t>发展阶段、自身经营模式、盈利水平以及是否有重大资金支出安排等因素，区分下列情形，并按照本章程</w:t>
      </w:r>
      <w:r>
        <w:rPr>
          <w:spacing w:val="-50"/>
        </w:rPr>
        <w:t> </w:t>
      </w:r>
      <w:r>
        <w:rPr>
          <w:spacing w:val="-50"/>
        </w:rPr>
      </w:r>
      <w:r>
        <w:rPr/>
        <w:t>规定的程序，提出差异化的现金分红政策：</w:t>
      </w:r>
      <w:r>
        <w:rPr>
          <w:rFonts w:ascii="宋体" w:hAnsi="宋体" w:cs="宋体" w:eastAsia="宋体" w:hint="default"/>
        </w:rPr>
        <w:t> </w:t>
      </w:r>
    </w:p>
    <w:p>
      <w:pPr>
        <w:pStyle w:val="BodyText"/>
        <w:spacing w:line="408" w:lineRule="auto"/>
        <w:ind w:right="146" w:firstLine="420"/>
        <w:jc w:val="both"/>
        <w:rPr>
          <w:rFonts w:ascii="宋体" w:hAnsi="宋体" w:cs="宋体" w:eastAsia="宋体" w:hint="default"/>
        </w:rPr>
      </w:pPr>
      <w:r>
        <w:rPr>
          <w:spacing w:val="-2"/>
        </w:rPr>
        <w:t>①公司发展阶段属成熟期且无重大资金支出安排的，进行利润分配时，现金分红在本次利润分配中所</w:t>
      </w:r>
      <w:r>
        <w:rPr>
          <w:w w:val="100"/>
        </w:rPr>
        <w:t> </w:t>
      </w:r>
      <w:r>
        <w:rPr/>
        <w:t>占比例最低应达到</w:t>
      </w:r>
      <w:r>
        <w:rPr>
          <w:rFonts w:ascii="宋体" w:hAnsi="宋体" w:cs="宋体" w:eastAsia="宋体" w:hint="default"/>
        </w:rPr>
        <w:t>80%</w:t>
      </w:r>
      <w:r>
        <w:rPr/>
        <w:t>；</w:t>
      </w:r>
      <w:r>
        <w:rPr>
          <w:rFonts w:ascii="宋体" w:hAnsi="宋体" w:cs="宋体" w:eastAsia="宋体" w:hint="default"/>
        </w:rPr>
        <w:t> </w:t>
      </w:r>
    </w:p>
    <w:p>
      <w:pPr>
        <w:pStyle w:val="BodyText"/>
        <w:spacing w:line="408" w:lineRule="auto"/>
        <w:ind w:right="146" w:firstLine="420"/>
        <w:jc w:val="both"/>
        <w:rPr>
          <w:rFonts w:ascii="宋体" w:hAnsi="宋体" w:cs="宋体" w:eastAsia="宋体" w:hint="default"/>
        </w:rPr>
      </w:pPr>
      <w:r>
        <w:rPr>
          <w:spacing w:val="-2"/>
        </w:rPr>
        <w:t>②公司发展阶段属成熟期且有重大资金支出安排的，进行利润分配时，现金分红在本次利润分配中所</w:t>
      </w:r>
      <w:r>
        <w:rPr>
          <w:w w:val="100"/>
        </w:rPr>
        <w:t> </w:t>
      </w:r>
      <w:r>
        <w:rPr/>
        <w:t>占比例最低应达到</w:t>
      </w:r>
      <w:r>
        <w:rPr>
          <w:rFonts w:ascii="宋体" w:hAnsi="宋体" w:cs="宋体" w:eastAsia="宋体" w:hint="default"/>
        </w:rPr>
        <w:t>40%</w:t>
      </w:r>
      <w:r>
        <w:rPr/>
        <w:t>；</w:t>
      </w:r>
      <w:r>
        <w:rPr>
          <w:rFonts w:ascii="宋体" w:hAnsi="宋体" w:cs="宋体" w:eastAsia="宋体" w:hint="default"/>
        </w:rPr>
        <w:t> </w:t>
      </w:r>
    </w:p>
    <w:p>
      <w:pPr>
        <w:pStyle w:val="BodyText"/>
        <w:spacing w:line="408" w:lineRule="auto"/>
        <w:ind w:right="146" w:firstLine="420"/>
        <w:jc w:val="both"/>
        <w:rPr>
          <w:rFonts w:ascii="宋体" w:hAnsi="宋体" w:cs="宋体" w:eastAsia="宋体" w:hint="default"/>
        </w:rPr>
      </w:pPr>
      <w:r>
        <w:rPr>
          <w:spacing w:val="-2"/>
        </w:rPr>
        <w:t>③公司发展阶段属成长期且有重大资金支出安排的，进行利润分配时，现金分红在本次利润分配中所</w:t>
      </w:r>
      <w:r>
        <w:rPr>
          <w:w w:val="100"/>
        </w:rPr>
        <w:t> </w:t>
      </w:r>
      <w:r>
        <w:rPr/>
        <w:t>占比例最低应达到</w:t>
      </w:r>
      <w:r>
        <w:rPr>
          <w:rFonts w:ascii="宋体" w:hAnsi="宋体" w:cs="宋体" w:eastAsia="宋体" w:hint="default"/>
        </w:rPr>
        <w:t>20%</w:t>
      </w:r>
      <w:r>
        <w:rPr/>
        <w:t>。</w:t>
      </w:r>
      <w:r>
        <w:rPr>
          <w:rFonts w:ascii="宋体" w:hAnsi="宋体" w:cs="宋体" w:eastAsia="宋体" w:hint="default"/>
        </w:rPr>
        <w:t> </w:t>
      </w:r>
    </w:p>
    <w:p>
      <w:pPr>
        <w:pStyle w:val="BodyText"/>
        <w:spacing w:line="408" w:lineRule="auto"/>
        <w:ind w:left="573" w:right="153"/>
        <w:jc w:val="left"/>
      </w:pPr>
      <w:r>
        <w:rPr/>
        <w:t>公司发展阶段不易区分但有重大资金支出安排的，按照前项规定处理。</w:t>
      </w:r>
      <w:r>
        <w:rPr>
          <w:rFonts w:ascii="宋体" w:hAnsi="宋体" w:cs="宋体" w:eastAsia="宋体" w:hint="default"/>
          <w:w w:val="100"/>
        </w:rPr>
        <w:t> </w:t>
      </w:r>
      <w:r>
        <w:rPr>
          <w:spacing w:val="-2"/>
        </w:rPr>
        <w:t>重大资金支出指公司未来十二个月内拟对外投资、收购资产或者购买设备等的累计支出达到或者超过</w:t>
      </w:r>
    </w:p>
    <w:p>
      <w:pPr>
        <w:pStyle w:val="BodyText"/>
        <w:spacing w:line="240" w:lineRule="auto"/>
        <w:ind w:right="0"/>
        <w:jc w:val="both"/>
      </w:pPr>
      <w:r>
        <w:rPr/>
        <w:t>公司最近一期经审计净资产的百分之三十。</w:t>
      </w:r>
    </w:p>
    <w:p>
      <w:pPr>
        <w:spacing w:after="0" w:line="240" w:lineRule="auto"/>
        <w:jc w:val="both"/>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left="573" w:right="4074"/>
        <w:jc w:val="left"/>
        <w:rPr>
          <w:rFonts w:ascii="宋体" w:hAnsi="宋体" w:cs="宋体" w:eastAsia="宋体" w:hint="default"/>
        </w:rPr>
      </w:pPr>
      <w:r>
        <w:rPr/>
        <w:t>（</w:t>
      </w:r>
      <w:r>
        <w:rPr>
          <w:rFonts w:ascii="宋体" w:hAnsi="宋体" w:cs="宋体" w:eastAsia="宋体" w:hint="default"/>
        </w:rPr>
        <w:t>2</w:t>
      </w:r>
      <w:r>
        <w:rPr/>
        <w:t>）现金分红条件</w:t>
      </w:r>
      <w:r>
        <w:rPr>
          <w:rFonts w:ascii="宋体" w:hAnsi="宋体" w:cs="宋体" w:eastAsia="宋体" w:hint="default"/>
          <w:spacing w:val="-3"/>
          <w:w w:val="100"/>
        </w:rPr>
        <w:t> </w:t>
      </w:r>
      <w:r>
        <w:rPr>
          <w:rFonts w:ascii="宋体" w:hAnsi="宋体" w:cs="宋体" w:eastAsia="宋体" w:hint="default"/>
          <w:w w:val="100"/>
        </w:rPr>
        <w:t> </w:t>
      </w:r>
      <w:r>
        <w:rPr/>
        <w:t>公司采取现金方式分配股利，应符合下述条件：</w:t>
      </w:r>
      <w:r>
        <w:rPr>
          <w:rFonts w:ascii="宋体" w:hAnsi="宋体" w:cs="宋体" w:eastAsia="宋体" w:hint="default"/>
        </w:rPr>
        <w:t> </w:t>
      </w:r>
    </w:p>
    <w:p>
      <w:pPr>
        <w:pStyle w:val="BodyText"/>
        <w:spacing w:line="408" w:lineRule="auto"/>
        <w:ind w:right="0" w:firstLine="420"/>
        <w:jc w:val="left"/>
        <w:rPr>
          <w:rFonts w:ascii="宋体" w:hAnsi="宋体" w:cs="宋体" w:eastAsia="宋体" w:hint="default"/>
        </w:rPr>
      </w:pPr>
      <w:r>
        <w:rPr>
          <w:spacing w:val="-5"/>
        </w:rPr>
        <w:t>①公司该年度或半年度实现的可分配利润（即公司弥补亏损、提取公积金后所余的税后利润）为正值、</w:t>
      </w:r>
      <w:r>
        <w:rPr>
          <w:w w:val="100"/>
        </w:rPr>
        <w:t> </w:t>
      </w:r>
      <w:r>
        <w:rPr/>
        <w:t>且现金流充裕，实施现金分红不会影响公司后续持续经营；</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t>②公司累计可供分配利润为正值；</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rPr>
          <w:rFonts w:ascii="宋体" w:hAnsi="宋体" w:cs="宋体" w:eastAsia="宋体" w:hint="default"/>
        </w:rPr>
      </w:pPr>
      <w:r>
        <w:rPr/>
        <w:t>③审计机构对公司的该年度财务报告出具标准无保留意见的审计报告；</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10" w:lineRule="auto" w:before="0"/>
        <w:ind w:left="573" w:right="0"/>
        <w:jc w:val="left"/>
      </w:pPr>
      <w:r>
        <w:rPr/>
        <w:t>④公司无重大投资计划或重大现金支出等事项发生（募集资金项目除外）。</w:t>
      </w:r>
      <w:r>
        <w:rPr>
          <w:rFonts w:ascii="宋体" w:hAnsi="宋体" w:cs="宋体" w:eastAsia="宋体" w:hint="default"/>
          <w:spacing w:val="-3"/>
          <w:w w:val="100"/>
        </w:rPr>
        <w:t> </w:t>
      </w:r>
      <w:r>
        <w:rPr>
          <w:rFonts w:ascii="宋体" w:hAnsi="宋体" w:cs="宋体" w:eastAsia="宋体" w:hint="default"/>
          <w:w w:val="100"/>
        </w:rPr>
        <w:t> </w:t>
      </w:r>
      <w:r>
        <w:rPr>
          <w:spacing w:val="-2"/>
        </w:rPr>
        <w:t>重大投资计划或重大现金支出是指公司未来十二个月内拟对外投资、收购资产或者购买设备的累计支</w:t>
      </w:r>
    </w:p>
    <w:p>
      <w:pPr>
        <w:pStyle w:val="BodyText"/>
        <w:spacing w:line="240" w:lineRule="auto" w:before="44"/>
        <w:ind w:right="0"/>
        <w:jc w:val="left"/>
        <w:rPr>
          <w:rFonts w:ascii="宋体" w:hAnsi="宋体" w:cs="宋体" w:eastAsia="宋体" w:hint="default"/>
        </w:rPr>
      </w:pPr>
      <w:r>
        <w:rPr/>
        <w:t>出达到或者超过公司最近一期经审计总资产的</w:t>
      </w:r>
      <w:r>
        <w:rPr>
          <w:rFonts w:ascii="宋体" w:hAnsi="宋体" w:cs="宋体" w:eastAsia="宋体" w:hint="default"/>
        </w:rPr>
        <w:t>30%</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rPr>
          <w:rFonts w:ascii="宋体" w:hAnsi="宋体" w:cs="宋体" w:eastAsia="宋体" w:hint="default"/>
        </w:rPr>
      </w:pPr>
      <w:r>
        <w:rPr/>
        <w:t>上述现金分红条件中的第①</w:t>
      </w:r>
      <w:r>
        <w:rPr>
          <w:rFonts w:ascii="宋体" w:hAnsi="宋体" w:cs="宋体" w:eastAsia="宋体" w:hint="default"/>
        </w:rPr>
        <w:t>-</w:t>
      </w:r>
      <w:r>
        <w:rPr/>
        <w:t>③项系公司实施现金分红条件的必备条件；经股东大会审议通过，上述</w:t>
      </w:r>
      <w:r>
        <w:rPr>
          <w:w w:val="100"/>
        </w:rPr>
        <w:t> </w:t>
      </w:r>
      <w:r>
        <w:rPr/>
        <w:t>现金分红条件中的第④项应不影响公司实施现金分红。</w:t>
      </w:r>
      <w:r>
        <w:rPr>
          <w:rFonts w:ascii="宋体" w:hAnsi="宋体" w:cs="宋体" w:eastAsia="宋体" w:hint="default"/>
        </w:rPr>
        <w:t> </w:t>
      </w:r>
    </w:p>
    <w:p>
      <w:pPr>
        <w:pStyle w:val="BodyText"/>
        <w:spacing w:line="408" w:lineRule="auto"/>
        <w:ind w:left="573" w:right="0"/>
        <w:jc w:val="left"/>
      </w:pPr>
      <w:r>
        <w:rPr/>
        <w:t>（</w:t>
      </w:r>
      <w:r>
        <w:rPr>
          <w:rFonts w:ascii="宋体" w:hAnsi="宋体" w:cs="宋体" w:eastAsia="宋体" w:hint="default"/>
        </w:rPr>
        <w:t>3</w:t>
      </w:r>
      <w:r>
        <w:rPr/>
        <w:t>）现金分红比例</w:t>
      </w:r>
      <w:r>
        <w:rPr>
          <w:rFonts w:ascii="宋体" w:hAnsi="宋体" w:cs="宋体" w:eastAsia="宋体" w:hint="default"/>
          <w:w w:val="100"/>
        </w:rPr>
        <w:t> </w:t>
      </w:r>
      <w:r>
        <w:rPr>
          <w:spacing w:val="-2"/>
        </w:rPr>
        <w:t>原则上公司按年度将可供分配的利润进行分配，必要时公司也可以进行中期利润分配。公司最近三年</w:t>
      </w:r>
    </w:p>
    <w:p>
      <w:pPr>
        <w:pStyle w:val="BodyText"/>
        <w:spacing w:line="408" w:lineRule="auto"/>
        <w:ind w:right="0"/>
        <w:jc w:val="left"/>
        <w:rPr>
          <w:rFonts w:ascii="宋体" w:hAnsi="宋体" w:cs="宋体" w:eastAsia="宋体" w:hint="default"/>
        </w:rPr>
      </w:pPr>
      <w:r>
        <w:rPr/>
        <w:t>以现金方式累计分配的利润不少于最近三年实现的年均可分配利润的</w:t>
      </w:r>
      <w:r>
        <w:rPr>
          <w:rFonts w:ascii="宋体" w:hAnsi="宋体" w:cs="宋体" w:eastAsia="宋体" w:hint="default"/>
        </w:rPr>
        <w:t>30%</w:t>
      </w:r>
      <w:r>
        <w:rPr/>
        <w:t>。每年具体的现金分红比例预案</w:t>
      </w:r>
      <w:r>
        <w:rPr>
          <w:spacing w:val="-24"/>
        </w:rPr>
        <w:t> </w:t>
      </w:r>
      <w:r>
        <w:rPr>
          <w:spacing w:val="-24"/>
        </w:rPr>
      </w:r>
      <w:r>
        <w:rPr/>
        <w:t>由董事会根据前述规定、结合公司经营状况及相关规定拟定，并提交股东大会表决。</w:t>
      </w:r>
      <w:r>
        <w:rPr>
          <w:rFonts w:ascii="宋体" w:hAnsi="宋体" w:cs="宋体" w:eastAsia="宋体" w:hint="default"/>
        </w:rPr>
        <w:t> </w:t>
      </w:r>
    </w:p>
    <w:p>
      <w:pPr>
        <w:pStyle w:val="BodyText"/>
        <w:spacing w:line="408" w:lineRule="auto"/>
        <w:ind w:left="573" w:right="206"/>
        <w:jc w:val="left"/>
      </w:pPr>
      <w:r>
        <w:rPr/>
        <w:t>（</w:t>
      </w:r>
      <w:r>
        <w:rPr>
          <w:rFonts w:ascii="宋体" w:hAnsi="宋体" w:cs="宋体" w:eastAsia="宋体" w:hint="default"/>
        </w:rPr>
        <w:t>4</w:t>
      </w:r>
      <w:r>
        <w:rPr/>
        <w:t>）利润分配的期间间隔</w:t>
      </w:r>
      <w:r>
        <w:rPr>
          <w:spacing w:val="-10"/>
        </w:rPr>
        <w:t> </w:t>
      </w:r>
      <w:r>
        <w:rPr>
          <w:rFonts w:ascii="宋体" w:hAnsi="宋体" w:cs="宋体" w:eastAsia="宋体" w:hint="default"/>
          <w:spacing w:val="-10"/>
        </w:rPr>
      </w:r>
      <w:r>
        <w:rPr/>
        <w:t>每年度进行一次分红，在有条件的情况下，公司可以进行中期现金分红。</w:t>
      </w:r>
      <w:r>
        <w:rPr>
          <w:rFonts w:ascii="宋体" w:hAnsi="宋体" w:cs="宋体" w:eastAsia="宋体" w:hint="default"/>
          <w:w w:val="100"/>
        </w:rPr>
        <w:t> </w:t>
      </w:r>
      <w:r>
        <w:rPr>
          <w:rFonts w:ascii="宋体" w:hAnsi="宋体" w:cs="宋体" w:eastAsia="宋体" w:hint="default"/>
        </w:rPr>
        <w:t>4</w:t>
      </w:r>
      <w:r>
        <w:rPr/>
        <w:t>、利润分配政策的决策程序：</w:t>
      </w:r>
      <w:r>
        <w:rPr>
          <w:rFonts w:ascii="宋体" w:hAnsi="宋体" w:cs="宋体" w:eastAsia="宋体" w:hint="default"/>
          <w:w w:val="100"/>
        </w:rPr>
        <w:t> </w:t>
      </w:r>
      <w:r>
        <w:rPr>
          <w:spacing w:val="-2"/>
        </w:rPr>
        <w:t>公司董事会拟定现金股利分配方案的，由股东大会经普通决议的方式表决通过；公司董事会拟定股票</w:t>
      </w:r>
    </w:p>
    <w:p>
      <w:pPr>
        <w:pStyle w:val="BodyText"/>
        <w:spacing w:line="408" w:lineRule="auto"/>
        <w:ind w:right="0"/>
        <w:jc w:val="left"/>
        <w:rPr>
          <w:rFonts w:ascii="宋体" w:hAnsi="宋体" w:cs="宋体" w:eastAsia="宋体" w:hint="default"/>
        </w:rPr>
      </w:pPr>
      <w:r>
        <w:rPr>
          <w:spacing w:val="-2"/>
        </w:rPr>
        <w:t>股利分配方案的，由股东大会经特别决议的方式表决通过。公司监事会应当对董事会编制的股利分配方案</w:t>
      </w:r>
      <w:r>
        <w:rPr>
          <w:spacing w:val="-44"/>
        </w:rPr>
        <w:t> </w:t>
      </w:r>
      <w:r>
        <w:rPr>
          <w:spacing w:val="-44"/>
        </w:rPr>
      </w:r>
      <w:r>
        <w:rPr/>
        <w:t>进行审核并提出书面审核意见。</w:t>
      </w:r>
      <w:r>
        <w:rPr>
          <w:rFonts w:ascii="宋体" w:hAnsi="宋体" w:cs="宋体" w:eastAsia="宋体" w:hint="default"/>
        </w:rPr>
        <w:t> </w:t>
      </w:r>
    </w:p>
    <w:p>
      <w:pPr>
        <w:pStyle w:val="BodyText"/>
        <w:spacing w:line="408" w:lineRule="auto"/>
        <w:ind w:right="0" w:firstLine="420"/>
        <w:jc w:val="left"/>
        <w:rPr>
          <w:rFonts w:ascii="宋体" w:hAnsi="宋体" w:cs="宋体" w:eastAsia="宋体" w:hint="default"/>
        </w:rPr>
      </w:pPr>
      <w:r>
        <w:rPr>
          <w:spacing w:val="-5"/>
        </w:rPr>
        <w:t>公司在制定现金分红具体方案时，董事会应当认真研究和论证公司现金分红的时机、条件和最低比例、</w:t>
      </w:r>
      <w:r>
        <w:rPr>
          <w:w w:val="100"/>
        </w:rPr>
        <w:t> </w:t>
      </w:r>
      <w:r>
        <w:rPr/>
        <w:t>调整的条件及其决策程序要求等事宜，独立董事应当发表明确意见。</w:t>
      </w:r>
      <w:r>
        <w:rPr>
          <w:rFonts w:ascii="宋体" w:hAnsi="宋体" w:cs="宋体" w:eastAsia="宋体" w:hint="default"/>
        </w:rPr>
        <w:t> </w:t>
      </w:r>
    </w:p>
    <w:p>
      <w:pPr>
        <w:pStyle w:val="BodyText"/>
        <w:spacing w:line="408" w:lineRule="auto"/>
        <w:ind w:left="573" w:right="0"/>
        <w:jc w:val="left"/>
      </w:pPr>
      <w:r>
        <w:rPr/>
        <w:t>独立董事可以征集中小股东的意见，提出分红提案，并直接提交董事会审议。</w:t>
      </w:r>
      <w:r>
        <w:rPr>
          <w:rFonts w:ascii="宋体" w:hAnsi="宋体" w:cs="宋体" w:eastAsia="宋体" w:hint="default"/>
          <w:w w:val="100"/>
        </w:rPr>
        <w:t> </w:t>
      </w:r>
      <w:r>
        <w:rPr>
          <w:spacing w:val="-2"/>
        </w:rPr>
        <w:t>股东大会对现金分红具体方案进行审议前，公司应当通过多种渠道主动与股东特别是中小股东进行沟</w:t>
      </w:r>
    </w:p>
    <w:p>
      <w:pPr>
        <w:pStyle w:val="BodyText"/>
        <w:spacing w:line="408" w:lineRule="auto"/>
        <w:ind w:left="573" w:right="0" w:hanging="421"/>
        <w:jc w:val="left"/>
      </w:pPr>
      <w:r>
        <w:rPr/>
        <w:t>通和交流，充分听取中小股东的意见和诉求，及时答复中小股东关心的问题。</w:t>
      </w:r>
      <w:r>
        <w:rPr>
          <w:rFonts w:ascii="宋体" w:hAnsi="宋体" w:cs="宋体" w:eastAsia="宋体" w:hint="default"/>
          <w:w w:val="100"/>
        </w:rPr>
        <w:t> </w:t>
      </w:r>
      <w:r>
        <w:rPr>
          <w:spacing w:val="-2"/>
        </w:rPr>
        <w:t>公司在上一个会计年度实现盈利，但公司董事会在上一会计年度结束后未提出现金利润分配预案的，</w:t>
      </w:r>
    </w:p>
    <w:p>
      <w:pPr>
        <w:pStyle w:val="BodyText"/>
        <w:spacing w:line="408" w:lineRule="auto"/>
        <w:ind w:right="0"/>
        <w:jc w:val="left"/>
        <w:rPr>
          <w:rFonts w:ascii="宋体" w:hAnsi="宋体" w:cs="宋体" w:eastAsia="宋体" w:hint="default"/>
        </w:rPr>
      </w:pPr>
      <w:r>
        <w:rPr>
          <w:spacing w:val="-2"/>
        </w:rPr>
        <w:t>应当在定期报告中详细说明未分红的原因、未用于分红的资金留存公司的用途，独立董事还应当对此发表</w:t>
      </w:r>
      <w:r>
        <w:rPr>
          <w:spacing w:val="-44"/>
        </w:rPr>
        <w:t> </w:t>
      </w:r>
      <w:r>
        <w:rPr>
          <w:spacing w:val="-44"/>
        </w:rPr>
      </w:r>
      <w:r>
        <w:rPr/>
        <w:t>独立意见。</w:t>
      </w:r>
      <w:r>
        <w:rPr>
          <w:rFonts w:ascii="宋体" w:hAnsi="宋体" w:cs="宋体" w:eastAsia="宋体" w:hint="default"/>
        </w:rPr>
        <w:t> </w:t>
      </w:r>
    </w:p>
    <w:p>
      <w:pPr>
        <w:pStyle w:val="BodyText"/>
        <w:spacing w:line="240" w:lineRule="auto"/>
        <w:ind w:left="573" w:right="0"/>
        <w:jc w:val="left"/>
      </w:pPr>
      <w:r>
        <w:rPr/>
        <w:t>公司若当年不进行或低于本章程规定的现金分红比例进行利润分配的，公司董事会应当在定期报告中</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spacing w:val="-2"/>
        </w:rPr>
        <w:t>披露原因，独立董事应当对此发表独立意见，有关利润分配的议案需经公司董事会审议后提交股东大会批</w:t>
      </w:r>
      <w:r>
        <w:rPr>
          <w:spacing w:val="-42"/>
        </w:rPr>
        <w:t> </w:t>
      </w:r>
      <w:r>
        <w:rPr>
          <w:spacing w:val="-42"/>
        </w:rPr>
      </w:r>
      <w:r>
        <w:rPr>
          <w:spacing w:val="-2"/>
        </w:rPr>
        <w:t>准，并在股东大会提案中详细论证说明原因及留存资金的具体用途，且公司需提供网络投票的方式，由股</w:t>
      </w:r>
      <w:r>
        <w:rPr>
          <w:spacing w:val="-43"/>
        </w:rPr>
        <w:t> </w:t>
      </w:r>
      <w:r>
        <w:rPr>
          <w:spacing w:val="-43"/>
        </w:rPr>
      </w:r>
      <w:r>
        <w:rPr/>
        <w:t>东大会以特别决议的方式表决通过。</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rFonts w:ascii="宋体" w:hAnsi="宋体" w:cs="宋体" w:eastAsia="宋体" w:hint="default"/>
        </w:rPr>
        <w:t>5</w:t>
      </w:r>
      <w:r>
        <w:rPr/>
        <w:t>、利润分配政策的调整机制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rPr>
          <w:rFonts w:ascii="宋体" w:hAnsi="宋体" w:cs="宋体" w:eastAsia="宋体" w:hint="default"/>
        </w:rPr>
      </w:pPr>
      <w:r>
        <w:rPr>
          <w:spacing w:val="-2"/>
        </w:rPr>
        <w:t>公司根据生产经营情况、投资规划和长期发展的需要，需调整利润分配政策的，调整后的利润分配政</w:t>
      </w:r>
      <w:r>
        <w:rPr>
          <w:w w:val="100"/>
        </w:rPr>
        <w:t> </w:t>
      </w:r>
      <w:r>
        <w:rPr>
          <w:spacing w:val="-2"/>
        </w:rPr>
        <w:t>策应以股东权益保护为出发点，不得违反中国证监会和证券交易所的有关规定，独立董事应当对此发表独</w:t>
      </w:r>
      <w:r>
        <w:rPr>
          <w:spacing w:val="-43"/>
        </w:rPr>
        <w:t> </w:t>
      </w:r>
      <w:r>
        <w:rPr>
          <w:spacing w:val="-43"/>
        </w:rPr>
      </w:r>
      <w:r>
        <w:rPr>
          <w:spacing w:val="-2"/>
        </w:rPr>
        <w:t>立意见，有关调整利润分配政策的议案需经公司董事会审议后提交公司股东大会批准，并在股东大会提案</w:t>
      </w:r>
      <w:r>
        <w:rPr>
          <w:spacing w:val="-43"/>
        </w:rPr>
        <w:t> </w:t>
      </w:r>
      <w:r>
        <w:rPr>
          <w:spacing w:val="-43"/>
        </w:rPr>
      </w:r>
      <w:r>
        <w:rPr/>
        <w:t>中详细论证和说明原因，且公司需提供网络投票的方式，由股东大会以特别决议的方式表决通过。</w:t>
      </w:r>
      <w:r>
        <w:rPr>
          <w:rFonts w:ascii="宋体" w:hAnsi="宋体" w:cs="宋体" w:eastAsia="宋体" w:hint="default"/>
        </w:rPr>
        <w:t> </w:t>
      </w:r>
    </w:p>
    <w:p>
      <w:pPr>
        <w:pStyle w:val="BodyText"/>
        <w:spacing w:line="408" w:lineRule="auto"/>
        <w:ind w:left="573" w:right="153"/>
        <w:jc w:val="left"/>
      </w:pPr>
      <w:r>
        <w:rPr/>
        <w:t>（二）未来分红回报规划</w:t>
      </w:r>
      <w:r>
        <w:rPr>
          <w:rFonts w:ascii="宋体" w:hAnsi="宋体" w:cs="宋体" w:eastAsia="宋体" w:hint="default"/>
          <w:w w:val="100"/>
        </w:rPr>
        <w:t> </w:t>
      </w:r>
      <w:r>
        <w:rPr>
          <w:spacing w:val="-2"/>
        </w:rPr>
        <w:t>公司股票上市后未来三年，利润分配可采取现金、股票、现金与股票相结合或者法律、法规允许的其</w:t>
      </w:r>
    </w:p>
    <w:p>
      <w:pPr>
        <w:pStyle w:val="BodyText"/>
        <w:spacing w:line="408" w:lineRule="auto"/>
        <w:ind w:right="146"/>
        <w:jc w:val="both"/>
        <w:rPr>
          <w:rFonts w:ascii="宋体" w:hAnsi="宋体" w:cs="宋体" w:eastAsia="宋体" w:hint="default"/>
        </w:rPr>
      </w:pPr>
      <w:r>
        <w:rPr>
          <w:spacing w:val="-2"/>
        </w:rPr>
        <w:t>他方式。公司在选择利润分配方式时，相对于股票股利等分配方式优先采用现金分红的利润分配方式。根</w:t>
      </w:r>
      <w:r>
        <w:rPr>
          <w:spacing w:val="-42"/>
        </w:rPr>
        <w:t> </w:t>
      </w:r>
      <w:r>
        <w:rPr>
          <w:spacing w:val="-42"/>
        </w:rPr>
      </w:r>
      <w:r>
        <w:rPr>
          <w:spacing w:val="-2"/>
        </w:rPr>
        <w:t>据公司现金流状况、业务成长性、每股净资产规模等真实合理因素，公司可以采用发放股票股利方式进行</w:t>
      </w:r>
      <w:r>
        <w:rPr>
          <w:spacing w:val="-43"/>
        </w:rPr>
        <w:t> </w:t>
      </w:r>
      <w:r>
        <w:rPr>
          <w:spacing w:val="-43"/>
        </w:rPr>
      </w:r>
      <w:r>
        <w:rPr/>
        <w:t>利润分配。</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公司具备现金分红条件的，公司应当采取现金方式分配股利，公司最近三年以现金方式累计分配的利</w:t>
      </w:r>
      <w:r>
        <w:rPr>
          <w:w w:val="100"/>
        </w:rPr>
        <w:t> </w:t>
      </w:r>
      <w:r>
        <w:rPr/>
        <w:t>润不少于最近三年实现的年均可分配利润的</w:t>
      </w:r>
      <w:r>
        <w:rPr>
          <w:rFonts w:ascii="宋体" w:hAnsi="宋体" w:cs="宋体" w:eastAsia="宋体" w:hint="default"/>
        </w:rPr>
        <w:t>30%</w:t>
      </w:r>
      <w:r>
        <w:rPr/>
        <w:t>；公司在实施上述现金分配股利的同时，可以派发股票股</w:t>
      </w:r>
      <w:r>
        <w:rPr>
          <w:spacing w:val="-26"/>
        </w:rPr>
        <w:t> </w:t>
      </w:r>
      <w:r>
        <w:rPr>
          <w:spacing w:val="-26"/>
        </w:rPr>
      </w:r>
      <w:r>
        <w:rPr>
          <w:spacing w:val="-2"/>
        </w:rPr>
        <w:t>利。为了回报股东，同时考虑募集资金投资项目建设及公司业务发展需要，公司在进行利润分配时，现金</w:t>
      </w:r>
      <w:r>
        <w:rPr>
          <w:spacing w:val="-47"/>
        </w:rPr>
        <w:t> </w:t>
      </w:r>
      <w:r>
        <w:rPr>
          <w:spacing w:val="-47"/>
        </w:rPr>
      </w:r>
      <w:r>
        <w:rPr/>
        <w:t>分红在本次利润分配中所占比例最低应达到</w:t>
      </w:r>
      <w:r>
        <w:rPr>
          <w:rFonts w:ascii="宋体" w:hAnsi="宋体" w:cs="宋体" w:eastAsia="宋体" w:hint="default"/>
        </w:rPr>
        <w:t>20%</w:t>
      </w:r>
      <w:r>
        <w:rPr/>
        <w:t>。</w:t>
      </w:r>
      <w:r>
        <w:rPr>
          <w:rFonts w:ascii="宋体" w:hAnsi="宋体" w:cs="宋体" w:eastAsia="宋体" w:hint="default"/>
        </w:rPr>
        <w:t> </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5"/>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3"/>
              <w:ind w:left="24"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33"/>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5"/>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0.50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1"/>
              <w:jc w:val="right"/>
              <w:rPr>
                <w:rFonts w:ascii="Times New Roman" w:hAnsi="Times New Roman" w:cs="Times New Roman" w:eastAsia="Times New Roman" w:hint="default"/>
                <w:sz w:val="18"/>
                <w:szCs w:val="18"/>
              </w:rPr>
            </w:pPr>
            <w:r>
              <w:rPr>
                <w:rFonts w:ascii="Times New Roman"/>
                <w:sz w:val="18"/>
              </w:rPr>
              <w:t>132,070,755.64</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公司以截止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公司股份总数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亿股为基数</w:t>
            </w:r>
            <w:r>
              <w:rPr>
                <w:rFonts w:ascii="宋体" w:hAnsi="宋体" w:cs="宋体" w:eastAsia="宋体" w:hint="default"/>
                <w:spacing w:val="-27"/>
                <w:sz w:val="18"/>
                <w:szCs w:val="18"/>
              </w:rPr>
              <w:t>，</w:t>
            </w:r>
            <w:r>
              <w:rPr>
                <w:rFonts w:ascii="宋体" w:hAnsi="宋体" w:cs="宋体" w:eastAsia="宋体" w:hint="default"/>
                <w:sz w:val="18"/>
                <w:szCs w:val="18"/>
              </w:rPr>
              <w:t>向全体股东按每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w:t>
            </w:r>
            <w:r>
              <w:rPr>
                <w:rFonts w:ascii="宋体" w:hAnsi="宋体" w:cs="宋体" w:eastAsia="宋体" w:hint="default"/>
                <w:spacing w:val="-3"/>
                <w:sz w:val="18"/>
                <w:szCs w:val="18"/>
              </w:rPr>
              <w:t>金</w:t>
            </w:r>
            <w:r>
              <w:rPr>
                <w:rFonts w:ascii="宋体" w:hAnsi="宋体" w:cs="宋体" w:eastAsia="宋体" w:hint="default"/>
                <w:sz w:val="18"/>
                <w:szCs w:val="18"/>
              </w:rPr>
              <w:t>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计派发现金股利为人民币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万元（含税</w:t>
            </w:r>
            <w:r>
              <w:rPr>
                <w:rFonts w:ascii="宋体" w:hAnsi="宋体" w:cs="宋体" w:eastAsia="宋体" w:hint="default"/>
                <w:spacing w:val="-92"/>
                <w:sz w:val="18"/>
                <w:szCs w:val="18"/>
              </w:rPr>
              <w:t>）</w:t>
            </w:r>
            <w:r>
              <w:rPr>
                <w:rFonts w:ascii="宋体" w:hAnsi="宋体" w:cs="宋体" w:eastAsia="宋体" w:hint="default"/>
                <w:sz w:val="18"/>
                <w:szCs w:val="18"/>
              </w:rPr>
              <w:t>；同时，以资本</w:t>
            </w:r>
            <w:r>
              <w:rPr>
                <w:rFonts w:ascii="宋体" w:hAnsi="宋体" w:cs="宋体" w:eastAsia="宋体" w:hint="default"/>
                <w:spacing w:val="2"/>
                <w:sz w:val="18"/>
                <w:szCs w:val="18"/>
              </w:rPr>
              <w:t>公</w:t>
            </w:r>
            <w:r>
              <w:rPr>
                <w:rFonts w:ascii="宋体" w:hAnsi="宋体" w:cs="宋体" w:eastAsia="宋体" w:hint="default"/>
                <w:sz w:val="18"/>
                <w:szCs w:val="18"/>
              </w:rPr>
              <w:t>积金向全体股东每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增后公司总股本增加至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万股。本利润方案尚需股东大会审议。</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408" w:lineRule="auto" w:before="155"/>
        <w:ind w:right="153" w:firstLine="420"/>
        <w:jc w:val="left"/>
        <w:rPr>
          <w:rFonts w:ascii="宋体" w:hAnsi="宋体" w:cs="宋体" w:eastAsia="宋体" w:hint="default"/>
        </w:rPr>
      </w:pPr>
      <w:r>
        <w:rPr>
          <w:rFonts w:ascii="宋体" w:hAnsi="宋体" w:cs="宋体" w:eastAsia="宋体" w:hint="default"/>
          <w:spacing w:val="-2"/>
        </w:rPr>
        <w:t>2015</w:t>
      </w:r>
      <w:r>
        <w:rPr>
          <w:spacing w:val="-2"/>
        </w:rPr>
        <w:t>年度，以截止</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7500</w:t>
      </w:r>
      <w:r>
        <w:rPr>
          <w:spacing w:val="-2"/>
        </w:rPr>
        <w:t>万股为基数，每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1.25</w:t>
      </w:r>
      <w:r>
        <w:rPr>
          <w:spacing w:val="-2"/>
        </w:rPr>
        <w:t>元（含税），合</w:t>
      </w:r>
      <w:r>
        <w:rPr>
          <w:w w:val="100"/>
        </w:rPr>
        <w:t> </w:t>
      </w:r>
      <w:r>
        <w:rPr/>
        <w:t>计分配</w:t>
      </w:r>
      <w:r>
        <w:rPr>
          <w:rFonts w:ascii="宋体" w:hAnsi="宋体" w:cs="宋体" w:eastAsia="宋体" w:hint="default"/>
        </w:rPr>
        <w:t>9,375,000.00</w:t>
      </w:r>
      <w:r>
        <w:rPr/>
        <w:t>元（含税）。</w:t>
      </w:r>
      <w:r>
        <w:rPr>
          <w:rFonts w:ascii="宋体" w:hAnsi="宋体" w:cs="宋体" w:eastAsia="宋体" w:hint="default"/>
        </w:rPr>
        <w:t> </w:t>
      </w:r>
    </w:p>
    <w:p>
      <w:pPr>
        <w:pStyle w:val="BodyText"/>
        <w:spacing w:line="408" w:lineRule="auto"/>
        <w:ind w:right="151"/>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2016</w:t>
      </w:r>
      <w:r>
        <w:rPr>
          <w:spacing w:val="-2"/>
        </w:rPr>
        <w:t>年度，以截止</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7500</w:t>
      </w:r>
      <w:r>
        <w:rPr>
          <w:spacing w:val="-2"/>
        </w:rPr>
        <w:t>万股为基数，每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1.25</w:t>
      </w:r>
      <w:r>
        <w:rPr>
          <w:spacing w:val="-2"/>
        </w:rPr>
        <w:t>元（含税），合</w:t>
      </w:r>
      <w:r>
        <w:rPr>
          <w:w w:val="100"/>
        </w:rPr>
        <w:t> </w:t>
      </w:r>
      <w:r>
        <w:rPr/>
        <w:t>计分配</w:t>
      </w:r>
      <w:r>
        <w:rPr>
          <w:rFonts w:ascii="宋体" w:hAnsi="宋体" w:cs="宋体" w:eastAsia="宋体" w:hint="default"/>
        </w:rPr>
        <w:t>9,375,000.00</w:t>
      </w:r>
      <w:r>
        <w:rPr/>
        <w:t>元（含税）。</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2017</w:t>
      </w:r>
      <w:r>
        <w:rPr/>
        <w:t>年度，公司拟以截至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日公司股份总数</w:t>
      </w:r>
      <w:r>
        <w:rPr>
          <w:rFonts w:ascii="宋体" w:hAnsi="宋体" w:cs="宋体" w:eastAsia="宋体" w:hint="default"/>
        </w:rPr>
        <w:t>1</w:t>
      </w:r>
      <w:r>
        <w:rPr/>
        <w:t>亿股为基数，向全体股东按每</w:t>
      </w:r>
      <w:r>
        <w:rPr>
          <w:rFonts w:ascii="宋体" w:hAnsi="宋体" w:cs="宋体" w:eastAsia="宋体" w:hint="default"/>
        </w:rPr>
        <w:t>10</w:t>
      </w:r>
      <w:r>
        <w:rPr/>
        <w:t>股派发现金</w:t>
      </w:r>
      <w:r>
        <w:rPr>
          <w:w w:val="100"/>
        </w:rPr>
        <w:t> </w:t>
      </w:r>
      <w:r>
        <w:rPr>
          <w:spacing w:val="-2"/>
        </w:rPr>
        <w:t>股利人民币</w:t>
      </w:r>
      <w:r>
        <w:rPr>
          <w:rFonts w:ascii="宋体" w:hAnsi="宋体" w:cs="宋体" w:eastAsia="宋体" w:hint="default"/>
          <w:spacing w:val="-2"/>
        </w:rPr>
        <w:t>0.5</w:t>
      </w:r>
      <w:r>
        <w:rPr>
          <w:spacing w:val="-2"/>
        </w:rPr>
        <w:t>元（含税），合计派发现金股利为人民币</w:t>
      </w:r>
      <w:r>
        <w:rPr>
          <w:rFonts w:ascii="宋体" w:hAnsi="宋体" w:cs="宋体" w:eastAsia="宋体" w:hint="default"/>
          <w:spacing w:val="-2"/>
        </w:rPr>
        <w:t>500</w:t>
      </w:r>
      <w:r>
        <w:rPr>
          <w:spacing w:val="-2"/>
        </w:rPr>
        <w:t>万元（含税）；同时，以资本公积金向全体股</w:t>
      </w:r>
      <w:r>
        <w:rPr>
          <w:spacing w:val="-42"/>
        </w:rPr>
        <w:t> </w:t>
      </w:r>
      <w:r>
        <w:rPr>
          <w:spacing w:val="-42"/>
        </w:rPr>
      </w:r>
      <w:r>
        <w:rPr>
          <w:spacing w:val="-2"/>
        </w:rPr>
        <w:t>东每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股，共计转增</w:t>
      </w:r>
      <w:r>
        <w:rPr>
          <w:rFonts w:ascii="宋体" w:hAnsi="宋体" w:cs="宋体" w:eastAsia="宋体" w:hint="default"/>
          <w:spacing w:val="-2"/>
        </w:rPr>
        <w:t>8000</w:t>
      </w:r>
      <w:r>
        <w:rPr>
          <w:spacing w:val="-2"/>
        </w:rPr>
        <w:t>万股，转增后公司总股本增加至</w:t>
      </w:r>
      <w:r>
        <w:rPr>
          <w:rFonts w:ascii="宋体" w:hAnsi="宋体" w:cs="宋体" w:eastAsia="宋体" w:hint="default"/>
          <w:spacing w:val="-2"/>
        </w:rPr>
        <w:t>18000</w:t>
      </w:r>
      <w:r>
        <w:rPr>
          <w:spacing w:val="-2"/>
        </w:rPr>
        <w:t>万股。本利润分配方案公布后至实</w:t>
      </w:r>
      <w:r>
        <w:rPr>
          <w:spacing w:val="-35"/>
        </w:rPr>
        <w:t> </w:t>
      </w:r>
      <w:r>
        <w:rPr>
          <w:spacing w:val="-35"/>
        </w:rPr>
      </w:r>
      <w:r>
        <w:rPr>
          <w:spacing w:val="-2"/>
        </w:rPr>
        <w:t>施前，公司股本发生变动的，将按照分配总额不变的原则对分配比例进行调整。本利润分配方案尚需提交</w:t>
      </w:r>
      <w:r>
        <w:rPr>
          <w:spacing w:val="-43"/>
        </w:rPr>
        <w:t> </w:t>
      </w:r>
      <w:r>
        <w:rPr>
          <w:spacing w:val="-43"/>
        </w:rPr>
      </w:r>
      <w:r>
        <w:rPr/>
        <w:t>本公司</w:t>
      </w:r>
      <w:r>
        <w:rPr>
          <w:rFonts w:ascii="宋体" w:hAnsi="宋体" w:cs="宋体" w:eastAsia="宋体" w:hint="default"/>
        </w:rPr>
        <w:t>2017</w:t>
      </w:r>
      <w:r>
        <w:rPr/>
        <w:t>年度股东大会审议批准。</w:t>
      </w:r>
      <w:r>
        <w:rPr>
          <w:rFonts w:ascii="宋体" w:hAnsi="宋体" w:cs="宋体" w:eastAsia="宋体" w:hint="default"/>
        </w:rPr>
        <w:t> </w:t>
      </w:r>
    </w:p>
    <w:p>
      <w:pPr>
        <w:spacing w:before="33"/>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2" w:hanging="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42,536,330.87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38,761,009.22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40,576,497.30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pStyle w:val="Heading2"/>
        <w:spacing w:line="240" w:lineRule="auto" w:before="28"/>
        <w:ind w:left="140" w:right="0"/>
        <w:jc w:val="left"/>
        <w:rPr>
          <w:b w:val="0"/>
          <w:bCs w:val="0"/>
        </w:rPr>
      </w:pPr>
      <w:r>
        <w:rPr/>
        <w:pict>
          <v:group style="position:absolute;margin-left:70.559998pt;margin-top:2.075608pt;width:700.95pt;height:.1pt;mso-position-horizontal-relative:page;mso-position-vertical-relative:paragraph;z-index:-726448" coordorigin="1411,42" coordsize="14019,2">
            <v:shape style="position:absolute;left:1411;top:42;width:14019;height:2" coordorigin="1411,42" coordsize="14019,0" path="m1411,42l15430,42e" filled="false" stroked="true" strokeweight=".72pt" strokecolor="#000000">
              <v:path arrowok="t"/>
            </v:shape>
            <w10:wrap type="none"/>
          </v:group>
        </w:pict>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54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54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993"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1" w:right="10"/>
              <w:jc w:val="left"/>
              <w:rPr>
                <w:rFonts w:ascii="宋体" w:hAnsi="宋体" w:cs="宋体" w:eastAsia="宋体" w:hint="default"/>
                <w:sz w:val="18"/>
                <w:szCs w:val="18"/>
              </w:rPr>
            </w:pPr>
            <w:r>
              <w:rPr>
                <w:rFonts w:ascii="宋体" w:hAnsi="宋体" w:cs="宋体" w:eastAsia="宋体" w:hint="default"/>
                <w:spacing w:val="-3"/>
                <w:sz w:val="18"/>
                <w:szCs w:val="18"/>
              </w:rPr>
              <w:t>王晓宇、付忠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良、史志明、 尹邦明</w:t>
            </w:r>
            <w:r>
              <w:rPr>
                <w:rFonts w:ascii="宋体" w:hAnsi="宋体" w:cs="宋体" w:eastAsia="宋体" w:hint="default"/>
                <w:spacing w:val="1"/>
                <w:sz w:val="18"/>
                <w:szCs w:val="18"/>
              </w:rPr>
              <w:t> </w:t>
            </w:r>
            <w:r>
              <w:rPr>
                <w:rFonts w:ascii="宋体" w:hAnsi="宋体" w:cs="宋体" w:eastAsia="宋体" w:hint="default"/>
                <w:sz w:val="18"/>
                <w:szCs w:val="18"/>
              </w:rPr>
              <w:t>、钟</w:t>
            </w:r>
            <w:r>
              <w:rPr>
                <w:rFonts w:ascii="宋体" w:hAnsi="宋体" w:cs="宋体" w:eastAsia="宋体" w:hint="default"/>
                <w:sz w:val="18"/>
                <w:szCs w:val="18"/>
              </w:rPr>
              <w:t> 勇、王晓东、 刘小兵</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403" w:type="dxa"/>
            <w:vMerge w:val="restart"/>
            <w:tcBorders>
              <w:top w:val="single" w:sz="4" w:space="0" w:color="000000"/>
              <w:left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、自公司股票上市之日起的十二个月内，不转让或委托他人管理本 </w:t>
            </w:r>
            <w:r>
              <w:rPr>
                <w:rFonts w:ascii="宋体" w:hAnsi="宋体" w:cs="宋体" w:eastAsia="宋体" w:hint="default"/>
                <w:spacing w:val="-2"/>
                <w:sz w:val="18"/>
                <w:szCs w:val="18"/>
              </w:rPr>
              <w:t>人所直接或间接持有的中科信息首次公开发行股票前已发行股份，也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不由中科信息回购该部分股份；前述锁定期满后，在担任中科信息董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事或高级管理人员期间，每年转让的股份不超过本人所直接或间接持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有的中科信息股份总数的百分之二十五；在申报离职后半年内不转让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本人所直接或间接持有的中科信息股份；在中科信息股票上市之日起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六个月内申报离职的，自申报离职之日起十八个月内不转让本人所直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接或间接持有的中科信息股份；在中科信息股票上市之日起第七个月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至第十二个月之间申报离职的，自申报离职之日起十二个月内不转让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本人所直接或间接持有的中科信息股份。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、所持中科信息股票在锁 </w:t>
            </w:r>
            <w:r>
              <w:rPr>
                <w:rFonts w:ascii="宋体" w:hAnsi="宋体" w:cs="宋体" w:eastAsia="宋体" w:hint="default"/>
                <w:spacing w:val="-2"/>
                <w:sz w:val="18"/>
                <w:szCs w:val="18"/>
              </w:rPr>
              <w:t>定期满后两年内减持的，减持价格不低于发行价；中科信息上市后六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个月内如中科信息股票连续二十个交易日的收盘价均低于发行价，或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者上市后六个月期末收盘价低于发行价，持有中科信息股票的锁定期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限自动延长六个月。如遇除权除息，上述减持价格及收盘价均作相应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调整。上述承诺不因职务变更或离职等原因而失效。如未履行上述承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诺，转让相关股份所取得的收益归中科信息所有。</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394"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1695" w:hRule="exact"/>
        </w:trPr>
        <w:tc>
          <w:tcPr>
            <w:tcW w:w="2837" w:type="dxa"/>
            <w:vMerge w:val="restart"/>
            <w:tcBorders>
              <w:top w:val="nil" w:sz="6" w:space="0" w:color="auto"/>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540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129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王伟、肖帆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3"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pacing w:val="-2"/>
                <w:sz w:val="18"/>
                <w:szCs w:val="18"/>
              </w:rPr>
              <w:t>自公司股票上市之日起的十二个月内，不转让或委托他人管理本人所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直接或间接持有的中科信息首次公开发行股票前已发行股份，也不由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中科信息回购该部分股份；前述锁定期满后，在担任中科信息监事期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间，每年转让的股份不超过本人所直接或间接持有的中科信息股份总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bl>
    <w:p>
      <w:pPr>
        <w:spacing w:after="0" w:line="316" w:lineRule="auto"/>
        <w:jc w:val="left"/>
        <w:rPr>
          <w:rFonts w:ascii="宋体" w:hAnsi="宋体" w:cs="宋体" w:eastAsia="宋体" w:hint="default"/>
          <w:sz w:val="18"/>
          <w:szCs w:val="18"/>
        </w:rPr>
        <w:sectPr>
          <w:headerReference w:type="default" r:id="rId15"/>
          <w:footerReference w:type="default" r:id="rId16"/>
          <w:pgSz w:w="16840" w:h="11910" w:orient="landscape"/>
          <w:pgMar w:header="870" w:footer="975" w:top="1060" w:bottom="1160" w:left="1300" w:right="1300"/>
          <w:pgNumType w:start="34"/>
        </w:sectPr>
      </w:pPr>
    </w:p>
    <w:p>
      <w:pPr>
        <w:spacing w:line="240" w:lineRule="auto" w:before="11"/>
        <w:rPr>
          <w:rFonts w:ascii="Times New Roman" w:hAnsi="Times New Roman" w:cs="Times New Roman" w:eastAsia="Times New Roman" w:hint="default"/>
          <w:sz w:val="2"/>
          <w:szCs w:val="2"/>
        </w:rPr>
      </w:pPr>
      <w:r>
        <w:rPr/>
        <w:pict>
          <v:shape style="position:absolute;margin-left:536.570007pt;margin-top:168.87001pt;width:109.4pt;height:113.3pt;mso-position-horizontal-relative:page;mso-position-vertical-relative:page;z-index:-726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如遇除权除息，</w:t>
                  </w:r>
                </w:p>
              </w:txbxContent>
            </v:textbox>
            <w10:wrap type="none"/>
          </v:shape>
        </w:pict>
      </w:r>
      <w:r>
        <w:rPr/>
        <w:pict>
          <v:shape style="position:absolute;margin-left:410.570007pt;margin-top:416.476013pt;width:235.4pt;height:111.3pt;mso-position-horizontal-relative:page;mso-position-vertical-relative:page;z-index:-726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及高级管理人员增持股份均应符合中国证监会、</w:t>
                  </w:r>
                </w:p>
              </w:txbxContent>
            </v:textbox>
            <w10:wrap type="none"/>
          </v:shape>
        </w:pict>
      </w:r>
      <w:r>
        <w:rPr/>
        <w:pict>
          <v:group style="position:absolute;margin-left:596.859985pt;margin-top:57.240005pt;width:49.1pt;height:224.95pt;mso-position-horizontal-relative:page;mso-position-vertical-relative:page;z-index:-726376" coordorigin="11937,1145" coordsize="982,4499">
            <v:group style="position:absolute;left:11937;top:1145;width:982;height:2223" coordorigin="11937,1145" coordsize="982,2223">
              <v:shape style="position:absolute;left:11937;top:1145;width:982;height:2223" coordorigin="11937,1145" coordsize="982,2223" path="m11937,3368l12919,3368,12919,1145,11937,1145,11937,3368xe" filled="true" fillcolor="#ffffff" stroked="false">
                <v:path arrowok="t"/>
                <v:fill type="solid"/>
              </v:shape>
            </v:group>
            <v:group style="position:absolute;left:11937;top:3377;width:982;height:2266" coordorigin="11937,3377" coordsize="982,2266">
              <v:shape style="position:absolute;left:11937;top:3377;width:982;height:2266" coordorigin="11937,3377" coordsize="982,2266" path="m11937,5643l12919,5643,12919,3377,11937,3377,11937,5643xe" filled="true" fillcolor="#ffffff" stroked="false">
                <v:path arrowok="t"/>
                <v:fill type="solid"/>
              </v:shape>
            </v:group>
            <v:group style="position:absolute;left:11959;top:4158;width:936;height:353" coordorigin="11959,4158" coordsize="936,353">
              <v:shape style="position:absolute;left:11959;top:4158;width:936;height:353" coordorigin="11959,4158" coordsize="936,353" path="m11959,4511l12895,4511,12895,4158,11959,4158,11959,4511xe" filled="true" fillcolor="#ffffff" stroked="false">
                <v:path arrowok="t"/>
                <v:fill type="solid"/>
              </v:shape>
            </v:group>
            <v:group style="position:absolute;left:11959;top:4511;width:936;height:353" coordorigin="11959,4511" coordsize="936,353">
              <v:shape style="position:absolute;left:11959;top:4511;width:936;height:353" coordorigin="11959,4511" coordsize="936,353" path="m11959,4863l12895,4863,12895,4511,11959,4511,11959,4863xe" filled="true" fillcolor="#ffffff" stroked="false">
                <v:path arrowok="t"/>
                <v:fill type="solid"/>
              </v:shape>
            </v:group>
            <w10:wrap type="none"/>
          </v:group>
        </w:pict>
      </w:r>
      <w:r>
        <w:rPr/>
        <w:pict>
          <v:group style="position:absolute;margin-left:596.859985pt;margin-top:416.476013pt;width:49.1pt;height:111.3pt;mso-position-horizontal-relative:page;mso-position-vertical-relative:page;z-index:-726352" coordorigin="11937,8330" coordsize="982,2226">
            <v:group style="position:absolute;left:11937;top:8330;width:982;height:2226" coordorigin="11937,8330" coordsize="982,2226">
              <v:shape style="position:absolute;left:11937;top:8330;width:982;height:2226" coordorigin="11937,8330" coordsize="982,2226" path="m11937,10555l12919,10555,12919,8330,11937,8330,11937,10555xe" filled="true" fillcolor="#ffffff" stroked="false">
                <v:path arrowok="t"/>
                <v:fill type="solid"/>
              </v:shape>
            </v:group>
            <v:group style="position:absolute;left:11959;top:9091;width:936;height:351" coordorigin="11959,9091" coordsize="936,351">
              <v:shape style="position:absolute;left:11959;top:9091;width:936;height:351" coordorigin="11959,9091" coordsize="936,351" path="m11959,9441l12895,9441,12895,9091,11959,9091,11959,9441xe" filled="true" fillcolor="#ffffff" stroked="false">
                <v:path arrowok="t"/>
                <v:fill type="solid"/>
              </v:shape>
            </v:group>
            <v:group style="position:absolute;left:11959;top:9441;width:936;height:353" coordorigin="11959,9441" coordsize="936,353">
              <v:shape style="position:absolute;left:11959;top:9441;width:936;height:353" coordorigin="11959,9441" coordsize="936,353" path="m11959,9794l12895,9794,12895,9441,11959,9441,11959,979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9"/>
      </w:tblGrid>
      <w:tr>
        <w:trPr>
          <w:trHeight w:val="2249"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28"/>
              <w:jc w:val="left"/>
              <w:rPr>
                <w:rFonts w:ascii="宋体" w:hAnsi="宋体" w:cs="宋体" w:eastAsia="宋体" w:hint="default"/>
                <w:sz w:val="18"/>
                <w:szCs w:val="18"/>
              </w:rPr>
            </w:pPr>
            <w:r>
              <w:rPr>
                <w:rFonts w:ascii="宋体" w:hAnsi="宋体" w:cs="宋体" w:eastAsia="宋体" w:hint="default"/>
                <w:spacing w:val="-2"/>
                <w:sz w:val="18"/>
                <w:szCs w:val="18"/>
              </w:rPr>
              <w:t>数的百分之二十五；在申报离职后半年内不转让本人所直接或间接持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有的中科信息股份；在中科信息股票上市之日起六个月内申报离职 </w:t>
            </w:r>
            <w:r>
              <w:rPr>
                <w:rFonts w:ascii="宋体" w:hAnsi="宋体" w:cs="宋体" w:eastAsia="宋体" w:hint="default"/>
                <w:spacing w:val="-2"/>
                <w:sz w:val="18"/>
                <w:szCs w:val="18"/>
              </w:rPr>
              <w:t>的，自申报离职之日起十八个月内不转让本人所直接或间接持有的中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科信息股份；在中科信息股票上市之日起第七个月至第十二个月之间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申报离职的，自申报离职之日起十二个月内不转让本人所直接或间接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持有的中科信息股份。上述承诺不因职务变更或离职等原因而失效。 如未履行上述承诺，转让相关股份所取得的收益归中科信息所有。</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23"/>
              <w:jc w:val="left"/>
              <w:rPr>
                <w:rFonts w:ascii="宋体" w:hAnsi="宋体" w:cs="宋体" w:eastAsia="宋体" w:hint="default"/>
                <w:sz w:val="18"/>
                <w:szCs w:val="18"/>
              </w:rPr>
            </w:pPr>
            <w:r>
              <w:rPr>
                <w:rFonts w:ascii="宋体" w:hAnsi="宋体" w:cs="宋体" w:eastAsia="宋体" w:hint="default"/>
                <w:spacing w:val="-2"/>
                <w:sz w:val="18"/>
                <w:szCs w:val="18"/>
              </w:rPr>
              <w:t>自中科信息股票上市之日起三十六个月内，不转让或者委托他人管理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本公司本次发行前已持有的中科信息的股份，也不由中科信息回购本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公司持有的上述股信息上市后六个月内如中科信息股票连续二十个 </w:t>
            </w:r>
            <w:r>
              <w:rPr>
                <w:rFonts w:ascii="宋体" w:hAnsi="宋体" w:cs="宋体" w:eastAsia="宋体" w:hint="default"/>
                <w:spacing w:val="-2"/>
                <w:sz w:val="18"/>
                <w:szCs w:val="18"/>
              </w:rPr>
              <w:t>交易日的收盘价均低于发行价，或者上市后六个月期末收盘价低于发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行价，持有中科信息股票的锁定期限自动延长六个月。</w:t>
            </w:r>
            <w:r>
              <w:rPr>
                <w:rFonts w:ascii="宋体" w:hAnsi="宋体" w:cs="宋体" w:eastAsia="宋体" w:hint="default"/>
                <w:sz w:val="18"/>
                <w:szCs w:val="18"/>
              </w:rPr>
              <w:t> </w:t>
            </w:r>
            <w:r>
              <w:rPr>
                <w:rFonts w:ascii="宋体" w:hAnsi="宋体" w:cs="宋体" w:eastAsia="宋体" w:hint="default"/>
                <w:spacing w:val="-2"/>
                <w:sz w:val="18"/>
                <w:szCs w:val="18"/>
              </w:rPr>
              <w:t>上述减持价格及收盘价均作相应调整。如未履行上述承诺，转让相关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股份所取得的收益归中科信息所有。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22"/>
              <w:jc w:val="both"/>
              <w:rPr>
                <w:rFonts w:ascii="宋体" w:hAnsi="宋体" w:cs="宋体" w:eastAsia="宋体" w:hint="default"/>
                <w:sz w:val="18"/>
                <w:szCs w:val="18"/>
              </w:rPr>
            </w:pPr>
            <w:r>
              <w:rPr>
                <w:rFonts w:ascii="宋体" w:hAnsi="宋体" w:cs="宋体" w:eastAsia="宋体" w:hint="default"/>
                <w:spacing w:val="-2"/>
                <w:sz w:val="18"/>
                <w:szCs w:val="18"/>
              </w:rPr>
              <w:t>自中科信息股票上市之日起三十六个月内，不转让或者委托他人管理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本公司本次发行前已持有的中科信息的股份，也不由中科信息回购本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公司持有的上述股份。如未履行上述承诺，转让相关股份所取得的收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益归中科信息所有。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1339"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pacing w:val="-3"/>
                <w:sz w:val="18"/>
                <w:szCs w:val="18"/>
              </w:rPr>
              <w:t>宇中投资、恒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合经纬、国科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瑞祺、联升创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投、科泰石油</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92"/>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both"/>
              <w:rPr>
                <w:rFonts w:ascii="宋体" w:hAnsi="宋体" w:cs="宋体" w:eastAsia="宋体" w:hint="default"/>
                <w:sz w:val="18"/>
                <w:szCs w:val="18"/>
              </w:rPr>
            </w:pPr>
            <w:r>
              <w:rPr>
                <w:rFonts w:ascii="宋体" w:hAnsi="宋体" w:cs="宋体" w:eastAsia="宋体" w:hint="default"/>
                <w:spacing w:val="-2"/>
                <w:sz w:val="18"/>
                <w:szCs w:val="18"/>
              </w:rPr>
              <w:t>自中科信息股票上市之日起十二个月内，不转让或者委托他人管理本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公司（本企业）本次发行前已持有的中科信息的股份，也不由中科信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息回购本公司（本企业）持有的上述股份。如未履行上述承诺，转让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相关股份所取得的收益归中科信息所有。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0"/>
              <w:jc w:val="left"/>
              <w:rPr>
                <w:rFonts w:ascii="宋体" w:hAnsi="宋体" w:cs="宋体" w:eastAsia="宋体" w:hint="default"/>
                <w:sz w:val="18"/>
                <w:szCs w:val="18"/>
              </w:rPr>
            </w:pPr>
            <w:r>
              <w:rPr>
                <w:rFonts w:ascii="宋体" w:hAnsi="宋体" w:cs="宋体" w:eastAsia="宋体" w:hint="default"/>
                <w:spacing w:val="-3"/>
                <w:sz w:val="18"/>
                <w:szCs w:val="18"/>
              </w:rPr>
              <w:t>中科信息、国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科控股、索继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栓、王晓宇、 张勇、杨红 梅、付忠良、 史志明、王 伟、傅敏、肖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4" w:right="192"/>
              <w:jc w:val="left"/>
              <w:rPr>
                <w:rFonts w:ascii="宋体" w:hAnsi="宋体" w:cs="宋体" w:eastAsia="宋体" w:hint="default"/>
                <w:sz w:val="18"/>
                <w:szCs w:val="18"/>
              </w:rPr>
            </w:pPr>
            <w:r>
              <w:rPr>
                <w:rFonts w:ascii="宋体" w:hAnsi="宋体" w:cs="宋体" w:eastAsia="宋体" w:hint="default"/>
                <w:sz w:val="18"/>
                <w:szCs w:val="18"/>
              </w:rPr>
              <w:t>稳定股价的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8"/>
              <w:jc w:val="left"/>
              <w:rPr>
                <w:rFonts w:ascii="宋体" w:hAnsi="宋体" w:cs="宋体" w:eastAsia="宋体" w:hint="default"/>
                <w:sz w:val="18"/>
                <w:szCs w:val="18"/>
              </w:rPr>
            </w:pPr>
            <w:r>
              <w:rPr>
                <w:rFonts w:ascii="宋体" w:hAnsi="宋体" w:cs="宋体" w:eastAsia="宋体" w:hint="default"/>
                <w:sz w:val="18"/>
                <w:szCs w:val="18"/>
              </w:rPr>
              <w:t>公司股票挂牌上市之日起三年内，一旦出现连续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 </w:t>
            </w:r>
            <w:r>
              <w:rPr>
                <w:rFonts w:ascii="宋体" w:hAnsi="宋体" w:cs="宋体" w:eastAsia="宋体" w:hint="default"/>
                <w:spacing w:val="-2"/>
                <w:sz w:val="18"/>
                <w:szCs w:val="18"/>
              </w:rPr>
              <w:t>票收盘价均低于其最近一期经审计的每股净资产情形时（若因除权除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息等事项致使上述股票收盘价与公司最近一期经审计的每股净资产 </w:t>
            </w:r>
            <w:r>
              <w:rPr>
                <w:rFonts w:ascii="宋体" w:hAnsi="宋体" w:cs="宋体" w:eastAsia="宋体" w:hint="default"/>
                <w:spacing w:val="-3"/>
                <w:sz w:val="18"/>
                <w:szCs w:val="18"/>
              </w:rPr>
              <w:t>不具可比性的，上述股票收盘价应做相应调整，下同），则相关主体</w:t>
            </w:r>
            <w:r>
              <w:rPr>
                <w:rFonts w:ascii="宋体" w:hAnsi="宋体" w:cs="宋体" w:eastAsia="宋体" w:hint="default"/>
                <w:sz w:val="18"/>
                <w:szCs w:val="18"/>
              </w:rPr>
              <w:t> 启动稳定公司股价的措施。公司回购股份、公司控股股东增持股份、 </w:t>
            </w:r>
            <w:r>
              <w:rPr>
                <w:rFonts w:ascii="宋体" w:hAnsi="宋体" w:cs="宋体" w:eastAsia="宋体" w:hint="default"/>
                <w:spacing w:val="-8"/>
                <w:sz w:val="18"/>
                <w:szCs w:val="18"/>
              </w:rPr>
              <w:t>董事（独立董事除外）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证券交易所及其他证券监管机关的相关法律、法规和规范性文件，并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bl>
    <w:p>
      <w:pPr>
        <w:spacing w:after="0" w:line="316" w:lineRule="auto"/>
        <w:jc w:val="left"/>
        <w:rPr>
          <w:rFonts w:ascii="宋体" w:hAnsi="宋体" w:cs="宋体" w:eastAsia="宋体" w:hint="default"/>
          <w:sz w:val="18"/>
          <w:szCs w:val="18"/>
        </w:rPr>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392.570007pt;margin-top:57.236008pt;width:253.4pt;height:468.1pt;mso-position-horizontal-relative:page;mso-position-vertical-relative:page;z-index:-726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5"/>
                    <w:ind w:left="0" w:right="0" w:firstLine="0"/>
                    <w:jc w:val="left"/>
                    <w:rPr>
                      <w:rFonts w:ascii="宋体" w:hAnsi="宋体" w:cs="宋体" w:eastAsia="宋体" w:hint="default"/>
                      <w:sz w:val="18"/>
                      <w:szCs w:val="18"/>
                    </w:rPr>
                  </w:pPr>
                  <w:r>
                    <w:rPr>
                      <w:rFonts w:ascii="宋体" w:hAnsi="宋体" w:cs="宋体" w:eastAsia="宋体" w:hint="default"/>
                      <w:sz w:val="18"/>
                      <w:szCs w:val="18"/>
                    </w:rPr>
                    <w:t>高级管理人员等相关责任主体将继续履行相关义务。</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9388" w:hRule="exact"/>
        </w:trPr>
        <w:tc>
          <w:tcPr>
            <w:tcW w:w="283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99"/>
              <w:jc w:val="left"/>
              <w:rPr>
                <w:rFonts w:ascii="宋体" w:hAnsi="宋体" w:cs="宋体" w:eastAsia="宋体" w:hint="default"/>
                <w:sz w:val="18"/>
                <w:szCs w:val="18"/>
              </w:rPr>
            </w:pPr>
            <w:r>
              <w:rPr>
                <w:rFonts w:ascii="宋体" w:hAnsi="宋体" w:cs="宋体" w:eastAsia="宋体" w:hint="default"/>
                <w:sz w:val="18"/>
                <w:szCs w:val="18"/>
              </w:rPr>
              <w:t>帆、尹</w:t>
            </w:r>
            <w:r>
              <w:rPr>
                <w:rFonts w:ascii="宋体" w:hAnsi="宋体" w:cs="宋体" w:eastAsia="宋体" w:hint="default"/>
                <w:spacing w:val="13"/>
                <w:sz w:val="18"/>
                <w:szCs w:val="18"/>
              </w:rPr>
              <w:t> </w:t>
            </w:r>
            <w:r>
              <w:rPr>
                <w:rFonts w:ascii="宋体" w:hAnsi="宋体" w:cs="宋体" w:eastAsia="宋体" w:hint="default"/>
                <w:sz w:val="18"/>
                <w:szCs w:val="18"/>
              </w:rPr>
              <w:t>邦</w:t>
            </w:r>
            <w:r>
              <w:rPr>
                <w:rFonts w:ascii="宋体" w:hAnsi="宋体" w:cs="宋体" w:eastAsia="宋体" w:hint="default"/>
                <w:sz w:val="18"/>
                <w:szCs w:val="18"/>
              </w:rPr>
              <w:t> 明</w:t>
            </w:r>
            <w:r>
              <w:rPr>
                <w:rFonts w:ascii="宋体" w:hAnsi="宋体" w:cs="宋体" w:eastAsia="宋体" w:hint="default"/>
                <w:spacing w:val="1"/>
                <w:sz w:val="18"/>
                <w:szCs w:val="18"/>
              </w:rPr>
              <w:t> </w:t>
            </w:r>
            <w:r>
              <w:rPr>
                <w:rFonts w:ascii="宋体" w:hAnsi="宋体" w:cs="宋体" w:eastAsia="宋体" w:hint="default"/>
                <w:sz w:val="18"/>
                <w:szCs w:val="18"/>
              </w:rPr>
              <w:t>、钟勇、</w:t>
            </w:r>
          </w:p>
          <w:p>
            <w:pPr>
              <w:pStyle w:val="TableParagraph"/>
              <w:spacing w:line="316" w:lineRule="auto" w:before="19"/>
              <w:ind w:left="21" w:right="22"/>
              <w:jc w:val="left"/>
              <w:rPr>
                <w:rFonts w:ascii="宋体" w:hAnsi="宋体" w:cs="宋体" w:eastAsia="宋体" w:hint="default"/>
                <w:sz w:val="18"/>
                <w:szCs w:val="18"/>
              </w:rPr>
            </w:pPr>
            <w:r>
              <w:rPr>
                <w:rFonts w:ascii="宋体" w:hAnsi="宋体" w:cs="宋体" w:eastAsia="宋体" w:hint="default"/>
                <w:spacing w:val="-3"/>
                <w:sz w:val="18"/>
                <w:szCs w:val="18"/>
              </w:rPr>
              <w:t>王晓东、刘小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兵</w:t>
            </w: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13"/>
              <w:ind w:left="21" w:right="-32"/>
              <w:jc w:val="left"/>
              <w:rPr>
                <w:rFonts w:ascii="宋体" w:hAnsi="宋体" w:cs="宋体" w:eastAsia="宋体" w:hint="default"/>
                <w:sz w:val="18"/>
                <w:szCs w:val="18"/>
              </w:rPr>
            </w:pPr>
            <w:r>
              <w:rPr>
                <w:rFonts w:ascii="宋体" w:hAnsi="宋体" w:cs="宋体" w:eastAsia="宋体" w:hint="default"/>
                <w:spacing w:val="-2"/>
                <w:sz w:val="18"/>
                <w:szCs w:val="18"/>
              </w:rPr>
              <w:t>不应因此导致公司股权分布不符合上市条件的要求；若其中任何一项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措施的实施或继续实施将导致公司股权分布不符合上市条件的要求 </w:t>
            </w:r>
            <w:r>
              <w:rPr>
                <w:rFonts w:ascii="宋体" w:hAnsi="宋体" w:cs="宋体" w:eastAsia="宋体" w:hint="default"/>
                <w:spacing w:val="-2"/>
                <w:sz w:val="18"/>
                <w:szCs w:val="18"/>
              </w:rPr>
              <w:t>时，则不得实施或应立即终止继续实施，且该项措施所对应的股价稳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定义务视为已履行。非因不可抗力因素所致，公司及相关主体将采取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以下措施中的一项或多项稳定公司股价：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、公司回购公司股票；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公司控股股东增持公司股票；</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、公司董事、高级管理人员增持公司 股票；</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、其他证券监管部门认可的方式。公司董事会将在公司股票 价格触发启动股价稳定措施条件之日起的五个工作日内制订或要求 </w:t>
            </w:r>
            <w:r>
              <w:rPr>
                <w:rFonts w:ascii="宋体" w:hAnsi="宋体" w:cs="宋体" w:eastAsia="宋体" w:hint="default"/>
                <w:spacing w:val="-2"/>
                <w:sz w:val="18"/>
                <w:szCs w:val="18"/>
              </w:rPr>
              <w:t>公司控股股东提出稳定公司股价具体方案，并在履行完毕相关内部决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策程序和外部审批</w:t>
            </w:r>
            <w:r>
              <w:rPr>
                <w:rFonts w:ascii="Times New Roman" w:hAnsi="Times New Roman" w:cs="Times New Roman" w:eastAsia="Times New Roman" w:hint="default"/>
                <w:sz w:val="18"/>
                <w:szCs w:val="18"/>
              </w:rPr>
              <w:t>/</w:t>
            </w:r>
            <w:r>
              <w:rPr>
                <w:rFonts w:ascii="宋体" w:hAnsi="宋体" w:cs="宋体" w:eastAsia="宋体" w:hint="default"/>
                <w:sz w:val="18"/>
                <w:szCs w:val="18"/>
              </w:rPr>
              <w:t>备案程序（如需）后实施，且按照上市公司信息 披露要求予以公告。公司稳定股价措施实施完毕日起两个交易日内， </w:t>
            </w:r>
            <w:r>
              <w:rPr>
                <w:rFonts w:ascii="宋体" w:hAnsi="宋体" w:cs="宋体" w:eastAsia="宋体" w:hint="default"/>
                <w:spacing w:val="-2"/>
                <w:sz w:val="18"/>
                <w:szCs w:val="18"/>
              </w:rPr>
              <w:t>公司应将稳定股价措施实施情况予以公告。公司稳定股价措施实施完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毕后，如公司股票价格再度触发启动股价稳定措施的条件，则公司、 </w:t>
            </w:r>
            <w:r>
              <w:rPr>
                <w:rFonts w:ascii="宋体" w:hAnsi="宋体" w:cs="宋体" w:eastAsia="宋体" w:hint="default"/>
                <w:spacing w:val="-9"/>
                <w:sz w:val="18"/>
                <w:szCs w:val="18"/>
              </w:rPr>
              <w:t>控股股东、董事、</w:t>
            </w:r>
          </w:p>
          <w:p>
            <w:pPr>
              <w:pStyle w:val="TableParagraph"/>
              <w:spacing w:line="312" w:lineRule="auto" w:before="22"/>
              <w:ind w:left="21" w:right="-1"/>
              <w:jc w:val="left"/>
              <w:rPr>
                <w:rFonts w:ascii="宋体" w:hAnsi="宋体" w:cs="宋体" w:eastAsia="宋体" w:hint="default"/>
                <w:sz w:val="18"/>
                <w:szCs w:val="18"/>
              </w:rPr>
            </w:pPr>
            <w:r>
              <w:rPr>
                <w:rFonts w:ascii="宋体" w:hAnsi="宋体" w:cs="宋体" w:eastAsia="宋体" w:hint="default"/>
                <w:spacing w:val="-2"/>
                <w:sz w:val="18"/>
                <w:szCs w:val="18"/>
              </w:rPr>
              <w:t>（一）公司回购公司股票的具体安排。公司将自股价稳定方案公告之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个自然日内通过证券交易所以集中竞价的交易方式、要约方 </w:t>
            </w:r>
            <w:r>
              <w:rPr>
                <w:rFonts w:ascii="宋体" w:hAnsi="宋体" w:cs="宋体" w:eastAsia="宋体" w:hint="default"/>
                <w:spacing w:val="-2"/>
                <w:sz w:val="18"/>
                <w:szCs w:val="18"/>
              </w:rPr>
              <w:t>式或证券监督管理部门认可的其他方式回购公司社会公众股份，回购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价格不高于公司最近一期经审计的每股净资产（最近一期审计基准日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后，因利润分配、资本公积金转增股本、增发、配股等情况导致公司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净资产或股份总数出现变化的，每股净资产相应进行调整，下同），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公司回购股份除应符合相关法律法规之要求之外，还应符合下列各 项：</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、公司用于回购股份的资金总额累计不超过公司首次公开发行 新股所募集资金的总额。</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、公司单次用于回购股份的资金不得低于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、公司单次回购股份不超过公司总股本的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如上述第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项与本项冲突的，按照本项执行。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、单一会计年度用以 稳定股价的回购资金合计不超过上一会计年度经审计的归属于母公 司股东净利润的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。超过上述标准的，有关稳定股价措施在当年度</w:t>
            </w:r>
            <w:r>
              <w:rPr>
                <w:rFonts w:ascii="宋体" w:hAnsi="宋体" w:cs="宋体" w:eastAsia="宋体" w:hint="default"/>
                <w:sz w:val="18"/>
                <w:szCs w:val="18"/>
              </w:rPr>
              <w:t> 不再继续实施。但如下一年度继续出现需启动稳定股价措施的情形 </w:t>
            </w:r>
            <w:r>
              <w:rPr>
                <w:rFonts w:ascii="宋体" w:hAnsi="宋体" w:cs="宋体" w:eastAsia="宋体" w:hint="default"/>
                <w:spacing w:val="-2"/>
                <w:sz w:val="18"/>
                <w:szCs w:val="18"/>
              </w:rPr>
              <w:t>时，其将继续按照上述原则执行稳定股价预案。回购后公司的股权分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布应当符合上市条件，回购行为及信息披露、回购后的股份处置应当</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93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49.1pt;height:468.1pt;mso-position-horizontal-relative:char;mso-position-vertical-relative:line" coordorigin="0,0" coordsize="982,9362">
                  <v:group style="position:absolute;left:0;top:0;width:982;height:9362" coordorigin="0,0" coordsize="982,9362">
                    <v:shape style="position:absolute;left:0;top:0;width:982;height:9362" coordorigin="0,0" coordsize="982,9362" path="m0,9362l982,9362,982,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572.695984pt;margin-top:57.236008pt;width:73.25pt;height:468.1pt;mso-position-horizontal-relative:page;mso-position-vertical-relative:page;z-index:-726256" type="#_x0000_t202" filled="false" stroked="false">
            <v:textbox inset="0,0,0,0">
              <w:txbxContent>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（二）</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540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pacing w:val="-10"/>
                <w:sz w:val="18"/>
                <w:szCs w:val="18"/>
              </w:rPr>
              <w:t>合</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《证券法</w:t>
            </w:r>
            <w:r>
              <w:rPr>
                <w:rFonts w:ascii="宋体" w:hAnsi="宋体" w:cs="宋体" w:eastAsia="宋体" w:hint="default"/>
                <w:spacing w:val="-10"/>
                <w:sz w:val="18"/>
                <w:szCs w:val="18"/>
              </w:rPr>
              <w:t>》</w:t>
            </w:r>
            <w:r>
              <w:rPr>
                <w:rFonts w:ascii="宋体" w:hAnsi="宋体" w:cs="宋体" w:eastAsia="宋体" w:hint="default"/>
                <w:sz w:val="18"/>
                <w:szCs w:val="18"/>
              </w:rPr>
              <w:t>及其他相关法律</w:t>
            </w:r>
            <w:r>
              <w:rPr>
                <w:rFonts w:ascii="宋体" w:hAnsi="宋体" w:cs="宋体" w:eastAsia="宋体" w:hint="default"/>
                <w:spacing w:val="-10"/>
                <w:sz w:val="18"/>
                <w:szCs w:val="18"/>
              </w:rPr>
              <w:t>、</w:t>
            </w:r>
            <w:r>
              <w:rPr>
                <w:rFonts w:ascii="宋体" w:hAnsi="宋体" w:cs="宋体" w:eastAsia="宋体" w:hint="default"/>
                <w:sz w:val="18"/>
                <w:szCs w:val="18"/>
              </w:rPr>
              <w:t>行政法规的规定。</w:t>
            </w:r>
          </w:p>
        </w:tc>
        <w:tc>
          <w:tcPr>
            <w:tcW w:w="991" w:type="dxa"/>
            <w:vMerge w:val="restart"/>
            <w:tcBorders>
              <w:top w:val="single" w:sz="15" w:space="0" w:color="000000"/>
              <w:left w:val="single" w:sz="4" w:space="0" w:color="000000"/>
              <w:right w:val="single" w:sz="4" w:space="0" w:color="000000"/>
            </w:tcBorders>
          </w:tcPr>
          <w:p>
            <w:pPr>
              <w:pStyle w:val="TableParagraph"/>
              <w:spacing w:line="93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49.1pt;height:468.1pt;mso-position-horizontal-relative:char;mso-position-vertical-relative:line" coordorigin="0,0" coordsize="982,9362">
                  <v:group style="position:absolute;left:0;top:0;width:982;height:9362" coordorigin="0,0" coordsize="982,9362">
                    <v:shape style="position:absolute;left:0;top:0;width:982;height:9362" coordorigin="0,0" coordsize="982,9362" path="m0,9362l982,9362,982,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994" w:type="dxa"/>
            <w:vMerge w:val="restart"/>
            <w:tcBorders>
              <w:top w:val="single" w:sz="15" w:space="0" w:color="000000"/>
              <w:left w:val="single" w:sz="4" w:space="0" w:color="000000"/>
              <w:right w:val="single" w:sz="4" w:space="0" w:color="000000"/>
            </w:tcBorders>
          </w:tcPr>
          <w:p>
            <w:pPr/>
          </w:p>
        </w:tc>
        <w:tc>
          <w:tcPr>
            <w:tcW w:w="1416"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公司控股股东增持公司股票的具体安排。本公司控股股东国科控股将</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自股价稳定方案公告之日起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个自然日内增持（增持方式包括但不</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限于集中竞价和大宗交易等证券监管机构、自律机构及深圳交易所等</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有权部门允许的方式）公司社会公众股份，增持价格不高于公司最近</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一期经审计的每股净资产，控股股东增持股份除应符合相关法律法规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之要求之外，还应符合下列各项：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、单一年度用于股份增持的资金</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为不少于其最近一次从发行人获得现金分红的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、单一年度用</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于稳定股价的增持资金不超过其最近一次从发行人获得现金分红的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。超过上述标准的，有关稳定股价措施在当年度不再继续实施。</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如公司在上述需启动股价稳定措施的条件触发后启动了股价稳定措</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施，控股股东可选择与公司同时启动股价稳定措施或在公司措施实施</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完毕（以公司公告的实施完毕日为准）后其股票收盘价仍低于最近一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期经审计的每股净资产时再行启动上述措施。如公司实施股价稳定措</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施后其股票收盘价已不再符合需启动股价稳定措施条件的，控股股东</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可不再继续实施上述股价稳定措施。控股股东增持后公司的股权分布</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应当符合上市条件，增持股份行为及信息披露应当符合《公司法</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《证券法》及其他相关法律、行政法规的规定</w:t>
            </w:r>
            <w:r>
              <w:rPr>
                <w:rFonts w:ascii="宋体" w:hAnsi="宋体" w:cs="宋体" w:eastAsia="宋体" w:hint="default"/>
                <w:spacing w:val="-92"/>
                <w:sz w:val="18"/>
                <w:szCs w:val="18"/>
              </w:rPr>
              <w:t>。</w:t>
            </w:r>
            <w:r>
              <w:rPr>
                <w:rFonts w:ascii="宋体" w:hAnsi="宋体" w:cs="宋体" w:eastAsia="宋体" w:hint="default"/>
                <w:sz w:val="18"/>
                <w:szCs w:val="18"/>
              </w:rPr>
              <w:t>（三）公司</w:t>
            </w:r>
            <w:r>
              <w:rPr>
                <w:rFonts w:ascii="宋体" w:hAnsi="宋体" w:cs="宋体" w:eastAsia="宋体" w:hint="default"/>
                <w:spacing w:val="2"/>
                <w:sz w:val="18"/>
                <w:szCs w:val="18"/>
              </w:rPr>
              <w:t>董</w:t>
            </w:r>
            <w:r>
              <w:rPr>
                <w:rFonts w:ascii="宋体" w:hAnsi="宋体" w:cs="宋体" w:eastAsia="宋体" w:hint="default"/>
                <w:sz w:val="18"/>
                <w:szCs w:val="18"/>
              </w:rPr>
              <w:t>事、高</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级管理人员增持公司股票的具体安排。</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、控股股东增持公司股票以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3"/>
                <w:sz w:val="18"/>
                <w:szCs w:val="18"/>
              </w:rPr>
              <w:t>及公司回购股票的措施实施完毕后，公司股价仍出现连续 </w:t>
            </w:r>
            <w:r>
              <w:rPr>
                <w:rFonts w:ascii="Times New Roman" w:hAnsi="Times New Roman" w:cs="Times New Roman" w:eastAsia="Times New Roman" w:hint="default"/>
                <w:sz w:val="18"/>
                <w:szCs w:val="18"/>
              </w:rPr>
              <w:t>20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个交易</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日收盘价均低于最近一期经审计的每股净资产时，公司董事（独立董</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事除外）和高级管理人员将在该情形出现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个交易日内，依照公司</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内部决策程序，拟定增持公司股票的计划，明确增持数量、方式和期</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限，并对外公告。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、公司董事（独立董事除外）及高级管理人员增</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持公司股份的，除应符合相关法律法规、规范性文件的要求之外，还</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应符合下列各项</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7"/>
                <w:sz w:val="18"/>
                <w:szCs w:val="18"/>
              </w:rPr>
              <w:t>）</w:t>
            </w:r>
            <w:r>
              <w:rPr>
                <w:rFonts w:ascii="宋体" w:hAnsi="宋体" w:cs="宋体" w:eastAsia="宋体" w:hint="default"/>
                <w:sz w:val="18"/>
                <w:szCs w:val="18"/>
              </w:rPr>
              <w:t>买入公司股票的价格不高于公司最近一期经审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计的每股净资产，买入公司股份的方式为通过二级市场以竞价交易方</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7"/>
                <w:sz w:val="18"/>
                <w:szCs w:val="18"/>
              </w:rPr>
              <w:t>）</w:t>
            </w:r>
            <w:r>
              <w:rPr>
                <w:rFonts w:ascii="宋体" w:hAnsi="宋体" w:cs="宋体" w:eastAsia="宋体" w:hint="default"/>
                <w:sz w:val="18"/>
                <w:szCs w:val="18"/>
              </w:rPr>
              <w:t>单一年度用以稳定股价所动用的资金不低于其上一会计年度</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从公司处领取的税后薪酬和津贴累计额的</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）单一</w:t>
            </w:r>
            <w:r>
              <w:rPr>
                <w:rFonts w:ascii="宋体" w:hAnsi="宋体" w:cs="宋体" w:eastAsia="宋体" w:hint="default"/>
                <w:spacing w:val="-3"/>
                <w:sz w:val="18"/>
                <w:szCs w:val="18"/>
              </w:rPr>
              <w:t>年</w:t>
            </w:r>
            <w:r>
              <w:rPr>
                <w:rFonts w:ascii="宋体" w:hAnsi="宋体" w:cs="宋体" w:eastAsia="宋体" w:hint="default"/>
                <w:sz w:val="18"/>
                <w:szCs w:val="18"/>
              </w:rPr>
              <w:t>度用以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54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稳定股价所动用的资金应不超过其上一会计年度从公司处领取的税</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536.695984pt;margin-top:57.240005pt;width:109.25pt;height:376.4pt;mso-position-horizontal-relative:page;mso-position-vertical-relative:page;z-index:-726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高级管理人员，</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339"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540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后薪酬和津贴累计额的</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）在增持期间及法定期限内不减持</w:t>
            </w:r>
          </w:p>
        </w:tc>
        <w:tc>
          <w:tcPr>
            <w:tcW w:w="991" w:type="dxa"/>
            <w:vMerge w:val="restart"/>
            <w:tcBorders>
              <w:top w:val="single" w:sz="15" w:space="0" w:color="000000"/>
              <w:left w:val="single" w:sz="4" w:space="0" w:color="000000"/>
              <w:right w:val="single" w:sz="4" w:space="0" w:color="000000"/>
            </w:tcBorders>
          </w:tcPr>
          <w:p>
            <w:pPr>
              <w:pStyle w:val="TableParagraph"/>
              <w:spacing w:line="752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49.1pt;height:376.4pt;mso-position-horizontal-relative:char;mso-position-vertical-relative:line" coordorigin="0,0" coordsize="982,7528">
                  <v:group style="position:absolute;left:0;top:0;width:982;height:7528" coordorigin="0,0" coordsize="982,7528">
                    <v:shape style="position:absolute;left:0;top:0;width:982;height:7528" coordorigin="0,0" coordsize="982,7528" path="m0,7528l982,7528,982,0,0,0,0,7528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994" w:type="dxa"/>
            <w:vMerge w:val="restart"/>
            <w:tcBorders>
              <w:top w:val="single" w:sz="15" w:space="0" w:color="000000"/>
              <w:left w:val="single" w:sz="4" w:space="0" w:color="000000"/>
              <w:right w:val="single" w:sz="4" w:space="0" w:color="000000"/>
            </w:tcBorders>
          </w:tcPr>
          <w:p>
            <w:pPr/>
          </w:p>
        </w:tc>
        <w:tc>
          <w:tcPr>
            <w:tcW w:w="1416" w:type="dxa"/>
            <w:vMerge w:val="restart"/>
            <w:tcBorders>
              <w:top w:val="single" w:sz="15"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其所持有的公司股份。超过上述标准的，有关稳定股价措施在当年度</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不再继续实施</w:t>
            </w:r>
            <w:r>
              <w:rPr>
                <w:rFonts w:ascii="宋体" w:hAnsi="宋体" w:cs="宋体" w:eastAsia="宋体" w:hint="default"/>
                <w:spacing w:val="-17"/>
                <w:sz w:val="18"/>
                <w:szCs w:val="18"/>
              </w:rPr>
              <w:t>。</w:t>
            </w:r>
            <w:r>
              <w:rPr>
                <w:rFonts w:ascii="宋体" w:hAnsi="宋体" w:cs="宋体" w:eastAsia="宋体" w:hint="default"/>
                <w:sz w:val="18"/>
                <w:szCs w:val="18"/>
              </w:rPr>
              <w:t>公司未来新聘董</w:t>
            </w:r>
            <w:r>
              <w:rPr>
                <w:rFonts w:ascii="宋体" w:hAnsi="宋体" w:cs="宋体" w:eastAsia="宋体" w:hint="default"/>
                <w:spacing w:val="-17"/>
                <w:sz w:val="18"/>
                <w:szCs w:val="18"/>
              </w:rPr>
              <w:t>事</w:t>
            </w: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应按本预案采取稳定公司股价的措施</w:t>
            </w:r>
            <w:r>
              <w:rPr>
                <w:rFonts w:ascii="宋体" w:hAnsi="宋体" w:cs="宋体" w:eastAsia="宋体" w:hint="default"/>
                <w:spacing w:val="-92"/>
                <w:sz w:val="18"/>
                <w:szCs w:val="18"/>
              </w:rPr>
              <w:t>。</w:t>
            </w:r>
            <w:r>
              <w:rPr>
                <w:rFonts w:ascii="宋体" w:hAnsi="宋体" w:cs="宋体" w:eastAsia="宋体" w:hint="default"/>
                <w:sz w:val="18"/>
                <w:szCs w:val="18"/>
              </w:rPr>
              <w:t>（四）稳定股价方案</w:t>
            </w:r>
            <w:r>
              <w:rPr>
                <w:rFonts w:ascii="宋体" w:hAnsi="宋体" w:cs="宋体" w:eastAsia="宋体" w:hint="default"/>
                <w:spacing w:val="2"/>
                <w:sz w:val="18"/>
                <w:szCs w:val="18"/>
              </w:rPr>
              <w:t>的</w:t>
            </w:r>
            <w:r>
              <w:rPr>
                <w:rFonts w:ascii="宋体" w:hAnsi="宋体" w:cs="宋体" w:eastAsia="宋体" w:hint="default"/>
                <w:sz w:val="18"/>
                <w:szCs w:val="18"/>
              </w:rPr>
              <w:t>终止情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形。自股价稳定方案公告之日起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个自然日内，若出现以下任一情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形，则视为本次稳定股价措施实施完毕及承诺履行完毕，已公告的稳</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4"/>
                <w:sz w:val="18"/>
                <w:szCs w:val="18"/>
              </w:rPr>
              <w:t>定股价方案终止执行：</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、公司股票连续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个交易日的收盘价均高于</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公司最近一期经审计的每股净资产；</w:t>
            </w:r>
            <w:r>
              <w:rPr>
                <w:rFonts w:ascii="Times New Roman" w:hAnsi="Times New Roman" w:cs="Times New Roman" w:eastAsia="Times New Roman" w:hint="default"/>
                <w:sz w:val="18"/>
                <w:szCs w:val="18"/>
              </w:rPr>
              <w:t>2</w:t>
            </w:r>
            <w:r>
              <w:rPr>
                <w:rFonts w:ascii="宋体" w:hAnsi="宋体" w:cs="宋体" w:eastAsia="宋体" w:hint="default"/>
                <w:sz w:val="18"/>
                <w:szCs w:val="18"/>
              </w:rPr>
              <w:t>、继续回购或增持公司股份将</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导致公司股权分布不符合上市条件</w:t>
            </w:r>
            <w:r>
              <w:rPr>
                <w:rFonts w:ascii="宋体" w:hAnsi="宋体" w:cs="宋体" w:eastAsia="宋体" w:hint="default"/>
                <w:spacing w:val="-92"/>
                <w:sz w:val="18"/>
                <w:szCs w:val="18"/>
              </w:rPr>
              <w:t>。</w:t>
            </w:r>
            <w:r>
              <w:rPr>
                <w:rFonts w:ascii="宋体" w:hAnsi="宋体" w:cs="宋体" w:eastAsia="宋体" w:hint="default"/>
                <w:sz w:val="18"/>
                <w:szCs w:val="18"/>
              </w:rPr>
              <w:t>（五）未履行稳定公司</w:t>
            </w:r>
            <w:r>
              <w:rPr>
                <w:rFonts w:ascii="宋体" w:hAnsi="宋体" w:cs="宋体" w:eastAsia="宋体" w:hint="default"/>
                <w:spacing w:val="2"/>
                <w:sz w:val="18"/>
                <w:szCs w:val="18"/>
              </w:rPr>
              <w:t>股</w:t>
            </w:r>
            <w:r>
              <w:rPr>
                <w:rFonts w:ascii="宋体" w:hAnsi="宋体" w:cs="宋体" w:eastAsia="宋体" w:hint="default"/>
                <w:sz w:val="18"/>
                <w:szCs w:val="18"/>
              </w:rPr>
              <w:t>价措施</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的约束措施。公司承诺：如公司未按照本预案采取稳定股价的具体措</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施，应在公司股东大会及中国证监会指定媒体上公开说明未采取稳定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股价措施的具体原因并向公司股东和社会公众投资者道歉。控股股东</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承诺：如未按照股价稳定预案采取稳定股价的具体措施，国科控股应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在公司股东大会及中国证监会指定媒体上公开说明未采取上述稳定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股价措施的具体原因并向公司股东和社会公众投资者道歉；并在上述</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事项发生之日起暂停在公司获得股东分红，同时其拥有的公司股份暂</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不得转让，直至公司股票收盘价高于每股净资产或其按预案的规定采</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取相应的稳定股价措施并实施完毕时为止。公司董事（独立董事除</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高级管理人员承</w:t>
            </w:r>
            <w:r>
              <w:rPr>
                <w:rFonts w:ascii="宋体" w:hAnsi="宋体" w:cs="宋体" w:eastAsia="宋体" w:hint="default"/>
                <w:spacing w:val="2"/>
                <w:sz w:val="18"/>
                <w:szCs w:val="18"/>
              </w:rPr>
              <w:t>诺</w:t>
            </w:r>
            <w:r>
              <w:rPr>
                <w:rFonts w:ascii="宋体" w:hAnsi="宋体" w:cs="宋体" w:eastAsia="宋体" w:hint="default"/>
                <w:spacing w:val="-15"/>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董</w:t>
            </w:r>
            <w:r>
              <w:rPr>
                <w:rFonts w:ascii="宋体" w:hAnsi="宋体" w:cs="宋体" w:eastAsia="宋体" w:hint="default"/>
                <w:spacing w:val="-15"/>
                <w:sz w:val="18"/>
                <w:szCs w:val="18"/>
              </w:rPr>
              <w:t>事</w:t>
            </w:r>
            <w:r>
              <w:rPr>
                <w:rFonts w:ascii="宋体" w:hAnsi="宋体" w:cs="宋体" w:eastAsia="宋体" w:hint="default"/>
                <w:sz w:val="18"/>
                <w:szCs w:val="18"/>
              </w:rPr>
              <w:t>（独立董事除外</w:t>
            </w:r>
            <w:r>
              <w:rPr>
                <w:rFonts w:ascii="宋体" w:hAnsi="宋体" w:cs="宋体" w:eastAsia="宋体" w:hint="default"/>
                <w:spacing w:val="-89"/>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高级</w:t>
            </w:r>
            <w:r>
              <w:rPr>
                <w:rFonts w:ascii="宋体" w:hAnsi="宋体" w:cs="宋体" w:eastAsia="宋体" w:hint="default"/>
                <w:spacing w:val="2"/>
                <w:sz w:val="18"/>
                <w:szCs w:val="18"/>
              </w:rPr>
              <w:t>管</w:t>
            </w:r>
            <w:r>
              <w:rPr>
                <w:rFonts w:ascii="宋体" w:hAnsi="宋体" w:cs="宋体" w:eastAsia="宋体" w:hint="default"/>
                <w:sz w:val="18"/>
                <w:szCs w:val="18"/>
              </w:rPr>
              <w:t>理人员</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未按照本预案采取稳定股价的具体措施，应在前述事项发生之日起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个工作日内停止在公司领取薪酬及股东分红（如有</w:t>
            </w:r>
            <w:r>
              <w:rPr>
                <w:rFonts w:ascii="宋体" w:hAnsi="宋体" w:cs="宋体" w:eastAsia="宋体" w:hint="default"/>
                <w:spacing w:val="-92"/>
                <w:sz w:val="18"/>
                <w:szCs w:val="18"/>
              </w:rPr>
              <w:t>）</w:t>
            </w:r>
            <w:r>
              <w:rPr>
                <w:rFonts w:ascii="宋体" w:hAnsi="宋体" w:cs="宋体" w:eastAsia="宋体" w:hint="default"/>
                <w:sz w:val="18"/>
                <w:szCs w:val="18"/>
              </w:rPr>
              <w:t>，同时</w:t>
            </w:r>
            <w:r>
              <w:rPr>
                <w:rFonts w:ascii="宋体" w:hAnsi="宋体" w:cs="宋体" w:eastAsia="宋体" w:hint="default"/>
                <w:spacing w:val="2"/>
                <w:sz w:val="18"/>
                <w:szCs w:val="18"/>
              </w:rPr>
              <w:t>其</w:t>
            </w:r>
            <w:r>
              <w:rPr>
                <w:rFonts w:ascii="宋体" w:hAnsi="宋体" w:cs="宋体" w:eastAsia="宋体" w:hint="default"/>
                <w:sz w:val="18"/>
                <w:szCs w:val="18"/>
              </w:rPr>
              <w:t>持有的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公司股份（如有）不得转让，直至公司股票收盘价高于每股净资产或</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其按上述预案内容的规定采取相应的股价稳定措施并实施完毕时为</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54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止。</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358"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54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pacing w:val="-2"/>
                <w:sz w:val="18"/>
                <w:szCs w:val="18"/>
              </w:rPr>
              <w:t>若公司的招股说明书有虚假记载、误导性陈述或者重大遗漏，对判断</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1" w:right="22"/>
              <w:jc w:val="both"/>
              <w:rPr>
                <w:rFonts w:ascii="宋体" w:hAnsi="宋体" w:cs="宋体" w:eastAsia="宋体" w:hint="default"/>
                <w:sz w:val="18"/>
                <w:szCs w:val="18"/>
              </w:rPr>
            </w:pPr>
            <w:r>
              <w:rPr>
                <w:rFonts w:ascii="宋体" w:hAnsi="宋体" w:cs="宋体" w:eastAsia="宋体" w:hint="default"/>
                <w:spacing w:val="-2"/>
                <w:sz w:val="18"/>
                <w:szCs w:val="18"/>
              </w:rPr>
              <w:t>公司是否符合法律规定的发行条件构成重大、实质影响的，公司将依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法回购首次公开发行的全部新股。公司将在监管部门认定的有关违法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事实的当日进行公告，并在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个交易日内根据法律、法规及公司章程 </w:t>
            </w:r>
            <w:r>
              <w:rPr>
                <w:rFonts w:ascii="宋体" w:hAnsi="宋体" w:cs="宋体" w:eastAsia="宋体" w:hint="default"/>
                <w:spacing w:val="-2"/>
                <w:sz w:val="18"/>
                <w:szCs w:val="18"/>
              </w:rPr>
              <w:t>的规定召开董事会并发出召开临时股东大会的通知，在召开临时股东</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54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大会并经相关主管部门批准</w:t>
            </w:r>
            <w:r>
              <w:rPr>
                <w:rFonts w:ascii="Times New Roman" w:hAnsi="Times New Roman" w:cs="Times New Roman" w:eastAsia="Times New Roman" w:hint="default"/>
                <w:sz w:val="18"/>
                <w:szCs w:val="18"/>
              </w:rPr>
              <w:t>/</w:t>
            </w:r>
            <w:r>
              <w:rPr>
                <w:rFonts w:ascii="宋体" w:hAnsi="宋体" w:cs="宋体" w:eastAsia="宋体" w:hint="default"/>
                <w:sz w:val="18"/>
                <w:szCs w:val="18"/>
              </w:rPr>
              <w:t>核准</w:t>
            </w:r>
            <w:r>
              <w:rPr>
                <w:rFonts w:ascii="Times New Roman" w:hAnsi="Times New Roman" w:cs="Times New Roman" w:eastAsia="Times New Roman" w:hint="default"/>
                <w:sz w:val="18"/>
                <w:szCs w:val="18"/>
              </w:rPr>
              <w:t>/</w:t>
            </w:r>
            <w:r>
              <w:rPr>
                <w:rFonts w:ascii="宋体" w:hAnsi="宋体" w:cs="宋体" w:eastAsia="宋体" w:hint="default"/>
                <w:sz w:val="18"/>
                <w:szCs w:val="18"/>
              </w:rPr>
              <w:t>备案后启动股份回购措施，公司承</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91.570007pt;margin-top:57.240005pt;width:154.4pt;height:220.4pt;mso-position-horizontal-relative:page;mso-position-vertical-relative:page;z-index:-726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line="636" w:lineRule="auto" w:before="0"/>
                    <w:ind w:left="0" w:right="925" w:firstLine="1980"/>
                    <w:jc w:val="left"/>
                    <w:rPr>
                      <w:rFonts w:ascii="宋体" w:hAnsi="宋体" w:cs="宋体" w:eastAsia="宋体" w:hint="default"/>
                      <w:sz w:val="18"/>
                      <w:szCs w:val="18"/>
                    </w:rPr>
                  </w:pPr>
                  <w:r>
                    <w:rPr>
                      <w:rFonts w:ascii="宋体" w:hAnsi="宋体" w:cs="宋体" w:eastAsia="宋体" w:hint="default"/>
                      <w:sz w:val="18"/>
                      <w:szCs w:val="18"/>
                    </w:rPr>
                    <w:t>。 误导性陈述或者重大遗漏，</w:t>
                  </w:r>
                </w:p>
              </w:txbxContent>
            </v:textbox>
            <w10:wrap type="none"/>
          </v:shape>
        </w:pict>
      </w:r>
      <w:r>
        <w:rPr/>
        <w:pict>
          <v:shape style="position:absolute;margin-left:545.570007pt;margin-top:278.089996pt;width:100.4pt;height:144.5pt;mso-position-horizontal-relative:page;mso-position-vertical-relative:page;z-index:-726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实质影响的，</w:t>
                  </w:r>
                </w:p>
              </w:txbxContent>
            </v:textbox>
            <w10:wrap type="none"/>
          </v:shape>
        </w:pict>
      </w:r>
      <w:r>
        <w:rPr/>
        <w:pict>
          <v:shape style="position:absolute;margin-left:419.570007pt;margin-top:423.076019pt;width:226.4pt;height:111.3pt;mso-position-horizontal-relative:page;mso-position-vertical-relative:page;z-index:-726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监事和高级管理人员将依法赔偿投资者损失。</w:t>
                  </w:r>
                </w:p>
              </w:txbxContent>
            </v:textbox>
            <w10:wrap type="none"/>
          </v:shape>
        </w:pict>
      </w:r>
      <w:r>
        <w:rPr/>
        <w:pict>
          <v:group style="position:absolute;margin-left:596.859985pt;margin-top:57.240005pt;width:49.1pt;height:477.1pt;mso-position-horizontal-relative:page;mso-position-vertical-relative:page;z-index:-726112" coordorigin="11937,1145" coordsize="982,9542">
            <v:group style="position:absolute;left:11937;top:1145;width:982;height:4408" coordorigin="11937,1145" coordsize="982,4408">
              <v:shape style="position:absolute;left:11937;top:1145;width:982;height:4408" coordorigin="11937,1145" coordsize="982,4408" path="m11937,5552l12919,5552,12919,1145,11937,1145,11937,5552xe" filled="true" fillcolor="#ffffff" stroked="false">
                <v:path arrowok="t"/>
                <v:fill type="solid"/>
              </v:shape>
            </v:group>
            <v:group style="position:absolute;left:11937;top:5562;width:982;height:2890" coordorigin="11937,5562" coordsize="982,2890">
              <v:shape style="position:absolute;left:11937;top:5562;width:982;height:2890" coordorigin="11937,5562" coordsize="982,2890" path="m11937,8452l12919,8452,12919,5562,11937,5562,11937,8452xe" filled="true" fillcolor="#ffffff" stroked="false">
                <v:path arrowok="t"/>
                <v:fill type="solid"/>
              </v:shape>
            </v:group>
            <v:group style="position:absolute;left:11959;top:6654;width:936;height:353" coordorigin="11959,6654" coordsize="936,353">
              <v:shape style="position:absolute;left:11959;top:6654;width:936;height:353" coordorigin="11959,6654" coordsize="936,353" path="m11959,7007l12895,7007,12895,6654,11959,6654,11959,7007xe" filled="true" fillcolor="#ffffff" stroked="false">
                <v:path arrowok="t"/>
                <v:fill type="solid"/>
              </v:shape>
            </v:group>
            <v:group style="position:absolute;left:11959;top:7007;width:936;height:353" coordorigin="11959,7007" coordsize="936,353">
              <v:shape style="position:absolute;left:11959;top:7007;width:936;height:353" coordorigin="11959,7007" coordsize="936,353" path="m11959,7360l12895,7360,12895,7007,11959,7007,11959,7360xe" filled="true" fillcolor="#ffffff" stroked="false">
                <v:path arrowok="t"/>
                <v:fill type="solid"/>
              </v:shape>
            </v:group>
            <v:group style="position:absolute;left:11937;top:8462;width:982;height:2226" coordorigin="11937,8462" coordsize="982,2226">
              <v:shape style="position:absolute;left:11937;top:8462;width:982;height:2226" coordorigin="11937,8462" coordsize="982,2226" path="m11937,10687l12919,10687,12919,8462,11937,8462,11937,10687xe" filled="true" fillcolor="#ffffff" stroked="false">
                <v:path arrowok="t"/>
                <v:fill type="solid"/>
              </v:shape>
            </v:group>
            <v:group style="position:absolute;left:11959;top:9223;width:936;height:351" coordorigin="11959,9223" coordsize="936,351">
              <v:shape style="position:absolute;left:11959;top:9223;width:936;height:351" coordorigin="11959,9223" coordsize="936,351" path="m11959,9573l12895,9573,12895,9223,11959,9223,11959,9573xe" filled="true" fillcolor="#ffffff" stroked="false">
                <v:path arrowok="t"/>
                <v:fill type="solid"/>
              </v:shape>
            </v:group>
            <v:group style="position:absolute;left:11959;top:9573;width:936;height:353" coordorigin="11959,9573" coordsize="936,353">
              <v:shape style="position:absolute;left:11959;top:9573;width:936;height:353" coordorigin="11959,9573" coordsize="936,353" path="m11959,9926l12895,9926,12895,9573,11959,9573,11959,992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9"/>
      </w:tblGrid>
      <w:tr>
        <w:trPr>
          <w:trHeight w:val="4434"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28"/>
              <w:jc w:val="left"/>
              <w:rPr>
                <w:rFonts w:ascii="宋体" w:hAnsi="宋体" w:cs="宋体" w:eastAsia="宋体" w:hint="default"/>
                <w:sz w:val="18"/>
                <w:szCs w:val="18"/>
              </w:rPr>
            </w:pPr>
            <w:r>
              <w:rPr>
                <w:rFonts w:ascii="宋体" w:hAnsi="宋体" w:cs="宋体" w:eastAsia="宋体" w:hint="default"/>
                <w:spacing w:val="-2"/>
                <w:sz w:val="18"/>
                <w:szCs w:val="18"/>
              </w:rPr>
              <w:t>诺按市场价格进行回购，如因监管部门认定有关违法事实导致公司启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动股份回购措施时公司股票已停牌，则回购价格为公司股票停牌前一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个交易日平均交易价格（平均交易价格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当日成交额</w:t>
            </w:r>
            <w:r>
              <w:rPr>
                <w:rFonts w:ascii="Times New Roman" w:hAnsi="Times New Roman" w:cs="Times New Roman" w:eastAsia="Times New Roman" w:hint="default"/>
                <w:sz w:val="18"/>
                <w:szCs w:val="18"/>
              </w:rPr>
              <w:t>/</w:t>
            </w:r>
            <w:r>
              <w:rPr>
                <w:rFonts w:ascii="宋体" w:hAnsi="宋体" w:cs="宋体" w:eastAsia="宋体" w:hint="default"/>
                <w:sz w:val="18"/>
                <w:szCs w:val="18"/>
              </w:rPr>
              <w:t>当日总成交量） </w:t>
            </w:r>
            <w:r>
              <w:rPr>
                <w:rFonts w:ascii="宋体" w:hAnsi="宋体" w:cs="宋体" w:eastAsia="宋体" w:hint="default"/>
                <w:spacing w:val="-2"/>
                <w:sz w:val="18"/>
                <w:szCs w:val="18"/>
              </w:rPr>
              <w:t>公司上市后发生除权除息事项的，上述回购价格及回购股份数量应做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相应调整。如公司招股说明书有虚假记载、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致使投资者在证券交易中遭受损失的，将依法赔偿投资者损失。公司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将在该等违法事实被监管部门或有权机构认定后，本着简化程序、积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极协商、先行赔付、切实保障投资者特别是中小投资者利益的原则， </w:t>
            </w:r>
            <w:r>
              <w:rPr>
                <w:rFonts w:ascii="宋体" w:hAnsi="宋体" w:cs="宋体" w:eastAsia="宋体" w:hint="default"/>
                <w:spacing w:val="-2"/>
                <w:sz w:val="18"/>
                <w:szCs w:val="18"/>
              </w:rPr>
              <w:t>按照投资者直接遭受的可测算的经济损失选择与投资者和解、通过第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三方与投资者调解及设立投资者赔偿基金等方式积极赔偿投资者由 </w:t>
            </w:r>
            <w:r>
              <w:rPr>
                <w:rFonts w:ascii="宋体" w:hAnsi="宋体" w:cs="宋体" w:eastAsia="宋体" w:hint="default"/>
                <w:spacing w:val="-2"/>
                <w:sz w:val="18"/>
                <w:szCs w:val="18"/>
              </w:rPr>
              <w:t>此遭受的直接经济损失。若公司违反上述承诺，则将在公司股东大会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及中国证监会指定媒体上公开就未履行上述赔偿措施向股东和社会 </w:t>
            </w:r>
            <w:r>
              <w:rPr>
                <w:rFonts w:ascii="宋体" w:hAnsi="宋体" w:cs="宋体" w:eastAsia="宋体" w:hint="default"/>
                <w:spacing w:val="-2"/>
                <w:sz w:val="18"/>
                <w:szCs w:val="18"/>
              </w:rPr>
              <w:t>公众投资者道歉，并按监管部门及有关司法机关认定的实际损失向投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资者进行赔偿。</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r>
      <w:tr>
        <w:trPr>
          <w:trHeight w:val="2900"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1" w:right="190"/>
              <w:jc w:val="left"/>
              <w:rPr>
                <w:rFonts w:ascii="宋体" w:hAnsi="宋体" w:cs="宋体" w:eastAsia="宋体" w:hint="default"/>
                <w:sz w:val="18"/>
                <w:szCs w:val="18"/>
              </w:rPr>
            </w:pPr>
            <w:r>
              <w:rPr>
                <w:rFonts w:ascii="宋体" w:hAnsi="宋体" w:cs="宋体" w:eastAsia="宋体" w:hint="default"/>
                <w:sz w:val="18"/>
                <w:szCs w:val="18"/>
              </w:rPr>
              <w:t>国科控股承 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8"/>
              <w:jc w:val="left"/>
              <w:rPr>
                <w:rFonts w:ascii="宋体" w:hAnsi="宋体" w:cs="宋体" w:eastAsia="宋体" w:hint="default"/>
                <w:sz w:val="18"/>
                <w:szCs w:val="18"/>
              </w:rPr>
            </w:pPr>
            <w:r>
              <w:rPr>
                <w:rFonts w:ascii="宋体" w:hAnsi="宋体" w:cs="宋体" w:eastAsia="宋体" w:hint="default"/>
                <w:sz w:val="18"/>
                <w:szCs w:val="18"/>
              </w:rPr>
              <w:t>公司公开募集及上市文件中如有虚假记载、误导性陈述或者重大遗 </w:t>
            </w:r>
            <w:r>
              <w:rPr>
                <w:rFonts w:ascii="宋体" w:hAnsi="宋体" w:cs="宋体" w:eastAsia="宋体" w:hint="default"/>
                <w:spacing w:val="-3"/>
                <w:sz w:val="18"/>
                <w:szCs w:val="18"/>
              </w:rPr>
              <w:t>漏，对判断公司是否符合法律规定的发行条件构成重大、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国科控股将依法以公司股票二级市场价格购回已转让的原限售股份。 </w:t>
            </w:r>
            <w:r>
              <w:rPr>
                <w:rFonts w:ascii="宋体" w:hAnsi="宋体" w:cs="宋体" w:eastAsia="宋体" w:hint="default"/>
                <w:spacing w:val="-2"/>
                <w:sz w:val="18"/>
                <w:szCs w:val="18"/>
              </w:rPr>
              <w:t>公司公开募集及上市文件中如存在虚假记载、误导性陈述或者重大遗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漏，致使投资者在证券交易中遭受损失的，国科控股将依法赔偿投资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者损失。若国科控股违反上述承诺，则将在公司股东大会及中国证监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会指定媒体上公开就未履行上述赔偿措施向股东和社会公众投资者 </w:t>
            </w:r>
            <w:r>
              <w:rPr>
                <w:rFonts w:ascii="宋体" w:hAnsi="宋体" w:cs="宋体" w:eastAsia="宋体" w:hint="default"/>
                <w:spacing w:val="-2"/>
                <w:sz w:val="18"/>
                <w:szCs w:val="18"/>
              </w:rPr>
              <w:t>道歉，并按监管部门及有关司法机关认定的实际损失向投资者进行赔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0"/>
              <w:jc w:val="left"/>
              <w:rPr>
                <w:rFonts w:ascii="宋体" w:hAnsi="宋体" w:cs="宋体" w:eastAsia="宋体" w:hint="default"/>
                <w:sz w:val="18"/>
                <w:szCs w:val="18"/>
              </w:rPr>
            </w:pPr>
            <w:r>
              <w:rPr>
                <w:rFonts w:ascii="宋体" w:hAnsi="宋体" w:cs="宋体" w:eastAsia="宋体" w:hint="default"/>
                <w:spacing w:val="-3"/>
                <w:sz w:val="18"/>
                <w:szCs w:val="18"/>
              </w:rPr>
              <w:t>索继栓、王晓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宇、张勇、杨</w:t>
            </w:r>
            <w:r>
              <w:rPr>
                <w:rFonts w:ascii="宋体" w:hAnsi="宋体" w:cs="宋体" w:eastAsia="宋体" w:hint="default"/>
                <w:sz w:val="18"/>
                <w:szCs w:val="18"/>
              </w:rPr>
              <w:t> 红梅、付忠 良、史志明、 </w:t>
            </w:r>
            <w:r>
              <w:rPr>
                <w:rFonts w:ascii="宋体" w:hAnsi="宋体" w:cs="宋体" w:eastAsia="宋体" w:hint="default"/>
                <w:spacing w:val="-3"/>
                <w:sz w:val="18"/>
                <w:szCs w:val="18"/>
              </w:rPr>
              <w:t>黄泽永、赖肇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庆、周玮、王</w:t>
            </w:r>
            <w:r>
              <w:rPr>
                <w:rFonts w:ascii="宋体" w:hAnsi="宋体" w:cs="宋体" w:eastAsia="宋体" w:hint="default"/>
                <w:sz w:val="18"/>
                <w:szCs w:val="18"/>
              </w:rPr>
              <w:t> 伟、傅敏、肖</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pacing w:val="-2"/>
                <w:sz w:val="18"/>
                <w:szCs w:val="18"/>
              </w:rPr>
              <w:t>公司董事、监事和高级管理人员承诺：公司公开募集及上市文件中如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存在虚假记载、误导性陈述或者重大遗漏，致使投资者在证券交易中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遭受损失的，公司董事、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若违反上述承诺，上述人员则将在公司股东大会及中国证监会指定媒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体上公开就未履行上述赔偿措施向股东和社会公众投资者道歉，并按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监管部门及有关司法机关认定的实际损失向投资者进行赔偿。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bl>
    <w:p>
      <w:pPr>
        <w:spacing w:after="0" w:line="316" w:lineRule="auto"/>
        <w:jc w:val="left"/>
        <w:rPr>
          <w:rFonts w:ascii="宋体" w:hAnsi="宋体" w:cs="宋体" w:eastAsia="宋体" w:hint="default"/>
          <w:sz w:val="18"/>
          <w:szCs w:val="18"/>
        </w:rPr>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246.136993pt;margin-top:291.645996pt;width:80.1pt;height:236.1pt;mso-position-horizontal-relative:page;mso-position-vertical-relative:page;z-index:-726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8"/>
                    <w:ind w:left="0" w:right="0" w:firstLine="0"/>
                    <w:jc w:val="left"/>
                    <w:rPr>
                      <w:rFonts w:ascii="宋体" w:hAnsi="宋体" w:cs="宋体" w:eastAsia="宋体" w:hint="default"/>
                      <w:sz w:val="18"/>
                      <w:szCs w:val="18"/>
                    </w:rPr>
                  </w:pPr>
                  <w:r>
                    <w:rPr>
                      <w:rFonts w:ascii="宋体" w:hAnsi="宋体" w:cs="宋体" w:eastAsia="宋体" w:hint="default"/>
                      <w:sz w:val="18"/>
                      <w:szCs w:val="18"/>
                    </w:rPr>
                    <w:t>钟勇、</w:t>
                  </w:r>
                </w:p>
              </w:txbxContent>
            </v:textbox>
            <w10:wrap type="none"/>
          </v:shape>
        </w:pict>
      </w:r>
      <w:r>
        <w:rPr/>
        <w:pict>
          <v:group style="position:absolute;margin-left:270.410004pt;margin-top:291.645996pt;width:55.8pt;height:236.1pt;mso-position-horizontal-relative:page;mso-position-vertical-relative:page;z-index:-726064" coordorigin="5408,5833" coordsize="1116,4722">
            <v:group style="position:absolute;left:5408;top:5833;width:1116;height:4722" coordorigin="5408,5833" coordsize="1116,4722">
              <v:shape style="position:absolute;left:5408;top:5833;width:1116;height:4722" coordorigin="5408,5833" coordsize="1116,4722" path="m5408,10555l6524,10555,6524,5833,5408,5833,5408,10555xe" filled="true" fillcolor="#ffffff" stroked="false">
                <v:path arrowok="t"/>
                <v:fill type="solid"/>
              </v:shape>
            </v:group>
            <v:group style="position:absolute;left:5430;top:7686;width:1071;height:351" coordorigin="5430,7686" coordsize="1071,351">
              <v:shape style="position:absolute;left:5430;top:7686;width:1071;height:351" coordorigin="5430,7686" coordsize="1071,351" path="m5430,8037l6500,8037,6500,7686,5430,7686,5430,8037xe" filled="true" fillcolor="#ffffff" stroked="false">
                <v:path arrowok="t"/>
                <v:fill type="solid"/>
              </v:shape>
            </v:group>
            <v:group style="position:absolute;left:5430;top:8037;width:1071;height:312" coordorigin="5430,8037" coordsize="1071,312">
              <v:shape style="position:absolute;left:5430;top:8037;width:1071;height:312" coordorigin="5430,8037" coordsize="1071,312" path="m5430,8349l6500,8349,6500,8037,5430,8037,5430,8349xe" filled="true" fillcolor="#ffffff" stroked="false">
                <v:path arrowok="t"/>
                <v:fill type="solid"/>
              </v:shape>
            </v:group>
            <v:group style="position:absolute;left:5430;top:8349;width:1071;height:353" coordorigin="5430,8349" coordsize="1071,353">
              <v:shape style="position:absolute;left:5430;top:8349;width:1071;height:353" coordorigin="5430,8349" coordsize="1071,353" path="m5430,8701l6500,8701,6500,8349,5430,8349,5430,8701xe" filled="true" fillcolor="#ffffff" stroked="false">
                <v:path arrowok="t"/>
                <v:fill type="solid"/>
              </v:shape>
            </v:group>
            <w10:wrap type="none"/>
          </v:group>
        </w:pict>
      </w:r>
      <w:r>
        <w:rPr/>
        <w:pict>
          <v:group style="position:absolute;margin-left:596.859985pt;margin-top:291.645996pt;width:49.1pt;height:236.1pt;mso-position-horizontal-relative:page;mso-position-vertical-relative:page;z-index:-726040" coordorigin="11937,5833" coordsize="982,4722">
            <v:group style="position:absolute;left:11937;top:5833;width:982;height:4722" coordorigin="11937,5833" coordsize="982,4722">
              <v:shape style="position:absolute;left:11937;top:5833;width:982;height:4722" coordorigin="11937,5833" coordsize="982,4722" path="m11937,10555l12919,10555,12919,5833,11937,5833,11937,10555xe" filled="true" fillcolor="#ffffff" stroked="false">
                <v:path arrowok="t"/>
                <v:fill type="solid"/>
              </v:shape>
            </v:group>
            <v:group style="position:absolute;left:11959;top:7842;width:936;height:351" coordorigin="11959,7842" coordsize="936,351">
              <v:shape style="position:absolute;left:11959;top:7842;width:936;height:351" coordorigin="11959,7842" coordsize="936,351" path="m11959,8193l12895,8193,12895,7842,11959,7842,11959,8193xe" filled="true" fillcolor="#ffffff" stroked="false">
                <v:path arrowok="t"/>
                <v:fill type="solid"/>
              </v:shape>
            </v:group>
            <v:group style="position:absolute;left:11959;top:8193;width:936;height:353" coordorigin="11959,8193" coordsize="936,353">
              <v:shape style="position:absolute;left:11959;top:8193;width:936;height:353" coordorigin="11959,8193" coordsize="936,353" path="m11959,8545l12895,8545,12895,8193,11959,8193,11959,8545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帆、尹</w:t>
            </w:r>
            <w:r>
              <w:rPr>
                <w:rFonts w:ascii="宋体" w:hAnsi="宋体" w:cs="宋体" w:eastAsia="宋体" w:hint="default"/>
                <w:spacing w:val="1"/>
                <w:sz w:val="18"/>
                <w:szCs w:val="18"/>
              </w:rPr>
              <w:t> </w:t>
            </w:r>
            <w:r>
              <w:rPr>
                <w:rFonts w:ascii="宋体" w:hAnsi="宋体" w:cs="宋体" w:eastAsia="宋体" w:hint="default"/>
                <w:sz w:val="18"/>
                <w:szCs w:val="18"/>
              </w:rPr>
              <w:t>邦</w:t>
            </w:r>
          </w:p>
        </w:tc>
        <w:tc>
          <w:tcPr>
            <w:tcW w:w="1128" w:type="dxa"/>
            <w:vMerge w:val="restart"/>
            <w:tcBorders>
              <w:top w:val="single" w:sz="15" w:space="0" w:color="000000"/>
              <w:left w:val="single" w:sz="4" w:space="0" w:color="000000"/>
              <w:right w:val="single" w:sz="4" w:space="0" w:color="000000"/>
            </w:tcBorders>
          </w:tcPr>
          <w:p>
            <w:pPr/>
          </w:p>
        </w:tc>
        <w:tc>
          <w:tcPr>
            <w:tcW w:w="5403" w:type="dxa"/>
            <w:vMerge w:val="restart"/>
            <w:tcBorders>
              <w:top w:val="single" w:sz="15" w:space="0" w:color="000000"/>
              <w:left w:val="single" w:sz="4" w:space="0" w:color="000000"/>
              <w:right w:val="single" w:sz="4" w:space="0" w:color="000000"/>
            </w:tcBorders>
          </w:tcPr>
          <w:p>
            <w:pPr/>
          </w:p>
        </w:tc>
        <w:tc>
          <w:tcPr>
            <w:tcW w:w="991" w:type="dxa"/>
            <w:vMerge w:val="restart"/>
            <w:tcBorders>
              <w:top w:val="single" w:sz="15" w:space="0" w:color="000000"/>
              <w:left w:val="single" w:sz="4" w:space="0" w:color="000000"/>
              <w:right w:val="single" w:sz="4" w:space="0" w:color="000000"/>
            </w:tcBorders>
          </w:tcPr>
          <w:p>
            <w:pPr/>
          </w:p>
        </w:tc>
        <w:tc>
          <w:tcPr>
            <w:tcW w:w="994" w:type="dxa"/>
            <w:vMerge w:val="restart"/>
            <w:tcBorders>
              <w:top w:val="single" w:sz="15" w:space="0" w:color="000000"/>
              <w:left w:val="single" w:sz="4" w:space="0" w:color="000000"/>
              <w:right w:val="single" w:sz="4" w:space="0" w:color="000000"/>
            </w:tcBorders>
          </w:tcPr>
          <w:p>
            <w:pPr/>
          </w:p>
        </w:tc>
        <w:tc>
          <w:tcPr>
            <w:tcW w:w="1416"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明</w:t>
            </w:r>
            <w:r>
              <w:rPr>
                <w:rFonts w:ascii="宋体" w:hAnsi="宋体" w:cs="宋体" w:eastAsia="宋体" w:hint="default"/>
                <w:spacing w:val="1"/>
                <w:sz w:val="18"/>
                <w:szCs w:val="18"/>
              </w:rPr>
              <w:t> </w:t>
            </w:r>
            <w:r>
              <w:rPr>
                <w:rFonts w:ascii="宋体" w:hAnsi="宋体" w:cs="宋体" w:eastAsia="宋体" w:hint="default"/>
                <w:sz w:val="18"/>
                <w:szCs w:val="18"/>
              </w:rPr>
              <w:t>、钟勇、</w:t>
            </w:r>
          </w:p>
        </w:tc>
        <w:tc>
          <w:tcPr>
            <w:tcW w:w="1128" w:type="dxa"/>
            <w:vMerge/>
            <w:tcBorders>
              <w:left w:val="single" w:sz="4" w:space="0" w:color="000000"/>
              <w:right w:val="single" w:sz="4" w:space="0" w:color="000000"/>
            </w:tcBorders>
          </w:tcPr>
          <w:p>
            <w:pPr/>
          </w:p>
        </w:tc>
        <w:tc>
          <w:tcPr>
            <w:tcW w:w="540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3"/>
                <w:sz w:val="18"/>
                <w:szCs w:val="18"/>
              </w:rPr>
              <w:t>王晓东、刘小</w:t>
            </w:r>
          </w:p>
        </w:tc>
        <w:tc>
          <w:tcPr>
            <w:tcW w:w="1128" w:type="dxa"/>
            <w:vMerge/>
            <w:tcBorders>
              <w:left w:val="single" w:sz="4" w:space="0" w:color="000000"/>
              <w:right w:val="single" w:sz="4" w:space="0" w:color="000000"/>
            </w:tcBorders>
          </w:tcPr>
          <w:p>
            <w:pPr/>
          </w:p>
        </w:tc>
        <w:tc>
          <w:tcPr>
            <w:tcW w:w="540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兵</w:t>
            </w:r>
          </w:p>
        </w:tc>
        <w:tc>
          <w:tcPr>
            <w:tcW w:w="1128" w:type="dxa"/>
            <w:vMerge/>
            <w:tcBorders>
              <w:left w:val="single" w:sz="4" w:space="0" w:color="000000"/>
              <w:bottom w:val="single" w:sz="4" w:space="0" w:color="000000"/>
              <w:right w:val="single" w:sz="4" w:space="0" w:color="000000"/>
            </w:tcBorders>
          </w:tcPr>
          <w:p>
            <w:pPr/>
          </w:p>
        </w:tc>
        <w:tc>
          <w:tcPr>
            <w:tcW w:w="540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190"/>
              <w:jc w:val="left"/>
              <w:rPr>
                <w:rFonts w:ascii="宋体" w:hAnsi="宋体" w:cs="宋体" w:eastAsia="宋体" w:hint="default"/>
                <w:sz w:val="18"/>
                <w:szCs w:val="18"/>
              </w:rPr>
            </w:pPr>
            <w:r>
              <w:rPr>
                <w:rFonts w:ascii="宋体" w:hAnsi="宋体" w:cs="宋体" w:eastAsia="宋体" w:hint="default"/>
                <w:sz w:val="18"/>
                <w:szCs w:val="18"/>
              </w:rPr>
              <w:t>国信证券股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如因本公司为发行人首次公开发行股票制作、出具的文件有虚假记 </w:t>
            </w:r>
            <w:r>
              <w:rPr>
                <w:rFonts w:ascii="宋体" w:hAnsi="宋体" w:cs="宋体" w:eastAsia="宋体" w:hint="default"/>
                <w:spacing w:val="-2"/>
                <w:sz w:val="18"/>
                <w:szCs w:val="18"/>
              </w:rPr>
              <w:t>载、误导性陈述或者重大遗漏，给投资者造成损失的，将先行赔偿投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资者损失。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1337"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190"/>
              <w:jc w:val="left"/>
              <w:rPr>
                <w:rFonts w:ascii="宋体" w:hAnsi="宋体" w:cs="宋体" w:eastAsia="宋体" w:hint="default"/>
                <w:sz w:val="18"/>
                <w:szCs w:val="18"/>
              </w:rPr>
            </w:pPr>
            <w:r>
              <w:rPr>
                <w:rFonts w:ascii="宋体" w:hAnsi="宋体" w:cs="宋体" w:eastAsia="宋体" w:hint="default"/>
                <w:sz w:val="18"/>
                <w:szCs w:val="18"/>
              </w:rPr>
              <w:t>信永中和会 计师事务所</w:t>
            </w:r>
          </w:p>
          <w:p>
            <w:pPr>
              <w:pStyle w:val="TableParagraph"/>
              <w:spacing w:line="316" w:lineRule="auto" w:before="17"/>
              <w:ind w:left="21" w:right="190"/>
              <w:jc w:val="left"/>
              <w:rPr>
                <w:rFonts w:ascii="宋体" w:hAnsi="宋体" w:cs="宋体" w:eastAsia="宋体" w:hint="default"/>
                <w:sz w:val="18"/>
                <w:szCs w:val="18"/>
              </w:rPr>
            </w:pPr>
            <w:r>
              <w:rPr>
                <w:rFonts w:ascii="宋体" w:hAnsi="宋体" w:cs="宋体" w:eastAsia="宋体" w:hint="default"/>
                <w:sz w:val="18"/>
                <w:szCs w:val="18"/>
              </w:rPr>
              <w:t>（特殊普通 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如因本公司为发行人首次公开发行股票制作、出具的文件有虚假记 </w:t>
            </w:r>
            <w:r>
              <w:rPr>
                <w:rFonts w:ascii="宋体" w:hAnsi="宋体" w:cs="宋体" w:eastAsia="宋体" w:hint="default"/>
                <w:spacing w:val="-2"/>
                <w:sz w:val="18"/>
                <w:szCs w:val="18"/>
              </w:rPr>
              <w:t>载、误导性陈述或者重大遗漏，给投资者造成损失的，将先行赔偿投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资者损失。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1027"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190"/>
              <w:jc w:val="left"/>
              <w:rPr>
                <w:rFonts w:ascii="宋体" w:hAnsi="宋体" w:cs="宋体" w:eastAsia="宋体" w:hint="default"/>
                <w:sz w:val="18"/>
                <w:szCs w:val="18"/>
              </w:rPr>
            </w:pPr>
            <w:r>
              <w:rPr>
                <w:rFonts w:ascii="宋体" w:hAnsi="宋体" w:cs="宋体" w:eastAsia="宋体" w:hint="default"/>
                <w:sz w:val="18"/>
                <w:szCs w:val="18"/>
              </w:rPr>
              <w:t>四川中一律 师事务所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both"/>
              <w:rPr>
                <w:rFonts w:ascii="宋体" w:hAnsi="宋体" w:cs="宋体" w:eastAsia="宋体" w:hint="default"/>
                <w:sz w:val="18"/>
                <w:szCs w:val="18"/>
              </w:rPr>
            </w:pPr>
            <w:r>
              <w:rPr>
                <w:rFonts w:ascii="宋体" w:hAnsi="宋体" w:cs="宋体" w:eastAsia="宋体" w:hint="default"/>
                <w:sz w:val="18"/>
                <w:szCs w:val="18"/>
              </w:rPr>
              <w:t>承担赔偿或 补偿责任的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如因本公司为发行人首次公开发行股票制作、出具的文件有虚假记 </w:t>
            </w:r>
            <w:r>
              <w:rPr>
                <w:rFonts w:ascii="宋体" w:hAnsi="宋体" w:cs="宋体" w:eastAsia="宋体" w:hint="default"/>
                <w:spacing w:val="-2"/>
                <w:sz w:val="18"/>
                <w:szCs w:val="18"/>
              </w:rPr>
              <w:t>载、误导性陈述或者重大遗漏，给投资者造成损失的，将先行赔偿投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资者损失。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358"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54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28"/>
              <w:jc w:val="center"/>
              <w:rPr>
                <w:rFonts w:ascii="宋体" w:hAnsi="宋体" w:cs="宋体" w:eastAsia="宋体" w:hint="default"/>
                <w:sz w:val="18"/>
                <w:szCs w:val="18"/>
              </w:rPr>
            </w:pPr>
            <w:r>
              <w:rPr>
                <w:rFonts w:ascii="宋体" w:hAnsi="宋体" w:cs="宋体" w:eastAsia="宋体" w:hint="default"/>
                <w:sz w:val="18"/>
                <w:szCs w:val="18"/>
              </w:rPr>
              <w:t>为保证公司首次公开发行股票后的填补回报措施能够得到切实履行，</w:t>
            </w:r>
          </w:p>
        </w:tc>
        <w:tc>
          <w:tcPr>
            <w:tcW w:w="991"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公司全体董事、高级管理人员根据中国证监会的相关规定，对公司填</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8"/>
              <w:jc w:val="center"/>
              <w:rPr>
                <w:rFonts w:ascii="宋体" w:hAnsi="宋体" w:cs="宋体" w:eastAsia="宋体" w:hint="default"/>
                <w:sz w:val="18"/>
                <w:szCs w:val="18"/>
              </w:rPr>
            </w:pPr>
            <w:r>
              <w:rPr>
                <w:rFonts w:ascii="宋体" w:hAnsi="宋体" w:cs="宋体" w:eastAsia="宋体" w:hint="default"/>
                <w:sz w:val="18"/>
                <w:szCs w:val="18"/>
              </w:rPr>
              <w:t>补回报措施能够得到切实履行作出如下承诺：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索继栓、王晓</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pacing w:val="-2"/>
                <w:sz w:val="18"/>
                <w:szCs w:val="18"/>
              </w:rPr>
              <w:t>公平条件向其他单位或者个人输送利益，也不采用其他方式损害公司</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宇、张勇、杨</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32"/>
              <w:jc w:val="center"/>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、承诺对董事和高级管理人员的职务消费行为进行约束；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1" w:right="0"/>
              <w:jc w:val="left"/>
              <w:rPr>
                <w:rFonts w:ascii="宋体" w:hAnsi="宋体" w:cs="宋体" w:eastAsia="宋体" w:hint="default"/>
                <w:sz w:val="18"/>
                <w:szCs w:val="18"/>
              </w:rPr>
            </w:pPr>
            <w:r>
              <w:rPr>
                <w:rFonts w:ascii="宋体" w:hAnsi="宋体" w:cs="宋体" w:eastAsia="宋体" w:hint="default"/>
                <w:sz w:val="18"/>
                <w:szCs w:val="18"/>
              </w:rPr>
              <w:t>红梅、付忠</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36"/>
              <w:jc w:val="center"/>
              <w:rPr>
                <w:rFonts w:ascii="宋体" w:hAnsi="宋体" w:cs="宋体" w:eastAsia="宋体" w:hint="default"/>
                <w:sz w:val="18"/>
                <w:szCs w:val="18"/>
              </w:rPr>
            </w:pPr>
            <w:r>
              <w:rPr>
                <w:rFonts w:ascii="宋体" w:hAnsi="宋体" w:cs="宋体" w:eastAsia="宋体" w:hint="default"/>
                <w:sz w:val="18"/>
                <w:szCs w:val="18"/>
              </w:rPr>
              <w:t>承诺不动用公司资产从事与其履行职责无关的投资、消费活动；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1" w:right="10"/>
              <w:jc w:val="both"/>
              <w:rPr>
                <w:rFonts w:ascii="宋体" w:hAnsi="宋体" w:cs="宋体" w:eastAsia="宋体" w:hint="default"/>
                <w:sz w:val="18"/>
                <w:szCs w:val="18"/>
              </w:rPr>
            </w:pPr>
            <w:r>
              <w:rPr>
                <w:rFonts w:ascii="宋体" w:hAnsi="宋体" w:cs="宋体" w:eastAsia="宋体" w:hint="default"/>
                <w:sz w:val="18"/>
                <w:szCs w:val="18"/>
              </w:rPr>
              <w:t>良、史志明、 </w:t>
            </w:r>
            <w:r>
              <w:rPr>
                <w:rFonts w:ascii="宋体" w:hAnsi="宋体" w:cs="宋体" w:eastAsia="宋体" w:hint="default"/>
                <w:spacing w:val="-3"/>
                <w:sz w:val="18"/>
                <w:szCs w:val="18"/>
              </w:rPr>
              <w:t>黄泽永、赖肇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庆、周玮、尹</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填补被摊薄 即期回报的 承诺</w:t>
            </w: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309" w:lineRule="auto" w:before="16"/>
              <w:ind w:left="21" w:right="23"/>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承诺由董事会或薪酬委员会制定的薪酬制度与公司填补回报措施的 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、承诺拟公布的公司股权激励的行权条件与公司 </w:t>
            </w:r>
            <w:r>
              <w:rPr>
                <w:rFonts w:ascii="宋体" w:hAnsi="宋体" w:cs="宋体" w:eastAsia="宋体" w:hint="default"/>
                <w:spacing w:val="-2"/>
                <w:sz w:val="18"/>
                <w:szCs w:val="18"/>
              </w:rPr>
              <w:t>填补回报措施的执行情况相挂钩。本承诺出具日后，如监管机构作出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邦明</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pacing w:val="-2"/>
                <w:sz w:val="18"/>
                <w:szCs w:val="18"/>
              </w:rPr>
              <w:t>关于填补回报措施及其承诺的相关规定有其他要求的，且上述承诺不</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王晓东、刘小</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pacing w:val="-2"/>
                <w:sz w:val="18"/>
                <w:szCs w:val="18"/>
              </w:rPr>
              <w:t>能满足监管机构的相关要求时，本人承诺届时将按照相关规定出具补</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兵</w:t>
            </w: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充承诺</w:t>
            </w:r>
            <w:r>
              <w:rPr>
                <w:rFonts w:ascii="宋体" w:hAnsi="宋体" w:cs="宋体" w:eastAsia="宋体" w:hint="default"/>
                <w:spacing w:val="-15"/>
                <w:sz w:val="18"/>
                <w:szCs w:val="18"/>
              </w:rPr>
              <w:t>。</w:t>
            </w:r>
            <w:r>
              <w:rPr>
                <w:rFonts w:ascii="宋体" w:hAnsi="宋体" w:cs="宋体" w:eastAsia="宋体" w:hint="default"/>
                <w:sz w:val="18"/>
                <w:szCs w:val="18"/>
              </w:rPr>
              <w:t>如违反上述承诺</w:t>
            </w:r>
            <w:r>
              <w:rPr>
                <w:rFonts w:ascii="宋体" w:hAnsi="宋体" w:cs="宋体" w:eastAsia="宋体" w:hint="default"/>
                <w:spacing w:val="-15"/>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人将遵守如下约束措施</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在监管机</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4"/>
              <w:jc w:val="center"/>
              <w:rPr>
                <w:rFonts w:ascii="宋体" w:hAnsi="宋体" w:cs="宋体" w:eastAsia="宋体" w:hint="default"/>
                <w:sz w:val="18"/>
                <w:szCs w:val="18"/>
              </w:rPr>
            </w:pPr>
            <w:r>
              <w:rPr>
                <w:rFonts w:ascii="宋体" w:hAnsi="宋体" w:cs="宋体" w:eastAsia="宋体" w:hint="default"/>
                <w:sz w:val="18"/>
                <w:szCs w:val="18"/>
              </w:rPr>
              <w:t>构指定媒体上公开说明未履行承诺的原因</w:t>
            </w:r>
            <w:r>
              <w:rPr>
                <w:rFonts w:ascii="宋体" w:hAnsi="宋体" w:cs="宋体" w:eastAsia="宋体" w:hint="default"/>
                <w:spacing w:val="-17"/>
                <w:sz w:val="18"/>
                <w:szCs w:val="18"/>
              </w:rPr>
              <w:t>，</w:t>
            </w:r>
            <w:r>
              <w:rPr>
                <w:rFonts w:ascii="宋体" w:hAnsi="宋体" w:cs="宋体" w:eastAsia="宋体" w:hint="default"/>
                <w:sz w:val="18"/>
                <w:szCs w:val="18"/>
              </w:rPr>
              <w:t>并向投资者道歉</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
                <w:sz w:val="18"/>
                <w:szCs w:val="18"/>
              </w:rPr>
              <w:t>）如</w:t>
            </w:r>
            <w:r>
              <w:rPr>
                <w:rFonts w:ascii="宋体" w:hAnsi="宋体" w:cs="宋体" w:eastAsia="宋体" w:hint="default"/>
                <w:sz w:val="18"/>
                <w:szCs w:val="18"/>
              </w:rPr>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2"/>
                <w:sz w:val="18"/>
                <w:szCs w:val="18"/>
              </w:rPr>
              <w:t>因非不可抗力事件引起违反承诺事项，且无法提供正当且合理的理由</w:t>
            </w:r>
          </w:p>
        </w:tc>
        <w:tc>
          <w:tcPr>
            <w:tcW w:w="991"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54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的，因此取得收益归发行人所有，公司有权要求本人于取得收益之日</w:t>
            </w:r>
          </w:p>
        </w:tc>
        <w:tc>
          <w:tcPr>
            <w:tcW w:w="991"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shape style="position:absolute;margin-left:482.570007pt;margin-top:57.236008pt;width:163.4pt;height:64.3500pt;mso-position-horizontal-relative:page;mso-position-vertical-relative:page;z-index:-726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公司有权暂时扣留本人工资、</w:t>
                  </w:r>
                </w:p>
              </w:txbxContent>
            </v:textbox>
            <w10:wrap type="none"/>
          </v:shape>
        </w:pict>
      </w:r>
      <w:r>
        <w:rPr/>
        <w:pict>
          <v:shape style="position:absolute;margin-left:446.589996pt;margin-top:122.06601pt;width:199.35pt;height:407.75pt;mso-position-horizontal-relative:page;mso-position-vertical-relative:page;z-index:-725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以及是否有重大资金支出安排等因素，</w:t>
                  </w:r>
                </w:p>
              </w:txbxContent>
            </v:textbox>
            <w10:wrap type="none"/>
          </v:shape>
        </w:pict>
      </w:r>
      <w:r>
        <w:rPr/>
        <w:pict>
          <v:group style="position:absolute;margin-left:596.859985pt;margin-top:57.236008pt;width:49.1pt;height:472.55pt;mso-position-horizontal-relative:page;mso-position-vertical-relative:page;z-index:-725968" coordorigin="11937,1145" coordsize="982,9451">
            <v:group style="position:absolute;left:11937;top:1145;width:982;height:1287" coordorigin="11937,1145" coordsize="982,1287">
              <v:shape style="position:absolute;left:11937;top:1145;width:982;height:1287" coordorigin="11937,1145" coordsize="982,1287" path="m11937,2432l12919,2432,12919,1145,11937,1145,11937,2432xe" filled="true" fillcolor="#ffffff" stroked="false">
                <v:path arrowok="t"/>
                <v:fill type="solid"/>
              </v:shape>
            </v:group>
            <v:group style="position:absolute;left:11937;top:2441;width:982;height:8155" coordorigin="11937,2441" coordsize="982,8155">
              <v:shape style="position:absolute;left:11937;top:2441;width:982;height:8155" coordorigin="11937,2441" coordsize="982,8155" path="m11937,10596l12919,10596,12919,2441,11937,2441,11937,10596xe" filled="true" fillcolor="#ffffff" stroked="false">
                <v:path arrowok="t"/>
                <v:fill type="solid"/>
              </v:shape>
            </v:group>
            <v:group style="position:absolute;left:11959;top:6167;width:936;height:354" coordorigin="11959,6167" coordsize="936,354">
              <v:shape style="position:absolute;left:11959;top:6167;width:936;height:354" coordorigin="11959,6167" coordsize="936,354" path="m11959,6520l12895,6520,12895,6167,11959,6167,11959,6520xe" filled="true" fillcolor="#ffffff" stroked="false">
                <v:path arrowok="t"/>
                <v:fill type="solid"/>
              </v:shape>
            </v:group>
            <v:group style="position:absolute;left:11959;top:6520;width:936;height:351" coordorigin="11959,6520" coordsize="936,351">
              <v:shape style="position:absolute;left:11959;top:6520;width:936;height:351" coordorigin="11959,6520" coordsize="936,351" path="m11959,6870l12895,6870,12895,6520,11959,6520,11959,687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1313"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3"/>
              <w:ind w:left="21" w:right="58"/>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个工作日内将违反承诺所得支付到发行人指定账户；（</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）若因</w:t>
            </w:r>
            <w:r>
              <w:rPr>
                <w:rFonts w:ascii="宋体" w:hAnsi="宋体" w:cs="宋体" w:eastAsia="宋体" w:hint="default"/>
                <w:spacing w:val="-88"/>
                <w:sz w:val="18"/>
                <w:szCs w:val="18"/>
              </w:rPr>
              <w:t> </w:t>
            </w:r>
            <w:r>
              <w:rPr>
                <w:rFonts w:ascii="宋体" w:hAnsi="宋体" w:cs="宋体" w:eastAsia="宋体" w:hint="default"/>
                <w:sz w:val="18"/>
                <w:szCs w:val="18"/>
              </w:rPr>
              <w:t>违反上述承诺给公司或者股东造成损失的，本人将依法承担补偿责 </w:t>
            </w:r>
            <w:r>
              <w:rPr>
                <w:rFonts w:ascii="宋体" w:hAnsi="宋体" w:cs="宋体" w:eastAsia="宋体" w:hint="default"/>
                <w:spacing w:val="-4"/>
                <w:sz w:val="18"/>
                <w:szCs w:val="18"/>
              </w:rPr>
              <w:t>任，且在本人履行上述相关义务之日前，</w:t>
            </w:r>
          </w:p>
          <w:p>
            <w:pPr>
              <w:pStyle w:val="TableParagraph"/>
              <w:spacing w:line="240" w:lineRule="auto" w:before="24"/>
              <w:ind w:left="21" w:right="0"/>
              <w:jc w:val="left"/>
              <w:rPr>
                <w:rFonts w:ascii="宋体" w:hAnsi="宋体" w:cs="宋体" w:eastAsia="宋体" w:hint="default"/>
                <w:sz w:val="18"/>
                <w:szCs w:val="18"/>
              </w:rPr>
            </w:pPr>
            <w:r>
              <w:rPr>
                <w:rFonts w:ascii="宋体" w:hAnsi="宋体" w:cs="宋体" w:eastAsia="宋体" w:hint="default"/>
                <w:sz w:val="18"/>
                <w:szCs w:val="18"/>
              </w:rPr>
              <w:t>薪酬和津贴。</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816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4" w:right="192"/>
              <w:jc w:val="left"/>
              <w:rPr>
                <w:rFonts w:ascii="宋体" w:hAnsi="宋体" w:cs="宋体" w:eastAsia="宋体" w:hint="default"/>
                <w:sz w:val="18"/>
                <w:szCs w:val="18"/>
              </w:rPr>
            </w:pPr>
            <w:r>
              <w:rPr>
                <w:rFonts w:ascii="宋体" w:hAnsi="宋体" w:cs="宋体" w:eastAsia="宋体" w:hint="default"/>
                <w:sz w:val="18"/>
                <w:szCs w:val="18"/>
              </w:rPr>
              <w:t>利润分配政 策的承诺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28"/>
              <w:jc w:val="left"/>
              <w:rPr>
                <w:rFonts w:ascii="宋体" w:hAnsi="宋体" w:cs="宋体" w:eastAsia="宋体" w:hint="default"/>
                <w:sz w:val="18"/>
                <w:szCs w:val="18"/>
              </w:rPr>
            </w:pPr>
            <w:r>
              <w:rPr>
                <w:rFonts w:ascii="宋体" w:hAnsi="宋体" w:cs="宋体" w:eastAsia="宋体" w:hint="default"/>
                <w:spacing w:val="-3"/>
                <w:sz w:val="18"/>
                <w:szCs w:val="18"/>
              </w:rPr>
              <w:t>（一）本次发行后公司的利润分配政策。根据公司</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时股东大会审议通过的上市后生效的《中科院成都信息技术股份有限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公司章程（草案）》，公司发行后的利润分配政策主要内容如下：</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pacing w:val="-84"/>
                <w:sz w:val="18"/>
                <w:szCs w:val="18"/>
              </w:rPr>
              <w:t> </w:t>
            </w:r>
            <w:r>
              <w:rPr>
                <w:rFonts w:ascii="宋体" w:hAnsi="宋体" w:cs="宋体" w:eastAsia="宋体" w:hint="default"/>
                <w:spacing w:val="-2"/>
                <w:sz w:val="18"/>
                <w:szCs w:val="18"/>
              </w:rPr>
              <w:t>利润分配原则。公司实行持续、稳定的利润分配政策，公司利润分配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应重视对投资者的合理投资回报并兼顾公司的可持续发展。在符合利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润分配原则、保证公司正常经营和长远发展的前提下，公司应注重现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金分红。</w:t>
            </w:r>
            <w:r>
              <w:rPr>
                <w:rFonts w:ascii="Times New Roman" w:hAnsi="Times New Roman" w:cs="Times New Roman" w:eastAsia="Times New Roman" w:hint="default"/>
                <w:sz w:val="18"/>
                <w:szCs w:val="18"/>
              </w:rPr>
              <w:t>2</w:t>
            </w:r>
            <w:r>
              <w:rPr>
                <w:rFonts w:ascii="宋体" w:hAnsi="宋体" w:cs="宋体" w:eastAsia="宋体" w:hint="default"/>
                <w:sz w:val="18"/>
                <w:szCs w:val="18"/>
              </w:rPr>
              <w:t>、利润分配的形式和比例。公司可以采取现金、股票或现 </w:t>
            </w:r>
            <w:r>
              <w:rPr>
                <w:rFonts w:ascii="宋体" w:hAnsi="宋体" w:cs="宋体" w:eastAsia="宋体" w:hint="default"/>
                <w:spacing w:val="-2"/>
                <w:sz w:val="18"/>
                <w:szCs w:val="18"/>
              </w:rPr>
              <w:t>金和股票二者相结合的方式分配股利，并优先考虑采取现金方式分配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利润；在满足购买原材料的资金需求、可预期的重大投资计划或重大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现金支出的前提下，公司董事会可以根据公司当期经营利润和现金流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情况进行中期分红，具体方案须经公司董事会审议后提交公司股东大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会批准。</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、利润分配的具体政策。（</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）利润分配的具体条件。公司</w:t>
            </w:r>
            <w:r>
              <w:rPr>
                <w:rFonts w:ascii="宋体" w:hAnsi="宋体" w:cs="宋体" w:eastAsia="宋体" w:hint="default"/>
                <w:spacing w:val="-87"/>
                <w:sz w:val="18"/>
                <w:szCs w:val="18"/>
              </w:rPr>
              <w:t> </w:t>
            </w:r>
            <w:r>
              <w:rPr>
                <w:rFonts w:ascii="宋体" w:hAnsi="宋体" w:cs="宋体" w:eastAsia="宋体" w:hint="default"/>
                <w:sz w:val="18"/>
                <w:szCs w:val="18"/>
              </w:rPr>
              <w:t>在当年度盈利且累计未分配利润为正的情况下，采取现金方式分红； </w:t>
            </w:r>
            <w:r>
              <w:rPr>
                <w:rFonts w:ascii="宋体" w:hAnsi="宋体" w:cs="宋体" w:eastAsia="宋体" w:hint="default"/>
                <w:spacing w:val="-2"/>
                <w:sz w:val="18"/>
                <w:szCs w:val="18"/>
              </w:rPr>
              <w:t>采用股票股利进行利润分配的，应当具有公司成长性、每股净资产的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摊薄等真实合理因素；公司董事会应当综合考虑所处行业特点、发展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阶段、自身经营模式、盈利水平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区分下列情形，并按照本章程规定的程序，提出差异化的现金分红政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策：①公司发展阶段属成熟期且无重大资金支出安排的，进行利润分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配时，现金分红在本次利润分配中所占比例最低应达到 </w:t>
            </w:r>
            <w:r>
              <w:rPr>
                <w:rFonts w:ascii="Times New Roman" w:hAnsi="Times New Roman" w:cs="Times New Roman" w:eastAsia="Times New Roman" w:hint="default"/>
                <w:sz w:val="18"/>
                <w:szCs w:val="18"/>
              </w:rPr>
              <w:t>80%</w:t>
            </w:r>
            <w:r>
              <w:rPr>
                <w:rFonts w:ascii="宋体" w:hAnsi="宋体" w:cs="宋体" w:eastAsia="宋体" w:hint="default"/>
                <w:sz w:val="18"/>
                <w:szCs w:val="18"/>
              </w:rPr>
              <w:t>；②公 </w:t>
            </w:r>
            <w:r>
              <w:rPr>
                <w:rFonts w:ascii="宋体" w:hAnsi="宋体" w:cs="宋体" w:eastAsia="宋体" w:hint="default"/>
                <w:spacing w:val="-2"/>
                <w:sz w:val="18"/>
                <w:szCs w:val="18"/>
              </w:rPr>
              <w:t>司发展阶段属成熟期且有重大资金支出安排的，进行利润分配时，现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金分红在本次利润分配中所占比例最低应达到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；③公司发展阶 </w:t>
            </w:r>
            <w:r>
              <w:rPr>
                <w:rFonts w:ascii="宋体" w:hAnsi="宋体" w:cs="宋体" w:eastAsia="宋体" w:hint="default"/>
                <w:spacing w:val="-2"/>
                <w:sz w:val="18"/>
                <w:szCs w:val="18"/>
              </w:rPr>
              <w:t>段属成长期且有重大资金支出安排的，进行利润分配时，现金分红在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本次利润分配中所占比例最低应达到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。公司发展阶段不易区分 </w:t>
            </w:r>
            <w:r>
              <w:rPr>
                <w:rFonts w:ascii="宋体" w:hAnsi="宋体" w:cs="宋体" w:eastAsia="宋体" w:hint="default"/>
                <w:spacing w:val="-2"/>
                <w:sz w:val="18"/>
                <w:szCs w:val="18"/>
              </w:rPr>
              <w:t>但有重大资金支出安排的，按照前项规定处理。重大资金支出指公司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未来十二个月内拟对外投资、收购资产或者购买设备等的累计支出达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到或者超过公司最近一期经审计净资产的百分之三十。（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）现金分红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bl>
    <w:p>
      <w:pPr>
        <w:spacing w:after="0" w:line="319" w:lineRule="auto"/>
        <w:jc w:val="left"/>
        <w:rPr>
          <w:rFonts w:ascii="宋体" w:hAnsi="宋体" w:cs="宋体" w:eastAsia="宋体" w:hint="default"/>
          <w:sz w:val="18"/>
          <w:szCs w:val="18"/>
        </w:rPr>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334"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vMerge w:val="restart"/>
            <w:tcBorders>
              <w:top w:val="single" w:sz="15" w:space="0" w:color="000000"/>
              <w:left w:val="single" w:sz="4" w:space="0" w:color="000000"/>
              <w:right w:val="single" w:sz="4" w:space="0" w:color="000000"/>
            </w:tcBorders>
          </w:tcPr>
          <w:p>
            <w:pPr/>
          </w:p>
        </w:tc>
        <w:tc>
          <w:tcPr>
            <w:tcW w:w="1128" w:type="dxa"/>
            <w:vMerge w:val="restart"/>
            <w:tcBorders>
              <w:top w:val="single" w:sz="15" w:space="0" w:color="000000"/>
              <w:left w:val="single" w:sz="4" w:space="0" w:color="000000"/>
              <w:right w:val="single" w:sz="4" w:space="0" w:color="000000"/>
            </w:tcBorders>
          </w:tcPr>
          <w:p>
            <w:pPr/>
          </w:p>
        </w:tc>
        <w:tc>
          <w:tcPr>
            <w:tcW w:w="540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2"/>
                <w:sz w:val="18"/>
                <w:szCs w:val="18"/>
              </w:rPr>
              <w:t>条件。公司采取现金方式分配股利，应符合下述条件：①公司该年度</w:t>
            </w:r>
          </w:p>
        </w:tc>
        <w:tc>
          <w:tcPr>
            <w:tcW w:w="991" w:type="dxa"/>
            <w:vMerge w:val="restart"/>
            <w:tcBorders>
              <w:top w:val="single" w:sz="15" w:space="0" w:color="000000"/>
              <w:left w:val="single" w:sz="4" w:space="0" w:color="000000"/>
              <w:right w:val="single" w:sz="4" w:space="0" w:color="000000"/>
            </w:tcBorders>
          </w:tcPr>
          <w:p>
            <w:pPr>
              <w:pStyle w:val="TableParagraph"/>
              <w:spacing w:line="93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49.1pt;height:468.1pt;mso-position-horizontal-relative:char;mso-position-vertical-relative:line" coordorigin="0,0" coordsize="982,9362">
                  <v:group style="position:absolute;left:0;top:0;width:982;height:9362" coordorigin="0,0" coordsize="982,9362">
                    <v:shape style="position:absolute;left:0;top:0;width:982;height:9362" coordorigin="0,0" coordsize="982,9362" path="m0,9362l982,9362,982,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994" w:type="dxa"/>
            <w:vMerge w:val="restart"/>
            <w:tcBorders>
              <w:top w:val="single" w:sz="15" w:space="0" w:color="000000"/>
              <w:left w:val="single" w:sz="4" w:space="0" w:color="000000"/>
              <w:right w:val="single" w:sz="4" w:space="0" w:color="000000"/>
            </w:tcBorders>
          </w:tcPr>
          <w:p>
            <w:pPr/>
          </w:p>
        </w:tc>
        <w:tc>
          <w:tcPr>
            <w:tcW w:w="1416" w:type="dxa"/>
            <w:vMerge w:val="restart"/>
            <w:tcBorders>
              <w:top w:val="single" w:sz="15"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或半年度实现的可分配利润（即公司弥补亏损、提取公积金后所余的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税后利润）为正值、且现金流充裕，实施现金分红不会影响公司后续</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持续经营；②公司累计可供分配利润为正值；③审计机构对公司的该</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年度财务报告出具标准无保留意见的审计报告；④公司无重大投资计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划或重大现金支出等事项发生（募集资金项目除外</w:t>
            </w:r>
            <w:r>
              <w:rPr>
                <w:rFonts w:ascii="宋体" w:hAnsi="宋体" w:cs="宋体" w:eastAsia="宋体" w:hint="default"/>
                <w:spacing w:val="-92"/>
                <w:sz w:val="18"/>
                <w:szCs w:val="18"/>
              </w:rPr>
              <w:t>）</w:t>
            </w:r>
            <w:r>
              <w:rPr>
                <w:rFonts w:ascii="宋体" w:hAnsi="宋体" w:cs="宋体" w:eastAsia="宋体" w:hint="default"/>
                <w:sz w:val="18"/>
                <w:szCs w:val="18"/>
              </w:rPr>
              <w:t>。重大</w:t>
            </w:r>
            <w:r>
              <w:rPr>
                <w:rFonts w:ascii="宋体" w:hAnsi="宋体" w:cs="宋体" w:eastAsia="宋体" w:hint="default"/>
                <w:spacing w:val="2"/>
                <w:sz w:val="18"/>
                <w:szCs w:val="18"/>
              </w:rPr>
              <w:t>投</w:t>
            </w:r>
            <w:r>
              <w:rPr>
                <w:rFonts w:ascii="宋体" w:hAnsi="宋体" w:cs="宋体" w:eastAsia="宋体" w:hint="default"/>
                <w:sz w:val="18"/>
                <w:szCs w:val="18"/>
              </w:rPr>
              <w:t>资计划</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或重大现金支出是指公司未来十二个月内拟对外投资、收购资产或者</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购买设备的累计支出达到或者超过公司最近一期经审计总资产的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30</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w w:val="99"/>
                <w:sz w:val="18"/>
                <w:szCs w:val="18"/>
              </w:rPr>
              <w:t>。</w:t>
            </w:r>
            <w:r>
              <w:rPr>
                <w:rFonts w:ascii="宋体" w:hAnsi="宋体" w:cs="宋体" w:eastAsia="宋体" w:hint="default"/>
                <w:w w:val="99"/>
                <w:sz w:val="18"/>
                <w:szCs w:val="18"/>
              </w:rPr>
              <w:t>上述现金分红条件中的第①</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③项系公司实施现金分红条件的必</w:t>
            </w:r>
            <w:r>
              <w:rPr>
                <w:rFonts w:ascii="宋体" w:hAnsi="宋体" w:cs="宋体" w:eastAsia="宋体" w:hint="default"/>
                <w:sz w:val="18"/>
                <w:szCs w:val="18"/>
              </w:rPr>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备条件；经股东大会审议通过，上述现金分红条件中的第④项应不影</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响公司实施现金分红</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7"/>
                <w:sz w:val="18"/>
                <w:szCs w:val="18"/>
              </w:rPr>
              <w:t>）</w:t>
            </w:r>
            <w:r>
              <w:rPr>
                <w:rFonts w:ascii="宋体" w:hAnsi="宋体" w:cs="宋体" w:eastAsia="宋体" w:hint="default"/>
                <w:spacing w:val="-3"/>
                <w:sz w:val="18"/>
                <w:szCs w:val="18"/>
              </w:rPr>
              <w:t>现</w:t>
            </w:r>
            <w:r>
              <w:rPr>
                <w:rFonts w:ascii="宋体" w:hAnsi="宋体" w:cs="宋体" w:eastAsia="宋体" w:hint="default"/>
                <w:sz w:val="18"/>
                <w:szCs w:val="18"/>
              </w:rPr>
              <w:t>金分红比例</w:t>
            </w:r>
            <w:r>
              <w:rPr>
                <w:rFonts w:ascii="宋体" w:hAnsi="宋体" w:cs="宋体" w:eastAsia="宋体" w:hint="default"/>
                <w:spacing w:val="-17"/>
                <w:sz w:val="18"/>
                <w:szCs w:val="18"/>
              </w:rPr>
              <w:t>。</w:t>
            </w:r>
            <w:r>
              <w:rPr>
                <w:rFonts w:ascii="宋体" w:hAnsi="宋体" w:cs="宋体" w:eastAsia="宋体" w:hint="default"/>
                <w:sz w:val="18"/>
                <w:szCs w:val="18"/>
              </w:rPr>
              <w:t>原则上公司按年度将可供</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分配的利润进行分配，必要时公司也可以进行中期利润分配。公司最</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近三年以现金方式累计分配的利润不少于最近三年实现的年均可分</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配利润的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。每年具体的现金分红比例预案由董事会根据前述规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29"/>
              <w:jc w:val="left"/>
              <w:rPr>
                <w:rFonts w:ascii="宋体" w:hAnsi="宋体" w:cs="宋体" w:eastAsia="宋体" w:hint="default"/>
                <w:sz w:val="18"/>
                <w:szCs w:val="18"/>
              </w:rPr>
            </w:pPr>
            <w:r>
              <w:rPr>
                <w:rFonts w:ascii="宋体" w:hAnsi="宋体" w:cs="宋体" w:eastAsia="宋体" w:hint="default"/>
                <w:sz w:val="18"/>
                <w:szCs w:val="18"/>
              </w:rPr>
              <w:t>定、结合公司经营状况及相关规定拟定，并提交股东大会表决</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利润分配的期间间隔。每年度进行一次分红，在有条件的情况下，公</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司可以进行中期现金分红。</w:t>
            </w:r>
            <w:r>
              <w:rPr>
                <w:rFonts w:ascii="Times New Roman" w:hAnsi="Times New Roman" w:cs="Times New Roman" w:eastAsia="Times New Roman" w:hint="default"/>
                <w:sz w:val="18"/>
                <w:szCs w:val="18"/>
              </w:rPr>
              <w:t>4</w:t>
            </w:r>
            <w:r>
              <w:rPr>
                <w:rFonts w:ascii="宋体" w:hAnsi="宋体" w:cs="宋体" w:eastAsia="宋体" w:hint="default"/>
                <w:sz w:val="18"/>
                <w:szCs w:val="18"/>
              </w:rPr>
              <w:t>、利润分配政策的决策程序：公司董事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会拟定现金股利分配方案的，由股东大会经普通决议的方式表决通</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过；公司董事会拟定股票股利分配方案的，由股东大会经特别决议的</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方式表决通过。公司监事会应当对董事会编制的股利分配方案进行审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核并提出书面审核意见。公司在制定现金分红具体方案时，董事会应</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当认真研究和论证公司现金分红的时机、条件和最低比例、调整的条</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件及其决策程序要求等事宜，独立董事应当发表明确意见。独立董事</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29"/>
              <w:jc w:val="left"/>
              <w:rPr>
                <w:rFonts w:ascii="宋体" w:hAnsi="宋体" w:cs="宋体" w:eastAsia="宋体" w:hint="default"/>
                <w:sz w:val="18"/>
                <w:szCs w:val="18"/>
              </w:rPr>
            </w:pPr>
            <w:r>
              <w:rPr>
                <w:rFonts w:ascii="宋体" w:hAnsi="宋体" w:cs="宋体" w:eastAsia="宋体" w:hint="default"/>
                <w:sz w:val="18"/>
                <w:szCs w:val="18"/>
              </w:rPr>
              <w:t>可以征集中小股东的意见，提出分红提案，并直接提交董事会审议。</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股东大会对现金分红具体方案进行审议前，公司应当通过多种渠道主</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动与股东特别是中小股东进行沟通和交流，充分听取中小股东的意见</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和诉求，及时答复中小股东关心的问题。公司在上一个会计年度实现</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盈利，但公司董事会在上一会计年度结束后未提出现金利润分配预案</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54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的，应当在定期报告中详细说明未分红的原因、未用于分红的资金留</w:t>
            </w:r>
          </w:p>
        </w:tc>
        <w:tc>
          <w:tcPr>
            <w:tcW w:w="99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54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存公司的用途，独立董事还应当对此发表独立意见。公司若当年不进</w:t>
            </w: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group style="position:absolute;margin-left:596.859985pt;margin-top:402.912018pt;width:49.1pt;height:97.75pt;mso-position-horizontal-relative:page;mso-position-vertical-relative:page;z-index:-725920" coordorigin="11937,8058" coordsize="982,1955">
            <v:group style="position:absolute;left:11937;top:8058;width:982;height:1955" coordorigin="11937,8058" coordsize="982,1955">
              <v:shape style="position:absolute;left:11937;top:8058;width:982;height:1955" coordorigin="11937,8058" coordsize="982,1955" path="m11937,10012l12919,10012,12919,8058,11937,8058,11937,10012xe" filled="true" fillcolor="#ffffff" stroked="false">
                <v:path arrowok="t"/>
                <v:fill type="solid"/>
              </v:shape>
            </v:group>
            <v:group style="position:absolute;left:11959;top:8682;width:936;height:354" coordorigin="11959,8682" coordsize="936,354">
              <v:shape style="position:absolute;left:11959;top:8682;width:936;height:354" coordorigin="11959,8682" coordsize="936,354" path="m11959,9036l12895,9036,12895,8682,11959,8682,11959,9036xe" filled="true" fillcolor="#ffffff" stroked="false">
                <v:path arrowok="t"/>
                <v:fill type="solid"/>
              </v:shape>
            </v:group>
            <v:group style="position:absolute;left:11959;top:9036;width:936;height:353" coordorigin="11959,9036" coordsize="936,353">
              <v:shape style="position:absolute;left:11959;top:9036;width:936;height:353" coordorigin="11959,9036" coordsize="936,353" path="m11959,9388l12895,9388,12895,9036,11959,9036,11959,938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9"/>
      </w:tblGrid>
      <w:tr>
        <w:trPr>
          <w:trHeight w:val="6930"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22"/>
              <w:jc w:val="left"/>
              <w:rPr>
                <w:rFonts w:ascii="宋体" w:hAnsi="宋体" w:cs="宋体" w:eastAsia="宋体" w:hint="default"/>
                <w:sz w:val="18"/>
                <w:szCs w:val="18"/>
              </w:rPr>
            </w:pPr>
            <w:r>
              <w:rPr>
                <w:rFonts w:ascii="宋体" w:hAnsi="宋体" w:cs="宋体" w:eastAsia="宋体" w:hint="default"/>
                <w:spacing w:val="-2"/>
                <w:sz w:val="18"/>
                <w:szCs w:val="18"/>
              </w:rPr>
              <w:t>行或低于本章程规定的现金分红比例进行利润分配的，公司董事会应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当在定期报告中披露原因，独立董事应当对此发表独立意见，有关利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润分配的议案需经公司董事会审议后提交股东大会批准，并在股东大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会提案中详细论证说明原因及留存资金的具体用途，且公司需提供网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络投票的方式，由股东大会以特别决议的方式表决通过。</w:t>
            </w:r>
            <w:r>
              <w:rPr>
                <w:rFonts w:ascii="Times New Roman" w:hAnsi="Times New Roman" w:cs="Times New Roman" w:eastAsia="Times New Roman" w:hint="default"/>
                <w:sz w:val="18"/>
                <w:szCs w:val="18"/>
              </w:rPr>
              <w:t>5</w:t>
            </w:r>
            <w:r>
              <w:rPr>
                <w:rFonts w:ascii="宋体" w:hAnsi="宋体" w:cs="宋体" w:eastAsia="宋体" w:hint="default"/>
                <w:sz w:val="18"/>
                <w:szCs w:val="18"/>
              </w:rPr>
              <w:t>、利润分 </w:t>
            </w:r>
            <w:r>
              <w:rPr>
                <w:rFonts w:ascii="宋体" w:hAnsi="宋体" w:cs="宋体" w:eastAsia="宋体" w:hint="default"/>
                <w:spacing w:val="-2"/>
                <w:sz w:val="18"/>
                <w:szCs w:val="18"/>
              </w:rPr>
              <w:t>配政策的调整机制。公司根据生产经营情况、投资规划和长期发展的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需要，需调整利润分配政策的，调整后的利润分配政策应以股东权益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保护为出发点，不得违反中国证监会和证券交易所的有关规定，独立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董事应当对此发表独立意见，有关调整利润分配政策的议案需经公司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董事会审议后提交公司股东大会批准，并在股东大会提案中详细论证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和说明原因，且公司需提供网络投票的方式，由股东大会以特别决议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的方式表决通过。（二）未来分红回报规划。公司股票上市后未来三</w:t>
            </w:r>
            <w:r>
              <w:rPr>
                <w:rFonts w:ascii="宋体" w:hAnsi="宋体" w:cs="宋体" w:eastAsia="宋体" w:hint="default"/>
                <w:sz w:val="18"/>
                <w:szCs w:val="18"/>
              </w:rPr>
              <w:t> </w:t>
            </w:r>
            <w:r>
              <w:rPr>
                <w:rFonts w:ascii="宋体" w:hAnsi="宋体" w:cs="宋体" w:eastAsia="宋体" w:hint="default"/>
                <w:spacing w:val="-2"/>
                <w:sz w:val="18"/>
                <w:szCs w:val="18"/>
              </w:rPr>
              <w:t>年，利润分配可采取现金、股票、现金与股票相结合或者法律、法规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允许的其他方式。公司在选择利润分配方式时，相对于股票股利等分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配方式优先采用现金分红的利润分配方式。根据公司现金流状况、业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务成长性、每股净资产规模等真实合理因素，公司可以采用发放股票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股利方式进行利润分配。公司具备现金分红条件的，公司应当采取现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金方式分配股利，公司最近三年以现金方式累计分配的利润不少于最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近三年实现的年均可分配利润的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；公司在实施上述现金分配股 </w:t>
            </w:r>
            <w:r>
              <w:rPr>
                <w:rFonts w:ascii="宋体" w:hAnsi="宋体" w:cs="宋体" w:eastAsia="宋体" w:hint="default"/>
                <w:spacing w:val="-2"/>
                <w:sz w:val="18"/>
                <w:szCs w:val="18"/>
              </w:rPr>
              <w:t>利的同时，可以派发股票股利。为了回报股东，同时考虑募集资金投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资项目建设及公司业务发展需要，公司在进行利润分配时，现金分红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在本次利润分配中所占比例最低应达到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r>
      <w:tr>
        <w:trPr>
          <w:trHeight w:val="1964"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192"/>
              <w:jc w:val="both"/>
              <w:rPr>
                <w:rFonts w:ascii="宋体" w:hAnsi="宋体" w:cs="宋体" w:eastAsia="宋体" w:hint="default"/>
                <w:sz w:val="18"/>
                <w:szCs w:val="18"/>
              </w:rPr>
            </w:pPr>
            <w:r>
              <w:rPr>
                <w:rFonts w:ascii="宋体" w:hAnsi="宋体" w:cs="宋体" w:eastAsia="宋体" w:hint="default"/>
                <w:sz w:val="18"/>
                <w:szCs w:val="18"/>
              </w:rPr>
              <w:t>持股意向及 减持意向的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28"/>
              <w:jc w:val="left"/>
              <w:rPr>
                <w:rFonts w:ascii="宋体" w:hAnsi="宋体" w:cs="宋体" w:eastAsia="宋体" w:hint="default"/>
                <w:sz w:val="18"/>
                <w:szCs w:val="18"/>
              </w:rPr>
            </w:pPr>
            <w:r>
              <w:rPr>
                <w:rFonts w:ascii="宋体" w:hAnsi="宋体" w:cs="宋体" w:eastAsia="宋体" w:hint="default"/>
                <w:spacing w:val="-2"/>
                <w:sz w:val="18"/>
                <w:szCs w:val="18"/>
              </w:rPr>
              <w:t>在本公司所持中科信息股份锁定期届满后，且不丧失对发行人控制权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及违反已作出承诺的前提下，本公司可依法减持所持有的公司股份， 具体减持意向为：所持中科信息股份在锁定期满后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年内减持的，每</w:t>
            </w:r>
            <w:r>
              <w:rPr>
                <w:rFonts w:ascii="宋体" w:hAnsi="宋体" w:cs="宋体" w:eastAsia="宋体" w:hint="default"/>
                <w:sz w:val="18"/>
                <w:szCs w:val="18"/>
              </w:rPr>
              <w:t> 年减持的股份合计不超过所持有公司首次公开发行时的股份数的百 </w:t>
            </w:r>
            <w:r>
              <w:rPr>
                <w:rFonts w:ascii="宋体" w:hAnsi="宋体" w:cs="宋体" w:eastAsia="宋体" w:hint="default"/>
                <w:spacing w:val="-2"/>
                <w:sz w:val="18"/>
                <w:szCs w:val="18"/>
              </w:rPr>
              <w:t>分之二十，减持价格不低于发行价（如遇除权除息，减持价格进行相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应调整），且将提前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个交易日予以公告。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67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宇中投资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持股意向及 减持意向的</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22"/>
              <w:jc w:val="left"/>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年内减持的，每年减持的股份合计</w:t>
            </w:r>
            <w:r>
              <w:rPr>
                <w:rFonts w:ascii="宋体" w:hAnsi="宋体" w:cs="宋体" w:eastAsia="宋体" w:hint="default"/>
                <w:sz w:val="18"/>
                <w:szCs w:val="18"/>
              </w:rPr>
              <w:t> </w:t>
            </w:r>
            <w:r>
              <w:rPr>
                <w:rFonts w:ascii="宋体" w:hAnsi="宋体" w:cs="宋体" w:eastAsia="宋体" w:hint="default"/>
                <w:spacing w:val="-2"/>
                <w:sz w:val="18"/>
                <w:szCs w:val="18"/>
              </w:rPr>
              <w:t>不超过所持有公司首次公开发行时的股份数的百分之五十，减持价格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4"/>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p>
        </w:tc>
      </w:tr>
    </w:tbl>
    <w:p>
      <w:pPr>
        <w:spacing w:after="0" w:line="316" w:lineRule="auto"/>
        <w:jc w:val="left"/>
        <w:rPr>
          <w:rFonts w:ascii="宋体" w:hAnsi="宋体" w:cs="宋体" w:eastAsia="宋体" w:hint="default"/>
          <w:sz w:val="18"/>
          <w:szCs w:val="18"/>
        </w:rPr>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r>
        <w:rPr/>
        <w:pict>
          <v:group style="position:absolute;margin-left:596.859985pt;margin-top:427.511993pt;width:49.1pt;height:95.7pt;mso-position-horizontal-relative:page;mso-position-vertical-relative:page;z-index:-725896" coordorigin="11937,8550" coordsize="982,1914">
            <v:group style="position:absolute;left:11937;top:8550;width:982;height:1914" coordorigin="11937,8550" coordsize="982,1914">
              <v:shape style="position:absolute;left:11937;top:8550;width:982;height:1914" coordorigin="11937,8550" coordsize="982,1914" path="m11937,10464l12919,10464,12919,8550,11937,8550,11937,10464xe" filled="true" fillcolor="#ffffff" stroked="false">
                <v:path arrowok="t"/>
                <v:fill type="solid"/>
              </v:shape>
            </v:group>
            <v:group style="position:absolute;left:11959;top:9156;width:936;height:353" coordorigin="11959,9156" coordsize="936,353">
              <v:shape style="position:absolute;left:11959;top:9156;width:936;height:353" coordorigin="11959,9156" coordsize="936,353" path="m11959,9508l12895,9508,12895,9156,11959,9156,11959,9508xe" filled="true" fillcolor="#ffffff" stroked="false">
                <v:path arrowok="t"/>
                <v:fill type="solid"/>
              </v:shape>
            </v:group>
            <v:group style="position:absolute;left:11959;top:9508;width:936;height:351" coordorigin="11959,9508" coordsize="936,351">
              <v:shape style="position:absolute;left:11959;top:9508;width:936;height:351" coordorigin="11959,9508" coordsize="936,351" path="m11959,9859l12895,9859,12895,9508,11959,9508,11959,9859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689" w:hRule="exact"/>
        </w:trPr>
        <w:tc>
          <w:tcPr>
            <w:tcW w:w="2837" w:type="dxa"/>
            <w:vMerge w:val="restart"/>
            <w:tcBorders>
              <w:top w:val="single" w:sz="15" w:space="0" w:color="000000"/>
              <w:left w:val="single" w:sz="4" w:space="0" w:color="000000"/>
              <w:right w:val="single" w:sz="4" w:space="0" w:color="000000"/>
            </w:tcBorders>
            <w:shd w:val="clear" w:color="auto" w:fill="D2D2D2"/>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不低于发行价（如遇除权除息，减持价格进行相应调整</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且</w:t>
            </w:r>
            <w:r>
              <w:rPr>
                <w:rFonts w:ascii="宋体" w:hAnsi="宋体" w:cs="宋体" w:eastAsia="宋体" w:hint="default"/>
                <w:sz w:val="18"/>
                <w:szCs w:val="18"/>
              </w:rPr>
              <w:t>将提前</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1339"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埃德凯森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持股意向及 减持意向的 承诺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22"/>
              <w:jc w:val="both"/>
              <w:rPr>
                <w:rFonts w:ascii="宋体" w:hAnsi="宋体" w:cs="宋体" w:eastAsia="宋体" w:hint="default"/>
                <w:sz w:val="18"/>
                <w:szCs w:val="18"/>
              </w:rPr>
            </w:pPr>
            <w:r>
              <w:rPr>
                <w:rFonts w:ascii="宋体" w:hAnsi="宋体" w:cs="宋体" w:eastAsia="宋体" w:hint="default"/>
                <w:sz w:val="18"/>
                <w:szCs w:val="18"/>
              </w:rPr>
              <w:t>所持中科信息股份在锁定期满后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年内减持的，每年减持的股份合计</w:t>
            </w:r>
            <w:r>
              <w:rPr>
                <w:rFonts w:ascii="宋体" w:hAnsi="宋体" w:cs="宋体" w:eastAsia="宋体" w:hint="default"/>
                <w:sz w:val="18"/>
                <w:szCs w:val="18"/>
              </w:rPr>
              <w:t> </w:t>
            </w:r>
            <w:r>
              <w:rPr>
                <w:rFonts w:ascii="宋体" w:hAnsi="宋体" w:cs="宋体" w:eastAsia="宋体" w:hint="default"/>
                <w:spacing w:val="-2"/>
                <w:sz w:val="18"/>
                <w:szCs w:val="18"/>
              </w:rPr>
              <w:t>不超过所持有公司首次公开发行时的股份数的百分之八十，减持价格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不低于发行价（如遇除权除息，减持价格进行相应调整），且将提前</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5394" w:hRule="exact"/>
        </w:trPr>
        <w:tc>
          <w:tcPr>
            <w:tcW w:w="2837"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、本公司或本公司实际控制的公司目前没有、将来也不会以任何方 </w:t>
            </w:r>
            <w:r>
              <w:rPr>
                <w:rFonts w:ascii="宋体" w:hAnsi="宋体" w:cs="宋体" w:eastAsia="宋体" w:hint="default"/>
                <w:spacing w:val="-2"/>
                <w:sz w:val="18"/>
                <w:szCs w:val="18"/>
              </w:rPr>
              <w:t>式在中国境内外直接或间接开展任何导致或可能导致与中科信息（包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括其控股子公司及深圳市中钞科信金融科技有限公司）现有主营业务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产生竞争的业务或活动，亦不生产任何与中科信息现有产品相同或相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似的产品。</w:t>
            </w:r>
            <w:r>
              <w:rPr>
                <w:rFonts w:ascii="Times New Roman" w:hAnsi="Times New Roman" w:cs="Times New Roman" w:eastAsia="Times New Roman" w:hint="default"/>
                <w:sz w:val="18"/>
                <w:szCs w:val="18"/>
              </w:rPr>
              <w:t>2</w:t>
            </w:r>
            <w:r>
              <w:rPr>
                <w:rFonts w:ascii="宋体" w:hAnsi="宋体" w:cs="宋体" w:eastAsia="宋体" w:hint="default"/>
                <w:sz w:val="18"/>
                <w:szCs w:val="18"/>
              </w:rPr>
              <w:t>、如本公司以及本公司控制的其他公司未来取得可能与 </w:t>
            </w:r>
            <w:r>
              <w:rPr>
                <w:rFonts w:ascii="宋体" w:hAnsi="宋体" w:cs="宋体" w:eastAsia="宋体" w:hint="default"/>
                <w:spacing w:val="-2"/>
                <w:sz w:val="18"/>
                <w:szCs w:val="18"/>
              </w:rPr>
              <w:t>中科信息现有主营业务及现有产品构成竞争关系的企业权益，则本公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司同意将该等资产或业务通过适当的、有效的方式及时进行处理，以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消除同业竞争的情形，处理方式包括但不限于（</w:t>
            </w:r>
            <w:r>
              <w:rPr>
                <w:rFonts w:ascii="Times New Roman" w:hAnsi="Times New Roman" w:cs="Times New Roman" w:eastAsia="Times New Roman" w:hint="default"/>
                <w:sz w:val="18"/>
                <w:szCs w:val="18"/>
              </w:rPr>
              <w:t>1</w:t>
            </w:r>
            <w:r>
              <w:rPr>
                <w:rFonts w:ascii="宋体" w:hAnsi="宋体" w:cs="宋体" w:eastAsia="宋体" w:hint="default"/>
                <w:sz w:val="18"/>
                <w:szCs w:val="18"/>
              </w:rPr>
              <w:t>）向第三方转让、 </w:t>
            </w:r>
            <w:r>
              <w:rPr>
                <w:rFonts w:ascii="宋体" w:hAnsi="宋体" w:cs="宋体" w:eastAsia="宋体" w:hint="default"/>
                <w:spacing w:val="-3"/>
                <w:sz w:val="18"/>
                <w:szCs w:val="18"/>
              </w:rPr>
              <w:t>出售在该等企业中的股权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）在条件允许的情形下，将该等</w:t>
            </w:r>
            <w:r>
              <w:rPr>
                <w:rFonts w:ascii="宋体" w:hAnsi="宋体" w:cs="宋体" w:eastAsia="宋体" w:hint="default"/>
                <w:spacing w:val="-88"/>
                <w:sz w:val="18"/>
                <w:szCs w:val="18"/>
              </w:rPr>
              <w:t> </w:t>
            </w:r>
            <w:r>
              <w:rPr>
                <w:rFonts w:ascii="宋体" w:hAnsi="宋体" w:cs="宋体" w:eastAsia="宋体" w:hint="default"/>
                <w:spacing w:val="-5"/>
                <w:sz w:val="18"/>
                <w:szCs w:val="18"/>
              </w:rPr>
              <w:t>资产及业务纳入中科信息之经营或资产体系；（</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）在条件允许的情形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下，由中科信息购买该等资产，并将尽最大努力促使该交易的价格公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平合理。</w:t>
            </w:r>
            <w:r>
              <w:rPr>
                <w:rFonts w:ascii="Times New Roman" w:hAnsi="Times New Roman" w:cs="Times New Roman" w:eastAsia="Times New Roman" w:hint="default"/>
                <w:sz w:val="18"/>
                <w:szCs w:val="18"/>
              </w:rPr>
              <w:t>3</w:t>
            </w:r>
            <w:r>
              <w:rPr>
                <w:rFonts w:ascii="宋体" w:hAnsi="宋体" w:cs="宋体" w:eastAsia="宋体" w:hint="default"/>
                <w:sz w:val="18"/>
                <w:szCs w:val="18"/>
              </w:rPr>
              <w:t>、如本公司以及本公司控制的其他公司出现违背以上承诺 </w:t>
            </w:r>
            <w:r>
              <w:rPr>
                <w:rFonts w:ascii="宋体" w:hAnsi="宋体" w:cs="宋体" w:eastAsia="宋体" w:hint="default"/>
                <w:spacing w:val="-2"/>
                <w:sz w:val="18"/>
                <w:szCs w:val="18"/>
              </w:rPr>
              <w:t>的情况，给中科信息带来的任何损失均由本公司承担，以使中科信息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恢复到产生损失或者承担责任之前的状态。</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、本承诺函的有效期自 签署之日起至本公司不再是中科信息之控股股东止。</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1"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日作出承诺时，至承诺履行完毕</w:t>
            </w:r>
            <w:r>
              <w:rPr>
                <w:rFonts w:ascii="宋体" w:hAnsi="宋体" w:cs="宋体" w:eastAsia="宋体" w:hint="default"/>
                <w:spacing w:val="13"/>
                <w:sz w:val="18"/>
                <w:szCs w:val="18"/>
              </w:rPr>
              <w:t> </w:t>
            </w:r>
            <w:r>
              <w:rPr>
                <w:rFonts w:ascii="宋体" w:hAnsi="宋体" w:cs="宋体" w:eastAsia="宋体" w:hint="default"/>
                <w:sz w:val="18"/>
                <w:szCs w:val="18"/>
              </w:rPr>
              <w:t>承诺人严格信守承诺，未出现</w:t>
            </w:r>
            <w:r>
              <w:rPr>
                <w:rFonts w:ascii="宋体" w:hAnsi="宋体" w:cs="宋体" w:eastAsia="宋体" w:hint="default"/>
                <w:sz w:val="18"/>
                <w:szCs w:val="18"/>
              </w:rPr>
              <w:t> 违犯承诺的情况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r>
        <w:trPr>
          <w:trHeight w:val="192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国科控股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易的承诺函</w:t>
            </w:r>
          </w:p>
        </w:tc>
        <w:tc>
          <w:tcPr>
            <w:tcW w:w="54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2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或本公司关联方将尽最大可能避免与中科信息发生关 </w:t>
            </w:r>
            <w:r>
              <w:rPr>
                <w:rFonts w:ascii="宋体" w:hAnsi="宋体" w:cs="宋体" w:eastAsia="宋体" w:hint="default"/>
                <w:spacing w:val="-5"/>
                <w:sz w:val="18"/>
                <w:szCs w:val="18"/>
              </w:rPr>
              <w:t>联交易。（</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）如果在今后的经营活动中，中科信息确需与本公司或本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公司关联方发生任何关联交易的，则本公司将促使上述交易按照公平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合理和正常商业交易的条件进行，并且严格按照国家有关法律法规、 </w:t>
            </w:r>
            <w:r>
              <w:rPr>
                <w:rFonts w:ascii="宋体" w:hAnsi="宋体" w:cs="宋体" w:eastAsia="宋体" w:hint="default"/>
                <w:spacing w:val="-2"/>
                <w:sz w:val="18"/>
                <w:szCs w:val="18"/>
              </w:rPr>
              <w:t>公司章程的规定履行有关程序；涉及需要回避表决的，本公司及本公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司关联方将严格执行回避表决制度，并不会干涉其他董事和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作出承诺 时，至承诺 履行完毕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承诺人严格信守 </w:t>
            </w:r>
            <w:r>
              <w:rPr>
                <w:rFonts w:ascii="宋体" w:hAnsi="宋体" w:cs="宋体" w:eastAsia="宋体" w:hint="default"/>
                <w:spacing w:val="-10"/>
                <w:sz w:val="18"/>
                <w:szCs w:val="18"/>
              </w:rPr>
              <w:t>承诺，未出现违犯</w:t>
            </w:r>
            <w:r>
              <w:rPr>
                <w:rFonts w:ascii="宋体" w:hAnsi="宋体" w:cs="宋体" w:eastAsia="宋体" w:hint="default"/>
                <w:sz w:val="18"/>
                <w:szCs w:val="18"/>
              </w:rPr>
              <w:t> 承诺的情况</w:t>
            </w:r>
          </w:p>
        </w:tc>
      </w:tr>
    </w:tbl>
    <w:p>
      <w:pPr>
        <w:spacing w:after="0" w:line="316" w:lineRule="auto"/>
        <w:jc w:val="left"/>
        <w:rPr>
          <w:rFonts w:ascii="宋体" w:hAnsi="宋体" w:cs="宋体" w:eastAsia="宋体" w:hint="default"/>
          <w:sz w:val="18"/>
          <w:szCs w:val="18"/>
        </w:rPr>
        <w:sectPr>
          <w:pgSz w:w="16840" w:h="11910" w:orient="landscape"/>
          <w:pgMar w:header="870" w:footer="975" w:top="1060" w:bottom="1160" w:left="132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37"/>
        <w:gridCol w:w="1124"/>
        <w:gridCol w:w="1128"/>
        <w:gridCol w:w="5403"/>
        <w:gridCol w:w="991"/>
        <w:gridCol w:w="994"/>
        <w:gridCol w:w="1416"/>
      </w:tblGrid>
      <w:tr>
        <w:trPr>
          <w:trHeight w:val="1937" w:hRule="exact"/>
        </w:trPr>
        <w:tc>
          <w:tcPr>
            <w:tcW w:w="2837"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540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22"/>
              <w:jc w:val="both"/>
              <w:rPr>
                <w:rFonts w:ascii="宋体" w:hAnsi="宋体" w:cs="宋体" w:eastAsia="宋体" w:hint="default"/>
                <w:sz w:val="18"/>
                <w:szCs w:val="18"/>
              </w:rPr>
            </w:pPr>
            <w:r>
              <w:rPr>
                <w:rFonts w:ascii="宋体" w:hAnsi="宋体" w:cs="宋体" w:eastAsia="宋体" w:hint="default"/>
                <w:spacing w:val="-2"/>
                <w:sz w:val="18"/>
                <w:szCs w:val="18"/>
              </w:rPr>
              <w:t>对关联交易的审议。关联交易价格在国家物价部门有规定时，执行国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家价格；在国家物价部门无相关规定时，按照不高于同类交易的市场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价格、市场条件，由交易双方协商确定，以维护公司及其他股东的合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法权益。本公司及本公司关联方还将严格和善意的履行与中科信息签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订的各种关联交易协议。本公司承诺将不会向中科信息谋求或给予任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何超出上述协议规定以外的利益或收益。</w:t>
            </w:r>
          </w:p>
        </w:tc>
        <w:tc>
          <w:tcPr>
            <w:tcW w:w="991"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54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54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5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70" w:footer="975" w:top="1060" w:bottom="1160" w:left="1320" w:right="1320"/>
        </w:sectPr>
      </w:pPr>
    </w:p>
    <w:p>
      <w:pPr>
        <w:spacing w:line="240" w:lineRule="auto" w:before="9"/>
        <w:rPr>
          <w:rFonts w:ascii="Times New Roman" w:hAnsi="Times New Roman" w:cs="Times New Roman" w:eastAsia="Times New Roman" w:hint="default"/>
          <w:sz w:val="23"/>
          <w:szCs w:val="23"/>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05" w:firstLine="420"/>
        <w:jc w:val="both"/>
        <w:rPr>
          <w:rFonts w:ascii="宋体" w:hAnsi="宋体" w:cs="宋体" w:eastAsia="宋体" w:hint="default"/>
        </w:rPr>
      </w:pPr>
      <w:r>
        <w:rPr>
          <w:spacing w:val="-2"/>
        </w:rPr>
        <w:t>本公司根据</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日财政部发布的修订的《企业会计准则第</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政府补助》（以下简称“准则</w:t>
      </w:r>
      <w:r>
        <w:rPr>
          <w:spacing w:val="-3"/>
          <w:w w:val="100"/>
        </w:rPr>
        <w:t> </w:t>
      </w:r>
      <w:r>
        <w:rPr>
          <w:rFonts w:ascii="宋体" w:hAnsi="宋体" w:cs="宋体" w:eastAsia="宋体" w:hint="default"/>
          <w:spacing w:val="-2"/>
        </w:rPr>
        <w:t>16</w:t>
      </w:r>
      <w:r>
        <w:rPr>
          <w:spacing w:val="-2"/>
        </w:rPr>
        <w:t>号（</w:t>
      </w:r>
      <w:r>
        <w:rPr>
          <w:rFonts w:ascii="宋体" w:hAnsi="宋体" w:cs="宋体" w:eastAsia="宋体" w:hint="default"/>
          <w:spacing w:val="-2"/>
        </w:rPr>
        <w:t>2017</w:t>
      </w:r>
      <w:r>
        <w:rPr>
          <w:spacing w:val="-2"/>
        </w:rPr>
        <w:t>）”）的规定，对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日存在的政府补助进行了重新梳理。与企业日常活动相关的政府</w:t>
      </w:r>
      <w:r>
        <w:rPr>
          <w:spacing w:val="-35"/>
        </w:rPr>
        <w:t> </w:t>
      </w:r>
      <w:r>
        <w:rPr>
          <w:spacing w:val="-35"/>
        </w:rPr>
      </w:r>
      <w:r>
        <w:rPr>
          <w:spacing w:val="-2"/>
        </w:rPr>
        <w:t>补助应当按照经济业务实质，计入其他收益；与企业日常活动无关的政府补助，计入营业外收支；企业应</w:t>
      </w:r>
      <w:r>
        <w:rPr>
          <w:spacing w:val="-44"/>
        </w:rPr>
        <w:t> </w:t>
      </w:r>
      <w:r>
        <w:rPr>
          <w:spacing w:val="-44"/>
        </w:rPr>
      </w:r>
      <w:r>
        <w:rPr/>
        <w:t>当在“利润表”中的“营业利润”项目之上单独列表“其他收益”项目，反映计入其他收益的政府补助。</w:t>
      </w:r>
      <w:r>
        <w:rPr>
          <w:w w:val="100"/>
        </w:rPr>
        <w:t> </w:t>
      </w:r>
      <w:r>
        <w:rPr>
          <w:spacing w:val="-2"/>
        </w:rPr>
        <w:t>本集团根据准则</w:t>
      </w:r>
      <w:r>
        <w:rPr>
          <w:rFonts w:ascii="宋体" w:hAnsi="宋体" w:cs="宋体" w:eastAsia="宋体" w:hint="default"/>
          <w:spacing w:val="-2"/>
        </w:rPr>
        <w:t>16</w:t>
      </w:r>
      <w:r>
        <w:rPr>
          <w:spacing w:val="-2"/>
        </w:rPr>
        <w:t>号（</w:t>
      </w:r>
      <w:r>
        <w:rPr>
          <w:rFonts w:ascii="宋体" w:hAnsi="宋体" w:cs="宋体" w:eastAsia="宋体" w:hint="default"/>
          <w:spacing w:val="-2"/>
        </w:rPr>
        <w:t>2017</w:t>
      </w:r>
      <w:r>
        <w:rPr>
          <w:spacing w:val="-2"/>
        </w:rPr>
        <w:t>），对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日存在的政府补助进行了重新梳理。</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日之后区分</w:t>
      </w:r>
      <w:r>
        <w:rPr>
          <w:spacing w:val="-28"/>
        </w:rPr>
        <w:t> </w:t>
      </w:r>
      <w:r>
        <w:rPr>
          <w:spacing w:val="-28"/>
        </w:rPr>
      </w:r>
      <w:r>
        <w:rPr>
          <w:spacing w:val="-2"/>
        </w:rPr>
        <w:t>对与公司日常活动相关的政府补助等，由原计入营业外收入改为计入其他收益或冲减借款费用。对与公司</w:t>
      </w:r>
      <w:r>
        <w:rPr>
          <w:spacing w:val="-43"/>
        </w:rPr>
        <w:t> </w:t>
      </w:r>
      <w:r>
        <w:rPr>
          <w:spacing w:val="-43"/>
        </w:rPr>
      </w:r>
      <w:r>
        <w:rPr>
          <w:spacing w:val="-6"/>
          <w:w w:val="100"/>
        </w:rPr>
        <w:t>日常活动无关的政府补助，仍计入营业外收入。根据准则</w:t>
      </w:r>
      <w:r>
        <w:rPr>
          <w:rFonts w:ascii="宋体" w:hAnsi="宋体" w:cs="宋体" w:eastAsia="宋体" w:hint="default"/>
          <w:spacing w:val="-6"/>
          <w:w w:val="100"/>
        </w:rPr>
        <w:t>16</w:t>
      </w:r>
      <w:r>
        <w:rPr>
          <w:spacing w:val="-6"/>
          <w:w w:val="100"/>
        </w:rPr>
        <w:t>号（</w:t>
      </w:r>
      <w:r>
        <w:rPr>
          <w:rFonts w:ascii="宋体" w:hAnsi="宋体" w:cs="宋体" w:eastAsia="宋体" w:hint="default"/>
          <w:spacing w:val="-6"/>
          <w:w w:val="100"/>
        </w:rPr>
        <w:t>2017</w:t>
      </w:r>
      <w:r>
        <w:rPr>
          <w:spacing w:val="-6"/>
          <w:w w:val="100"/>
        </w:rPr>
        <w:t>）的规定，上述变更采用未来适用法。</w:t>
      </w:r>
      <w:r>
        <w:rPr>
          <w:rFonts w:ascii="宋体" w:hAnsi="宋体" w:cs="宋体" w:eastAsia="宋体" w:hint="default"/>
          <w:w w:val="100"/>
        </w:rPr>
        <w:t> </w:t>
      </w:r>
    </w:p>
    <w:p>
      <w:pPr>
        <w:pStyle w:val="BodyText"/>
        <w:spacing w:line="408" w:lineRule="auto"/>
        <w:ind w:right="0" w:firstLine="420"/>
        <w:jc w:val="left"/>
      </w:pPr>
      <w:r>
        <w:rPr>
          <w:spacing w:val="-8"/>
          <w:w w:val="100"/>
        </w:rPr>
        <w:t>本公司根据</w:t>
      </w:r>
      <w:r>
        <w:rPr>
          <w:rFonts w:ascii="宋体" w:hAnsi="宋体" w:cs="宋体" w:eastAsia="宋体" w:hint="default"/>
          <w:spacing w:val="-8"/>
          <w:w w:val="100"/>
        </w:rPr>
        <w:t>2017</w:t>
      </w:r>
      <w:r>
        <w:rPr>
          <w:spacing w:val="-8"/>
          <w:w w:val="100"/>
        </w:rPr>
        <w:t>年</w:t>
      </w:r>
      <w:r>
        <w:rPr>
          <w:rFonts w:ascii="宋体" w:hAnsi="宋体" w:cs="宋体" w:eastAsia="宋体" w:hint="default"/>
          <w:spacing w:val="-8"/>
          <w:w w:val="100"/>
        </w:rPr>
        <w:t>12</w:t>
      </w:r>
      <w:r>
        <w:rPr>
          <w:spacing w:val="-8"/>
          <w:w w:val="100"/>
        </w:rPr>
        <w:t>月</w:t>
      </w:r>
      <w:r>
        <w:rPr>
          <w:rFonts w:ascii="宋体" w:hAnsi="宋体" w:cs="宋体" w:eastAsia="宋体" w:hint="default"/>
          <w:spacing w:val="-8"/>
          <w:w w:val="100"/>
        </w:rPr>
        <w:t>25</w:t>
      </w:r>
      <w:r>
        <w:rPr>
          <w:spacing w:val="-8"/>
          <w:w w:val="100"/>
        </w:rPr>
        <w:t>日财政部发布的《关于修订印发一般企业财务报表格式的通知》（财会〔</w:t>
      </w:r>
      <w:r>
        <w:rPr>
          <w:rFonts w:ascii="宋体" w:hAnsi="宋体" w:cs="宋体" w:eastAsia="宋体" w:hint="default"/>
          <w:spacing w:val="-8"/>
          <w:w w:val="100"/>
        </w:rPr>
        <w:t>2017</w:t>
      </w:r>
      <w:r>
        <w:rPr>
          <w:spacing w:val="-8"/>
          <w:w w:val="100"/>
        </w:rPr>
        <w:t>〕</w:t>
      </w:r>
      <w:r>
        <w:rPr>
          <w:w w:val="100"/>
        </w:rPr>
        <w:t> </w:t>
      </w:r>
      <w:r>
        <w:rPr>
          <w:rFonts w:ascii="宋体" w:hAnsi="宋体" w:cs="宋体" w:eastAsia="宋体" w:hint="default"/>
        </w:rPr>
        <w:t>30</w:t>
      </w:r>
      <w:r>
        <w:rPr/>
        <w:t>号），以及会计司发布的《关于一般企业财务报表格式有关问题的解读》，本公司财务报表中资产负债</w:t>
      </w:r>
      <w:r>
        <w:rPr>
          <w:w w:val="100"/>
        </w:rPr>
        <w:t> </w:t>
      </w:r>
      <w:r>
        <w:rPr/>
        <w:t>表新增“持有待售资产”行项目，反映资产负债表日划分为持有待售类别的非流动资产及划分为持有待售</w:t>
      </w:r>
      <w:r>
        <w:rPr>
          <w:w w:val="100"/>
        </w:rPr>
        <w:t> </w:t>
      </w:r>
      <w:r>
        <w:rPr/>
        <w:t>类别的处置组中的流动资产和非流动资产的期末账面价值，新增“持有待售负债”行项目，反映资产负债</w:t>
      </w:r>
      <w:r>
        <w:rPr>
          <w:w w:val="100"/>
        </w:rPr>
        <w:t> </w:t>
      </w:r>
      <w:r>
        <w:rPr>
          <w:spacing w:val="-5"/>
        </w:rPr>
        <w:t>表日处置组中与划分为持有待售类别的资产直接相关的负债的期末账面价值；利润表新增“资产处置收益”</w:t>
      </w:r>
      <w:r>
        <w:rPr>
          <w:spacing w:val="-6"/>
        </w:rPr>
        <w:t> </w:t>
      </w:r>
      <w:r>
        <w:rPr>
          <w:spacing w:val="-6"/>
        </w:rPr>
      </w:r>
      <w:r>
        <w:rPr>
          <w:spacing w:val="-2"/>
        </w:rPr>
        <w:t>行项目，反映企业出售划分为持有待售的非流动资产（金融工具、长期股权投资和投资性房地产除外）或</w:t>
      </w:r>
      <w:r>
        <w:rPr>
          <w:spacing w:val="-44"/>
        </w:rPr>
        <w:t> </w:t>
      </w:r>
      <w:r>
        <w:rPr>
          <w:spacing w:val="-44"/>
        </w:rPr>
      </w:r>
      <w:r>
        <w:rPr/>
        <w:t>处置组时确认的处置利得或损失，以及处置未划分为持有待售的固定资产、在建工程及无形资产等而产生</w:t>
      </w:r>
      <w:r>
        <w:rPr>
          <w:w w:val="100"/>
        </w:rPr>
        <w:t> </w:t>
      </w:r>
      <w:r>
        <w:rPr/>
        <w:t>的处置利得或损失，债务重组中因处置非流动资产产生的利得或损失和非货币性资产交换产生的利得或损</w:t>
      </w:r>
      <w:r>
        <w:rPr>
          <w:w w:val="100"/>
        </w:rPr>
        <w:t> </w:t>
      </w:r>
      <w:r>
        <w:rPr>
          <w:spacing w:val="-2"/>
        </w:rPr>
        <w:t>失也包括在本项目内。对于利润表新增的“资产处置收益”行项目，本公司对可比期间的比较数据进行调</w:t>
      </w:r>
    </w:p>
    <w:p>
      <w:pPr>
        <w:spacing w:after="0" w:line="408" w:lineRule="auto"/>
        <w:jc w:val="left"/>
        <w:sectPr>
          <w:headerReference w:type="default" r:id="rId17"/>
          <w:footerReference w:type="default" r:id="rId18"/>
          <w:pgSz w:w="11910" w:h="16840"/>
          <w:pgMar w:header="880" w:footer="974" w:top="1100" w:bottom="1160" w:left="980" w:right="920"/>
          <w:pgNumType w:start="46"/>
        </w:sectPr>
      </w:pPr>
    </w:p>
    <w:p>
      <w:pPr>
        <w:spacing w:line="240" w:lineRule="auto" w:before="10"/>
        <w:rPr>
          <w:rFonts w:ascii="宋体" w:hAnsi="宋体" w:cs="宋体" w:eastAsia="宋体" w:hint="default"/>
          <w:sz w:val="26"/>
          <w:szCs w:val="26"/>
        </w:rPr>
      </w:pPr>
    </w:p>
    <w:p>
      <w:pPr>
        <w:pStyle w:val="BodyText"/>
        <w:spacing w:line="240" w:lineRule="auto" w:before="36"/>
        <w:ind w:right="153"/>
        <w:jc w:val="left"/>
        <w:rPr>
          <w:rFonts w:ascii="宋体" w:hAnsi="宋体" w:cs="宋体" w:eastAsia="宋体" w:hint="default"/>
        </w:rPr>
      </w:pPr>
      <w:r>
        <w:rPr/>
        <w:t>整列报。</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31"/>
        <w:ind w:right="15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3"/>
        <w:spacing w:line="240" w:lineRule="auto" w:before="69"/>
        <w:ind w:right="0"/>
        <w:jc w:val="left"/>
      </w:pPr>
      <w:r>
        <w:rPr/>
        <w:t>本公司于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月投资设立全资子公司中科金华，注册资本人民币</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t>万元，经营范围：计算机</w:t>
      </w:r>
    </w:p>
    <w:p>
      <w:pPr>
        <w:pStyle w:val="Heading3"/>
        <w:spacing w:line="240" w:lineRule="auto" w:before="7"/>
        <w:ind w:right="0"/>
        <w:jc w:val="left"/>
        <w:rPr>
          <w:rFonts w:ascii="Times New Roman" w:hAnsi="Times New Roman" w:cs="Times New Roman" w:eastAsia="Times New Roman" w:hint="default"/>
        </w:rPr>
      </w:pPr>
      <w:r>
        <w:rPr>
          <w:spacing w:val="-4"/>
        </w:rPr>
        <w:t>信息技术开发、技术服务；技术咨询；信息系统集成服务、计算机软硬件产品销售。中科金华于</w:t>
      </w:r>
      <w:r>
        <w:rPr>
          <w:spacing w:val="8"/>
        </w:rPr>
        <w:t> </w:t>
      </w:r>
      <w:r>
        <w:rPr>
          <w:rFonts w:ascii="Times New Roman" w:hAnsi="Times New Roman" w:cs="Times New Roman" w:eastAsia="Times New Roman" w:hint="default"/>
        </w:rPr>
        <w:t>2017</w:t>
      </w:r>
    </w:p>
    <w:p>
      <w:pPr>
        <w:pStyle w:val="Heading3"/>
        <w:spacing w:line="240" w:lineRule="auto" w:before="10"/>
        <w:ind w:right="153"/>
        <w:jc w:val="left"/>
      </w:pP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月正式开展经营活动，故本公司自</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月起将其纳入合并范围。</w:t>
      </w:r>
    </w:p>
    <w:p>
      <w:pPr>
        <w:spacing w:line="240" w:lineRule="auto" w:before="3"/>
        <w:rPr>
          <w:rFonts w:ascii="宋体" w:hAnsi="宋体" w:cs="宋体" w:eastAsia="宋体" w:hint="default"/>
          <w:sz w:val="22"/>
          <w:szCs w:val="22"/>
        </w:rPr>
      </w:pPr>
    </w:p>
    <w:p>
      <w:pPr>
        <w:pStyle w:val="Heading2"/>
        <w:spacing w:line="240" w:lineRule="auto"/>
        <w:ind w:right="15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罗东先、李丽</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after="0" w:line="3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5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after="0" w:line="3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pStyle w:val="BodyText"/>
        <w:spacing w:line="692" w:lineRule="exact" w:before="15"/>
        <w:ind w:left="573" w:right="0"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2"/>
        </w:rPr>
        <w:t>公司以“服务客户、成就员工、回报股东、贡献社会”为宗旨，努力维护全体股东的利益，严格按照</w:t>
      </w:r>
    </w:p>
    <w:p>
      <w:pPr>
        <w:pStyle w:val="BodyText"/>
        <w:spacing w:line="408" w:lineRule="auto" w:before="84"/>
        <w:ind w:right="107"/>
        <w:jc w:val="both"/>
      </w:pPr>
      <w:r>
        <w:rPr>
          <w:spacing w:val="-2"/>
        </w:rPr>
        <w:t>《中华人民共和国公司法》《中华人民共和国证券法》《深圳证券交易所创业板股票上市规则》《深圳证</w:t>
      </w:r>
      <w:r>
        <w:rPr>
          <w:spacing w:val="-42"/>
        </w:rPr>
        <w:t> </w:t>
      </w:r>
      <w:r>
        <w:rPr>
          <w:spacing w:val="-42"/>
        </w:rPr>
      </w:r>
      <w:r>
        <w:rPr>
          <w:spacing w:val="-2"/>
        </w:rPr>
        <w:t>券交易所创业板上市规范运作指引》等法律法规、规范性文件和公司《章程》等规定和要求，规范股东大</w:t>
      </w:r>
      <w:r>
        <w:rPr>
          <w:spacing w:val="-43"/>
        </w:rPr>
        <w:t> </w:t>
      </w:r>
      <w:r>
        <w:rPr>
          <w:spacing w:val="-43"/>
        </w:rPr>
      </w:r>
      <w:r>
        <w:rPr>
          <w:spacing w:val="-2"/>
        </w:rPr>
        <w:t>会召集、召开、表决程序，确保所有股东享有平等权利，让中小投资者充分行使自己的权利；严格执行分</w:t>
      </w:r>
      <w:r>
        <w:rPr>
          <w:spacing w:val="-43"/>
        </w:rPr>
        <w:t> </w:t>
      </w:r>
      <w:r>
        <w:rPr>
          <w:spacing w:val="-43"/>
        </w:rPr>
      </w:r>
      <w:r>
        <w:rPr>
          <w:spacing w:val="-5"/>
        </w:rPr>
        <w:t>红政策，确保股东实现投资回报。公司严格按照相关法律法规的要求，通过法定信息披露媒体真实、准确、</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85"/>
        <w:jc w:val="both"/>
        <w:rPr>
          <w:rFonts w:ascii="宋体" w:hAnsi="宋体" w:cs="宋体" w:eastAsia="宋体" w:hint="default"/>
        </w:rPr>
      </w:pPr>
      <w:r>
        <w:rPr>
          <w:spacing w:val="-2"/>
        </w:rPr>
        <w:t>完整、及时、公平地进行信息披露，通过电话和投资者关系互动平台等多种方式与投资者进行沟通交流，</w:t>
      </w:r>
      <w:r>
        <w:rPr>
          <w:spacing w:val="-21"/>
        </w:rPr>
        <w:t> </w:t>
      </w:r>
      <w:r>
        <w:rPr>
          <w:spacing w:val="-21"/>
        </w:rPr>
      </w:r>
      <w:r>
        <w:rPr>
          <w:spacing w:val="-2"/>
        </w:rPr>
        <w:t>提高了公司的透明度和诚信度。公司财务政策稳健，与供应商及其他债权人保持长期的良好合作，保证了</w:t>
      </w:r>
      <w:r>
        <w:rPr>
          <w:spacing w:val="-45"/>
        </w:rPr>
        <w:t> </w:t>
      </w:r>
      <w:r>
        <w:rPr>
          <w:spacing w:val="-45"/>
        </w:rPr>
      </w:r>
      <w:r>
        <w:rPr/>
        <w:t>供应商及债权人的利益。</w:t>
      </w:r>
      <w:r>
        <w:rPr>
          <w:rFonts w:ascii="宋体" w:hAnsi="宋体" w:cs="宋体" w:eastAsia="宋体" w:hint="default"/>
        </w:rPr>
        <w:t> </w:t>
      </w:r>
    </w:p>
    <w:p>
      <w:pPr>
        <w:pStyle w:val="BodyText"/>
        <w:spacing w:line="408" w:lineRule="auto"/>
        <w:ind w:left="573" w:right="0"/>
        <w:jc w:val="left"/>
      </w:pPr>
      <w:r>
        <w:rPr/>
        <w:t>（</w:t>
      </w:r>
      <w:r>
        <w:rPr>
          <w:rFonts w:ascii="宋体" w:hAnsi="宋体" w:cs="宋体" w:eastAsia="宋体" w:hint="default"/>
        </w:rPr>
        <w:t>1</w:t>
      </w:r>
      <w:r>
        <w:rPr/>
        <w:t>）职工权益保护</w:t>
      </w:r>
      <w:r>
        <w:rPr>
          <w:rFonts w:ascii="宋体" w:hAnsi="宋体" w:cs="宋体" w:eastAsia="宋体" w:hint="default"/>
          <w:w w:val="100"/>
        </w:rPr>
        <w:t> </w:t>
      </w:r>
      <w:r>
        <w:rPr>
          <w:spacing w:val="-2"/>
        </w:rPr>
        <w:t>公司坚持“以人为本”的理念，大力倡导“关注员工成长，关怀员工健康”，持续发挥工会在公司经</w:t>
      </w:r>
    </w:p>
    <w:p>
      <w:pPr>
        <w:pStyle w:val="BodyText"/>
        <w:spacing w:line="408" w:lineRule="auto"/>
        <w:ind w:right="185"/>
        <w:jc w:val="both"/>
        <w:rPr>
          <w:rFonts w:ascii="宋体" w:hAnsi="宋体" w:cs="宋体" w:eastAsia="宋体" w:hint="default"/>
        </w:rPr>
      </w:pPr>
      <w:r>
        <w:rPr>
          <w:spacing w:val="-2"/>
        </w:rPr>
        <w:t>营管理中的作用，通过工会切实维护职工合法权益，充分给予职工参与公司民主决策、民主管理和民主监</w:t>
      </w:r>
      <w:r>
        <w:rPr>
          <w:spacing w:val="-45"/>
        </w:rPr>
        <w:t> </w:t>
      </w:r>
      <w:r>
        <w:rPr>
          <w:spacing w:val="-45"/>
        </w:rPr>
      </w:r>
      <w:r>
        <w:rPr>
          <w:spacing w:val="-2"/>
        </w:rPr>
        <w:t>督的权力，尊重员工，积极采纳员工合理化建议，听取职工的意见和要求，关心职工生活，帮助职工解决</w:t>
      </w:r>
      <w:r>
        <w:rPr>
          <w:spacing w:val="-43"/>
        </w:rPr>
        <w:t> </w:t>
      </w:r>
      <w:r>
        <w:rPr>
          <w:spacing w:val="-43"/>
        </w:rPr>
      </w:r>
      <w:r>
        <w:rPr>
          <w:spacing w:val="-2"/>
        </w:rPr>
        <w:t>困难。公司不断改善工作环境，使员工在安全、环保、优美的工作环境中安心工作；关心员工身心健康，</w:t>
      </w:r>
      <w:r>
        <w:rPr>
          <w:spacing w:val="-21"/>
        </w:rPr>
        <w:t> </w:t>
      </w:r>
      <w:r>
        <w:rPr>
          <w:spacing w:val="-21"/>
        </w:rPr>
      </w:r>
      <w:r>
        <w:rPr>
          <w:spacing w:val="-2"/>
        </w:rPr>
        <w:t>定期组织员工体检，为员工提供“五险一金”保障；不断完善人力资源管理体系与考核激励机制，打造职</w:t>
      </w:r>
      <w:r>
        <w:rPr>
          <w:spacing w:val="-43"/>
        </w:rPr>
        <w:t> </w:t>
      </w:r>
      <w:r>
        <w:rPr>
          <w:spacing w:val="-43"/>
        </w:rPr>
      </w:r>
      <w:r>
        <w:rPr/>
        <w:t>工职业晋升通道，为其提供施展才华的平台，帮助职工实现自我价值。</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t>（</w:t>
      </w:r>
      <w:r>
        <w:rPr>
          <w:rFonts w:ascii="宋体" w:hAnsi="宋体" w:cs="宋体" w:eastAsia="宋体" w:hint="default"/>
        </w:rPr>
        <w:t>2</w:t>
      </w:r>
      <w:r>
        <w:rPr/>
        <w:t>）客户和消费者权益保护</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jc w:val="both"/>
        <w:rPr>
          <w:rFonts w:ascii="宋体" w:hAnsi="宋体" w:cs="宋体" w:eastAsia="宋体" w:hint="default"/>
        </w:rPr>
      </w:pPr>
      <w:r>
        <w:rPr>
          <w:rFonts w:ascii="宋体" w:hAnsi="宋体" w:cs="宋体" w:eastAsia="宋体" w:hint="default"/>
          <w:w w:val="100"/>
        </w:rPr>
        <w:t>    </w:t>
      </w:r>
      <w:r>
        <w:rPr>
          <w:spacing w:val="-2"/>
        </w:rPr>
        <w:t>公司以服务客户为宗旨，坚持“市场为先，客户至上”。视产品与服务质量为生命，信守承诺，诚信</w:t>
      </w:r>
      <w:r>
        <w:rPr>
          <w:w w:val="100"/>
        </w:rPr>
        <w:t> </w:t>
      </w:r>
      <w:r>
        <w:rPr>
          <w:spacing w:val="-2"/>
        </w:rPr>
        <w:t>经营，竭诚为客户提供优质产品和及时、细致、周到的服务，定期开展客户满意度调查，跟踪考察项目实</w:t>
      </w:r>
      <w:r>
        <w:rPr>
          <w:spacing w:val="-43"/>
        </w:rPr>
        <w:t> </w:t>
      </w:r>
      <w:r>
        <w:rPr>
          <w:spacing w:val="-43"/>
        </w:rPr>
      </w:r>
      <w:r>
        <w:rPr>
          <w:spacing w:val="-2"/>
        </w:rPr>
        <w:t>施情况，确保项目质量。加强员工技能培训，不断提升业务水平，以标杆式的示范项目引导员工“精益求</w:t>
      </w:r>
      <w:r>
        <w:rPr>
          <w:spacing w:val="-42"/>
        </w:rPr>
        <w:t> </w:t>
      </w:r>
      <w:r>
        <w:rPr>
          <w:spacing w:val="-42"/>
        </w:rPr>
      </w:r>
      <w:r>
        <w:rPr/>
        <w:t>精，追求卓越”，获得行业客户充分的信赖与肯定，与客户建立起长期合作的良好关系。</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t>（</w:t>
      </w:r>
      <w:r>
        <w:rPr>
          <w:rFonts w:ascii="宋体" w:hAnsi="宋体" w:cs="宋体" w:eastAsia="宋体" w:hint="default"/>
        </w:rPr>
        <w:t>3</w:t>
      </w:r>
      <w:r>
        <w:rPr/>
        <w:t>）履行其他社会责任</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2"/>
        </w:rPr>
        <w:t>公司践行“服务国家，回报社会”，通过长期开展院地合作，带动地方企业提高经济效益，创造了较</w:t>
      </w:r>
      <w:r>
        <w:rPr>
          <w:w w:val="100"/>
        </w:rPr>
        <w:t> </w:t>
      </w:r>
      <w:r>
        <w:rPr>
          <w:spacing w:val="-5"/>
        </w:rPr>
        <w:t>高的社会效益。公司积极依法纳税，贯彻国家环保政策，为残疾人提供就业机会。响应国家精准扶贫号召，</w:t>
      </w:r>
      <w:r>
        <w:rPr>
          <w:spacing w:val="-14"/>
        </w:rPr>
        <w:t> </w:t>
      </w:r>
      <w:r>
        <w:rPr>
          <w:spacing w:val="-14"/>
        </w:rPr>
      </w:r>
      <w:r>
        <w:rPr>
          <w:spacing w:val="-2"/>
        </w:rPr>
        <w:t>对四川省广元市利州区大石镇青岭村开展精准扶贫活动，通过开展“发展食用菌产业扶贫项目”、“安全</w:t>
      </w:r>
      <w:r>
        <w:rPr>
          <w:spacing w:val="-42"/>
        </w:rPr>
        <w:t> </w:t>
      </w:r>
      <w:r>
        <w:rPr>
          <w:spacing w:val="-42"/>
        </w:rPr>
      </w:r>
      <w:r>
        <w:rPr>
          <w:spacing w:val="-2"/>
        </w:rPr>
        <w:t>优质水稻的试验示范和订单种植推广”等扶贫项目，培训、引导贫困村发展优势产业，以实际行动帮助其</w:t>
      </w:r>
      <w:r>
        <w:rPr>
          <w:spacing w:val="-46"/>
        </w:rPr>
        <w:t> </w:t>
      </w:r>
      <w:r>
        <w:rPr>
          <w:spacing w:val="-46"/>
        </w:rPr>
      </w:r>
      <w:r>
        <w:rPr>
          <w:spacing w:val="-2"/>
        </w:rPr>
        <w:t>“脱贫摘帽”。积极参与公益活动，组织职工开展</w:t>
      </w:r>
      <w:r>
        <w:rPr>
          <w:rFonts w:ascii="宋体" w:hAnsi="宋体" w:cs="宋体" w:eastAsia="宋体" w:hint="default"/>
          <w:spacing w:val="-2"/>
        </w:rPr>
        <w:t>2017</w:t>
      </w:r>
      <w:r>
        <w:rPr>
          <w:spacing w:val="-2"/>
        </w:rPr>
        <w:t>年扶贫日自愿捐赠活动，为贫困地区捐款捐物折合</w:t>
      </w:r>
      <w:r>
        <w:rPr>
          <w:spacing w:val="-47"/>
        </w:rPr>
        <w:t> </w:t>
      </w:r>
      <w:r>
        <w:rPr>
          <w:spacing w:val="-47"/>
        </w:rPr>
      </w:r>
      <w:r>
        <w:rPr/>
        <w:t>金额约</w:t>
      </w:r>
      <w:r>
        <w:rPr>
          <w:rFonts w:ascii="宋体" w:hAnsi="宋体" w:cs="宋体" w:eastAsia="宋体" w:hint="default"/>
        </w:rPr>
        <w:t>23140</w:t>
      </w:r>
      <w:r>
        <w:rPr/>
        <w:t>元。</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692" w:lineRule="exact" w:before="13"/>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04"/>
        </w:rPr>
        <w:t> </w:t>
      </w:r>
      <w:r>
        <w:rPr>
          <w:spacing w:val="-2"/>
        </w:rPr>
        <w:t>公司积极响应国家“精准扶贫、精准脱贫”号召，高度重视精准扶贫工作，紧紧围绕“两不愁、三保</w:t>
      </w:r>
    </w:p>
    <w:p>
      <w:pPr>
        <w:pStyle w:val="BodyText"/>
        <w:spacing w:line="408" w:lineRule="auto" w:before="84"/>
        <w:ind w:left="573" w:right="0" w:hanging="421"/>
        <w:jc w:val="left"/>
      </w:pPr>
      <w:r>
        <w:rPr/>
        <w:t>障”和“四个好”等目标，大力推进</w:t>
      </w:r>
      <w:r>
        <w:rPr>
          <w:spacing w:val="-2"/>
        </w:rPr>
        <w:t> </w:t>
      </w:r>
      <w:r>
        <w:rPr>
          <w:rFonts w:ascii="宋体" w:hAnsi="宋体" w:cs="宋体" w:eastAsia="宋体" w:hint="default"/>
          <w:spacing w:val="-2"/>
        </w:rPr>
      </w:r>
      <w:r>
        <w:rPr/>
        <w:t>“五个一批”行动计划，抓好扶贫专项计划等各项工作的实施。</w:t>
      </w:r>
      <w:r>
        <w:rPr>
          <w:rFonts w:ascii="宋体" w:hAnsi="宋体" w:cs="宋体" w:eastAsia="宋体" w:hint="default"/>
          <w:w w:val="100"/>
        </w:rPr>
        <w:t> </w:t>
      </w:r>
      <w:r>
        <w:rPr>
          <w:rFonts w:ascii="宋体" w:hAnsi="宋体" w:cs="宋体" w:eastAsia="宋体" w:hint="default"/>
          <w:spacing w:val="-2"/>
        </w:rPr>
        <w:t>2017</w:t>
      </w:r>
      <w:r>
        <w:rPr>
          <w:spacing w:val="-2"/>
        </w:rPr>
        <w:t>年，公司在中国科学院成都分院扶贫工作领导小组总体指导下开展工作。成立了扶贫工作小组，</w:t>
      </w:r>
    </w:p>
    <w:p>
      <w:pPr>
        <w:pStyle w:val="BodyText"/>
        <w:spacing w:line="240" w:lineRule="auto"/>
        <w:ind w:right="0"/>
        <w:jc w:val="both"/>
      </w:pPr>
      <w:r>
        <w:rPr/>
        <w:t>确定了驻村干部和工作小组成员，把四川省广元市利州区大石镇青岭村（全村贫困户</w:t>
      </w:r>
      <w:r>
        <w:rPr>
          <w:rFonts w:ascii="宋体" w:hAnsi="宋体" w:cs="宋体" w:eastAsia="宋体" w:hint="default"/>
        </w:rPr>
        <w:t>29</w:t>
      </w:r>
      <w:r>
        <w:rPr/>
        <w:t>户，</w:t>
      </w:r>
      <w:r>
        <w:rPr>
          <w:rFonts w:ascii="宋体" w:hAnsi="宋体" w:cs="宋体" w:eastAsia="宋体" w:hint="default"/>
        </w:rPr>
        <w:t>110</w:t>
      </w:r>
      <w:r>
        <w:rPr/>
        <w:t>人）确定</w:t>
      </w:r>
    </w:p>
    <w:p>
      <w:pPr>
        <w:spacing w:after="0" w:line="240"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573" w:right="0" w:hanging="421"/>
        <w:jc w:val="left"/>
      </w:pPr>
      <w:r>
        <w:rPr>
          <w:spacing w:val="-7"/>
          <w:w w:val="100"/>
        </w:rPr>
        <w:t>为公司精准扶贫对口单位，把四川省广元市利州区三堆镇龙池村贫困户郑朝清确定为“一对一”帮扶对象。</w:t>
      </w:r>
      <w:r>
        <w:rPr>
          <w:spacing w:val="-79"/>
          <w:w w:val="100"/>
        </w:rPr>
        <w:t> </w:t>
      </w:r>
      <w:r>
        <w:rPr>
          <w:rFonts w:ascii="宋体" w:hAnsi="宋体" w:cs="宋体" w:eastAsia="宋体" w:hint="default"/>
          <w:spacing w:val="-79"/>
          <w:w w:val="100"/>
        </w:rPr>
      </w:r>
      <w:r>
        <w:rPr>
          <w:spacing w:val="-2"/>
        </w:rPr>
        <w:t>公司主要通过帮助青岭村开展“发展食用菌产业”、“安全优质水稻的试验示范和订单种植推广”等</w:t>
      </w:r>
    </w:p>
    <w:p>
      <w:pPr>
        <w:pStyle w:val="BodyText"/>
        <w:spacing w:line="408" w:lineRule="auto"/>
        <w:ind w:right="0"/>
        <w:jc w:val="left"/>
        <w:rPr>
          <w:rFonts w:ascii="宋体" w:hAnsi="宋体" w:cs="宋体" w:eastAsia="宋体" w:hint="default"/>
        </w:rPr>
      </w:pPr>
      <w:r>
        <w:rPr>
          <w:spacing w:val="-2"/>
        </w:rPr>
        <w:t>项目，帮助和引导贫困村发展优势产业，不断扩大规模、增加产量，加快脱贫步伐，打赢脱贫攻坚战。为</w:t>
      </w:r>
      <w:r>
        <w:rPr>
          <w:spacing w:val="-45"/>
        </w:rPr>
        <w:t> </w:t>
      </w:r>
      <w:r>
        <w:rPr>
          <w:spacing w:val="-45"/>
        </w:rPr>
      </w:r>
      <w:r>
        <w:rPr/>
        <w:t>使贫困户能够尽快脱贫，公司采取了产业大户带动贫困户的模式，实现了精准扶贫和精准脱贫。</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7" w:firstLine="420"/>
        <w:jc w:val="both"/>
        <w:rPr>
          <w:rFonts w:ascii="宋体" w:hAnsi="宋体" w:cs="宋体" w:eastAsia="宋体" w:hint="default"/>
        </w:rPr>
      </w:pPr>
      <w:r>
        <w:rPr>
          <w:spacing w:val="-3"/>
        </w:rPr>
        <w:t>报告期内，公司通过帮助、指导青岭村发展高效农业、绿色稻麦及稻鱼混养等生态特色产业，实现稻</w:t>
      </w:r>
      <w:r>
        <w:rPr>
          <w:w w:val="100"/>
        </w:rPr>
        <w:t> </w:t>
      </w:r>
      <w:r>
        <w:rPr>
          <w:spacing w:val="-2"/>
        </w:rPr>
        <w:t>鱼共生种植基地面积</w:t>
      </w:r>
      <w:r>
        <w:rPr>
          <w:rFonts w:ascii="宋体" w:hAnsi="宋体" w:cs="宋体" w:eastAsia="宋体" w:hint="default"/>
          <w:spacing w:val="-2"/>
        </w:rPr>
        <w:t>620</w:t>
      </w:r>
      <w:r>
        <w:rPr>
          <w:spacing w:val="-2"/>
        </w:rPr>
        <w:t>亩、果蔬基地</w:t>
      </w:r>
      <w:r>
        <w:rPr>
          <w:rFonts w:ascii="宋体" w:hAnsi="宋体" w:cs="宋体" w:eastAsia="宋体" w:hint="default"/>
          <w:spacing w:val="-2"/>
        </w:rPr>
        <w:t>240</w:t>
      </w:r>
      <w:r>
        <w:rPr>
          <w:spacing w:val="-2"/>
        </w:rPr>
        <w:t>亩。组织实施了旅游扶贫示范村、环境优美示范村等项目，带动</w:t>
      </w:r>
      <w:r>
        <w:rPr>
          <w:spacing w:val="-44"/>
        </w:rPr>
        <w:t> </w:t>
      </w:r>
      <w:r>
        <w:rPr>
          <w:spacing w:val="-44"/>
        </w:rPr>
      </w:r>
      <w:r>
        <w:rPr>
          <w:spacing w:val="-2"/>
        </w:rPr>
        <w:t>乡村旅游、产业增收，效益明显。开展技术培训，针对稻鱼混养、种植技术、旅游示范村等项目开展针对</w:t>
      </w:r>
      <w:r>
        <w:rPr>
          <w:spacing w:val="-42"/>
        </w:rPr>
        <w:t> </w:t>
      </w:r>
      <w:r>
        <w:rPr>
          <w:spacing w:val="-42"/>
        </w:rPr>
      </w:r>
      <w:r>
        <w:rPr>
          <w:spacing w:val="-2"/>
        </w:rPr>
        <w:t>性技术培训</w:t>
      </w:r>
      <w:r>
        <w:rPr>
          <w:rFonts w:ascii="宋体" w:hAnsi="宋体" w:cs="宋体" w:eastAsia="宋体" w:hint="default"/>
          <w:spacing w:val="-2"/>
        </w:rPr>
        <w:t>8</w:t>
      </w:r>
      <w:r>
        <w:rPr>
          <w:spacing w:val="-2"/>
        </w:rPr>
        <w:t>次，受训人员</w:t>
      </w:r>
      <w:r>
        <w:rPr>
          <w:rFonts w:ascii="宋体" w:hAnsi="宋体" w:cs="宋体" w:eastAsia="宋体" w:hint="default"/>
          <w:spacing w:val="-2"/>
        </w:rPr>
        <w:t>300</w:t>
      </w:r>
      <w:r>
        <w:rPr>
          <w:spacing w:val="-2"/>
        </w:rPr>
        <w:t>余人次。同时公司还坚持开展走访慰问活动，为村民排忧解难，开展了送农</w:t>
      </w:r>
      <w:r>
        <w:rPr>
          <w:spacing w:val="-46"/>
        </w:rPr>
        <w:t> </w:t>
      </w:r>
      <w:r>
        <w:rPr>
          <w:spacing w:val="-46"/>
        </w:rPr>
      </w:r>
      <w:r>
        <w:rPr>
          <w:spacing w:val="-2"/>
        </w:rPr>
        <w:t>资下乡、送文化下乡、节日走访慰问等活动，丰富了青岭村村民的物质文化生活。通过公司的精准扶贫工</w:t>
      </w:r>
      <w:r>
        <w:rPr>
          <w:spacing w:val="-47"/>
        </w:rPr>
        <w:t> </w:t>
      </w:r>
      <w:r>
        <w:rPr>
          <w:spacing w:val="-47"/>
        </w:rPr>
      </w:r>
      <w:r>
        <w:rPr/>
        <w:t>作，</w:t>
      </w:r>
      <w:r>
        <w:rPr>
          <w:rFonts w:ascii="宋体" w:hAnsi="宋体" w:cs="宋体" w:eastAsia="宋体" w:hint="default"/>
        </w:rPr>
        <w:t>2017</w:t>
      </w:r>
      <w:r>
        <w:rPr/>
        <w:t>年全村人均收入</w:t>
      </w:r>
      <w:r>
        <w:rPr>
          <w:rFonts w:ascii="宋体" w:hAnsi="宋体" w:cs="宋体" w:eastAsia="宋体" w:hint="default"/>
        </w:rPr>
        <w:t>12616</w:t>
      </w:r>
      <w:r>
        <w:rPr/>
        <w:t>元，实现脱贫摘帽；贫困户人均收入</w:t>
      </w:r>
      <w:r>
        <w:rPr>
          <w:rFonts w:ascii="宋体" w:hAnsi="宋体" w:cs="宋体" w:eastAsia="宋体" w:hint="default"/>
        </w:rPr>
        <w:t>7953</w:t>
      </w:r>
      <w:r>
        <w:rPr/>
        <w:t>元，</w:t>
      </w:r>
      <w:r>
        <w:rPr>
          <w:rFonts w:ascii="宋体" w:hAnsi="宋体" w:cs="宋体" w:eastAsia="宋体" w:hint="default"/>
        </w:rPr>
        <w:t>29</w:t>
      </w:r>
      <w:r>
        <w:rPr/>
        <w:t>户贫困户实现脱贫。</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5"/>
        <w:gridCol w:w="1553"/>
        <w:gridCol w:w="4393"/>
      </w:tblGrid>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53.1</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118</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农林产业扶贫</w:t>
            </w:r>
            <w:r>
              <w:rPr>
                <w:rFonts w:ascii="Times New Roman" w:hAnsi="Times New Roman" w:cs="Times New Roman" w:eastAsia="Times New Roman" w:hint="default"/>
                <w:sz w:val="18"/>
                <w:szCs w:val="18"/>
              </w:rPr>
              <w:t>;</w:t>
            </w:r>
            <w:r>
              <w:rPr>
                <w:rFonts w:ascii="宋体" w:hAnsi="宋体" w:cs="宋体" w:eastAsia="宋体" w:hint="default"/>
                <w:sz w:val="18"/>
                <w:szCs w:val="18"/>
              </w:rPr>
              <w:t>科技扶贫</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产业发展脱贫项目个数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产业发展脱贫项目投入金额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职业技能培训人数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w:t>
            </w:r>
          </w:p>
        </w:tc>
      </w:tr>
      <w:tr>
        <w:trPr>
          <w:trHeight w:val="720"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帮助建档立卡贫困户实现就业 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r>
      <w:tr>
        <w:trPr>
          <w:trHeight w:val="396"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2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625"/>
        <w:gridCol w:w="1553"/>
        <w:gridCol w:w="4393"/>
      </w:tblGrid>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7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 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r>
      <w:tr>
        <w:trPr>
          <w:trHeight w:val="396"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20"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贫困地区医疗卫生资源投入 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帮助</w:t>
            </w:r>
            <w:r>
              <w:rPr>
                <w:rFonts w:ascii="Times New Roman" w:hAnsi="Times New Roman" w:cs="Times New Roman" w:eastAsia="Times New Roman" w:hint="default"/>
                <w:sz w:val="18"/>
                <w:szCs w:val="18"/>
              </w:rPr>
              <w:t>“</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7.3 </w:t>
            </w:r>
            <w:r>
              <w:rPr>
                <w:rFonts w:ascii="宋体" w:hAnsi="宋体" w:cs="宋体" w:eastAsia="宋体" w:hint="default"/>
                <w:sz w:val="18"/>
                <w:szCs w:val="18"/>
              </w:rPr>
              <w:t>贫困残疾人投入金额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7.4 </w:t>
            </w:r>
            <w:r>
              <w:rPr>
                <w:rFonts w:ascii="宋体" w:hAnsi="宋体" w:cs="宋体" w:eastAsia="宋体" w:hint="default"/>
                <w:sz w:val="18"/>
                <w:szCs w:val="18"/>
              </w:rPr>
              <w:t>帮助贫困残疾人数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0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四川省委、省政府</w:t>
            </w:r>
            <w:r>
              <w:rPr>
                <w:rFonts w:ascii="Times New Roman" w:hAnsi="Times New Roman" w:cs="Times New Roman" w:eastAsia="Times New Roman" w:hint="default"/>
                <w:sz w:val="18"/>
                <w:szCs w:val="18"/>
              </w:rPr>
              <w:t>“</w:t>
            </w:r>
            <w:r>
              <w:rPr>
                <w:rFonts w:ascii="宋体" w:hAnsi="宋体" w:cs="宋体" w:eastAsia="宋体" w:hint="default"/>
                <w:sz w:val="18"/>
                <w:szCs w:val="18"/>
              </w:rPr>
              <w:t>五个一</w:t>
            </w:r>
            <w:r>
              <w:rPr>
                <w:rFonts w:ascii="Times New Roman" w:hAnsi="Times New Roman" w:cs="Times New Roman" w:eastAsia="Times New Roman" w:hint="default"/>
                <w:sz w:val="18"/>
                <w:szCs w:val="18"/>
              </w:rPr>
              <w:t>”</w:t>
            </w:r>
            <w:r>
              <w:rPr>
                <w:rFonts w:ascii="宋体" w:hAnsi="宋体" w:cs="宋体" w:eastAsia="宋体" w:hint="default"/>
                <w:sz w:val="18"/>
                <w:szCs w:val="18"/>
              </w:rPr>
              <w:t>先进单位</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个</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四川省广元市委、市政府脱贫攻坚先进集体</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center"/>
              <w:rPr>
                <w:rFonts w:ascii="宋体" w:hAnsi="宋体" w:cs="宋体" w:eastAsia="宋体" w:hint="default"/>
                <w:sz w:val="18"/>
                <w:szCs w:val="18"/>
              </w:rPr>
            </w:pPr>
            <w:r>
              <w:rPr>
                <w:rFonts w:ascii="宋体" w:hAnsi="宋体" w:cs="宋体" w:eastAsia="宋体" w:hint="default"/>
                <w:sz w:val="18"/>
                <w:szCs w:val="18"/>
              </w:rPr>
              <w:t>个</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5"/>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53"/>
        <w:jc w:val="left"/>
      </w:pPr>
      <w:r>
        <w:rPr/>
        <w:t>以上经费均由上级部门专项下拨资金解决。</w:t>
      </w:r>
      <w:r>
        <w:rPr>
          <w:rFonts w:ascii="宋体" w:hAnsi="宋体" w:cs="宋体" w:eastAsia="宋体" w:hint="default"/>
          <w:w w:val="100"/>
        </w:rPr>
        <w:t> </w:t>
      </w:r>
      <w:r>
        <w:rPr>
          <w:rFonts w:ascii="宋体" w:hAnsi="宋体" w:cs="宋体" w:eastAsia="宋体" w:hint="default"/>
          <w:spacing w:val="-2"/>
        </w:rPr>
        <w:t>2018</w:t>
      </w:r>
      <w:r>
        <w:rPr>
          <w:spacing w:val="-2"/>
        </w:rPr>
        <w:t>年公司将继续按照国家扶贫战略部署，在四川省扶贫办和成都分院扶贫工作领导小组的指导下，</w:t>
      </w:r>
    </w:p>
    <w:p>
      <w:pPr>
        <w:pStyle w:val="BodyText"/>
        <w:spacing w:line="240" w:lineRule="auto"/>
        <w:ind w:right="153"/>
        <w:jc w:val="left"/>
        <w:rPr>
          <w:rFonts w:ascii="宋体" w:hAnsi="宋体" w:cs="宋体" w:eastAsia="宋体" w:hint="default"/>
        </w:rPr>
      </w:pPr>
      <w:r>
        <w:rPr/>
        <w:t>认真扎实地开展扶贫工作，打好精准扶贫攻坚战。计划如下：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1.</w:t>
      </w:r>
      <w:r>
        <w:rPr>
          <w:spacing w:val="-2"/>
        </w:rPr>
        <w:t>加大扶贫力度，确保青岭村村民人均收入持续增长，尤其是要提升低收入家庭的收入水平，力争全</w:t>
      </w:r>
      <w:r>
        <w:rPr>
          <w:w w:val="100"/>
        </w:rPr>
        <w:t> </w:t>
      </w:r>
      <w:r>
        <w:rPr/>
        <w:t>村提前实现小康。</w:t>
      </w:r>
      <w:r>
        <w:rPr>
          <w:rFonts w:ascii="宋体" w:hAnsi="宋体" w:cs="宋体" w:eastAsia="宋体" w:hint="default"/>
        </w:rPr>
        <w:t> </w:t>
      </w:r>
    </w:p>
    <w:p>
      <w:pPr>
        <w:pStyle w:val="BodyText"/>
        <w:spacing w:line="240" w:lineRule="auto"/>
        <w:ind w:right="0"/>
        <w:jc w:val="left"/>
      </w:pPr>
      <w:r>
        <w:rPr>
          <w:rFonts w:ascii="宋体" w:hAnsi="宋体" w:cs="宋体" w:eastAsia="宋体" w:hint="default"/>
          <w:w w:val="100"/>
        </w:rPr>
        <w:t>    </w:t>
      </w:r>
      <w:r>
        <w:rPr>
          <w:rFonts w:ascii="宋体" w:hAnsi="宋体" w:cs="宋体" w:eastAsia="宋体" w:hint="default"/>
        </w:rPr>
        <w:t>2.</w:t>
      </w:r>
      <w:r>
        <w:rPr/>
        <w:t>做好项目扶贫组织实施工作，继续开展稻鱼混养、瓜果种植、旅游项目开发等相关工作，确保产业</w:t>
      </w:r>
    </w:p>
    <w:p>
      <w:pPr>
        <w:spacing w:after="0" w:line="240" w:lineRule="auto"/>
        <w:jc w:val="left"/>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153"/>
        <w:jc w:val="left"/>
        <w:rPr>
          <w:rFonts w:ascii="宋体" w:hAnsi="宋体" w:cs="宋体" w:eastAsia="宋体" w:hint="default"/>
        </w:rPr>
      </w:pPr>
      <w:r>
        <w:rPr/>
        <w:t>项目顺利进行，确保集体经济快速增长。</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rPr>
        <w:t>3.</w:t>
      </w:r>
      <w:r>
        <w:rPr>
          <w:spacing w:val="-3"/>
        </w:rPr>
        <w:t>加大对贫困户（相对低收入家庭）参与产业项目的工作，加大培训投入，提升他们劳动生产能力和</w:t>
      </w:r>
      <w:r>
        <w:rPr>
          <w:w w:val="100"/>
        </w:rPr>
        <w:t> </w:t>
      </w:r>
      <w:r>
        <w:rPr/>
        <w:t>水平。</w:t>
      </w:r>
      <w:r>
        <w:rPr>
          <w:rFonts w:ascii="宋体" w:hAnsi="宋体" w:cs="宋体" w:eastAsia="宋体" w:hint="default"/>
        </w:rPr>
        <w:t> </w:t>
      </w:r>
    </w:p>
    <w:p>
      <w:pPr>
        <w:pStyle w:val="BodyText"/>
        <w:spacing w:line="240" w:lineRule="auto"/>
        <w:ind w:right="15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4.</w:t>
      </w:r>
      <w:r>
        <w:rPr/>
        <w:t>配合省、市其他扶贫单位，共同搞好青岭村整体发展建设，全面实现整体脱贫任务。</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40" w:lineRule="auto" w:before="83"/>
        <w:ind w:left="573" w:right="153"/>
        <w:jc w:val="left"/>
      </w:pPr>
      <w:r>
        <w:rPr/>
        <w:t>本公司及其子公司均不属于环境保护部门公布的重点排污单位。</w:t>
      </w:r>
    </w:p>
    <w:p>
      <w:pPr>
        <w:spacing w:line="240" w:lineRule="auto" w:before="0"/>
        <w:rPr>
          <w:rFonts w:ascii="宋体" w:hAnsi="宋体" w:cs="宋体" w:eastAsia="宋体" w:hint="default"/>
          <w:sz w:val="20"/>
          <w:szCs w:val="20"/>
        </w:rPr>
      </w:pPr>
    </w:p>
    <w:p>
      <w:pPr>
        <w:pStyle w:val="Heading2"/>
        <w:spacing w:line="240" w:lineRule="auto" w:before="131"/>
        <w:ind w:right="15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2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12" w:right="0"/>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4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527"/>
        <w:gridCol w:w="1133"/>
        <w:gridCol w:w="994"/>
        <w:gridCol w:w="1133"/>
        <w:gridCol w:w="711"/>
        <w:gridCol w:w="850"/>
        <w:gridCol w:w="425"/>
        <w:gridCol w:w="1136"/>
        <w:gridCol w:w="1133"/>
        <w:gridCol w:w="994"/>
      </w:tblGrid>
      <w:tr>
        <w:trPr>
          <w:trHeight w:val="403" w:hRule="exact"/>
        </w:trPr>
        <w:tc>
          <w:tcPr>
            <w:tcW w:w="1527" w:type="dxa"/>
            <w:vMerge w:val="restart"/>
            <w:tcBorders>
              <w:top w:val="single" w:sz="4" w:space="0" w:color="000000"/>
              <w:left w:val="single" w:sz="4" w:space="0" w:color="000000"/>
              <w:right w:val="single" w:sz="4" w:space="0" w:color="000000"/>
            </w:tcBorders>
            <w:shd w:val="clear" w:color="auto" w:fill="BEBEBE"/>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13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527" w:type="dxa"/>
            <w:vMerge/>
            <w:tcBorders>
              <w:left w:val="single" w:sz="4"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2"/>
              <w:ind w:left="240" w:right="14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2"/>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一、有限售条件 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75.00%</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、国有法人持股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37,410,000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49.88%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37,410,000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37.41%</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37.59%</w:t>
            </w:r>
          </w:p>
        </w:tc>
      </w:tr>
      <w:tr>
        <w:trPr>
          <w:trHeight w:val="713"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其中：境内法人 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37,590,000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37.59%</w:t>
            </w: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二、无限售条件 股份</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25,000,000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25,000,000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25,000,000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left="212" w:right="408" w:firstLine="420"/>
        <w:jc w:val="both"/>
        <w:rPr>
          <w:rFonts w:ascii="宋体" w:hAnsi="宋体" w:cs="宋体" w:eastAsia="宋体" w:hint="default"/>
        </w:rPr>
      </w:pPr>
      <w:r>
        <w:rPr/>
        <w:t>报告期内，股份变动的原因是公司获准向社会公开发行人民币普通股</w:t>
      </w:r>
      <w:r>
        <w:rPr>
          <w:rFonts w:ascii="宋体" w:hAnsi="宋体" w:cs="宋体" w:eastAsia="宋体" w:hint="default"/>
        </w:rPr>
        <w:t>2,500</w:t>
      </w:r>
      <w:r>
        <w:rPr/>
        <w:t>万股，公司首次公开发行</w:t>
      </w:r>
      <w:r>
        <w:rPr>
          <w:w w:val="100"/>
        </w:rPr>
        <w:t> </w:t>
      </w:r>
      <w:r>
        <w:rPr/>
        <w:t>的人民币普通股（</w:t>
      </w:r>
      <w:r>
        <w:rPr>
          <w:rFonts w:ascii="宋体" w:hAnsi="宋体" w:cs="宋体" w:eastAsia="宋体" w:hint="default"/>
        </w:rPr>
        <w:t>A</w:t>
      </w:r>
      <w:r>
        <w:rPr/>
        <w:t>股）股票</w:t>
      </w:r>
      <w:r>
        <w:rPr>
          <w:rFonts w:ascii="宋体" w:hAnsi="宋体" w:cs="宋体" w:eastAsia="宋体" w:hint="default"/>
        </w:rPr>
        <w:t>2,500</w:t>
      </w:r>
      <w:r>
        <w:rPr/>
        <w:t>万股已于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日在深圳证券交易所创业板上市交易。首次公开</w:t>
      </w:r>
      <w:r>
        <w:rPr>
          <w:spacing w:val="-29"/>
        </w:rPr>
        <w:t> </w:t>
      </w:r>
      <w:r>
        <w:rPr>
          <w:spacing w:val="-29"/>
        </w:rPr>
      </w:r>
      <w:r>
        <w:rPr/>
        <w:t>发行后，公司总股本由</w:t>
      </w:r>
      <w:r>
        <w:rPr>
          <w:rFonts w:ascii="宋体" w:hAnsi="宋体" w:cs="宋体" w:eastAsia="宋体" w:hint="default"/>
        </w:rPr>
        <w:t>7,500</w:t>
      </w:r>
      <w:r>
        <w:rPr/>
        <w:t>万股增加至</w:t>
      </w:r>
      <w:r>
        <w:rPr>
          <w:rFonts w:ascii="宋体" w:hAnsi="宋体" w:cs="宋体" w:eastAsia="宋体" w:hint="default"/>
        </w:rPr>
        <w:t>10,000</w:t>
      </w:r>
      <w:r>
        <w:rPr/>
        <w:t>万股。</w:t>
      </w:r>
      <w:r>
        <w:rPr>
          <w:rFonts w:ascii="宋体" w:hAnsi="宋体" w:cs="宋体" w:eastAsia="宋体" w:hint="default"/>
          <w:spacing w:val="-3"/>
        </w:rPr>
        <w:t> </w:t>
      </w:r>
      <w:r>
        <w:rPr>
          <w:rFonts w:ascii="宋体" w:hAnsi="宋体" w:cs="宋体" w:eastAsia="宋体" w:hint="default"/>
        </w:rPr>
        <w:t> </w:t>
      </w:r>
    </w:p>
    <w:p>
      <w:pPr>
        <w:spacing w:before="34"/>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left="212" w:right="406" w:firstLine="420"/>
        <w:jc w:val="both"/>
        <w:rPr>
          <w:rFonts w:ascii="宋体" w:hAnsi="宋体" w:cs="宋体" w:eastAsia="宋体" w:hint="default"/>
        </w:rPr>
      </w:pPr>
      <w:r>
        <w:rPr>
          <w:spacing w:val="-2"/>
        </w:rPr>
        <w:t>公司经中国证券监督管理委员会《关于核准中科院成都信息技术股份有限公司首次公开发行股票的批</w:t>
      </w:r>
      <w:r>
        <w:rPr>
          <w:w w:val="100"/>
        </w:rPr>
        <w:t> </w:t>
      </w:r>
      <w:r>
        <w:rPr/>
        <w:t>复》（证监许可</w:t>
      </w:r>
      <w:r>
        <w:rPr>
          <w:rFonts w:ascii="宋体" w:hAnsi="宋体" w:cs="宋体" w:eastAsia="宋体" w:hint="default"/>
        </w:rPr>
        <w:t>[2017]949</w:t>
      </w:r>
      <w:r>
        <w:rPr/>
        <w:t>号）的核准，并经深圳证券交易所《关于中科院成都信息技术股份有限公司人</w:t>
      </w:r>
      <w:r>
        <w:rPr>
          <w:spacing w:val="-27"/>
        </w:rPr>
        <w:t> </w:t>
      </w:r>
      <w:r>
        <w:rPr>
          <w:spacing w:val="-27"/>
        </w:rPr>
      </w:r>
      <w:r>
        <w:rPr>
          <w:spacing w:val="-5"/>
        </w:rPr>
        <w:t>民币普通股股票上市的通知》（深证上</w:t>
      </w:r>
      <w:r>
        <w:rPr>
          <w:rFonts w:ascii="宋体" w:hAnsi="宋体" w:cs="宋体" w:eastAsia="宋体" w:hint="default"/>
          <w:spacing w:val="-5"/>
        </w:rPr>
        <w:t>[2017]461</w:t>
      </w:r>
      <w:r>
        <w:rPr>
          <w:rFonts w:ascii="宋体" w:hAnsi="宋体" w:cs="宋体" w:eastAsia="宋体" w:hint="default"/>
          <w:spacing w:val="69"/>
        </w:rPr>
        <w:t> </w:t>
      </w:r>
      <w:r>
        <w:rPr>
          <w:spacing w:val="-7"/>
        </w:rPr>
        <w:t>号）同意，公司首次公开发行人民币普通股（</w:t>
      </w:r>
      <w:r>
        <w:rPr>
          <w:rFonts w:ascii="宋体" w:hAnsi="宋体" w:cs="宋体" w:eastAsia="宋体" w:hint="default"/>
          <w:spacing w:val="-7"/>
        </w:rPr>
        <w:t>A</w:t>
      </w:r>
      <w:r>
        <w:rPr>
          <w:spacing w:val="-7"/>
        </w:rPr>
        <w:t>股）</w:t>
      </w:r>
      <w:r>
        <w:rPr>
          <w:rFonts w:ascii="宋体" w:hAnsi="宋体" w:cs="宋体" w:eastAsia="宋体" w:hint="default"/>
          <w:spacing w:val="-7"/>
        </w:rPr>
        <w:t>2,500</w:t>
      </w:r>
      <w:r>
        <w:rPr>
          <w:rFonts w:ascii="宋体" w:hAnsi="宋体" w:cs="宋体" w:eastAsia="宋体" w:hint="default"/>
          <w:spacing w:val="-90"/>
        </w:rPr>
        <w:t> </w:t>
      </w:r>
      <w:r>
        <w:rPr>
          <w:rFonts w:ascii="宋体" w:hAnsi="宋体" w:cs="宋体" w:eastAsia="宋体" w:hint="default"/>
          <w:spacing w:val="-90"/>
        </w:rPr>
      </w:r>
      <w:r>
        <w:rPr/>
        <w:t>万股自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日起在深圳证券交易所创业板上市。</w:t>
      </w:r>
      <w:r>
        <w:rPr>
          <w:rFonts w:ascii="宋体" w:hAnsi="宋体" w:cs="宋体" w:eastAsia="宋体" w:hint="default"/>
        </w:rPr>
        <w:t> </w:t>
      </w:r>
    </w:p>
    <w:p>
      <w:pPr>
        <w:spacing w:before="33"/>
        <w:ind w:left="21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633" w:right="0"/>
        <w:jc w:val="left"/>
      </w:pPr>
      <w:r>
        <w:rPr/>
        <w:t>报告期内，公司首次公开发行的</w:t>
      </w:r>
      <w:r>
        <w:rPr>
          <w:rFonts w:ascii="宋体" w:hAnsi="宋体" w:cs="宋体" w:eastAsia="宋体" w:hint="default"/>
        </w:rPr>
        <w:t>2,500</w:t>
      </w:r>
      <w:r>
        <w:rPr/>
        <w:t>万股新股股票已全部在中国证券登记结算有限责任公司深圳分</w:t>
      </w:r>
    </w:p>
    <w:p>
      <w:pPr>
        <w:spacing w:after="0" w:line="240" w:lineRule="auto"/>
        <w:jc w:val="left"/>
        <w:sectPr>
          <w:pgSz w:w="11910" w:h="16840"/>
          <w:pgMar w:header="880" w:footer="974" w:top="1100" w:bottom="1160" w:left="920" w:right="72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t>公司办理了证券记手续。</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210" w:firstLine="420"/>
        <w:jc w:val="both"/>
        <w:rPr>
          <w:rFonts w:ascii="宋体" w:hAnsi="宋体" w:cs="宋体" w:eastAsia="宋体" w:hint="default"/>
        </w:rPr>
      </w:pPr>
      <w:r>
        <w:rPr/>
        <w:t>公司在深交所创业板首次公开发行股票，总股本由</w:t>
      </w:r>
      <w:r>
        <w:rPr>
          <w:rFonts w:ascii="宋体" w:hAnsi="宋体" w:cs="宋体" w:eastAsia="宋体" w:hint="default"/>
        </w:rPr>
        <w:t>7,500</w:t>
      </w:r>
      <w:r>
        <w:rPr/>
        <w:t>万股增加至</w:t>
      </w:r>
      <w:r>
        <w:rPr>
          <w:rFonts w:ascii="宋体" w:hAnsi="宋体" w:cs="宋体" w:eastAsia="宋体" w:hint="default"/>
        </w:rPr>
        <w:t>10,000</w:t>
      </w:r>
      <w:r>
        <w:rPr/>
        <w:t>万股。报告期间公司基本</w:t>
      </w:r>
      <w:r>
        <w:rPr>
          <w:w w:val="100"/>
        </w:rPr>
        <w:t> </w:t>
      </w:r>
      <w:r>
        <w:rPr>
          <w:spacing w:val="-6"/>
        </w:rPr>
        <w:t>每股收益、稀释每股收益</w:t>
      </w:r>
      <w:r>
        <w:rPr>
          <w:rFonts w:ascii="宋体" w:hAnsi="宋体" w:cs="宋体" w:eastAsia="宋体" w:hint="default"/>
          <w:spacing w:val="-6"/>
        </w:rPr>
        <w:t>0.4980</w:t>
      </w:r>
      <w:r>
        <w:rPr>
          <w:spacing w:val="-6"/>
        </w:rPr>
        <w:t>元</w:t>
      </w:r>
      <w:r>
        <w:rPr>
          <w:rFonts w:ascii="宋体" w:hAnsi="宋体" w:cs="宋体" w:eastAsia="宋体" w:hint="default"/>
          <w:spacing w:val="-6"/>
        </w:rPr>
        <w:t>/</w:t>
      </w:r>
      <w:r>
        <w:rPr>
          <w:spacing w:val="-6"/>
        </w:rPr>
        <w:t>股，比去年同期下降</w:t>
      </w:r>
      <w:r>
        <w:rPr>
          <w:rFonts w:ascii="宋体" w:hAnsi="宋体" w:cs="宋体" w:eastAsia="宋体" w:hint="default"/>
          <w:spacing w:val="-6"/>
        </w:rPr>
        <w:t>3.64%</w:t>
      </w:r>
      <w:r>
        <w:rPr>
          <w:spacing w:val="-6"/>
        </w:rPr>
        <w:t>，归属于公司普通股东的每股净资产为</w:t>
      </w:r>
      <w:r>
        <w:rPr>
          <w:rFonts w:ascii="宋体" w:hAnsi="宋体" w:cs="宋体" w:eastAsia="宋体" w:hint="default"/>
          <w:spacing w:val="-6"/>
        </w:rPr>
        <w:t>5.2484</w:t>
      </w:r>
      <w:r>
        <w:rPr>
          <w:rFonts w:ascii="宋体" w:hAnsi="宋体" w:cs="宋体" w:eastAsia="宋体" w:hint="default"/>
          <w:spacing w:val="-17"/>
        </w:rPr>
        <w:t> </w:t>
      </w:r>
      <w:r>
        <w:rPr>
          <w:rFonts w:ascii="宋体" w:hAnsi="宋体" w:cs="宋体" w:eastAsia="宋体" w:hint="default"/>
          <w:spacing w:val="-17"/>
        </w:rPr>
      </w:r>
      <w:r>
        <w:rPr/>
        <w:t>元</w:t>
      </w:r>
      <w:r>
        <w:rPr>
          <w:rFonts w:ascii="宋体" w:hAnsi="宋体" w:cs="宋体" w:eastAsia="宋体" w:hint="default"/>
        </w:rPr>
        <w:t>/</w:t>
      </w:r>
      <w:r>
        <w:rPr/>
        <w:t>股，比去年同期增加</w:t>
      </w:r>
      <w:r>
        <w:rPr>
          <w:rFonts w:ascii="宋体" w:hAnsi="宋体" w:cs="宋体" w:eastAsia="宋体" w:hint="default"/>
        </w:rPr>
        <w:t>17.81%</w:t>
      </w:r>
      <w:r>
        <w:rPr/>
        <w:t>。</w:t>
      </w:r>
      <w:r>
        <w:rPr>
          <w:rFonts w:ascii="宋体" w:hAnsi="宋体" w:cs="宋体" w:eastAsia="宋体" w:hint="default"/>
        </w:rPr>
        <w:t> </w:t>
      </w:r>
    </w:p>
    <w:p>
      <w:pPr>
        <w:spacing w:before="33"/>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
        <w:rPr>
          <w:rFonts w:ascii="宋体" w:hAnsi="宋体" w:cs="宋体" w:eastAsia="宋体" w:hint="default"/>
          <w:sz w:val="13"/>
          <w:szCs w:val="13"/>
        </w:rPr>
      </w:pPr>
    </w:p>
    <w:p>
      <w:pPr>
        <w:pStyle w:val="BodyText"/>
        <w:spacing w:line="408" w:lineRule="auto" w:before="0"/>
        <w:ind w:right="206" w:firstLine="420"/>
        <w:jc w:val="both"/>
        <w:rPr>
          <w:rFonts w:ascii="宋体" w:hAnsi="宋体" w:cs="宋体" w:eastAsia="宋体" w:hint="default"/>
        </w:rPr>
      </w:pPr>
      <w:r>
        <w:rPr>
          <w:spacing w:val="-2"/>
        </w:rPr>
        <w:t>公司经中国证券监督管理委员会《关于核准中科院成都信息技术股份有限公司首次公开发行股票的批</w:t>
      </w:r>
      <w:r>
        <w:rPr>
          <w:w w:val="100"/>
        </w:rPr>
        <w:t> </w:t>
      </w:r>
      <w:r>
        <w:rPr/>
        <w:t>复》（证监许可</w:t>
      </w:r>
      <w:r>
        <w:rPr>
          <w:rFonts w:ascii="宋体" w:hAnsi="宋体" w:cs="宋体" w:eastAsia="宋体" w:hint="default"/>
        </w:rPr>
        <w:t>[2017]949</w:t>
      </w:r>
      <w:r>
        <w:rPr/>
        <w:t>号）的核准，并经深圳证券交易所《关于中科院成都信息技术股份有限公司人</w:t>
      </w:r>
      <w:r>
        <w:rPr>
          <w:spacing w:val="-27"/>
        </w:rPr>
        <w:t> </w:t>
      </w:r>
      <w:r>
        <w:rPr>
          <w:spacing w:val="-27"/>
        </w:rPr>
      </w:r>
      <w:r>
        <w:rPr>
          <w:spacing w:val="-5"/>
        </w:rPr>
        <w:t>民币普通股股票上市的通知》（深证上</w:t>
      </w:r>
      <w:r>
        <w:rPr>
          <w:rFonts w:ascii="宋体" w:hAnsi="宋体" w:cs="宋体" w:eastAsia="宋体" w:hint="default"/>
          <w:spacing w:val="-5"/>
        </w:rPr>
        <w:t>[2017]461</w:t>
      </w:r>
      <w:r>
        <w:rPr>
          <w:rFonts w:ascii="宋体" w:hAnsi="宋体" w:cs="宋体" w:eastAsia="宋体" w:hint="default"/>
          <w:spacing w:val="69"/>
        </w:rPr>
        <w:t> </w:t>
      </w:r>
      <w:r>
        <w:rPr>
          <w:spacing w:val="-7"/>
        </w:rPr>
        <w:t>号）同意，公司首次公开发行人民币普通股（</w:t>
      </w:r>
      <w:r>
        <w:rPr>
          <w:rFonts w:ascii="宋体" w:hAnsi="宋体" w:cs="宋体" w:eastAsia="宋体" w:hint="default"/>
          <w:spacing w:val="-7"/>
        </w:rPr>
        <w:t>A</w:t>
      </w:r>
      <w:r>
        <w:rPr>
          <w:spacing w:val="-7"/>
        </w:rPr>
        <w:t>股）</w:t>
      </w:r>
      <w:r>
        <w:rPr>
          <w:rFonts w:ascii="宋体" w:hAnsi="宋体" w:cs="宋体" w:eastAsia="宋体" w:hint="default"/>
          <w:spacing w:val="-7"/>
        </w:rPr>
        <w:t>2,500</w:t>
      </w:r>
      <w:r>
        <w:rPr>
          <w:rFonts w:ascii="宋体" w:hAnsi="宋体" w:cs="宋体" w:eastAsia="宋体" w:hint="default"/>
          <w:spacing w:val="-90"/>
        </w:rPr>
        <w:t> </w:t>
      </w:r>
      <w:r>
        <w:rPr>
          <w:rFonts w:ascii="宋体" w:hAnsi="宋体" w:cs="宋体" w:eastAsia="宋体" w:hint="default"/>
          <w:spacing w:val="-90"/>
        </w:rPr>
      </w:r>
      <w:r>
        <w:rPr>
          <w:spacing w:val="-2"/>
        </w:rPr>
        <w:t>万股自</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28</w:t>
      </w:r>
      <w:r>
        <w:rPr>
          <w:spacing w:val="-2"/>
        </w:rPr>
        <w:t>日起在深圳证券交易所创业板上市。首次公开发行后，公司总股本由</w:t>
      </w:r>
      <w:r>
        <w:rPr>
          <w:rFonts w:ascii="宋体" w:hAnsi="宋体" w:cs="宋体" w:eastAsia="宋体" w:hint="default"/>
          <w:spacing w:val="-2"/>
        </w:rPr>
        <w:t>7,500</w:t>
      </w:r>
      <w:r>
        <w:rPr>
          <w:spacing w:val="-2"/>
        </w:rPr>
        <w:t>万股增加至</w:t>
      </w:r>
      <w:r>
        <w:rPr>
          <w:spacing w:val="-36"/>
        </w:rPr>
        <w:t> </w:t>
      </w:r>
      <w:r>
        <w:rPr>
          <w:spacing w:val="-36"/>
        </w:rPr>
      </w:r>
      <w:r>
        <w:rPr>
          <w:rFonts w:ascii="宋体" w:hAnsi="宋体" w:cs="宋体" w:eastAsia="宋体" w:hint="default"/>
        </w:rPr>
        <w:t>10,000</w:t>
      </w:r>
      <w:r>
        <w:rPr/>
        <w:t>万股。</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t>报告期内，公司于</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28</w:t>
      </w:r>
      <w:r>
        <w:rPr/>
        <w:t>日在深圳证券交易所向社会公开发行人</w:t>
      </w:r>
      <w:r>
        <w:rPr>
          <w:spacing w:val="40"/>
        </w:rPr>
        <w:t> </w:t>
      </w:r>
      <w:r>
        <w:rPr>
          <w:rFonts w:ascii="宋体" w:hAnsi="宋体" w:cs="宋体" w:eastAsia="宋体" w:hint="default"/>
          <w:spacing w:val="40"/>
        </w:rPr>
      </w:r>
      <w:r>
        <w:rPr/>
        <w:t>民币普通股股票</w:t>
      </w:r>
      <w:r>
        <w:rPr>
          <w:rFonts w:ascii="宋体" w:hAnsi="宋体" w:cs="宋体" w:eastAsia="宋体" w:hint="default"/>
        </w:rPr>
        <w:t>2,500</w:t>
      </w:r>
      <w:r>
        <w:rPr/>
        <w:t>万股。</w:t>
      </w:r>
      <w:r>
        <w:rPr>
          <w:w w:val="100"/>
        </w:rPr>
        <w:t> </w:t>
      </w:r>
      <w:r>
        <w:rPr>
          <w:spacing w:val="-5"/>
        </w:rPr>
        <w:t>发行后公司股本总额为</w:t>
      </w:r>
      <w:r>
        <w:rPr>
          <w:rFonts w:ascii="宋体" w:hAnsi="宋体" w:cs="宋体" w:eastAsia="宋体" w:hint="default"/>
          <w:spacing w:val="-5"/>
        </w:rPr>
        <w:t>10,000</w:t>
      </w:r>
      <w:r>
        <w:rPr>
          <w:spacing w:val="-5"/>
        </w:rPr>
        <w:t>万股，注册资本为</w:t>
      </w:r>
      <w:r>
        <w:rPr>
          <w:rFonts w:ascii="宋体" w:hAnsi="宋体" w:cs="宋体" w:eastAsia="宋体" w:hint="default"/>
          <w:spacing w:val="-5"/>
        </w:rPr>
        <w:t>100,000,000</w:t>
      </w:r>
      <w:r>
        <w:rPr>
          <w:spacing w:val="-5"/>
        </w:rPr>
        <w:t>元。</w:t>
      </w:r>
      <w:r>
        <w:rPr>
          <w:spacing w:val="45"/>
        </w:rPr>
        <w:t> </w:t>
      </w:r>
      <w:r>
        <w:rPr>
          <w:rFonts w:ascii="宋体" w:hAnsi="宋体" w:cs="宋体" w:eastAsia="宋体" w:hint="default"/>
          <w:spacing w:val="45"/>
        </w:rPr>
      </w:r>
      <w:r>
        <w:rPr/>
        <w:t>公司股份总数及股东结构均发生了变化。</w:t>
      </w:r>
    </w:p>
    <w:p>
      <w:pPr>
        <w:spacing w:after="0" w:line="408"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252" w:right="146"/>
        <w:jc w:val="both"/>
        <w:rPr>
          <w:rFonts w:ascii="宋体" w:hAnsi="宋体" w:cs="宋体" w:eastAsia="宋体" w:hint="default"/>
        </w:rPr>
      </w:pPr>
      <w:r>
        <w:rPr>
          <w:spacing w:val="-2"/>
        </w:rPr>
        <w:t>股份总数及股东结构的变化情况见本节“一、股份变动情况”。本次发行完成后，公司总资产和净资产相</w:t>
      </w:r>
      <w:r>
        <w:rPr>
          <w:spacing w:val="-43"/>
        </w:rPr>
        <w:t> </w:t>
      </w:r>
      <w:r>
        <w:rPr>
          <w:spacing w:val="-43"/>
        </w:rPr>
      </w:r>
      <w:r>
        <w:rPr>
          <w:spacing w:val="-2"/>
        </w:rPr>
        <w:t>应增加，资产负债率有所下降，公司的资本结构、财务状况得到改善，财务风险降低，公司抗风险能力得</w:t>
      </w:r>
      <w:r>
        <w:rPr>
          <w:spacing w:val="-43"/>
        </w:rPr>
        <w:t> </w:t>
      </w:r>
      <w:r>
        <w:rPr>
          <w:spacing w:val="-43"/>
        </w:rPr>
      </w:r>
      <w:r>
        <w:rPr/>
        <w:t>到提高。</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left="252"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2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252" w:right="0"/>
        <w:jc w:val="both"/>
        <w:rPr>
          <w:b w:val="0"/>
          <w:bCs w:val="0"/>
        </w:rPr>
      </w:pP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2"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40"/>
        <w:gridCol w:w="826"/>
        <w:gridCol w:w="137"/>
        <w:gridCol w:w="994"/>
        <w:gridCol w:w="331"/>
        <w:gridCol w:w="802"/>
        <w:gridCol w:w="394"/>
        <w:gridCol w:w="456"/>
        <w:gridCol w:w="872"/>
        <w:gridCol w:w="264"/>
        <w:gridCol w:w="826"/>
        <w:gridCol w:w="1013"/>
        <w:gridCol w:w="290"/>
        <w:gridCol w:w="1058"/>
      </w:tblGrid>
      <w:tr>
        <w:trPr>
          <w:trHeight w:val="1968" w:hRule="exact"/>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20,970</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267"/>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8" w:right="0"/>
              <w:jc w:val="left"/>
              <w:rPr>
                <w:rFonts w:ascii="Times New Roman" w:hAnsi="Times New Roman" w:cs="Times New Roman" w:eastAsia="Times New Roman" w:hint="default"/>
                <w:sz w:val="18"/>
                <w:szCs w:val="18"/>
              </w:rPr>
            </w:pPr>
            <w:r>
              <w:rPr>
                <w:rFonts w:ascii="Times New Roman"/>
                <w:sz w:val="18"/>
              </w:rPr>
              <w:t>21,255</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3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pacing w:val="-22"/>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8"/>
              <w:jc w:val="right"/>
              <w:rPr>
                <w:rFonts w:ascii="Times New Roman" w:hAnsi="Times New Roman" w:cs="Times New Roman" w:eastAsia="Times New Roman" w:hint="default"/>
                <w:sz w:val="18"/>
                <w:szCs w:val="18"/>
              </w:rPr>
            </w:pPr>
            <w:r>
              <w:rPr>
                <w:rFonts w:ascii="Times New Roman"/>
                <w:sz w:val="18"/>
              </w:rPr>
              <w:t>0</w:t>
            </w:r>
          </w:p>
        </w:tc>
        <w:tc>
          <w:tcPr>
            <w:tcW w:w="130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78"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602" w:type="dxa"/>
            <w:gridSpan w:val="1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307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3" w:hRule="exact"/>
        </w:trPr>
        <w:tc>
          <w:tcPr>
            <w:tcW w:w="13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3"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290"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151" w:right="146"/>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113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113"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26"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151" w:right="12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36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40" w:type="dxa"/>
            <w:vMerge/>
            <w:tcBorders>
              <w:left w:val="single" w:sz="4" w:space="0" w:color="000000"/>
              <w:bottom w:val="single" w:sz="4" w:space="0" w:color="000000"/>
              <w:right w:val="single" w:sz="4" w:space="0" w:color="000000"/>
            </w:tcBorders>
            <w:shd w:val="clear" w:color="auto" w:fill="D9D9D9"/>
          </w:tcPr>
          <w:p>
            <w:pPr/>
          </w:p>
        </w:tc>
        <w:tc>
          <w:tcPr>
            <w:tcW w:w="962" w:type="dxa"/>
            <w:gridSpan w:val="2"/>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1133" w:type="dxa"/>
            <w:gridSpan w:val="2"/>
            <w:vMerge/>
            <w:tcBorders>
              <w:left w:val="single" w:sz="4" w:space="0" w:color="000000"/>
              <w:bottom w:val="single" w:sz="4" w:space="0" w:color="000000"/>
              <w:right w:val="single" w:sz="4" w:space="0" w:color="000000"/>
            </w:tcBorders>
            <w:shd w:val="clear" w:color="auto" w:fill="D9D9D9"/>
          </w:tcPr>
          <w:p>
            <w:pPr/>
          </w:p>
        </w:tc>
        <w:tc>
          <w:tcPr>
            <w:tcW w:w="850" w:type="dxa"/>
            <w:gridSpan w:val="2"/>
            <w:vMerge/>
            <w:tcBorders>
              <w:left w:val="single" w:sz="4" w:space="0" w:color="000000"/>
              <w:bottom w:val="single" w:sz="4" w:space="0" w:color="000000"/>
              <w:right w:val="single" w:sz="4" w:space="0" w:color="000000"/>
            </w:tcBorders>
            <w:shd w:val="clear" w:color="auto" w:fill="D9D9D9"/>
          </w:tcPr>
          <w:p>
            <w:pPr/>
          </w:p>
        </w:tc>
        <w:tc>
          <w:tcPr>
            <w:tcW w:w="1136" w:type="dxa"/>
            <w:gridSpan w:val="2"/>
            <w:vMerge/>
            <w:tcBorders>
              <w:left w:val="single" w:sz="4" w:space="0" w:color="000000"/>
              <w:bottom w:val="single" w:sz="4" w:space="0" w:color="000000"/>
              <w:right w:val="single" w:sz="4" w:space="0" w:color="000000"/>
            </w:tcBorders>
            <w:shd w:val="clear" w:color="auto" w:fill="D9D9D9"/>
          </w:tcPr>
          <w:p>
            <w:pPr/>
          </w:p>
        </w:tc>
        <w:tc>
          <w:tcPr>
            <w:tcW w:w="826" w:type="dxa"/>
            <w:vMerge/>
            <w:tcBorders>
              <w:left w:val="single" w:sz="4" w:space="0" w:color="000000"/>
              <w:bottom w:val="single" w:sz="4" w:space="0" w:color="000000"/>
              <w:right w:val="single" w:sz="4" w:space="0" w:color="000000"/>
            </w:tcBorders>
            <w:shd w:val="clear" w:color="auto" w:fill="D9D9D9"/>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中国科学院控 股有限公司</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33.51%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33,510,241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33,510,241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both"/>
              <w:rPr>
                <w:rFonts w:ascii="宋体" w:hAnsi="宋体" w:cs="宋体" w:eastAsia="宋体" w:hint="default"/>
                <w:sz w:val="18"/>
                <w:szCs w:val="18"/>
              </w:rPr>
            </w:pPr>
            <w:r>
              <w:rPr>
                <w:rFonts w:ascii="宋体" w:hAnsi="宋体" w:cs="宋体" w:eastAsia="宋体" w:hint="default"/>
                <w:sz w:val="18"/>
                <w:szCs w:val="18"/>
              </w:rPr>
              <w:t>成都宇中投资 管理中心（有 限合伙）</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4"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26.45%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26,452,500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26,452,500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4"/>
              <w:jc w:val="left"/>
              <w:rPr>
                <w:rFonts w:ascii="宋体" w:hAnsi="宋体" w:cs="宋体" w:eastAsia="宋体" w:hint="default"/>
                <w:sz w:val="18"/>
                <w:szCs w:val="18"/>
              </w:rPr>
            </w:pPr>
            <w:r>
              <w:rPr>
                <w:rFonts w:ascii="宋体" w:hAnsi="宋体" w:cs="宋体" w:eastAsia="宋体" w:hint="default"/>
                <w:sz w:val="18"/>
                <w:szCs w:val="18"/>
              </w:rPr>
              <w:t>四川埃德凯森 科技有限公司</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4"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4.58%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4,575,000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4,575,000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both"/>
              <w:rPr>
                <w:rFonts w:ascii="宋体" w:hAnsi="宋体" w:cs="宋体" w:eastAsia="宋体" w:hint="default"/>
                <w:sz w:val="18"/>
                <w:szCs w:val="18"/>
              </w:rPr>
            </w:pPr>
            <w:r>
              <w:rPr>
                <w:rFonts w:ascii="宋体" w:hAnsi="宋体" w:cs="宋体" w:eastAsia="宋体" w:hint="default"/>
                <w:sz w:val="18"/>
                <w:szCs w:val="18"/>
              </w:rPr>
              <w:t>深圳市恒合经 纬投资管理合 伙企业（有限 合伙）</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4"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3.71%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3,712,500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3,712,500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both"/>
              <w:rPr>
                <w:rFonts w:ascii="宋体" w:hAnsi="宋体" w:cs="宋体" w:eastAsia="宋体" w:hint="default"/>
                <w:sz w:val="18"/>
                <w:szCs w:val="18"/>
              </w:rPr>
            </w:pPr>
            <w:r>
              <w:rPr>
                <w:rFonts w:ascii="宋体" w:hAnsi="宋体" w:cs="宋体" w:eastAsia="宋体" w:hint="default"/>
                <w:sz w:val="18"/>
                <w:szCs w:val="18"/>
              </w:rPr>
              <w:t>全国社会保障 基金理事会转 持一户</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2.50%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2,500,000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2,500,000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国科瑞祺物联 网创业投资有</w:t>
            </w:r>
          </w:p>
        </w:tc>
        <w:tc>
          <w:tcPr>
            <w:tcW w:w="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4"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1.50%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1,500,000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1,500,000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6"/>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8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311"/>
        <w:gridCol w:w="991"/>
        <w:gridCol w:w="994"/>
        <w:gridCol w:w="1133"/>
        <w:gridCol w:w="850"/>
        <w:gridCol w:w="1136"/>
        <w:gridCol w:w="852"/>
        <w:gridCol w:w="987"/>
        <w:gridCol w:w="1349"/>
      </w:tblGrid>
      <w:tr>
        <w:trPr>
          <w:trHeight w:val="36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上海联升创业 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1,399,759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1,399,759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胜利油田科泰 石油技术有限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9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陈定一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530,015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530015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530,015</w:t>
            </w:r>
          </w:p>
        </w:tc>
        <w:tc>
          <w:tcPr>
            <w:tcW w:w="9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185000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185,000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w:t>
            </w:r>
            <w:r>
              <w:rPr>
                <w:rFonts w:ascii="宋体" w:hAnsi="宋体" w:cs="宋体" w:eastAsia="宋体" w:hint="default"/>
                <w:spacing w:val="-11"/>
                <w:sz w:val="18"/>
                <w:szCs w:val="18"/>
              </w:rPr>
              <w:t>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中国科学院控股有限公司持有上海联升创业投资有限公司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16.33%</w:t>
            </w:r>
            <w:r>
              <w:rPr>
                <w:rFonts w:ascii="宋体" w:hAnsi="宋体" w:cs="宋体" w:eastAsia="宋体" w:hint="default"/>
                <w:sz w:val="18"/>
                <w:szCs w:val="18"/>
              </w:rPr>
              <w:t>股权；中国科学院控股有 限公司及其子公司中国科技产业投资管理有限公司分别持有国科瑞祺物联网创业投资有限 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11.76%</w:t>
            </w:r>
            <w:r>
              <w:rPr>
                <w:rFonts w:ascii="宋体" w:hAnsi="宋体" w:cs="宋体" w:eastAsia="宋体" w:hint="default"/>
                <w:sz w:val="18"/>
                <w:szCs w:val="18"/>
              </w:rPr>
              <w:t>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股权。除上述关联关系外，上述股东无其他关联关系或一致行动关系。</w:t>
            </w:r>
          </w:p>
        </w:tc>
      </w:tr>
      <w:tr>
        <w:trPr>
          <w:trHeight w:val="401" w:hRule="exact"/>
        </w:trPr>
        <w:tc>
          <w:tcPr>
            <w:tcW w:w="96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3" w:hRule="exact"/>
        </w:trPr>
        <w:tc>
          <w:tcPr>
            <w:tcW w:w="2302"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4" w:type="dxa"/>
            <w:gridSpan w:val="5"/>
            <w:vMerge w:val="restart"/>
            <w:tcBorders>
              <w:top w:val="single" w:sz="4" w:space="0" w:color="000000"/>
              <w:left w:val="single" w:sz="4" w:space="0" w:color="000000"/>
              <w:right w:val="single" w:sz="4" w:space="0" w:color="000000"/>
            </w:tcBorders>
          </w:tcPr>
          <w:p>
            <w:pPr>
              <w:pStyle w:val="TableParagraph"/>
              <w:spacing w:line="240" w:lineRule="auto" w:before="51"/>
              <w:ind w:left="11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302" w:type="dxa"/>
            <w:gridSpan w:val="2"/>
            <w:vMerge/>
            <w:tcBorders>
              <w:left w:val="single" w:sz="4" w:space="0" w:color="000000"/>
              <w:bottom w:val="single" w:sz="4" w:space="0" w:color="000000"/>
              <w:right w:val="single" w:sz="4" w:space="0" w:color="000000"/>
            </w:tcBorders>
          </w:tcPr>
          <w:p>
            <w:pPr/>
          </w:p>
        </w:tc>
        <w:tc>
          <w:tcPr>
            <w:tcW w:w="4964" w:type="dxa"/>
            <w:gridSpan w:val="5"/>
            <w:vMerge/>
            <w:tcBorders>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陈定一</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530,015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530,015</w:t>
            </w:r>
          </w:p>
        </w:tc>
      </w:tr>
      <w:tr>
        <w:trPr>
          <w:trHeight w:val="713"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黄歌</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185,000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185,000</w:t>
            </w:r>
          </w:p>
        </w:tc>
      </w:tr>
      <w:tr>
        <w:trPr>
          <w:trHeight w:val="715"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135,000</w:t>
            </w:r>
          </w:p>
        </w:tc>
      </w:tr>
      <w:tr>
        <w:trPr>
          <w:trHeight w:val="713"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徐进</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134,900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134,900</w:t>
            </w:r>
          </w:p>
        </w:tc>
      </w:tr>
      <w:tr>
        <w:trPr>
          <w:trHeight w:val="716"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张超</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132,000</w:t>
            </w:r>
          </w:p>
        </w:tc>
      </w:tr>
      <w:tr>
        <w:trPr>
          <w:trHeight w:val="713"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缪迅</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128,133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128,133</w:t>
            </w:r>
          </w:p>
        </w:tc>
      </w:tr>
      <w:tr>
        <w:trPr>
          <w:trHeight w:val="715"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103,900</w:t>
            </w:r>
          </w:p>
        </w:tc>
      </w:tr>
      <w:tr>
        <w:trPr>
          <w:trHeight w:val="713"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邹长新</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97,600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97,600</w:t>
            </w:r>
          </w:p>
        </w:tc>
      </w:tr>
      <w:tr>
        <w:trPr>
          <w:trHeight w:val="715"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王顺兴</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78,900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78,900</w:t>
            </w:r>
          </w:p>
        </w:tc>
      </w:tr>
      <w:tr>
        <w:trPr>
          <w:trHeight w:val="713" w:hRule="exact"/>
        </w:trPr>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褚华庭</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76,246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76,246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8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302"/>
        <w:gridCol w:w="7300"/>
      </w:tblGrid>
      <w:tr>
        <w:trPr>
          <w:trHeight w:val="1649"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w:t>
            </w:r>
          </w:p>
          <w:p>
            <w:pPr>
              <w:pStyle w:val="TableParagraph"/>
              <w:spacing w:line="309"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之间关联关系或一致行动 的说明</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00"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3" w:right="11"/>
              <w:jc w:val="left"/>
              <w:rPr>
                <w:rFonts w:ascii="宋体" w:hAnsi="宋体" w:cs="宋体" w:eastAsia="宋体" w:hint="default"/>
                <w:sz w:val="18"/>
                <w:szCs w:val="18"/>
              </w:rPr>
            </w:pPr>
            <w:r>
              <w:rPr>
                <w:rFonts w:ascii="宋体" w:hAnsi="宋体" w:cs="宋体" w:eastAsia="宋体" w:hint="default"/>
                <w:sz w:val="18"/>
                <w:szCs w:val="18"/>
              </w:rPr>
              <w:t>参与融资融券业务股东情 </w:t>
            </w:r>
            <w:r>
              <w:rPr>
                <w:rFonts w:ascii="宋体" w:hAnsi="宋体" w:cs="宋体" w:eastAsia="宋体" w:hint="default"/>
                <w:spacing w:val="-11"/>
                <w:sz w:val="18"/>
                <w:szCs w:val="18"/>
              </w:rPr>
              <w:t>况说明（如有）（参见注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公司自然人股东黄歌除通过普通证券账户持有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股外，通过海通证券股份有限公司客户信</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股，实际合计持有</w:t>
            </w:r>
            <w:r>
              <w:rPr>
                <w:rFonts w:ascii="宋体" w:hAnsi="宋体" w:cs="宋体" w:eastAsia="宋体" w:hint="default"/>
                <w:sz w:val="18"/>
                <w:szCs w:val="18"/>
              </w:rPr>
              <w:t> </w:t>
            </w:r>
            <w:r>
              <w:rPr>
                <w:rFonts w:ascii="Times New Roman" w:hAnsi="Times New Roman" w:cs="Times New Roman" w:eastAsia="Times New Roman" w:hint="default"/>
                <w:sz w:val="18"/>
                <w:szCs w:val="18"/>
              </w:rPr>
              <w:t>185,000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股；公司自然人股东胡燕除通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股外，通过海通证券股份有限公司客户信用交易担保证券账户持有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股；公司自然人股东张超除通过普通证券账户持有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外，通过海通证券股份有限公司客户信用交易担保证券账户持有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132,000</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股，实际合计持有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股；公司自然人股东罗云除通过普通证券账户持有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股外，通过海通证券股份有限</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103,900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103,900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股；公司自然人股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东邹长新除通过普通证券账户持有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股外，通过中信证券股份有限公司客户信用交易担保</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97600 </w:t>
            </w:r>
            <w:r>
              <w:rPr>
                <w:rFonts w:ascii="宋体" w:hAnsi="宋体" w:cs="宋体" w:eastAsia="宋体" w:hint="default"/>
                <w:sz w:val="18"/>
                <w:szCs w:val="18"/>
              </w:rPr>
              <w:t>股。</w:t>
            </w:r>
          </w:p>
        </w:tc>
      </w:tr>
    </w:tbl>
    <w:p>
      <w:pPr>
        <w:spacing w:before="51"/>
        <w:ind w:left="2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2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left="25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252" w:right="743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247"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吴乐斌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736450952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国有资产的管理与经营；项 目投资；投资管理；投资咨 询；企业管理咨询；高新技 术项目的研发；技术开发； 技术转让；技术咨询；技术 服务；技术推广；技术推广 培训；技术中介服务。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中国科学院控股有限公司参股联想控股股份有限公司</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日持股</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5881364 </w:t>
            </w:r>
            <w:r>
              <w:rPr>
                <w:rFonts w:ascii="宋体" w:hAnsi="宋体" w:cs="宋体" w:eastAsia="宋体" w:hint="default"/>
                <w:sz w:val="18"/>
                <w:szCs w:val="18"/>
              </w:rPr>
              <w:t>股。</w:t>
            </w:r>
          </w:p>
        </w:tc>
      </w:tr>
    </w:tbl>
    <w:p>
      <w:pPr>
        <w:spacing w:before="70"/>
        <w:ind w:left="2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2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left="25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252" w:right="689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p>
      <w:pPr>
        <w:spacing w:after="0" w:line="360" w:lineRule="auto"/>
        <w:jc w:val="left"/>
        <w:rPr>
          <w:rFonts w:ascii="宋体" w:hAnsi="宋体" w:cs="宋体" w:eastAsia="宋体" w:hint="default"/>
          <w:sz w:val="18"/>
          <w:szCs w:val="18"/>
        </w:rPr>
        <w:sectPr>
          <w:pgSz w:w="11910" w:h="16840"/>
          <w:pgMar w:header="880" w:footer="974" w:top="1100" w:bottom="1160" w:left="88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199"/>
        <w:gridCol w:w="1772"/>
        <w:gridCol w:w="1560"/>
        <w:gridCol w:w="1488"/>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7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0" w:lineRule="auto" w:before="51"/>
              <w:ind w:left="701" w:right="134"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吴乐斌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736450952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98"/>
              <w:jc w:val="both"/>
              <w:rPr>
                <w:rFonts w:ascii="宋体" w:hAnsi="宋体" w:cs="宋体" w:eastAsia="宋体" w:hint="default"/>
                <w:sz w:val="18"/>
                <w:szCs w:val="18"/>
              </w:rPr>
            </w:pPr>
            <w:r>
              <w:rPr>
                <w:rFonts w:ascii="宋体" w:hAnsi="宋体" w:cs="宋体" w:eastAsia="宋体" w:hint="default"/>
                <w:sz w:val="18"/>
                <w:szCs w:val="18"/>
              </w:rPr>
              <w:t>有资产的管理与经营；项目投 资；投资管理；投资咨询；企 业管理咨询；高新技术项目的 研发；技术开发；技术转让； 技术咨询；技术服务；技术推 广；技术推广培训；技术中介 服务。</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中国科学院控股有限公司参股联想控股股份有限公司，截至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日持股</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684,376,910 </w:t>
            </w:r>
            <w:r>
              <w:rPr>
                <w:rFonts w:ascii="宋体" w:hAnsi="宋体" w:cs="宋体" w:eastAsia="宋体" w:hint="default"/>
                <w:sz w:val="18"/>
                <w:szCs w:val="18"/>
              </w:rPr>
              <w:t>股；中国科学院控股有限公司参股中国科技出版传媒股份有限公司，截至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5,881,364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spacing w:before="51"/>
        <w:ind w:left="2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21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
        <w:rPr>
          <w:rFonts w:ascii="宋体" w:hAnsi="宋体" w:cs="宋体" w:eastAsia="宋体" w:hint="default"/>
          <w:sz w:val="20"/>
          <w:szCs w:val="20"/>
        </w:rPr>
      </w:pPr>
    </w:p>
    <w:p>
      <w:pPr>
        <w:spacing w:line="2964" w:lineRule="exact"/>
        <w:ind w:left="214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672840" cy="1882139"/>
            <wp:effectExtent l="0" t="0" r="0" b="0"/>
            <wp:docPr id="1" name="image4.jpeg" descr=""/>
            <wp:cNvGraphicFramePr>
              <a:graphicFrameLocks noChangeAspect="1"/>
            </wp:cNvGraphicFramePr>
            <a:graphic>
              <a:graphicData uri="http://schemas.openxmlformats.org/drawingml/2006/picture">
                <pic:pic>
                  <pic:nvPicPr>
                    <pic:cNvPr id="2" name="image4.jpeg"/>
                    <pic:cNvPicPr/>
                  </pic:nvPicPr>
                  <pic:blipFill>
                    <a:blip r:embed="rId19" cstate="print"/>
                    <a:stretch>
                      <a:fillRect/>
                    </a:stretch>
                  </pic:blipFill>
                  <pic:spPr>
                    <a:xfrm>
                      <a:off x="0" y="0"/>
                      <a:ext cx="3672840" cy="1882139"/>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3"/>
        <w:rPr>
          <w:rFonts w:ascii="宋体" w:hAnsi="宋体" w:cs="宋体" w:eastAsia="宋体" w:hint="default"/>
          <w:sz w:val="20"/>
          <w:szCs w:val="20"/>
        </w:rPr>
      </w:pPr>
    </w:p>
    <w:p>
      <w:pPr>
        <w:pStyle w:val="BodyText"/>
        <w:spacing w:line="240" w:lineRule="auto" w:before="0"/>
        <w:ind w:left="212" w:right="0"/>
        <w:jc w:val="left"/>
        <w:rPr>
          <w:rFonts w:ascii="宋体" w:hAnsi="宋体" w:cs="宋体" w:eastAsia="宋体" w:hint="default"/>
        </w:rPr>
      </w:pPr>
      <w:r>
        <w:rPr/>
        <w:t>实际控制人通过信托或其他资产管理方式控制公司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4"/>
        <w:spacing w:line="240" w:lineRule="auto"/>
        <w:ind w:left="212"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580"/>
        <w:gridCol w:w="1815"/>
        <w:gridCol w:w="1560"/>
        <w:gridCol w:w="1488"/>
        <w:gridCol w:w="2127"/>
      </w:tblGrid>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7" w:lineRule="auto" w:before="51"/>
              <w:ind w:left="723" w:right="155" w:hanging="56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51"/>
              <w:ind w:left="970" w:right="158" w:hanging="812"/>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1923"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成都宇中投资管理中心（有限 合伙）</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成都科诚投资管理 </w:t>
            </w:r>
            <w:r>
              <w:rPr>
                <w:rFonts w:ascii="宋体" w:hAnsi="宋体" w:cs="宋体" w:eastAsia="宋体" w:hint="default"/>
                <w:spacing w:val="-21"/>
                <w:sz w:val="18"/>
                <w:szCs w:val="18"/>
              </w:rPr>
              <w:t>中心（有限合伙）（委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托人：付忠良）；成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都众智投资管理中 </w:t>
            </w:r>
            <w:r>
              <w:rPr>
                <w:rFonts w:ascii="宋体" w:hAnsi="宋体" w:cs="宋体" w:eastAsia="宋体" w:hint="default"/>
                <w:spacing w:val="-11"/>
                <w:sz w:val="18"/>
                <w:szCs w:val="18"/>
              </w:rPr>
              <w:t>心（有限合伙）（委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托人：王伟）；王晓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23,883,356.73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5" w:right="163"/>
              <w:jc w:val="left"/>
              <w:rPr>
                <w:rFonts w:ascii="宋体" w:hAnsi="宋体" w:cs="宋体" w:eastAsia="宋体" w:hint="default"/>
                <w:sz w:val="18"/>
                <w:szCs w:val="18"/>
              </w:rPr>
            </w:pPr>
            <w:r>
              <w:rPr>
                <w:rFonts w:ascii="宋体" w:hAnsi="宋体" w:cs="宋体" w:eastAsia="宋体" w:hint="default"/>
                <w:sz w:val="18"/>
                <w:szCs w:val="18"/>
              </w:rPr>
              <w:t>投资及资产管理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投资咨 询</w:t>
            </w:r>
          </w:p>
        </w:tc>
      </w:tr>
    </w:tbl>
    <w:p>
      <w:pPr>
        <w:spacing w:after="0" w:line="300" w:lineRule="auto"/>
        <w:jc w:val="left"/>
        <w:rPr>
          <w:rFonts w:ascii="宋体" w:hAnsi="宋体" w:cs="宋体" w:eastAsia="宋体" w:hint="default"/>
          <w:sz w:val="18"/>
          <w:szCs w:val="18"/>
        </w:rPr>
        <w:sectPr>
          <w:pgSz w:w="11910" w:h="16840"/>
          <w:pgMar w:header="880" w:footer="974" w:top="1100" w:bottom="116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2580"/>
        <w:gridCol w:w="1815"/>
        <w:gridCol w:w="1560"/>
        <w:gridCol w:w="1488"/>
        <w:gridCol w:w="2127"/>
      </w:tblGrid>
      <w:tr>
        <w:trPr>
          <w:trHeight w:val="363" w:hRule="exact"/>
        </w:trPr>
        <w:tc>
          <w:tcPr>
            <w:tcW w:w="2580"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79" w:right="153"/>
        <w:jc w:val="left"/>
        <w:rPr>
          <w:b w:val="0"/>
          <w:bCs w:val="0"/>
        </w:rPr>
      </w:pPr>
      <w:bookmarkStart w:name="_TOC_250003"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pict>
          <v:shape style="position:absolute;margin-left:471.583008pt;margin-top:32.855602pt;width:63.6pt;height:50.9pt;mso-position-horizontal-relative:page;mso-position-vertical-relative:paragraph;z-index:-725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2,215,100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董事兼总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1,162,900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1,329,100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301,900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6,263,500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6,263,500</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Heading4"/>
        <w:spacing w:line="240" w:lineRule="auto"/>
        <w:ind w:right="0"/>
        <w:jc w:val="left"/>
        <w:rPr>
          <w:rFonts w:ascii="宋体" w:hAnsi="宋体" w:cs="宋体" w:eastAsia="宋体" w:hint="default"/>
          <w:b w:val="0"/>
          <w:bCs w:val="0"/>
        </w:rPr>
      </w:pPr>
      <w:r>
        <w:rPr/>
        <w:t>董事：</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206" w:firstLine="422"/>
        <w:jc w:val="both"/>
        <w:rPr>
          <w:rFonts w:ascii="宋体" w:hAnsi="宋体" w:cs="宋体" w:eastAsia="宋体" w:hint="default"/>
        </w:rPr>
      </w:pPr>
      <w:r>
        <w:rPr>
          <w:spacing w:val="-2"/>
        </w:rPr>
        <w:t>王晓宇先生：</w:t>
      </w:r>
      <w:r>
        <w:rPr>
          <w:rFonts w:ascii="宋体" w:hAnsi="宋体" w:cs="宋体" w:eastAsia="宋体" w:hint="default"/>
          <w:spacing w:val="-2"/>
        </w:rPr>
        <w:t>1955</w:t>
      </w:r>
      <w:r>
        <w:rPr>
          <w:spacing w:val="-2"/>
        </w:rPr>
        <w:t>年出生，无境外永久居留权，电子科技大学经济管理学院研究生毕业，工商管理硕</w:t>
      </w:r>
      <w:r>
        <w:rPr>
          <w:w w:val="100"/>
        </w:rPr>
        <w:t> </w:t>
      </w:r>
      <w:r>
        <w:rPr>
          <w:spacing w:val="-2"/>
        </w:rPr>
        <w:t>士，研究员，享受国务院政府特殊津贴专家。历任中科院成都信息技术有限公司副总经理、总经理、董事</w:t>
      </w:r>
      <w:r>
        <w:rPr>
          <w:spacing w:val="-43"/>
        </w:rPr>
        <w:t> </w:t>
      </w:r>
      <w:r>
        <w:rPr>
          <w:spacing w:val="-43"/>
        </w:rPr>
      </w:r>
      <w:r>
        <w:rPr>
          <w:spacing w:val="-2"/>
        </w:rPr>
        <w:t>长等职。现任中科院成都信息技术股份有限公司董事长，深圳中钞科信金融科技有限公司副董事长，成都</w:t>
      </w:r>
      <w:r>
        <w:rPr>
          <w:spacing w:val="-43"/>
        </w:rPr>
        <w:t> </w:t>
      </w:r>
      <w:r>
        <w:rPr>
          <w:spacing w:val="-43"/>
        </w:rPr>
      </w:r>
      <w:r>
        <w:rPr>
          <w:spacing w:val="-2"/>
        </w:rPr>
        <w:t>中科石油工程技术股份有限公司董事长，四川省计算机学会执行理事长，中国科学院曼谷创新合作中心常</w:t>
      </w:r>
      <w:r>
        <w:rPr>
          <w:spacing w:val="-43"/>
        </w:rPr>
        <w:t> </w:t>
      </w:r>
      <w:r>
        <w:rPr>
          <w:spacing w:val="-43"/>
        </w:rPr>
      </w:r>
      <w:r>
        <w:rPr/>
        <w:t>务理事，中国科学院大学博士生导师。</w:t>
      </w:r>
      <w:r>
        <w:rPr>
          <w:rFonts w:ascii="宋体" w:hAnsi="宋体" w:cs="宋体" w:eastAsia="宋体" w:hint="default"/>
        </w:rPr>
        <w:t> </w:t>
      </w:r>
    </w:p>
    <w:p>
      <w:pPr>
        <w:pStyle w:val="BodyText"/>
        <w:spacing w:line="408" w:lineRule="auto"/>
        <w:ind w:right="0" w:firstLine="422"/>
        <w:jc w:val="left"/>
        <w:rPr>
          <w:rFonts w:ascii="宋体" w:hAnsi="宋体" w:cs="宋体" w:eastAsia="宋体" w:hint="default"/>
        </w:rPr>
      </w:pPr>
      <w:r>
        <w:rPr>
          <w:spacing w:val="-5"/>
        </w:rPr>
        <w:t>索继栓先生：</w:t>
      </w:r>
      <w:r>
        <w:rPr>
          <w:rFonts w:ascii="宋体" w:hAnsi="宋体" w:cs="宋体" w:eastAsia="宋体" w:hint="default"/>
          <w:spacing w:val="-5"/>
        </w:rPr>
        <w:t>1964</w:t>
      </w:r>
      <w:r>
        <w:rPr>
          <w:spacing w:val="-5"/>
        </w:rPr>
        <w:t>年出生，无境外永久居留权，中科院兰州化学物理所理学博士研究生毕业，研究员。</w:t>
      </w:r>
      <w:r>
        <w:rPr>
          <w:w w:val="100"/>
        </w:rPr>
        <w:t> </w:t>
      </w:r>
      <w:r>
        <w:rPr>
          <w:spacing w:val="-2"/>
        </w:rPr>
        <w:t>历任中科院兰州化学物理所研究员、所长助理、副所长，中科院兰州分院副院长，中国科学院成都有机化</w:t>
      </w:r>
      <w:r>
        <w:rPr>
          <w:spacing w:val="-47"/>
        </w:rPr>
        <w:t> </w:t>
      </w:r>
      <w:r>
        <w:rPr>
          <w:spacing w:val="-47"/>
        </w:rPr>
      </w:r>
      <w:r>
        <w:rPr>
          <w:spacing w:val="-2"/>
        </w:rPr>
        <w:t>学有限公司董事长，国科控股副总经理等。现任中科院成都信息技术股份有限公司董事，国科控股董事兼</w:t>
      </w:r>
      <w:r>
        <w:rPr>
          <w:spacing w:val="-43"/>
        </w:rPr>
        <w:t> </w:t>
      </w:r>
      <w:r>
        <w:rPr>
          <w:spacing w:val="-43"/>
        </w:rPr>
      </w:r>
      <w:r>
        <w:rPr>
          <w:spacing w:val="-2"/>
        </w:rPr>
        <w:t>总经理，联想控股股份有限公司监事，中国科技出版传媒集团有限公司董事长，上海碧科清洁能源技术有</w:t>
      </w:r>
      <w:r>
        <w:rPr>
          <w:spacing w:val="-42"/>
        </w:rPr>
        <w:t> </w:t>
      </w:r>
      <w:r>
        <w:rPr>
          <w:spacing w:val="-42"/>
        </w:rPr>
      </w:r>
      <w:r>
        <w:rPr>
          <w:spacing w:val="-2"/>
        </w:rPr>
        <w:t>限公司董事，北京中科科仪股份有限公司董事，北京中科院软件中心有限公司董事，中信国科资产管理有</w:t>
      </w:r>
      <w:r>
        <w:rPr>
          <w:spacing w:val="-43"/>
        </w:rPr>
        <w:t> </w:t>
      </w:r>
      <w:r>
        <w:rPr>
          <w:spacing w:val="-43"/>
        </w:rPr>
      </w:r>
      <w:r>
        <w:rPr>
          <w:spacing w:val="-2"/>
        </w:rPr>
        <w:t>限公司董事，中国科技出版传媒股份有限公司董事，中科院广州化学有限公司董事，联泓新材料有限公司</w:t>
      </w:r>
      <w:r>
        <w:rPr>
          <w:spacing w:val="-43"/>
        </w:rPr>
        <w:t> </w:t>
      </w:r>
      <w:r>
        <w:rPr>
          <w:spacing w:val="-43"/>
        </w:rPr>
      </w:r>
      <w:r>
        <w:rPr/>
        <w:t>董事。</w:t>
      </w:r>
      <w:r>
        <w:rPr>
          <w:rFonts w:ascii="宋体" w:hAnsi="宋体" w:cs="宋体" w:eastAsia="宋体" w:hint="default"/>
        </w:rPr>
        <w:t> </w:t>
      </w:r>
    </w:p>
    <w:p>
      <w:pPr>
        <w:pStyle w:val="BodyText"/>
        <w:spacing w:line="408" w:lineRule="auto"/>
        <w:ind w:right="206" w:firstLine="422"/>
        <w:jc w:val="both"/>
        <w:rPr>
          <w:rFonts w:ascii="宋体" w:hAnsi="宋体" w:cs="宋体" w:eastAsia="宋体" w:hint="default"/>
        </w:rPr>
      </w:pPr>
      <w:r>
        <w:rPr/>
        <w:t>张勇先生：</w:t>
      </w:r>
      <w:r>
        <w:rPr>
          <w:spacing w:val="62"/>
        </w:rPr>
        <w:t> </w:t>
      </w:r>
      <w:r>
        <w:rPr>
          <w:rFonts w:ascii="宋体" w:hAnsi="宋体" w:cs="宋体" w:eastAsia="宋体" w:hint="default"/>
          <w:spacing w:val="62"/>
        </w:rPr>
      </w:r>
      <w:r>
        <w:rPr>
          <w:rFonts w:ascii="宋体" w:hAnsi="宋体" w:cs="宋体" w:eastAsia="宋体" w:hint="default"/>
        </w:rPr>
        <w:t>1970</w:t>
      </w:r>
      <w:r>
        <w:rPr/>
        <w:t>年出生，无境外永久居留权，清华大学研究生毕业，工商管理硕士。历任北京中科</w:t>
      </w:r>
      <w:r>
        <w:rPr>
          <w:w w:val="100"/>
        </w:rPr>
        <w:t> </w:t>
      </w:r>
      <w:r>
        <w:rPr>
          <w:spacing w:val="-2"/>
        </w:rPr>
        <w:t>科仪技术发展有限责任公司董事兼总经理，国科控股监事、股权管理部总经理、上海碧科清洁能源技术有</w:t>
      </w:r>
      <w:r>
        <w:rPr>
          <w:spacing w:val="-43"/>
        </w:rPr>
        <w:t> </w:t>
      </w:r>
      <w:r>
        <w:rPr>
          <w:spacing w:val="-43"/>
        </w:rPr>
      </w:r>
      <w:r>
        <w:rPr>
          <w:spacing w:val="-2"/>
        </w:rPr>
        <w:t>限公司董事等职。现任中科院成都信息技术股份有限公司董事，国科控股副总经理，中科院广州电子技术</w:t>
      </w:r>
      <w:r>
        <w:rPr>
          <w:spacing w:val="-43"/>
        </w:rPr>
        <w:t> </w:t>
      </w:r>
      <w:r>
        <w:rPr>
          <w:spacing w:val="-43"/>
        </w:rPr>
      </w:r>
      <w:r>
        <w:rPr>
          <w:spacing w:val="-2"/>
        </w:rPr>
        <w:t>有限公司董事长兼法定代表人，中国科技产业投资管理有限公司董事，中科实业集团（控股）有限公司董</w:t>
      </w:r>
      <w:r>
        <w:rPr>
          <w:spacing w:val="-47"/>
        </w:rPr>
        <w:t> </w:t>
      </w:r>
      <w:r>
        <w:rPr>
          <w:spacing w:val="-47"/>
        </w:rPr>
      </w:r>
      <w:r>
        <w:rPr>
          <w:spacing w:val="-2"/>
        </w:rPr>
        <w:t>事，中国科学院沈阳科学仪器股份有限公司董事，中国科技出版传媒集团有限公司董事，中科院南京天文</w:t>
      </w:r>
      <w:r>
        <w:rPr>
          <w:spacing w:val="-42"/>
        </w:rPr>
        <w:t> </w:t>
      </w:r>
      <w:r>
        <w:rPr>
          <w:spacing w:val="-42"/>
        </w:rPr>
      </w:r>
      <w:r>
        <w:rPr>
          <w:spacing w:val="-2"/>
        </w:rPr>
        <w:t>仪器有限公司董事，上海联升创业投资有限公司董事，广东国科创业投资有限公司董事，上海联升承业创</w:t>
      </w:r>
      <w:r>
        <w:rPr>
          <w:spacing w:val="-42"/>
        </w:rPr>
        <w:t> </w:t>
      </w:r>
      <w:r>
        <w:rPr>
          <w:spacing w:val="-42"/>
        </w:rPr>
      </w:r>
      <w:r>
        <w:rPr/>
        <w:t>业投资有限公司董事，中信国科资产管理有限公司监事会主席</w:t>
      </w:r>
      <w:r>
        <w:rPr>
          <w:rFonts w:ascii="宋体" w:hAnsi="宋体" w:cs="宋体" w:eastAsia="宋体" w:hint="default"/>
        </w:rPr>
        <w:t>,</w:t>
      </w:r>
      <w:r>
        <w:rPr>
          <w:rFonts w:ascii="宋体" w:hAnsi="宋体" w:cs="宋体" w:eastAsia="宋体" w:hint="default"/>
          <w:spacing w:val="19"/>
        </w:rPr>
        <w:t> </w:t>
      </w:r>
      <w:r>
        <w:rPr>
          <w:spacing w:val="-3"/>
        </w:rPr>
        <w:t>国科羲裕（上海）投资管理有限公司执行</w:t>
      </w:r>
      <w:r>
        <w:rPr>
          <w:spacing w:val="-101"/>
        </w:rPr>
        <w:t> </w:t>
      </w:r>
      <w:r>
        <w:rPr>
          <w:spacing w:val="-101"/>
        </w:rPr>
      </w:r>
      <w:r>
        <w:rPr/>
        <w:t>董事兼总经理、法定代表人。国科嘉和（北京）投资管理有限公司董事。</w:t>
      </w:r>
      <w:r>
        <w:rPr>
          <w:rFonts w:ascii="宋体" w:hAnsi="宋体" w:cs="宋体" w:eastAsia="宋体" w:hint="default"/>
        </w:rPr>
        <w:t> </w:t>
      </w:r>
    </w:p>
    <w:p>
      <w:pPr>
        <w:pStyle w:val="BodyText"/>
        <w:spacing w:line="408" w:lineRule="auto"/>
        <w:ind w:right="206" w:firstLine="422"/>
        <w:jc w:val="both"/>
        <w:rPr>
          <w:rFonts w:ascii="宋体" w:hAnsi="宋体" w:cs="宋体" w:eastAsia="宋体" w:hint="default"/>
        </w:rPr>
      </w:pPr>
      <w:r>
        <w:rPr>
          <w:spacing w:val="-2"/>
        </w:rPr>
        <w:t>杨红梅女士：</w:t>
      </w:r>
      <w:r>
        <w:rPr>
          <w:rFonts w:ascii="宋体" w:hAnsi="宋体" w:cs="宋体" w:eastAsia="宋体" w:hint="default"/>
          <w:spacing w:val="-2"/>
        </w:rPr>
        <w:t>1972</w:t>
      </w:r>
      <w:r>
        <w:rPr>
          <w:spacing w:val="-2"/>
        </w:rPr>
        <w:t>年出生，无境外永久居留权，中国科学院大学硕士研究生毕业，高级工程师。历任</w:t>
      </w:r>
      <w:r>
        <w:rPr>
          <w:w w:val="100"/>
        </w:rPr>
        <w:t> </w:t>
      </w:r>
      <w:r>
        <w:rPr>
          <w:spacing w:val="-2"/>
        </w:rPr>
        <w:t>中科院国有资产经营有限责任公司部门总经理、高级经理等职。现任中科院成都信息技术股份有限公司董</w:t>
      </w:r>
      <w:r>
        <w:rPr>
          <w:spacing w:val="-44"/>
        </w:rPr>
        <w:t> </w:t>
      </w:r>
      <w:r>
        <w:rPr>
          <w:spacing w:val="-44"/>
        </w:rPr>
      </w:r>
      <w:r>
        <w:rPr>
          <w:spacing w:val="-2"/>
        </w:rPr>
        <w:t>事，国科控股监事兼股权管理部总经理，中国科技出版传媒集团有限公司董事，东方科仪控股集团有限公</w:t>
      </w:r>
      <w:r>
        <w:rPr>
          <w:spacing w:val="-43"/>
        </w:rPr>
        <w:t> </w:t>
      </w:r>
      <w:r>
        <w:rPr>
          <w:spacing w:val="-43"/>
        </w:rPr>
      </w:r>
      <w:r>
        <w:rPr>
          <w:spacing w:val="-2"/>
        </w:rPr>
        <w:t>司董事，北京中科院软件中心有限公司董事，中国科学院沈阳科学仪器股份有限公司董事，中科院创新孵</w:t>
      </w:r>
      <w:r>
        <w:rPr>
          <w:spacing w:val="-42"/>
        </w:rPr>
        <w:t> </w:t>
      </w:r>
      <w:r>
        <w:rPr>
          <w:spacing w:val="-42"/>
        </w:rPr>
      </w:r>
      <w:r>
        <w:rPr>
          <w:spacing w:val="-2"/>
        </w:rPr>
        <w:t>化投资有限责任公司董事，北京科诺伟业科技股份有限公司董事，中国科学院沈阳计算技术研究所有限公</w:t>
      </w:r>
      <w:r>
        <w:rPr>
          <w:spacing w:val="-43"/>
        </w:rPr>
        <w:t> </w:t>
      </w:r>
      <w:r>
        <w:rPr>
          <w:spacing w:val="-43"/>
        </w:rPr>
      </w:r>
      <w:r>
        <w:rPr/>
        <w:t>司董事，沈阳高精数控智能技术股份有限公司董事。</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206" w:firstLine="422"/>
        <w:jc w:val="both"/>
        <w:rPr>
          <w:rFonts w:ascii="宋体" w:hAnsi="宋体" w:cs="宋体" w:eastAsia="宋体" w:hint="default"/>
        </w:rPr>
      </w:pPr>
      <w:r>
        <w:rPr>
          <w:spacing w:val="-2"/>
        </w:rPr>
        <w:t>付忠良先生：</w:t>
      </w:r>
      <w:r>
        <w:rPr>
          <w:rFonts w:ascii="宋体" w:hAnsi="宋体" w:cs="宋体" w:eastAsia="宋体" w:hint="default"/>
          <w:spacing w:val="-2"/>
        </w:rPr>
        <w:t>1967</w:t>
      </w:r>
      <w:r>
        <w:rPr>
          <w:spacing w:val="-2"/>
        </w:rPr>
        <w:t>年出生，无境外永久居留权，中科院成都计算所硕士研究生毕业，研究员，享受国</w:t>
      </w:r>
      <w:r>
        <w:rPr>
          <w:w w:val="100"/>
        </w:rPr>
        <w:t> </w:t>
      </w:r>
      <w:r>
        <w:rPr>
          <w:spacing w:val="-2"/>
        </w:rPr>
        <w:t>务院政府特殊津贴专家。历任中科院成都信息技术有限公司工业计算机应用事业部经理、副总经理、常务</w:t>
      </w:r>
      <w:r>
        <w:rPr>
          <w:spacing w:val="-42"/>
        </w:rPr>
        <w:t> </w:t>
      </w:r>
      <w:r>
        <w:rPr>
          <w:spacing w:val="-42"/>
        </w:rPr>
      </w:r>
      <w:r>
        <w:rPr>
          <w:spacing w:val="-2"/>
        </w:rPr>
        <w:t>副总经理、董事、总经理等职。现任中科院成都信息技术股份有限公司董事、总经理，深圳中钞科信金融</w:t>
      </w:r>
      <w:r>
        <w:rPr>
          <w:spacing w:val="-43"/>
        </w:rPr>
        <w:t> </w:t>
      </w:r>
      <w:r>
        <w:rPr>
          <w:spacing w:val="-43"/>
        </w:rPr>
      </w:r>
      <w:r>
        <w:rPr>
          <w:spacing w:val="-2"/>
        </w:rPr>
        <w:t>科技有限公司董事，成都中科石油工程技术股份有限公司董事，中科院金华信息技术有限公司执行董事兼</w:t>
      </w:r>
      <w:r>
        <w:rPr>
          <w:spacing w:val="-42"/>
        </w:rPr>
        <w:t> </w:t>
      </w:r>
      <w:r>
        <w:rPr>
          <w:spacing w:val="-42"/>
        </w:rPr>
      </w:r>
      <w:r>
        <w:rPr/>
        <w:t>法定代表人，中国科学院大学博士生导师。</w:t>
      </w:r>
      <w:r>
        <w:rPr>
          <w:rFonts w:ascii="宋体" w:hAnsi="宋体" w:cs="宋体" w:eastAsia="宋体" w:hint="default"/>
        </w:rPr>
        <w:t> </w:t>
      </w:r>
    </w:p>
    <w:p>
      <w:pPr>
        <w:pStyle w:val="BodyText"/>
        <w:spacing w:line="408" w:lineRule="auto"/>
        <w:ind w:right="206" w:firstLine="422"/>
        <w:jc w:val="both"/>
        <w:rPr>
          <w:rFonts w:ascii="宋体" w:hAnsi="宋体" w:cs="宋体" w:eastAsia="宋体" w:hint="default"/>
        </w:rPr>
      </w:pPr>
      <w:r>
        <w:rPr>
          <w:spacing w:val="-2"/>
        </w:rPr>
        <w:t>史志明先生：</w:t>
      </w:r>
      <w:r>
        <w:rPr>
          <w:rFonts w:ascii="宋体" w:hAnsi="宋体" w:cs="宋体" w:eastAsia="宋体" w:hint="default"/>
          <w:spacing w:val="-2"/>
        </w:rPr>
        <w:t>1977</w:t>
      </w:r>
      <w:r>
        <w:rPr>
          <w:spacing w:val="-2"/>
        </w:rPr>
        <w:t>年出生，无境外永久居留权，四川大学信息管理系本科毕业，西南财经大学工商管</w:t>
      </w:r>
      <w:r>
        <w:rPr>
          <w:w w:val="100"/>
        </w:rPr>
        <w:t> </w:t>
      </w:r>
      <w:r>
        <w:rPr>
          <w:spacing w:val="-2"/>
        </w:rPr>
        <w:t>理硕士，高级工程师。历任中科院成都信息技术有限公司办公自动化事业部经理、总经理助理、副总经理</w:t>
      </w:r>
      <w:r>
        <w:rPr>
          <w:spacing w:val="-44"/>
        </w:rPr>
        <w:t> </w:t>
      </w:r>
      <w:r>
        <w:rPr>
          <w:spacing w:val="-44"/>
        </w:rPr>
      </w:r>
      <w:r>
        <w:rPr>
          <w:spacing w:val="-2"/>
        </w:rPr>
        <w:t>等职。现任中科院成都信息技术股份有限公司董事、副总经理兼办公自动化事业部经理，成都中科信息技</w:t>
      </w:r>
      <w:r>
        <w:rPr>
          <w:spacing w:val="-44"/>
        </w:rPr>
        <w:t> </w:t>
      </w:r>
      <w:r>
        <w:rPr>
          <w:spacing w:val="-44"/>
        </w:rPr>
      </w:r>
      <w:r>
        <w:rPr/>
        <w:t>术有限公司法定代表人、执行董事兼总经理。</w:t>
      </w:r>
      <w:r>
        <w:rPr>
          <w:rFonts w:ascii="宋体" w:hAnsi="宋体" w:cs="宋体" w:eastAsia="宋体" w:hint="default"/>
        </w:rPr>
        <w:t> </w:t>
      </w:r>
    </w:p>
    <w:p>
      <w:pPr>
        <w:pStyle w:val="BodyText"/>
        <w:spacing w:line="408" w:lineRule="auto"/>
        <w:ind w:right="208" w:firstLine="422"/>
        <w:jc w:val="both"/>
        <w:rPr>
          <w:rFonts w:ascii="宋体" w:hAnsi="宋体" w:cs="宋体" w:eastAsia="宋体" w:hint="default"/>
        </w:rPr>
      </w:pPr>
      <w:r>
        <w:rPr>
          <w:spacing w:val="-2"/>
        </w:rPr>
        <w:t>黄泽永先生：</w:t>
      </w:r>
      <w:r>
        <w:rPr>
          <w:rFonts w:ascii="宋体" w:hAnsi="宋体" w:cs="宋体" w:eastAsia="宋体" w:hint="default"/>
          <w:spacing w:val="-2"/>
        </w:rPr>
        <w:t>1948</w:t>
      </w:r>
      <w:r>
        <w:rPr>
          <w:spacing w:val="-2"/>
        </w:rPr>
        <w:t>年出生，无境外永久居留权，大学学历，研究员，享受国务院特殊贡献津贴。历任</w:t>
      </w:r>
      <w:r>
        <w:rPr>
          <w:w w:val="100"/>
        </w:rPr>
        <w:t> </w:t>
      </w:r>
      <w:r>
        <w:rPr>
          <w:spacing w:val="-2"/>
        </w:rPr>
        <w:t>中国科学院光电技术研究所研究室副主任、科技处副处长、所长助理、副所长，中国科学院成都分院副院</w:t>
      </w:r>
      <w:r>
        <w:rPr>
          <w:spacing w:val="-46"/>
        </w:rPr>
        <w:t> </w:t>
      </w:r>
      <w:r>
        <w:rPr>
          <w:spacing w:val="-46"/>
        </w:rPr>
      </w:r>
      <w:r>
        <w:rPr/>
        <w:t>长等职（</w:t>
      </w:r>
      <w:r>
        <w:rPr>
          <w:rFonts w:ascii="宋体" w:hAnsi="宋体" w:cs="宋体" w:eastAsia="宋体" w:hint="default"/>
        </w:rPr>
        <w:t>2010</w:t>
      </w:r>
      <w:r>
        <w:rPr/>
        <w:t>年</w:t>
      </w:r>
      <w:r>
        <w:rPr>
          <w:rFonts w:ascii="宋体" w:hAnsi="宋体" w:cs="宋体" w:eastAsia="宋体" w:hint="default"/>
        </w:rPr>
        <w:t>4</w:t>
      </w:r>
      <w:r>
        <w:rPr/>
        <w:t>月退休）。现任中科院成都信息技术股份有限公司独立董事。</w:t>
      </w:r>
      <w:r>
        <w:rPr>
          <w:rFonts w:ascii="宋体" w:hAnsi="宋体" w:cs="宋体" w:eastAsia="宋体" w:hint="default"/>
        </w:rPr>
        <w:t> </w:t>
      </w:r>
    </w:p>
    <w:p>
      <w:pPr>
        <w:pStyle w:val="BodyText"/>
        <w:spacing w:line="408" w:lineRule="auto"/>
        <w:ind w:right="206" w:firstLine="422"/>
        <w:jc w:val="both"/>
        <w:rPr>
          <w:rFonts w:ascii="宋体" w:hAnsi="宋体" w:cs="宋体" w:eastAsia="宋体" w:hint="default"/>
        </w:rPr>
      </w:pPr>
      <w:r>
        <w:rPr>
          <w:spacing w:val="-2"/>
        </w:rPr>
        <w:t>赖肇庆先生：</w:t>
      </w:r>
      <w:r>
        <w:rPr>
          <w:rFonts w:ascii="宋体" w:hAnsi="宋体" w:cs="宋体" w:eastAsia="宋体" w:hint="default"/>
          <w:spacing w:val="-2"/>
        </w:rPr>
        <w:t>1945</w:t>
      </w:r>
      <w:r>
        <w:rPr>
          <w:spacing w:val="-2"/>
        </w:rPr>
        <w:t>年出生，无境外永久居留权，中国科学院研究生院硕士研究生毕业，享受政府特殊</w:t>
      </w:r>
      <w:r>
        <w:rPr>
          <w:w w:val="100"/>
        </w:rPr>
        <w:t> </w:t>
      </w:r>
      <w:r>
        <w:rPr>
          <w:spacing w:val="-2"/>
        </w:rPr>
        <w:t>津贴。历任中国科学院成都计算机应用研究所研究员、科技处处长（</w:t>
      </w:r>
      <w:r>
        <w:rPr>
          <w:rFonts w:ascii="宋体" w:hAnsi="宋体" w:cs="宋体" w:eastAsia="宋体" w:hint="default"/>
          <w:spacing w:val="-2"/>
        </w:rPr>
        <w:t>1996</w:t>
      </w:r>
      <w:r>
        <w:rPr>
          <w:spacing w:val="-2"/>
        </w:rPr>
        <w:t>年离职），四川大学计算机学院</w:t>
      </w:r>
      <w:r>
        <w:rPr>
          <w:spacing w:val="-40"/>
        </w:rPr>
        <w:t> </w:t>
      </w:r>
      <w:r>
        <w:rPr>
          <w:spacing w:val="-40"/>
        </w:rPr>
      </w:r>
      <w:r>
        <w:rPr>
          <w:spacing w:val="-2"/>
        </w:rPr>
        <w:t>教授，聚友网络公司总工程师，成都信息港公司副总经理，成都软件产业发展中心任首席专家，成都电子</w:t>
      </w:r>
      <w:r>
        <w:rPr>
          <w:spacing w:val="-50"/>
        </w:rPr>
        <w:t> </w:t>
      </w:r>
      <w:r>
        <w:rPr>
          <w:spacing w:val="-50"/>
        </w:rPr>
      </w:r>
      <w:r>
        <w:rPr>
          <w:spacing w:val="-2"/>
        </w:rPr>
        <w:t>商务协会秘书长，惠州经济职业技术学院就业办主任、惠州经济职业技术学院创业文化学院院长等职。现</w:t>
      </w:r>
      <w:r>
        <w:rPr>
          <w:spacing w:val="-43"/>
        </w:rPr>
        <w:t> </w:t>
      </w:r>
      <w:r>
        <w:rPr>
          <w:spacing w:val="-43"/>
        </w:rPr>
      </w:r>
      <w:r>
        <w:rPr/>
        <w:t>任中科院成都信息技术股份有限公司独立董事。</w:t>
      </w:r>
      <w:r>
        <w:rPr>
          <w:rFonts w:ascii="宋体" w:hAnsi="宋体" w:cs="宋体" w:eastAsia="宋体" w:hint="default"/>
        </w:rPr>
        <w:t> </w:t>
      </w:r>
    </w:p>
    <w:p>
      <w:pPr>
        <w:pStyle w:val="BodyText"/>
        <w:spacing w:line="408" w:lineRule="auto"/>
        <w:ind w:right="206" w:firstLine="422"/>
        <w:jc w:val="both"/>
        <w:rPr>
          <w:rFonts w:ascii="宋体" w:hAnsi="宋体" w:cs="宋体" w:eastAsia="宋体" w:hint="default"/>
        </w:rPr>
      </w:pPr>
      <w:r>
        <w:rPr>
          <w:spacing w:val="-2"/>
        </w:rPr>
        <w:t>周玮先生：</w:t>
      </w:r>
      <w:r>
        <w:rPr>
          <w:rFonts w:ascii="宋体" w:hAnsi="宋体" w:cs="宋体" w:eastAsia="宋体" w:hint="default"/>
          <w:spacing w:val="-2"/>
        </w:rPr>
        <w:t>1980</w:t>
      </w:r>
      <w:r>
        <w:rPr>
          <w:spacing w:val="-2"/>
        </w:rPr>
        <w:t>年出生，无境外永久居留权，西南财经大学博士研究生毕业，会计学副研究员。现任</w:t>
      </w:r>
      <w:r>
        <w:rPr>
          <w:w w:val="100"/>
        </w:rPr>
        <w:t> </w:t>
      </w:r>
      <w:r>
        <w:rPr>
          <w:spacing w:val="-2"/>
        </w:rPr>
        <w:t>西南财经大学金融学院专业教师，四川大西洋焊接材料股份有限公司和成都卫士通信息产业股份有限公司</w:t>
      </w:r>
      <w:r>
        <w:rPr>
          <w:spacing w:val="-43"/>
        </w:rPr>
        <w:t> </w:t>
      </w:r>
      <w:r>
        <w:rPr>
          <w:spacing w:val="-43"/>
        </w:rPr>
      </w:r>
      <w:r>
        <w:rPr/>
        <w:t>独立董事，</w:t>
      </w:r>
      <w:r>
        <w:rPr>
          <w:rFonts w:ascii="宋体" w:hAnsi="宋体" w:cs="宋体" w:eastAsia="宋体" w:hint="default"/>
        </w:rPr>
        <w:t>2016</w:t>
      </w:r>
      <w:r>
        <w:rPr/>
        <w:t>年</w:t>
      </w:r>
      <w:r>
        <w:rPr>
          <w:rFonts w:ascii="宋体" w:hAnsi="宋体" w:cs="宋体" w:eastAsia="宋体" w:hint="default"/>
        </w:rPr>
        <w:t>8</w:t>
      </w:r>
      <w:r>
        <w:rPr/>
        <w:t>月当选中科院成都信息技术股份有限公司独立董事。</w:t>
      </w:r>
      <w:r>
        <w:rPr>
          <w:rFonts w:ascii="宋体" w:hAnsi="宋体" w:cs="宋体" w:eastAsia="宋体" w:hint="default"/>
        </w:rPr>
        <w:t> </w:t>
      </w:r>
    </w:p>
    <w:p>
      <w:pPr>
        <w:pStyle w:val="Heading4"/>
        <w:spacing w:line="240" w:lineRule="auto" w:before="46"/>
        <w:ind w:right="0"/>
        <w:jc w:val="left"/>
        <w:rPr>
          <w:rFonts w:ascii="宋体" w:hAnsi="宋体" w:cs="宋体" w:eastAsia="宋体" w:hint="default"/>
          <w:b w:val="0"/>
          <w:bCs w:val="0"/>
        </w:rPr>
      </w:pPr>
      <w:r>
        <w:rPr/>
        <w:t>监事：</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408" w:lineRule="auto" w:before="0"/>
        <w:ind w:right="206" w:firstLine="422"/>
        <w:jc w:val="both"/>
        <w:rPr>
          <w:rFonts w:ascii="宋体" w:hAnsi="宋体" w:cs="宋体" w:eastAsia="宋体" w:hint="default"/>
        </w:rPr>
      </w:pPr>
      <w:r>
        <w:rPr>
          <w:spacing w:val="-2"/>
        </w:rPr>
        <w:t>王伟先生：</w:t>
      </w:r>
      <w:r>
        <w:rPr>
          <w:rFonts w:ascii="宋体" w:hAnsi="宋体" w:cs="宋体" w:eastAsia="宋体" w:hint="default"/>
          <w:spacing w:val="-2"/>
        </w:rPr>
        <w:t>1955</w:t>
      </w:r>
      <w:r>
        <w:rPr>
          <w:spacing w:val="-2"/>
        </w:rPr>
        <w:t>年出生，无境外永久居留权，大学学历，正研级高级工程师。历任中科院成都信息技</w:t>
      </w:r>
      <w:r>
        <w:rPr>
          <w:w w:val="100"/>
        </w:rPr>
        <w:t> </w:t>
      </w:r>
      <w:r>
        <w:rPr>
          <w:spacing w:val="-2"/>
        </w:rPr>
        <w:t>术有限公司市场产业部经理、总经理助理、总经理、党委书记、监事会主席、工会主席等职。现任中科院</w:t>
      </w:r>
      <w:r>
        <w:rPr>
          <w:spacing w:val="-42"/>
        </w:rPr>
        <w:t> </w:t>
      </w:r>
      <w:r>
        <w:rPr>
          <w:spacing w:val="-42"/>
        </w:rPr>
      </w:r>
      <w:r>
        <w:rPr/>
        <w:t>成都信息技术股份有限公司监事会主席</w:t>
      </w:r>
      <w:r>
        <w:rPr>
          <w:rFonts w:ascii="宋体" w:hAnsi="宋体" w:cs="宋体" w:eastAsia="宋体" w:hint="default"/>
        </w:rPr>
        <w:t>,</w:t>
      </w:r>
      <w:r>
        <w:rPr>
          <w:rFonts w:ascii="宋体" w:hAnsi="宋体" w:cs="宋体" w:eastAsia="宋体" w:hint="default"/>
          <w:spacing w:val="44"/>
        </w:rPr>
        <w:t> </w:t>
      </w:r>
      <w:r>
        <w:rPr>
          <w:spacing w:val="-3"/>
        </w:rPr>
        <w:t>成都中科石油工程技术股份有限公司监事，深圳中钞科信金融科</w:t>
      </w:r>
      <w:r>
        <w:rPr>
          <w:spacing w:val="-96"/>
        </w:rPr>
        <w:t> </w:t>
      </w:r>
      <w:r>
        <w:rPr>
          <w:spacing w:val="-96"/>
        </w:rPr>
      </w:r>
      <w:r>
        <w:rPr/>
        <w:t>技有限公司监事。</w:t>
      </w:r>
      <w:r>
        <w:rPr>
          <w:rFonts w:ascii="宋体" w:hAnsi="宋体" w:cs="宋体" w:eastAsia="宋体" w:hint="default"/>
        </w:rPr>
        <w:t> </w:t>
      </w:r>
    </w:p>
    <w:p>
      <w:pPr>
        <w:pStyle w:val="BodyText"/>
        <w:spacing w:line="408" w:lineRule="auto"/>
        <w:ind w:right="182" w:firstLine="422"/>
        <w:jc w:val="both"/>
        <w:rPr>
          <w:rFonts w:ascii="宋体" w:hAnsi="宋体" w:cs="宋体" w:eastAsia="宋体" w:hint="default"/>
        </w:rPr>
      </w:pPr>
      <w:r>
        <w:rPr>
          <w:spacing w:val="-2"/>
        </w:rPr>
        <w:t>傅敏先生：</w:t>
      </w:r>
      <w:r>
        <w:rPr>
          <w:rFonts w:ascii="宋体" w:hAnsi="宋体" w:cs="宋体" w:eastAsia="宋体" w:hint="default"/>
          <w:spacing w:val="-2"/>
        </w:rPr>
        <w:t>1965</w:t>
      </w:r>
      <w:r>
        <w:rPr>
          <w:spacing w:val="-2"/>
        </w:rPr>
        <w:t>年出生，无境外永久居留权，中国科学院力学研究所博士研究生毕业，高级工程师。</w:t>
      </w:r>
      <w:r>
        <w:rPr>
          <w:w w:val="100"/>
        </w:rPr>
        <w:t> </w:t>
      </w:r>
      <w:r>
        <w:rPr>
          <w:spacing w:val="-2"/>
        </w:rPr>
        <w:t>历任中国科学院院部机关处长，江西省科学院副院长、党组成员等职。现任中科院成都信息技术股份有限</w:t>
      </w:r>
      <w:r>
        <w:rPr>
          <w:spacing w:val="-44"/>
        </w:rPr>
        <w:t> </w:t>
      </w:r>
      <w:r>
        <w:rPr>
          <w:spacing w:val="-44"/>
        </w:rPr>
      </w:r>
      <w:r>
        <w:rPr>
          <w:spacing w:val="-2"/>
        </w:rPr>
        <w:t>公司监事，中国科学院京区企业党委办公室主任，中国科学院沈阳科学仪器股份有限公司监事，中科院建</w:t>
      </w:r>
      <w:r>
        <w:rPr>
          <w:spacing w:val="-43"/>
        </w:rPr>
        <w:t> </w:t>
      </w:r>
      <w:r>
        <w:rPr>
          <w:spacing w:val="-43"/>
        </w:rPr>
      </w:r>
      <w:r>
        <w:rPr/>
        <w:t>筑设计研究院有限公司董事。</w:t>
      </w:r>
      <w:r>
        <w:rPr>
          <w:rFonts w:ascii="宋体" w:hAnsi="宋体" w:cs="宋体" w:eastAsia="宋体" w:hint="default"/>
        </w:rPr>
        <w:t> </w:t>
      </w:r>
    </w:p>
    <w:p>
      <w:pPr>
        <w:pStyle w:val="BodyText"/>
        <w:spacing w:line="240" w:lineRule="auto"/>
        <w:ind w:left="575" w:right="0"/>
        <w:jc w:val="left"/>
      </w:pPr>
      <w:r>
        <w:rPr>
          <w:spacing w:val="-5"/>
        </w:rPr>
        <w:t>肖帆先生：</w:t>
      </w:r>
      <w:r>
        <w:rPr>
          <w:rFonts w:ascii="宋体" w:hAnsi="宋体" w:cs="宋体" w:eastAsia="宋体" w:hint="default"/>
          <w:spacing w:val="-5"/>
        </w:rPr>
        <w:t>1963</w:t>
      </w:r>
      <w:r>
        <w:rPr>
          <w:spacing w:val="-5"/>
        </w:rPr>
        <w:t>年出生，无境外永久居留权，中科院成都分院数理科学研究室研究生毕业，理学硕士，</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spacing w:val="-2"/>
        </w:rPr>
        <w:t>高级工程师。历任中科院成都信息技术有限公司市场部常务副经理、经理等职。现任中科院成都信息技术</w:t>
      </w:r>
      <w:r>
        <w:rPr>
          <w:spacing w:val="-43"/>
        </w:rPr>
        <w:t> </w:t>
      </w:r>
      <w:r>
        <w:rPr>
          <w:spacing w:val="-43"/>
        </w:rPr>
      </w:r>
      <w:r>
        <w:rPr/>
        <w:t>股份有限公司职工代表监事兼市场部经理，成都中科信息技术有限公司监事。</w:t>
      </w:r>
      <w:r>
        <w:rPr>
          <w:rFonts w:ascii="宋体" w:hAnsi="宋体" w:cs="宋体" w:eastAsia="宋体" w:hint="default"/>
        </w:rPr>
        <w:t> </w:t>
      </w:r>
    </w:p>
    <w:p>
      <w:pPr>
        <w:pStyle w:val="BodyText"/>
        <w:spacing w:line="408" w:lineRule="auto"/>
        <w:ind w:left="575" w:right="5274" w:hanging="423"/>
        <w:jc w:val="left"/>
        <w:rPr>
          <w:rFonts w:ascii="宋体" w:hAnsi="宋体" w:cs="宋体" w:eastAsia="宋体" w:hint="default"/>
        </w:rPr>
      </w:pPr>
      <w:r>
        <w:rPr>
          <w:rFonts w:ascii="宋体" w:hAnsi="宋体" w:cs="宋体" w:eastAsia="宋体" w:hint="default"/>
          <w:b/>
          <w:bCs/>
        </w:rPr>
        <w:t>高级管理人员：</w:t>
      </w:r>
      <w:r>
        <w:rPr>
          <w:rFonts w:ascii="宋体" w:hAnsi="宋体" w:cs="宋体" w:eastAsia="宋体" w:hint="default"/>
          <w:b/>
          <w:bCs/>
          <w:w w:val="99"/>
        </w:rPr>
        <w:t> </w:t>
      </w:r>
      <w:r>
        <w:rPr/>
        <w:t>付忠良先生：简历见上述董事会成员介绍。</w:t>
      </w:r>
      <w:r>
        <w:rPr>
          <w:rFonts w:ascii="宋体" w:hAnsi="宋体" w:cs="宋体" w:eastAsia="宋体" w:hint="default"/>
          <w:spacing w:val="-3"/>
          <w:w w:val="100"/>
        </w:rPr>
        <w:t> </w:t>
      </w:r>
      <w:r>
        <w:rPr>
          <w:rFonts w:ascii="宋体" w:hAnsi="宋体" w:cs="宋体" w:eastAsia="宋体" w:hint="default"/>
          <w:w w:val="100"/>
        </w:rPr>
        <w:t> </w:t>
      </w:r>
      <w:r>
        <w:rPr/>
        <w:t>史志明先生：简历见上述董事会成员介绍。</w:t>
      </w:r>
      <w:r>
        <w:rPr>
          <w:rFonts w:ascii="宋体" w:hAnsi="宋体" w:cs="宋体" w:eastAsia="宋体" w:hint="default"/>
          <w:spacing w:val="-3"/>
        </w:rPr>
        <w:t> </w:t>
      </w:r>
      <w:r>
        <w:rPr>
          <w:rFonts w:ascii="宋体" w:hAnsi="宋体" w:cs="宋体" w:eastAsia="宋体" w:hint="default"/>
        </w:rPr>
        <w:t> </w:t>
      </w:r>
    </w:p>
    <w:p>
      <w:pPr>
        <w:pStyle w:val="BodyText"/>
        <w:spacing w:line="408" w:lineRule="auto"/>
        <w:ind w:right="146" w:firstLine="422"/>
        <w:jc w:val="both"/>
        <w:rPr>
          <w:rFonts w:ascii="宋体" w:hAnsi="宋体" w:cs="宋体" w:eastAsia="宋体" w:hint="default"/>
        </w:rPr>
      </w:pPr>
      <w:r>
        <w:rPr>
          <w:spacing w:val="-2"/>
        </w:rPr>
        <w:t>尹邦明先生：</w:t>
      </w:r>
      <w:r>
        <w:rPr>
          <w:rFonts w:ascii="宋体" w:hAnsi="宋体" w:cs="宋体" w:eastAsia="宋体" w:hint="default"/>
          <w:spacing w:val="-2"/>
        </w:rPr>
        <w:t>1972</w:t>
      </w:r>
      <w:r>
        <w:rPr>
          <w:spacing w:val="-2"/>
        </w:rPr>
        <w:t>年出生，无境外永久居留权，兰州大学中文系毕业，文学学士。历任中科院成都信</w:t>
      </w:r>
      <w:r>
        <w:rPr>
          <w:w w:val="100"/>
        </w:rPr>
        <w:t> </w:t>
      </w:r>
      <w:r>
        <w:rPr>
          <w:spacing w:val="-2"/>
        </w:rPr>
        <w:t>息技术有限公司办公室秘书、办公室副主任、董事会秘书、总经理助理等职。现任中科院成都信息技术股</w:t>
      </w:r>
      <w:r>
        <w:rPr>
          <w:spacing w:val="-47"/>
        </w:rPr>
        <w:t> </w:t>
      </w:r>
      <w:r>
        <w:rPr>
          <w:spacing w:val="-47"/>
        </w:rPr>
      </w:r>
      <w:r>
        <w:rPr>
          <w:spacing w:val="-2"/>
        </w:rPr>
        <w:t>份有限公司副总经理兼董事会秘书，深圳中钞科信金融科技有限公司董事，成都中科石油工程技术股份有</w:t>
      </w:r>
      <w:r>
        <w:rPr>
          <w:spacing w:val="-42"/>
        </w:rPr>
        <w:t> </w:t>
      </w:r>
      <w:r>
        <w:rPr>
          <w:spacing w:val="-42"/>
        </w:rPr>
      </w:r>
      <w:r>
        <w:rPr/>
        <w:t>限公司董事会秘书。</w:t>
      </w:r>
      <w:r>
        <w:rPr>
          <w:rFonts w:ascii="宋体" w:hAnsi="宋体" w:cs="宋体" w:eastAsia="宋体" w:hint="default"/>
        </w:rPr>
        <w:t> </w:t>
      </w:r>
    </w:p>
    <w:p>
      <w:pPr>
        <w:pStyle w:val="BodyText"/>
        <w:spacing w:line="408" w:lineRule="auto"/>
        <w:ind w:right="125" w:firstLine="422"/>
        <w:jc w:val="both"/>
        <w:rPr>
          <w:rFonts w:ascii="宋体" w:hAnsi="宋体" w:cs="宋体" w:eastAsia="宋体" w:hint="default"/>
        </w:rPr>
      </w:pPr>
      <w:r>
        <w:rPr>
          <w:spacing w:val="-2"/>
        </w:rPr>
        <w:t>钟勇先生：</w:t>
      </w:r>
      <w:r>
        <w:rPr>
          <w:rFonts w:ascii="宋体" w:hAnsi="宋体" w:cs="宋体" w:eastAsia="宋体" w:hint="default"/>
          <w:spacing w:val="-2"/>
        </w:rPr>
        <w:t>1966</w:t>
      </w:r>
      <w:r>
        <w:rPr>
          <w:spacing w:val="-2"/>
        </w:rPr>
        <w:t>年出生，无境外永久居留权，中国科学院研究生院博士研究生毕业，研究员。历任中</w:t>
      </w:r>
      <w:r>
        <w:rPr>
          <w:w w:val="100"/>
        </w:rPr>
        <w:t> </w:t>
      </w:r>
      <w:r>
        <w:rPr>
          <w:spacing w:val="-2"/>
        </w:rPr>
        <w:t>科院成都信息技术有限公司总工程师等职。现任中科院成都信息技术股份有限公司副总经理、总工程师，</w:t>
      </w:r>
      <w:r>
        <w:rPr>
          <w:spacing w:val="-21"/>
        </w:rPr>
        <w:t> </w:t>
      </w:r>
      <w:r>
        <w:rPr>
          <w:spacing w:val="-21"/>
        </w:rPr>
      </w:r>
      <w:r>
        <w:rPr/>
        <w:t>中国科学院大学博士生导师。</w:t>
      </w:r>
      <w:r>
        <w:rPr>
          <w:rFonts w:ascii="宋体" w:hAnsi="宋体" w:cs="宋体" w:eastAsia="宋体" w:hint="default"/>
        </w:rPr>
        <w:t> </w:t>
      </w:r>
    </w:p>
    <w:p>
      <w:pPr>
        <w:pStyle w:val="BodyText"/>
        <w:spacing w:line="408" w:lineRule="auto"/>
        <w:ind w:right="146" w:firstLine="422"/>
        <w:jc w:val="both"/>
        <w:rPr>
          <w:rFonts w:ascii="宋体" w:hAnsi="宋体" w:cs="宋体" w:eastAsia="宋体" w:hint="default"/>
        </w:rPr>
      </w:pPr>
      <w:r>
        <w:rPr>
          <w:spacing w:val="-2"/>
        </w:rPr>
        <w:t>王晓东先生：</w:t>
      </w:r>
      <w:r>
        <w:rPr>
          <w:rFonts w:ascii="宋体" w:hAnsi="宋体" w:cs="宋体" w:eastAsia="宋体" w:hint="default"/>
          <w:spacing w:val="-2"/>
        </w:rPr>
        <w:t>1973</w:t>
      </w:r>
      <w:r>
        <w:rPr>
          <w:spacing w:val="-2"/>
        </w:rPr>
        <w:t>年出生，无境外永久居留权，北京航空航天大学本科毕业，高级工程师。历任中科</w:t>
      </w:r>
      <w:r>
        <w:rPr>
          <w:w w:val="100"/>
        </w:rPr>
        <w:t> </w:t>
      </w:r>
      <w:r>
        <w:rPr>
          <w:spacing w:val="-2"/>
        </w:rPr>
        <w:t>院成都信息技术有限公司总经理助理等职。现任中科院成都信息技术股份有限公司副总经理兼工业计算机</w:t>
      </w:r>
      <w:r>
        <w:rPr>
          <w:spacing w:val="-43"/>
        </w:rPr>
        <w:t> </w:t>
      </w:r>
      <w:r>
        <w:rPr>
          <w:spacing w:val="-43"/>
        </w:rPr>
      </w:r>
      <w:r>
        <w:rPr/>
        <w:t>应用事业部经理，中科院金华信息技术有限公司监事。</w:t>
      </w:r>
      <w:r>
        <w:rPr>
          <w:rFonts w:ascii="宋体" w:hAnsi="宋体" w:cs="宋体" w:eastAsia="宋体" w:hint="default"/>
        </w:rPr>
        <w:t> </w:t>
      </w:r>
    </w:p>
    <w:p>
      <w:pPr>
        <w:pStyle w:val="BodyText"/>
        <w:spacing w:line="408" w:lineRule="auto"/>
        <w:ind w:right="146"/>
        <w:jc w:val="both"/>
      </w:pPr>
      <w:r>
        <w:rPr>
          <w:rFonts w:ascii="宋体" w:hAnsi="宋体" w:cs="宋体" w:eastAsia="宋体" w:hint="default"/>
          <w:w w:val="100"/>
        </w:rPr>
        <w:t>    </w:t>
      </w:r>
      <w:r>
        <w:rPr>
          <w:spacing w:val="-2"/>
        </w:rPr>
        <w:t>刘小兵先生：</w:t>
      </w:r>
      <w:r>
        <w:rPr>
          <w:rFonts w:ascii="宋体" w:hAnsi="宋体" w:cs="宋体" w:eastAsia="宋体" w:hint="default"/>
          <w:spacing w:val="-2"/>
        </w:rPr>
        <w:t>1970</w:t>
      </w:r>
      <w:r>
        <w:rPr>
          <w:spacing w:val="-2"/>
        </w:rPr>
        <w:t>年出生，无境外永久居留权，四川大学本科毕业。历任中科院成都信息技术有限公</w:t>
      </w:r>
      <w:r>
        <w:rPr>
          <w:w w:val="100"/>
        </w:rPr>
        <w:t> </w:t>
      </w:r>
      <w:r>
        <w:rPr>
          <w:spacing w:val="-2"/>
        </w:rPr>
        <w:t>司财务部副经理、财务副总监兼财务部经理等职。现任中科院成都信息技术股份有限公司财务总监，成都</w:t>
      </w:r>
      <w:r>
        <w:rPr>
          <w:spacing w:val="-43"/>
        </w:rPr>
        <w:t> </w:t>
      </w:r>
      <w:r>
        <w:rPr>
          <w:spacing w:val="-43"/>
        </w:rPr>
      </w:r>
      <w:r>
        <w:rPr/>
        <w:t>中科信息技术有限公司财务经理，中科院金华信息技术有限公司财务经理。</w:t>
      </w:r>
    </w:p>
    <w:p>
      <w:pPr>
        <w:spacing w:before="33"/>
        <w:ind w:left="152" w:right="15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部门总经理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联想控股股份有限公司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上海碧科清洁能源技术有限公司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北京中科科仪股份有限公司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北京中科资源有限公司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中科院广州化学有限公司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联泓新材料有限公司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中科院广州电子技术有限公司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中科实业集团（控股）有限公司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中国科技出版传媒集团有限公司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中国科技产业投资管理有限公司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中国科学院沈阳科学仪器股份有限公司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中科院南京天文仪器有限公司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国科嘉和（北京）投资管理有限公司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国科羲裕（上海）投资管理有限公司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上海联升创业投资有限公司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上海联升承业创业投资有限公司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广东国科创业投资有限公司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中信国科资产管理有限公司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四川省计算机学会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执行理事长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中国科学院曼谷创新合作中心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国科技出版传媒集团有限公司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东方科仪控股集团有限公司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中科院创新孵化投资有限责任公司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北京科诺伟业科技股份有限公司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94"/>
              <w:jc w:val="left"/>
              <w:rPr>
                <w:rFonts w:ascii="宋体" w:hAnsi="宋体" w:cs="宋体" w:eastAsia="宋体" w:hint="default"/>
                <w:sz w:val="18"/>
                <w:szCs w:val="18"/>
              </w:rPr>
            </w:pPr>
            <w:r>
              <w:rPr>
                <w:rFonts w:ascii="宋体" w:hAnsi="宋体" w:cs="宋体" w:eastAsia="宋体" w:hint="default"/>
                <w:sz w:val="18"/>
                <w:szCs w:val="18"/>
              </w:rPr>
              <w:t>中国科学院沈阳计算技术研究所有限公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沈阳高精数控智能技术股份有限公司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四川大西洋焊接材料股份有限公司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中国科学院京区企业党委办公室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中科院沈阳科学仪器股份有限公司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中科院建筑设计研究院有限公司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深圳中钞科信金融科技有限公司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成都中科石油工程技术股份有限公司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成都中科信息技术有限公司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中国科学院大学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中科院金华信息技术有限公司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after="0"/>
        <w:jc w:val="left"/>
        <w:rPr>
          <w:rFonts w:ascii="宋体" w:hAnsi="宋体" w:cs="宋体" w:eastAsia="宋体" w:hint="default"/>
          <w:sz w:val="18"/>
          <w:szCs w:val="18"/>
        </w:rPr>
        <w:sectPr>
          <w:footerReference w:type="default" r:id="rId20"/>
          <w:pgSz w:w="11910" w:h="16840"/>
          <w:pgMar w:footer="974" w:header="880" w:top="1100" w:bottom="1160" w:left="980" w:right="980"/>
          <w:pgNumType w:start="68"/>
        </w:sectPr>
      </w:pPr>
    </w:p>
    <w:p>
      <w:pPr>
        <w:spacing w:line="240" w:lineRule="auto" w:before="0"/>
        <w:rPr>
          <w:rFonts w:ascii="宋体" w:hAnsi="宋体" w:cs="宋体" w:eastAsia="宋体" w:hint="default"/>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before="0"/>
        <w:ind w:right="146" w:firstLine="420"/>
        <w:jc w:val="both"/>
        <w:rPr>
          <w:rFonts w:ascii="宋体" w:hAnsi="宋体" w:cs="宋体" w:eastAsia="宋体" w:hint="default"/>
        </w:rPr>
      </w:pPr>
      <w:r>
        <w:rPr>
          <w:spacing w:val="-2"/>
        </w:rPr>
        <w:t>本公司确定董事、监事、高级管理人员及其他核心人员薪酬的原则是：对于非独立董事和监事，按其</w:t>
      </w:r>
      <w:r>
        <w:rPr>
          <w:w w:val="100"/>
        </w:rPr>
        <w:t> </w:t>
      </w:r>
      <w:r>
        <w:rPr>
          <w:spacing w:val="-2"/>
        </w:rPr>
        <w:t>在公司所担任的行政职务领取相对应的薪酬；对独立董事，经本公司股东大会批准，独立董事领取独立董</w:t>
      </w:r>
      <w:r>
        <w:rPr>
          <w:spacing w:val="-42"/>
        </w:rPr>
        <w:t> </w:t>
      </w:r>
      <w:r>
        <w:rPr>
          <w:spacing w:val="-42"/>
        </w:rPr>
      </w:r>
      <w:r>
        <w:rPr>
          <w:spacing w:val="-2"/>
        </w:rPr>
        <w:t>事津贴；对于高级管理人员及其他核心人员，根据地区和行业水平、公司年度经营业绩结合个人表现及岗</w:t>
      </w:r>
      <w:r>
        <w:rPr>
          <w:spacing w:val="-43"/>
        </w:rPr>
        <w:t> </w:t>
      </w:r>
      <w:r>
        <w:rPr>
          <w:spacing w:val="-43"/>
        </w:rPr>
      </w:r>
      <w:r>
        <w:rPr>
          <w:spacing w:val="-2"/>
        </w:rPr>
        <w:t>位确定薪酬水平。索继栓、张勇、杨红梅为国科控股提名但不在公司担任具体管理职务的董事，傅敏为国</w:t>
      </w:r>
      <w:r>
        <w:rPr>
          <w:spacing w:val="-47"/>
        </w:rPr>
        <w:t> </w:t>
      </w:r>
      <w:r>
        <w:rPr>
          <w:spacing w:val="-47"/>
        </w:rPr>
      </w:r>
      <w:r>
        <w:rPr/>
        <w:t>科控股提名但不在公司担任具体管理职务的监事，不在公司领薪。</w:t>
      </w:r>
      <w:r>
        <w:rPr>
          <w:rFonts w:ascii="宋体" w:hAnsi="宋体" w:cs="宋体" w:eastAsia="宋体" w:hint="default"/>
        </w:rPr>
        <w:t> </w:t>
      </w:r>
    </w:p>
    <w:p>
      <w:pPr>
        <w:spacing w:before="33"/>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索继栓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杨红梅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付忠良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史志明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肖帆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尹邦明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刘小兵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t>根据公司发展战略方向及人力资源职能战略，在合法合规的基础上建立起了具有公司特色的薪酬与考</w:t>
      </w:r>
      <w:r>
        <w:rPr>
          <w:w w:val="100"/>
        </w:rPr>
        <w:t> </w:t>
      </w:r>
      <w:r>
        <w:rPr>
          <w:spacing w:val="-2"/>
        </w:rPr>
        <w:t>核体系。以地区薪酬水平为基础，以高科技行业薪酬水平为重要参考，结合业务战略的预期水平，使公司</w:t>
      </w:r>
      <w:r>
        <w:rPr>
          <w:spacing w:val="-50"/>
        </w:rPr>
        <w:t> </w:t>
      </w:r>
      <w:r>
        <w:rPr>
          <w:spacing w:val="-50"/>
        </w:rPr>
      </w:r>
      <w:r>
        <w:rPr>
          <w:spacing w:val="-2"/>
        </w:rPr>
        <w:t>整体薪酬水平体现出了综合竞争性，以此稳留和吸引人才。根据员工所具备的资历和业务技能水平，及从</w:t>
      </w:r>
      <w:r>
        <w:rPr>
          <w:spacing w:val="-43"/>
        </w:rPr>
        <w:t> </w:t>
      </w:r>
      <w:r>
        <w:rPr>
          <w:spacing w:val="-43"/>
        </w:rPr>
      </w:r>
      <w:r>
        <w:rPr>
          <w:spacing w:val="-2"/>
        </w:rPr>
        <w:t>事的岗位绩效情况，来综合确定员工的薪酬水平，建立内部公平性。岗位薪级确定资历，业绩考核确定绩</w:t>
      </w:r>
      <w:r>
        <w:rPr>
          <w:spacing w:val="-50"/>
        </w:rPr>
        <w:t> </w:t>
      </w:r>
      <w:r>
        <w:rPr>
          <w:spacing w:val="-50"/>
        </w:rPr>
      </w:r>
      <w:r>
        <w:rPr>
          <w:spacing w:val="-5"/>
        </w:rPr>
        <w:t>效，以此来建立合理薪酬结构，区分不同层级和不同贡献的员工所应该得到的回报。同时，公司鼓励创新，</w:t>
      </w:r>
      <w:r>
        <w:rPr>
          <w:spacing w:val="-9"/>
        </w:rPr>
        <w:t> </w:t>
      </w:r>
      <w:r>
        <w:rPr>
          <w:spacing w:val="-9"/>
        </w:rPr>
      </w:r>
      <w:r>
        <w:rPr>
          <w:spacing w:val="-2"/>
        </w:rPr>
        <w:t>明确创新方案，设置创新奖励，以推动公司的创新建设。薪酬完全在财务预算范围之内进行，根据公司经</w:t>
      </w:r>
      <w:r>
        <w:rPr>
          <w:spacing w:val="-49"/>
        </w:rPr>
        <w:t> </w:t>
      </w:r>
      <w:r>
        <w:rPr>
          <w:spacing w:val="-49"/>
        </w:rPr>
      </w:r>
      <w:r>
        <w:rPr/>
        <w:t>营效益、薪资市场行情等宏观形式，做到了工资能上能下，多劳多得，创新性付出有创新性收获。</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0"/>
        <w:jc w:val="left"/>
      </w:pPr>
      <w:r>
        <w:rPr/>
        <w:t>根据业务战略发展需要、绩效考核情况，对现有员工胜任力进行评估，制定培训计划，编制预算。通</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25"/>
        <w:jc w:val="both"/>
      </w:pPr>
      <w:r>
        <w:rPr>
          <w:spacing w:val="-2"/>
        </w:rPr>
        <w:t>过外部培训、内部培训、网络授课学习和内部分享等形式，建立学习型组织，形成知识经验的积累沉淀。</w:t>
      </w:r>
      <w:r>
        <w:rPr>
          <w:spacing w:val="-21"/>
        </w:rPr>
        <w:t> </w:t>
      </w:r>
      <w:r>
        <w:rPr>
          <w:spacing w:val="-21"/>
        </w:rPr>
      </w:r>
      <w:r>
        <w:rPr>
          <w:spacing w:val="-2"/>
        </w:rPr>
        <w:t>建立起内部讲师团队和讲课制度，以企业讲堂的形式开展授课，员工在团队中提升业务技能。建立了新员</w:t>
      </w:r>
      <w:r>
        <w:rPr>
          <w:spacing w:val="-43"/>
        </w:rPr>
        <w:t> </w:t>
      </w:r>
      <w:r>
        <w:rPr>
          <w:spacing w:val="-43"/>
        </w:rPr>
      </w:r>
      <w:r>
        <w:rPr/>
        <w:t>工导师制度，对入职新员工进行为期一年的一对一跟踪辅导，使其尽快进入最佳工作状态。</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608" w:right="664"/>
        <w:jc w:val="center"/>
        <w:rPr>
          <w:b w:val="0"/>
          <w:bCs w:val="0"/>
        </w:rPr>
      </w:pPr>
      <w:bookmarkStart w:name="_TOC_250002"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5"/>
        <w:rPr>
          <w:rFonts w:ascii="宋体" w:hAnsi="宋体" w:cs="宋体" w:eastAsia="宋体" w:hint="default"/>
          <w:b/>
          <w:bCs/>
          <w:sz w:val="30"/>
          <w:szCs w:val="30"/>
        </w:rPr>
      </w:pPr>
    </w:p>
    <w:p>
      <w:pPr>
        <w:pStyle w:val="BodyText"/>
        <w:spacing w:line="408" w:lineRule="auto" w:before="0"/>
        <w:ind w:right="184" w:firstLine="420"/>
        <w:jc w:val="both"/>
        <w:rPr>
          <w:rFonts w:ascii="宋体" w:hAnsi="宋体" w:cs="宋体" w:eastAsia="宋体" w:hint="default"/>
        </w:rPr>
      </w:pPr>
      <w:r>
        <w:rPr>
          <w:spacing w:val="-2"/>
        </w:rPr>
        <w:t>报告期内，公司严格按照《中华人民共和国公司法》（以下简称《公司法》）《中华人民共和国证券</w:t>
      </w:r>
      <w:r>
        <w:rPr>
          <w:w w:val="100"/>
        </w:rPr>
        <w:t> </w:t>
      </w:r>
      <w:r>
        <w:rPr/>
        <w:t>法》（以下简称《证券法》）</w:t>
      </w:r>
      <w:r>
        <w:rPr>
          <w:spacing w:val="25"/>
        </w:rPr>
        <w:t> </w:t>
      </w:r>
      <w:r>
        <w:rPr>
          <w:rFonts w:ascii="宋体" w:hAnsi="宋体" w:cs="宋体" w:eastAsia="宋体" w:hint="default"/>
          <w:spacing w:val="25"/>
        </w:rPr>
      </w:r>
      <w:r>
        <w:rPr/>
        <w:t>《上市公司治理规则》</w:t>
      </w:r>
      <w:r>
        <w:rPr>
          <w:spacing w:val="25"/>
        </w:rPr>
        <w:t> </w:t>
      </w:r>
      <w:r>
        <w:rPr>
          <w:rFonts w:ascii="宋体" w:hAnsi="宋体" w:cs="宋体" w:eastAsia="宋体" w:hint="default"/>
          <w:spacing w:val="25"/>
        </w:rPr>
      </w:r>
      <w:r>
        <w:rPr/>
        <w:t>《深圳证券交易所创业板上市规则》</w:t>
      </w:r>
      <w:r>
        <w:rPr>
          <w:spacing w:val="25"/>
        </w:rPr>
        <w:t> </w:t>
      </w:r>
      <w:r>
        <w:rPr>
          <w:rFonts w:ascii="宋体" w:hAnsi="宋体" w:cs="宋体" w:eastAsia="宋体" w:hint="default"/>
          <w:spacing w:val="25"/>
        </w:rPr>
      </w:r>
      <w:r>
        <w:rPr/>
        <w:t>《深圳证券</w:t>
      </w:r>
      <w:r>
        <w:rPr>
          <w:spacing w:val="-97"/>
        </w:rPr>
        <w:t> </w:t>
      </w:r>
      <w:r>
        <w:rPr>
          <w:spacing w:val="-97"/>
        </w:rPr>
      </w:r>
      <w:r>
        <w:rPr>
          <w:spacing w:val="-2"/>
        </w:rPr>
        <w:t>交易所创业板上市公司规范运作指引》及其他相关法律、法规、规范性文件，建立了科学规范的法人治理</w:t>
      </w:r>
      <w:r>
        <w:rPr>
          <w:spacing w:val="-47"/>
        </w:rPr>
        <w:t> </w:t>
      </w:r>
      <w:r>
        <w:rPr>
          <w:spacing w:val="-47"/>
        </w:rPr>
      </w:r>
      <w:r>
        <w:rPr>
          <w:spacing w:val="-2"/>
        </w:rPr>
        <w:t>结构、健全的内部控制制度，促进公司规范运作。督促公司董事、监事、经理等高级管理人员加强对相关</w:t>
      </w:r>
      <w:r>
        <w:rPr>
          <w:spacing w:val="-43"/>
        </w:rPr>
        <w:t> </w:t>
      </w:r>
      <w:r>
        <w:rPr>
          <w:spacing w:val="-43"/>
        </w:rPr>
      </w:r>
      <w:r>
        <w:rPr>
          <w:spacing w:val="-2"/>
        </w:rPr>
        <w:t>法律、法规及规范性文件的学习，使其明确应当遵循的基本行为准则和职业道德。切实保护投资者权利，</w:t>
      </w:r>
      <w:r>
        <w:rPr>
          <w:spacing w:val="-21"/>
        </w:rPr>
        <w:t> </w:t>
      </w:r>
      <w:r>
        <w:rPr>
          <w:spacing w:val="-21"/>
        </w:rPr>
      </w:r>
      <w:r>
        <w:rPr>
          <w:spacing w:val="-2"/>
        </w:rPr>
        <w:t>真实、准确、完整、及时、公平地披露信息，公司规范运作水平不断提高。公司“三会一层”科学分工、</w:t>
      </w:r>
      <w:r>
        <w:rPr>
          <w:spacing w:val="-20"/>
        </w:rPr>
        <w:t> </w:t>
      </w:r>
      <w:r>
        <w:rPr>
          <w:spacing w:val="-20"/>
        </w:rPr>
      </w:r>
      <w:r>
        <w:rPr>
          <w:spacing w:val="-2"/>
        </w:rPr>
        <w:t>相互制衡、权责分明，按其职责行使权力，“三会”会议的召开程序、提案审议程序、表决、公告等程序</w:t>
      </w:r>
      <w:r>
        <w:rPr>
          <w:spacing w:val="-50"/>
        </w:rPr>
        <w:t> </w:t>
      </w:r>
      <w:r>
        <w:rPr>
          <w:spacing w:val="-50"/>
        </w:rPr>
      </w:r>
      <w:r>
        <w:rPr>
          <w:spacing w:val="-2"/>
        </w:rPr>
        <w:t>均符合相关规定。截至报告期末，公司治理的实际状况符合相关法律法规及中国证监会、深圳证券交易所</w:t>
      </w:r>
      <w:r>
        <w:rPr>
          <w:spacing w:val="-43"/>
        </w:rPr>
        <w:t> </w:t>
      </w:r>
      <w:r>
        <w:rPr>
          <w:spacing w:val="-43"/>
        </w:rPr>
      </w:r>
      <w:r>
        <w:rPr/>
        <w:t>发布的有关上市公司治理的规范性文件要求。</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（一）关于股东与股东大会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firstLine="406"/>
        <w:jc w:val="both"/>
        <w:rPr>
          <w:rFonts w:ascii="宋体" w:hAnsi="宋体" w:cs="宋体" w:eastAsia="宋体" w:hint="default"/>
        </w:rPr>
      </w:pPr>
      <w:r>
        <w:rPr/>
        <w:t>公司严格遵守《公司法》 </w:t>
      </w:r>
      <w:r>
        <w:rPr>
          <w:rFonts w:ascii="宋体" w:hAnsi="宋体" w:cs="宋体" w:eastAsia="宋体" w:hint="default"/>
        </w:rPr>
      </w:r>
      <w:r>
        <w:rPr/>
        <w:t>《上市公司股东大会规则》《股东大会议事规则》等法律法规和公司</w:t>
      </w:r>
      <w:r>
        <w:rPr>
          <w:spacing w:val="-18"/>
        </w:rPr>
        <w:t> </w:t>
      </w:r>
      <w:r>
        <w:rPr>
          <w:rFonts w:ascii="宋体" w:hAnsi="宋体" w:cs="宋体" w:eastAsia="宋体" w:hint="default"/>
          <w:spacing w:val="-18"/>
        </w:rPr>
      </w:r>
      <w:r>
        <w:rPr>
          <w:spacing w:val="-3"/>
        </w:rPr>
        <w:t>《章</w:t>
      </w:r>
      <w:r>
        <w:rPr>
          <w:spacing w:val="-3"/>
          <w:w w:val="100"/>
        </w:rPr>
        <w:t> </w:t>
      </w:r>
      <w:r>
        <w:rPr>
          <w:spacing w:val="-2"/>
        </w:rPr>
        <w:t>程》的规定和要求，规范地执行股东大会的召集、召开、表决程序，请见证律师进行全程的现场见证并出</w:t>
      </w:r>
      <w:r>
        <w:rPr>
          <w:spacing w:val="-43"/>
        </w:rPr>
        <w:t> </w:t>
      </w:r>
      <w:r>
        <w:rPr>
          <w:spacing w:val="-43"/>
        </w:rPr>
      </w:r>
      <w:r>
        <w:rPr>
          <w:spacing w:val="-2"/>
        </w:rPr>
        <w:t>具了法律意见书，确保会议全部程序符合相关法律法规的规定、出席会议人员和召集人的资格有效、表决</w:t>
      </w:r>
      <w:r>
        <w:rPr>
          <w:spacing w:val="-43"/>
        </w:rPr>
        <w:t> </w:t>
      </w:r>
      <w:r>
        <w:rPr>
          <w:spacing w:val="-43"/>
        </w:rPr>
      </w:r>
      <w:r>
        <w:rPr/>
        <w:t>程序和表决结果合法有效。</w:t>
      </w:r>
      <w:r>
        <w:rPr>
          <w:spacing w:val="71"/>
        </w:rPr>
        <w:t> </w:t>
      </w:r>
      <w:r>
        <w:rPr>
          <w:rFonts w:ascii="宋体" w:hAnsi="宋体" w:cs="宋体" w:eastAsia="宋体" w:hint="default"/>
          <w:spacing w:val="71"/>
        </w:rPr>
      </w:r>
      <w:r>
        <w:rPr/>
        <w:t>保证了全体股东，特别是中小股东享有平等地位、平等权利，充分行使自己</w:t>
      </w:r>
      <w:r>
        <w:rPr>
          <w:spacing w:val="-95"/>
        </w:rPr>
        <w:t> </w:t>
      </w:r>
      <w:r>
        <w:rPr>
          <w:spacing w:val="-95"/>
        </w:rPr>
      </w:r>
      <w:r>
        <w:rPr/>
        <w:t>的权利，并承担相应的义务。</w:t>
      </w:r>
      <w:r>
        <w:rPr>
          <w:rFonts w:ascii="宋体" w:hAnsi="宋体" w:cs="宋体" w:eastAsia="宋体" w:hint="default"/>
        </w:rPr>
        <w:t> </w:t>
      </w:r>
    </w:p>
    <w:p>
      <w:pPr>
        <w:pStyle w:val="BodyText"/>
        <w:spacing w:line="408" w:lineRule="auto"/>
        <w:ind w:right="20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rPr>
        <w:t> </w:t>
      </w:r>
      <w:r>
        <w:rPr>
          <w:rFonts w:ascii="宋体" w:hAnsi="宋体" w:cs="宋体" w:eastAsia="宋体" w:hint="default"/>
          <w:w w:val="100"/>
        </w:rPr>
        <w:t> </w:t>
      </w:r>
      <w:r>
        <w:rPr>
          <w:rFonts w:ascii="宋体" w:hAnsi="宋体" w:cs="宋体" w:eastAsia="宋体" w:hint="default"/>
          <w:spacing w:val="1"/>
        </w:rPr>
        <w:t> </w:t>
      </w:r>
      <w:r>
        <w:rPr/>
        <w:t>报告期内，公司共召开了</w:t>
      </w:r>
      <w:r>
        <w:rPr>
          <w:rFonts w:ascii="宋体" w:hAnsi="宋体" w:cs="宋体" w:eastAsia="宋体" w:hint="default"/>
        </w:rPr>
        <w:t>2</w:t>
      </w:r>
      <w:r>
        <w:rPr/>
        <w:t>次股东大会，均由董事会召集。公司修改了公司《章程》，根据上级党组</w:t>
      </w:r>
      <w:r>
        <w:rPr>
          <w:w w:val="100"/>
        </w:rPr>
        <w:t> </w:t>
      </w:r>
      <w:r>
        <w:rPr/>
        <w:t>织的要求及公司完成</w:t>
      </w:r>
      <w:r>
        <w:rPr>
          <w:rFonts w:ascii="宋体" w:hAnsi="宋体" w:cs="宋体" w:eastAsia="宋体" w:hint="default"/>
        </w:rPr>
        <w:t>IPO</w:t>
      </w:r>
      <w:r>
        <w:rPr/>
        <w:t>的实际，对党组织在公司的地位与作用，以及党组织的机构设置、注册资本及股</w:t>
      </w:r>
      <w:r>
        <w:rPr>
          <w:spacing w:val="-25"/>
        </w:rPr>
        <w:t> </w:t>
      </w:r>
      <w:r>
        <w:rPr>
          <w:spacing w:val="-25"/>
        </w:rPr>
      </w:r>
      <w:r>
        <w:rPr>
          <w:spacing w:val="-2"/>
        </w:rPr>
        <w:t>本情况等进行了修订完善，使公司《章程》更加符合上级党组织对国有控股企业的基本要求和发行新股后</w:t>
      </w:r>
      <w:r>
        <w:rPr>
          <w:spacing w:val="-43"/>
        </w:rPr>
        <w:t> </w:t>
      </w:r>
      <w:r>
        <w:rPr>
          <w:spacing w:val="-43"/>
        </w:rPr>
      </w:r>
      <w:r>
        <w:rPr/>
        <w:t>的实际情况。</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b/>
          <w:bCs/>
          <w:w w:val="99"/>
        </w:rPr>
        <w:t> </w:t>
      </w:r>
      <w:r>
        <w:rPr>
          <w:rFonts w:ascii="宋体" w:hAnsi="宋体" w:cs="宋体" w:eastAsia="宋体" w:hint="default"/>
          <w:b/>
          <w:bCs/>
          <w:spacing w:val="-1"/>
        </w:rPr>
        <w:t> </w:t>
      </w:r>
      <w:r>
        <w:rPr>
          <w:rFonts w:ascii="宋体" w:hAnsi="宋体" w:cs="宋体" w:eastAsia="宋体" w:hint="default"/>
          <w:b/>
          <w:bCs/>
          <w:w w:val="99"/>
        </w:rPr>
        <w:t> </w:t>
      </w:r>
      <w:r>
        <w:rPr>
          <w:rFonts w:ascii="宋体" w:hAnsi="宋体" w:cs="宋体" w:eastAsia="宋体" w:hint="default"/>
          <w:b/>
          <w:bCs/>
        </w:rPr>
        <w:t> </w:t>
      </w:r>
      <w:r>
        <w:rPr/>
        <w:t>（二）关于关联交易、对外投资、对外担保</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BodyText"/>
        <w:spacing w:line="408" w:lineRule="auto" w:before="0"/>
        <w:ind w:right="0"/>
        <w:jc w:val="left"/>
        <w:rPr>
          <w:rFonts w:ascii="宋体" w:hAnsi="宋体" w:cs="宋体" w:eastAsia="宋体" w:hint="default"/>
        </w:rPr>
      </w:pPr>
      <w:r>
        <w:rPr>
          <w:rFonts w:ascii="宋体" w:hAnsi="宋体" w:cs="宋体" w:eastAsia="宋体" w:hint="default"/>
          <w:w w:val="100"/>
        </w:rPr>
        <w:t>    </w:t>
      </w:r>
      <w:r>
        <w:rPr>
          <w:spacing w:val="-5"/>
        </w:rPr>
        <w:t>为更好地规范公司运作，根据相关法律法规的要求制定了公司关联交易管理制度、对外投资管理制度、</w:t>
      </w:r>
      <w:r>
        <w:rPr>
          <w:w w:val="100"/>
        </w:rPr>
        <w:t> </w:t>
      </w:r>
      <w:r>
        <w:rPr/>
        <w:t>对外担保管理制度，在执行中加强对关联交易、对外投资、担保决策与披露的监督，确保合法合规。报告</w:t>
      </w:r>
      <w:r>
        <w:rPr>
          <w:w w:val="100"/>
        </w:rPr>
        <w:t> </w:t>
      </w:r>
      <w:r>
        <w:rPr/>
        <w:t>期内，公司无对外投资、担保事项。</w:t>
      </w:r>
      <w:r>
        <w:rPr>
          <w:rFonts w:ascii="宋体" w:hAnsi="宋体" w:cs="宋体" w:eastAsia="宋体" w:hint="default"/>
        </w:rPr>
        <w:t> </w:t>
      </w:r>
    </w:p>
    <w:p>
      <w:pPr>
        <w:pStyle w:val="BodyText"/>
        <w:spacing w:line="240" w:lineRule="auto" w:before="166"/>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1"/>
        </w:rPr>
        <w:t> </w:t>
      </w:r>
      <w:r>
        <w:rPr/>
        <w:t>（三）关于董事与董事会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w w:val="100"/>
        </w:rPr>
        <w:t>    </w:t>
      </w:r>
      <w:r>
        <w:rPr>
          <w:spacing w:val="-3"/>
        </w:rPr>
        <w:t>公司董事会设董事</w:t>
      </w:r>
      <w:r>
        <w:rPr>
          <w:rFonts w:ascii="宋体" w:hAnsi="宋体" w:cs="宋体" w:eastAsia="宋体" w:hint="default"/>
          <w:spacing w:val="-3"/>
        </w:rPr>
        <w:t>9</w:t>
      </w:r>
      <w:r>
        <w:rPr>
          <w:spacing w:val="-3"/>
        </w:rPr>
        <w:t>名，其中独立董事</w:t>
      </w:r>
      <w:r>
        <w:rPr>
          <w:rFonts w:ascii="宋体" w:hAnsi="宋体" w:cs="宋体" w:eastAsia="宋体" w:hint="default"/>
          <w:spacing w:val="-3"/>
        </w:rPr>
        <w:t>3</w:t>
      </w:r>
      <w:r>
        <w:rPr>
          <w:spacing w:val="-3"/>
        </w:rPr>
        <w:t>名，董事选聘程序、董事会人数及人员构成均符合法律、法规</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t>和公司 </w:t>
      </w:r>
      <w:r>
        <w:rPr>
          <w:rFonts w:ascii="宋体" w:hAnsi="宋体" w:cs="宋体" w:eastAsia="宋体" w:hint="default"/>
        </w:rPr>
      </w:r>
      <w:r>
        <w:rPr/>
        <w:t>《章程》</w:t>
      </w:r>
      <w:r>
        <w:rPr>
          <w:spacing w:val="80"/>
        </w:rPr>
        <w:t> </w:t>
      </w:r>
      <w:r>
        <w:rPr>
          <w:rFonts w:ascii="宋体" w:hAnsi="宋体" w:cs="宋体" w:eastAsia="宋体" w:hint="default"/>
          <w:spacing w:val="80"/>
        </w:rPr>
      </w:r>
      <w:r>
        <w:rPr>
          <w:spacing w:val="-3"/>
        </w:rPr>
        <w:t>的要求。公司全体董事能够依照公司《深圳证券交易所创业板上市公司规范运作指引》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3"/>
        <w:jc w:val="left"/>
        <w:rPr>
          <w:rFonts w:ascii="宋体" w:hAnsi="宋体" w:cs="宋体" w:eastAsia="宋体" w:hint="default"/>
        </w:rPr>
      </w:pPr>
      <w:r>
        <w:rPr/>
        <w:t>《董事会议事规则》 </w:t>
      </w:r>
      <w:r>
        <w:rPr>
          <w:rFonts w:ascii="宋体" w:hAnsi="宋体" w:cs="宋体" w:eastAsia="宋体" w:hint="default"/>
        </w:rPr>
      </w:r>
      <w:r>
        <w:rPr/>
        <w:t>《独立董事工作制度》</w:t>
      </w:r>
      <w:r>
        <w:rPr>
          <w:spacing w:val="-29"/>
        </w:rPr>
        <w:t> </w:t>
      </w:r>
      <w:r>
        <w:rPr>
          <w:rFonts w:ascii="宋体" w:hAnsi="宋体" w:cs="宋体" w:eastAsia="宋体" w:hint="default"/>
          <w:spacing w:val="-29"/>
        </w:rPr>
      </w:r>
      <w:r>
        <w:rPr/>
        <w:t>规范地开展工作，勤勉尽责，积极履行职责和义务，按时出</w:t>
      </w:r>
      <w:r>
        <w:rPr>
          <w:w w:val="100"/>
        </w:rPr>
        <w:t> </w:t>
      </w:r>
      <w:r>
        <w:rPr/>
        <w:t>席董事会和股东大会，坚持参加有关培训，学习法律法规及各类规范指引的要求，推进公司规范运作。</w:t>
      </w:r>
      <w:r>
        <w:rPr>
          <w:rFonts w:ascii="宋体" w:hAnsi="宋体" w:cs="宋体" w:eastAsia="宋体" w:hint="default"/>
        </w:rPr>
        <w:t> </w:t>
      </w:r>
    </w:p>
    <w:p>
      <w:pPr>
        <w:pStyle w:val="BodyText"/>
        <w:spacing w:line="240" w:lineRule="auto"/>
        <w:ind w:left="608" w:right="7048"/>
        <w:jc w:val="center"/>
        <w:rPr>
          <w:rFonts w:ascii="宋体" w:hAnsi="宋体" w:cs="宋体" w:eastAsia="宋体" w:hint="default"/>
        </w:rPr>
      </w:pPr>
      <w:r>
        <w:rPr/>
        <w:t>（四）关于监事与监事会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87"/>
        <w:jc w:val="both"/>
        <w:rPr>
          <w:rFonts w:ascii="宋体" w:hAnsi="宋体" w:cs="宋体" w:eastAsia="宋体" w:hint="default"/>
        </w:rPr>
      </w:pPr>
      <w:r>
        <w:rPr>
          <w:rFonts w:ascii="宋体" w:hAnsi="宋体" w:cs="宋体" w:eastAsia="宋体" w:hint="default"/>
          <w:w w:val="100"/>
        </w:rPr>
        <w:t>    </w:t>
      </w:r>
      <w:r>
        <w:rPr>
          <w:spacing w:val="-2"/>
        </w:rPr>
        <w:t>公司监事会由</w:t>
      </w:r>
      <w:r>
        <w:rPr>
          <w:rFonts w:ascii="宋体" w:hAnsi="宋体" w:cs="宋体" w:eastAsia="宋体" w:hint="default"/>
          <w:spacing w:val="-2"/>
        </w:rPr>
        <w:t>3</w:t>
      </w:r>
      <w:r>
        <w:rPr>
          <w:spacing w:val="-2"/>
        </w:rPr>
        <w:t>名监事组成，其中职工监事</w:t>
      </w:r>
      <w:r>
        <w:rPr>
          <w:rFonts w:ascii="宋体" w:hAnsi="宋体" w:cs="宋体" w:eastAsia="宋体" w:hint="default"/>
          <w:spacing w:val="-2"/>
        </w:rPr>
        <w:t>1</w:t>
      </w:r>
      <w:r>
        <w:rPr>
          <w:spacing w:val="-2"/>
        </w:rPr>
        <w:t>名，监事会的人数和构成符合法律、法规和公司《章程》</w:t>
      </w:r>
      <w:r>
        <w:rPr>
          <w:w w:val="100"/>
        </w:rPr>
        <w:t> </w:t>
      </w:r>
      <w:r>
        <w:rPr>
          <w:spacing w:val="-2"/>
        </w:rPr>
        <w:t>的要求。公司全体监事能够按照《监事会议事规则》的要求，认真履行职责，积极参加相关培训，对董事</w:t>
      </w:r>
      <w:r>
        <w:rPr>
          <w:spacing w:val="-41"/>
        </w:rPr>
        <w:t> </w:t>
      </w:r>
      <w:r>
        <w:rPr>
          <w:spacing w:val="-41"/>
        </w:rPr>
      </w:r>
      <w:r>
        <w:rPr>
          <w:spacing w:val="-2"/>
        </w:rPr>
        <w:t>会决策程序、决议事项、公司依法运作情况、公司董事和高级管理人员履行职责的合法合规性进行了有效</w:t>
      </w:r>
      <w:r>
        <w:rPr>
          <w:spacing w:val="-42"/>
        </w:rPr>
        <w:t> </w:t>
      </w:r>
      <w:r>
        <w:rPr>
          <w:spacing w:val="-42"/>
        </w:rPr>
      </w:r>
      <w:r>
        <w:rPr/>
        <w:t>监督。对公司重大事项、关联交易、财务状况的合法合规性进行监督。</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（五）关于绩效评价和激励约束机制</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jc w:val="both"/>
        <w:rPr>
          <w:rFonts w:ascii="宋体" w:hAnsi="宋体" w:cs="宋体" w:eastAsia="宋体" w:hint="default"/>
        </w:rPr>
      </w:pPr>
      <w:r>
        <w:rPr>
          <w:rFonts w:ascii="宋体" w:hAnsi="宋体" w:cs="宋体" w:eastAsia="宋体" w:hint="default"/>
          <w:w w:val="100"/>
        </w:rPr>
        <w:t>    </w:t>
      </w:r>
      <w:r>
        <w:rPr>
          <w:spacing w:val="-3"/>
        </w:rPr>
        <w:t>公司《章程》明确规定了董事、监事和高级管理人员的聘任、履职行为、权限和职责，建立《董事会</w:t>
      </w:r>
      <w:r>
        <w:rPr>
          <w:w w:val="100"/>
        </w:rPr>
        <w:t> </w:t>
      </w:r>
      <w:r>
        <w:rPr/>
        <w:t>议事规则》 </w:t>
      </w:r>
      <w:r>
        <w:rPr>
          <w:rFonts w:ascii="宋体" w:hAnsi="宋体" w:cs="宋体" w:eastAsia="宋体" w:hint="default"/>
        </w:rPr>
      </w:r>
      <w:r>
        <w:rPr/>
        <w:t>《薪酬与考核委员会工作细则》</w:t>
      </w:r>
      <w:r>
        <w:rPr>
          <w:spacing w:val="-28"/>
        </w:rPr>
        <w:t> </w:t>
      </w:r>
      <w:r>
        <w:rPr>
          <w:rFonts w:ascii="宋体" w:hAnsi="宋体" w:cs="宋体" w:eastAsia="宋体" w:hint="default"/>
          <w:spacing w:val="-28"/>
        </w:rPr>
      </w:r>
      <w:r>
        <w:rPr/>
        <w:t>，明确了对董事和高级管理人员绩效评价标准和程序。独立</w:t>
      </w:r>
      <w:r>
        <w:rPr>
          <w:w w:val="100"/>
        </w:rPr>
        <w:t> </w:t>
      </w:r>
      <w:r>
        <w:rPr>
          <w:spacing w:val="-2"/>
        </w:rPr>
        <w:t>董事、监事的评价采取自我评价与相互评价相结合的方式进行，董事会、监事会向股东大会报告年度工作</w:t>
      </w:r>
      <w:r>
        <w:rPr>
          <w:spacing w:val="-42"/>
        </w:rPr>
        <w:t> </w:t>
      </w:r>
      <w:r>
        <w:rPr>
          <w:spacing w:val="-42"/>
        </w:rPr>
      </w:r>
      <w:r>
        <w:rPr/>
        <w:t>情况、绩效评价结果及薪酬情况，并予以了披露，做到了公正、透明。</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（六）关于信息披露与透明度</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jc w:val="left"/>
        <w:rPr>
          <w:rFonts w:ascii="宋体" w:hAnsi="宋体" w:cs="宋体" w:eastAsia="宋体" w:hint="default"/>
        </w:rPr>
      </w:pPr>
      <w:r>
        <w:rPr>
          <w:rFonts w:ascii="宋体" w:hAnsi="宋体" w:cs="宋体" w:eastAsia="宋体" w:hint="default"/>
          <w:w w:val="100"/>
        </w:rPr>
        <w:t>    </w:t>
      </w:r>
      <w:r>
        <w:rPr>
          <w:spacing w:val="-2"/>
        </w:rPr>
        <w:t>公司高度重视投资者关系管理工作，严格执行《证券法》和《深交所上市规则》等法规和公司《信息</w:t>
      </w:r>
      <w:r>
        <w:rPr>
          <w:w w:val="100"/>
        </w:rPr>
        <w:t> </w:t>
      </w:r>
      <w:r>
        <w:rPr/>
        <w:t>披露管理制度》 </w:t>
      </w:r>
      <w:r>
        <w:rPr>
          <w:rFonts w:ascii="宋体" w:hAnsi="宋体" w:cs="宋体" w:eastAsia="宋体" w:hint="default"/>
        </w:rPr>
      </w:r>
      <w:r>
        <w:rPr/>
        <w:t>《投资者关系管理制度》等规定，与投资者之间保持良好的双向沟通，促进投资者对公</w:t>
      </w:r>
      <w:r>
        <w:rPr>
          <w:spacing w:val="-25"/>
        </w:rPr>
        <w:t> </w:t>
      </w:r>
      <w:r>
        <w:rPr>
          <w:spacing w:val="-25"/>
        </w:rPr>
      </w:r>
      <w:r>
        <w:rPr>
          <w:spacing w:val="-2"/>
        </w:rPr>
        <w:t>司的了解和认同，确保所有股东有公平获得信息的机会，保障投资者的知情权。董事会指定公司董事会秘</w:t>
      </w:r>
      <w:r>
        <w:rPr>
          <w:spacing w:val="-44"/>
        </w:rPr>
        <w:t> </w:t>
      </w:r>
      <w:r>
        <w:rPr>
          <w:spacing w:val="-44"/>
        </w:rPr>
      </w:r>
      <w:r>
        <w:rPr>
          <w:spacing w:val="-5"/>
        </w:rPr>
        <w:t>书负责信息披露与投资者关系管理工作。通过深交所互动易平台、投资者专线电话、新闻媒体、网站专栏、</w:t>
      </w:r>
      <w:r>
        <w:rPr>
          <w:spacing w:val="-10"/>
        </w:rPr>
        <w:t> </w:t>
      </w:r>
      <w:r>
        <w:rPr>
          <w:spacing w:val="-10"/>
        </w:rPr>
      </w:r>
      <w:r>
        <w:rPr>
          <w:spacing w:val="-2"/>
        </w:rPr>
        <w:t>现场接待等渠道（方式）与各类投资者、中介机构的行研人员及中小投资者保持经常性联系，方便投资者</w:t>
      </w:r>
      <w:r>
        <w:rPr>
          <w:spacing w:val="-47"/>
        </w:rPr>
        <w:t> </w:t>
      </w:r>
      <w:r>
        <w:rPr>
          <w:spacing w:val="-47"/>
        </w:rPr>
      </w:r>
      <w:r>
        <w:rPr>
          <w:spacing w:val="-2"/>
        </w:rPr>
        <w:t>及时知悉、查询和咨询公司信息。按时公布公司定期报告，并将印刷版摆放在公司证券事务管理部门供投</w:t>
      </w:r>
      <w:r>
        <w:rPr>
          <w:spacing w:val="-43"/>
        </w:rPr>
        <w:t> </w:t>
      </w:r>
      <w:r>
        <w:rPr>
          <w:spacing w:val="-43"/>
        </w:rPr>
      </w:r>
      <w:r>
        <w:rPr>
          <w:spacing w:val="-2"/>
        </w:rPr>
        <w:t>资者查阅。公司在报告期内通过“互动易”平台收到有效提问</w:t>
      </w:r>
      <w:r>
        <w:rPr>
          <w:rFonts w:ascii="宋体" w:hAnsi="宋体" w:cs="宋体" w:eastAsia="宋体" w:hint="default"/>
          <w:spacing w:val="-2"/>
        </w:rPr>
        <w:t>176</w:t>
      </w:r>
      <w:r>
        <w:rPr>
          <w:spacing w:val="-2"/>
        </w:rPr>
        <w:t>条，回复率</w:t>
      </w:r>
      <w:r>
        <w:rPr>
          <w:rFonts w:ascii="宋体" w:hAnsi="宋体" w:cs="宋体" w:eastAsia="宋体" w:hint="default"/>
          <w:spacing w:val="-2"/>
        </w:rPr>
        <w:t>100%</w:t>
      </w:r>
      <w:r>
        <w:rPr>
          <w:spacing w:val="-2"/>
        </w:rPr>
        <w:t>，未有超时未回复记录。</w:t>
      </w:r>
      <w:r>
        <w:rPr>
          <w:spacing w:val="-36"/>
        </w:rPr>
        <w:t> </w:t>
      </w:r>
      <w:r>
        <w:rPr>
          <w:spacing w:val="-36"/>
        </w:rPr>
      </w:r>
      <w:r>
        <w:rPr/>
        <w:t>热情、周到地接听投资者专线电话</w:t>
      </w:r>
      <w:r>
        <w:rPr>
          <w:rFonts w:ascii="宋体" w:hAnsi="宋体" w:cs="宋体" w:eastAsia="宋体" w:hint="default"/>
        </w:rPr>
        <w:t>653</w:t>
      </w:r>
      <w:r>
        <w:rPr/>
        <w:t>次，客观、耐心地回答各种提问，未出现投资者投诉情况。未发生</w:t>
      </w:r>
      <w:r>
        <w:rPr>
          <w:spacing w:val="-26"/>
        </w:rPr>
        <w:t> </w:t>
      </w:r>
      <w:r>
        <w:rPr>
          <w:spacing w:val="-26"/>
        </w:rPr>
      </w:r>
      <w:r>
        <w:rPr/>
        <w:t>信息披露不规范而受到监管部门批评的情形。</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（七）关于相关利益者</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3" w:lineRule="auto" w:before="0"/>
        <w:ind w:left="152" w:right="0" w:firstLine="0"/>
        <w:jc w:val="left"/>
        <w:rPr>
          <w:rFonts w:ascii="宋体" w:hAnsi="宋体" w:cs="宋体" w:eastAsia="宋体" w:hint="default"/>
          <w:sz w:val="18"/>
          <w:szCs w:val="18"/>
        </w:rPr>
      </w:pPr>
      <w:r>
        <w:rPr>
          <w:rFonts w:ascii="宋体" w:hAnsi="宋体" w:cs="宋体" w:eastAsia="宋体" w:hint="default"/>
          <w:w w:val="100"/>
          <w:sz w:val="21"/>
          <w:szCs w:val="21"/>
        </w:rPr>
        <w:t>    </w:t>
      </w:r>
      <w:r>
        <w:rPr>
          <w:rFonts w:ascii="宋体" w:hAnsi="宋体" w:cs="宋体" w:eastAsia="宋体" w:hint="default"/>
          <w:spacing w:val="-2"/>
          <w:sz w:val="21"/>
          <w:szCs w:val="21"/>
        </w:rPr>
        <w:t>公司充分尊重和维护相关利益者的合法权益，实现社会、股东、公司、员工等各方利益的协调平衡，</w:t>
      </w:r>
      <w:r>
        <w:rPr>
          <w:rFonts w:ascii="宋体" w:hAnsi="宋体" w:cs="宋体" w:eastAsia="宋体" w:hint="default"/>
          <w:w w:val="100"/>
          <w:sz w:val="21"/>
          <w:szCs w:val="21"/>
        </w:rPr>
        <w:t> </w:t>
      </w:r>
      <w:r>
        <w:rPr>
          <w:rFonts w:ascii="宋体" w:hAnsi="宋体" w:cs="宋体" w:eastAsia="宋体" w:hint="default"/>
          <w:sz w:val="21"/>
          <w:szCs w:val="21"/>
        </w:rPr>
        <w:t>加强与各方的沟通与交流，共同推动公司持续、稳健发展。</w:t>
      </w:r>
      <w:r>
        <w:rPr>
          <w:rFonts w:ascii="宋体" w:hAnsi="宋体" w:cs="宋体" w:eastAsia="宋体" w:hint="default"/>
          <w:w w:val="100"/>
          <w:sz w:val="21"/>
          <w:szCs w:val="21"/>
        </w:rPr>
        <w:t> </w:t>
      </w: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0"/>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40" w:lineRule="auto"/>
        <w:jc w:val="left"/>
        <w:rPr>
          <w:rFonts w:ascii="宋体" w:hAnsi="宋体" w:cs="宋体" w:eastAsia="宋体" w:hint="default"/>
          <w:sz w:val="18"/>
          <w:szCs w:val="18"/>
        </w:rPr>
        <w:sectPr>
          <w:pgSz w:w="11910" w:h="16840"/>
          <w:pgMar w:header="880" w:footer="974" w:top="1100" w:bottom="1160" w:left="980" w:right="920"/>
        </w:sectPr>
      </w:pPr>
    </w:p>
    <w:p>
      <w:pPr>
        <w:spacing w:line="240" w:lineRule="auto" w:before="12"/>
        <w:rPr>
          <w:rFonts w:ascii="宋体" w:hAnsi="宋体" w:cs="宋体" w:eastAsia="宋体" w:hint="default"/>
          <w:sz w:val="19"/>
          <w:szCs w:val="19"/>
        </w:rPr>
      </w:pPr>
    </w:p>
    <w:p>
      <w:pPr>
        <w:pStyle w:val="Heading2"/>
        <w:spacing w:line="240" w:lineRule="auto" w:before="26"/>
        <w:ind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153"/>
        <w:jc w:val="left"/>
      </w:pPr>
      <w:r>
        <w:rPr/>
        <w:t>（一）业务独立情况</w:t>
      </w:r>
      <w:r>
        <w:rPr>
          <w:rFonts w:ascii="宋体" w:hAnsi="宋体" w:cs="宋体" w:eastAsia="宋体" w:hint="default"/>
          <w:w w:val="100"/>
        </w:rPr>
        <w:t> </w:t>
      </w:r>
      <w:r>
        <w:rPr>
          <w:spacing w:val="-2"/>
        </w:rPr>
        <w:t>报告期内，公司主营业务突出，拥有独立完整的研发、采购、实施和销售业务体系，独立采购所需原</w:t>
      </w:r>
    </w:p>
    <w:p>
      <w:pPr>
        <w:pStyle w:val="BodyText"/>
        <w:spacing w:line="408" w:lineRule="auto"/>
        <w:ind w:right="151"/>
        <w:jc w:val="both"/>
        <w:rPr>
          <w:rFonts w:ascii="宋体" w:hAnsi="宋体" w:cs="宋体" w:eastAsia="宋体" w:hint="default"/>
        </w:rPr>
      </w:pPr>
      <w:r>
        <w:rPr>
          <w:spacing w:val="-2"/>
        </w:rPr>
        <w:t>材料，独立组织项目实施，独立销售产品和提供售后服务。不存在依赖股东及其他关联方的情况，与控股</w:t>
      </w:r>
      <w:r>
        <w:rPr>
          <w:spacing w:val="-50"/>
        </w:rPr>
        <w:t> </w:t>
      </w:r>
      <w:r>
        <w:rPr>
          <w:spacing w:val="-50"/>
        </w:rPr>
      </w:r>
      <w:r>
        <w:rPr/>
        <w:t>股东不存在同业竞争情况。</w:t>
      </w:r>
      <w:r>
        <w:rPr>
          <w:rFonts w:ascii="宋体" w:hAnsi="宋体" w:cs="宋体" w:eastAsia="宋体" w:hint="default"/>
        </w:rPr>
        <w:t> </w:t>
      </w:r>
    </w:p>
    <w:p>
      <w:pPr>
        <w:pStyle w:val="BodyText"/>
        <w:spacing w:line="408" w:lineRule="auto"/>
        <w:ind w:left="573" w:right="153"/>
        <w:jc w:val="left"/>
      </w:pPr>
      <w:r>
        <w:rPr/>
        <w:t>（二）人员独立情况</w:t>
      </w:r>
      <w:r>
        <w:rPr>
          <w:rFonts w:ascii="宋体" w:hAnsi="宋体" w:cs="宋体" w:eastAsia="宋体" w:hint="default"/>
          <w:w w:val="100"/>
        </w:rPr>
        <w:t> </w:t>
      </w:r>
      <w:r>
        <w:rPr>
          <w:spacing w:val="-2"/>
        </w:rPr>
        <w:t>公司与全体在册职工分别签订了劳动合同，员工的劳动、人事、工资关系与关联方完全分离；公司总</w:t>
      </w:r>
    </w:p>
    <w:p>
      <w:pPr>
        <w:pStyle w:val="BodyText"/>
        <w:spacing w:line="408" w:lineRule="auto"/>
        <w:ind w:right="146"/>
        <w:jc w:val="both"/>
        <w:rPr>
          <w:rFonts w:ascii="宋体" w:hAnsi="宋体" w:cs="宋体" w:eastAsia="宋体" w:hint="default"/>
        </w:rPr>
      </w:pPr>
      <w:r>
        <w:rPr>
          <w:spacing w:val="-2"/>
        </w:rPr>
        <w:t>经理、副总经理、财务负责人及董事会秘书等高级管理人员均专职在公司工作并领取薪酬，没有在关联方</w:t>
      </w:r>
      <w:r>
        <w:rPr>
          <w:spacing w:val="-44"/>
        </w:rPr>
        <w:t> </w:t>
      </w:r>
      <w:r>
        <w:rPr>
          <w:spacing w:val="-44"/>
        </w:rPr>
      </w:r>
      <w:r>
        <w:rPr>
          <w:spacing w:val="-2"/>
        </w:rPr>
        <w:t>中担任除董事、监事以外的其他职务，没有在关联方领薪；公司的财务人员没有在关联方中兼职。公司董</w:t>
      </w:r>
      <w:r>
        <w:rPr>
          <w:spacing w:val="-50"/>
        </w:rPr>
        <w:t> </w:t>
      </w:r>
      <w:r>
        <w:rPr>
          <w:spacing w:val="-50"/>
        </w:rPr>
      </w:r>
      <w:r>
        <w:rPr>
          <w:spacing w:val="-2"/>
        </w:rPr>
        <w:t>事、监事及高级管理人员的任职，均严格按照《公司法》及其他法律、法规、规范性文件、公司章程规定</w:t>
      </w:r>
      <w:r>
        <w:rPr>
          <w:spacing w:val="-46"/>
        </w:rPr>
        <w:t> </w:t>
      </w:r>
      <w:r>
        <w:rPr>
          <w:spacing w:val="-46"/>
        </w:rPr>
      </w:r>
      <w:r>
        <w:rPr/>
        <w:t>的程序推选和任免，不存在股东超越公司股东大会和董事会作出人事任免决定的情况。</w:t>
      </w:r>
      <w:r>
        <w:rPr>
          <w:rFonts w:ascii="宋体" w:hAnsi="宋体" w:cs="宋体" w:eastAsia="宋体" w:hint="default"/>
        </w:rPr>
        <w:t> </w:t>
      </w:r>
    </w:p>
    <w:p>
      <w:pPr>
        <w:pStyle w:val="BodyText"/>
        <w:spacing w:line="408" w:lineRule="auto"/>
        <w:ind w:left="573" w:right="153"/>
        <w:jc w:val="left"/>
      </w:pPr>
      <w:r>
        <w:rPr/>
        <w:t>（三） </w:t>
      </w:r>
      <w:r>
        <w:rPr>
          <w:rFonts w:ascii="宋体" w:hAnsi="宋体" w:cs="宋体" w:eastAsia="宋体" w:hint="default"/>
        </w:rPr>
      </w:r>
      <w:r>
        <w:rPr/>
        <w:t>资产独立情况</w:t>
      </w:r>
      <w:r>
        <w:rPr>
          <w:rFonts w:ascii="宋体" w:hAnsi="宋体" w:cs="宋体" w:eastAsia="宋体" w:hint="default"/>
          <w:w w:val="100"/>
        </w:rPr>
        <w:t> </w:t>
      </w:r>
      <w:r>
        <w:rPr>
          <w:spacing w:val="-2"/>
        </w:rPr>
        <w:t>公司拥有独立完整的采购、实施、销售系统及辅助运营设施，与经营相关的房产等固定资产、土地使</w:t>
      </w:r>
    </w:p>
    <w:p>
      <w:pPr>
        <w:pStyle w:val="BodyText"/>
        <w:spacing w:line="408" w:lineRule="auto"/>
        <w:ind w:right="149"/>
        <w:jc w:val="both"/>
        <w:rPr>
          <w:rFonts w:ascii="宋体" w:hAnsi="宋体" w:cs="宋体" w:eastAsia="宋体" w:hint="default"/>
        </w:rPr>
      </w:pPr>
      <w:r>
        <w:rPr>
          <w:spacing w:val="-2"/>
        </w:rPr>
        <w:t>用权、商标、专利等无形资产的权属均为公司所有，不存在关联方违规占用公司资金、资产和其他资源的</w:t>
      </w:r>
      <w:r>
        <w:rPr>
          <w:spacing w:val="-47"/>
        </w:rPr>
        <w:t> </w:t>
      </w:r>
      <w:r>
        <w:rPr>
          <w:spacing w:val="-47"/>
        </w:rPr>
      </w:r>
      <w:r>
        <w:rPr>
          <w:spacing w:val="-2"/>
        </w:rPr>
        <w:t>情形，不存在以承包、委托经营、租赁或其他类似方式依赖关联方进行经营的情况，与经营有关的业务体</w:t>
      </w:r>
      <w:r>
        <w:rPr>
          <w:spacing w:val="-47"/>
        </w:rPr>
        <w:t> </w:t>
      </w:r>
      <w:r>
        <w:rPr>
          <w:spacing w:val="-47"/>
        </w:rPr>
      </w:r>
      <w:r>
        <w:rPr/>
        <w:t>系及主要相关资产不存在产权界定不清晰的情况。</w:t>
      </w:r>
      <w:r>
        <w:rPr>
          <w:rFonts w:ascii="宋体" w:hAnsi="宋体" w:cs="宋体" w:eastAsia="宋体" w:hint="default"/>
        </w:rPr>
        <w:t> </w:t>
      </w:r>
    </w:p>
    <w:p>
      <w:pPr>
        <w:pStyle w:val="BodyText"/>
        <w:spacing w:line="408" w:lineRule="auto" w:before="43"/>
        <w:ind w:left="573" w:right="153"/>
        <w:jc w:val="left"/>
      </w:pPr>
      <w:r>
        <w:rPr/>
        <w:t>（四）机构独立情况</w:t>
      </w:r>
      <w:r>
        <w:rPr>
          <w:rFonts w:ascii="宋体" w:hAnsi="宋体" w:cs="宋体" w:eastAsia="宋体" w:hint="default"/>
          <w:w w:val="100"/>
        </w:rPr>
        <w:t> </w:t>
      </w:r>
      <w:r>
        <w:rPr>
          <w:spacing w:val="-2"/>
        </w:rPr>
        <w:t>公司建立健全了股东大会、董事会、监事会及总经理负责的经理层等机构及相应的三会议事规则和总</w:t>
      </w:r>
    </w:p>
    <w:p>
      <w:pPr>
        <w:pStyle w:val="BodyText"/>
        <w:spacing w:line="408" w:lineRule="auto"/>
        <w:ind w:right="125"/>
        <w:jc w:val="both"/>
        <w:rPr>
          <w:rFonts w:ascii="宋体" w:hAnsi="宋体" w:cs="宋体" w:eastAsia="宋体" w:hint="default"/>
        </w:rPr>
      </w:pPr>
      <w:r>
        <w:rPr>
          <w:spacing w:val="-2"/>
        </w:rPr>
        <w:t>经理工作细则，形成了完善的法人治理结构和规范化的运作体系。根据经营发展需要，发行人建立了符合</w:t>
      </w:r>
      <w:r>
        <w:rPr>
          <w:spacing w:val="-45"/>
        </w:rPr>
        <w:t> </w:t>
      </w:r>
      <w:r>
        <w:rPr>
          <w:spacing w:val="-45"/>
        </w:rPr>
      </w:r>
      <w:r>
        <w:rPr>
          <w:spacing w:val="-2"/>
        </w:rPr>
        <w:t>公司实际情况的各级管理部门等机构，独立行使经营管理职权。发行人的经营和办公场所与控股股东、实</w:t>
      </w:r>
      <w:r>
        <w:rPr>
          <w:spacing w:val="-42"/>
        </w:rPr>
        <w:t> </w:t>
      </w:r>
      <w:r>
        <w:rPr>
          <w:spacing w:val="-42"/>
        </w:rPr>
      </w:r>
      <w:r>
        <w:rPr>
          <w:spacing w:val="-2"/>
        </w:rPr>
        <w:t>际控制人及其控制的其他企业严格分开，不存在与控股股东、实际控制人及其控制的其他企业混合经营、</w:t>
      </w:r>
      <w:r>
        <w:rPr>
          <w:spacing w:val="-21"/>
        </w:rPr>
        <w:t> </w:t>
      </w:r>
      <w:r>
        <w:rPr>
          <w:spacing w:val="-21"/>
        </w:rPr>
      </w:r>
      <w:r>
        <w:rPr/>
        <w:t>合署办公的情形，不存在受控股股东及其他任何单位或个人干预的情形。</w:t>
      </w:r>
      <w:r>
        <w:rPr>
          <w:rFonts w:ascii="宋体" w:hAnsi="宋体" w:cs="宋体" w:eastAsia="宋体" w:hint="default"/>
        </w:rPr>
        <w:t> </w:t>
      </w:r>
    </w:p>
    <w:p>
      <w:pPr>
        <w:pStyle w:val="BodyText"/>
        <w:spacing w:line="408" w:lineRule="auto"/>
        <w:ind w:left="573" w:right="153"/>
        <w:jc w:val="left"/>
      </w:pPr>
      <w:r>
        <w:rPr/>
        <w:t>（五）财务独立情况</w:t>
      </w:r>
      <w:r>
        <w:rPr>
          <w:rFonts w:ascii="宋体" w:hAnsi="宋体" w:cs="宋体" w:eastAsia="宋体" w:hint="default"/>
          <w:w w:val="100"/>
        </w:rPr>
        <w:t> </w:t>
      </w:r>
      <w:r>
        <w:rPr>
          <w:spacing w:val="-2"/>
        </w:rPr>
        <w:t>公司按照企业会计准则的要求建立了一套独立、完整、规范的财务会计核算体系和财务管理制度，并</w:t>
      </w:r>
    </w:p>
    <w:p>
      <w:pPr>
        <w:pStyle w:val="BodyText"/>
        <w:spacing w:line="408" w:lineRule="auto"/>
        <w:ind w:right="146"/>
        <w:jc w:val="both"/>
        <w:rPr>
          <w:rFonts w:ascii="宋体" w:hAnsi="宋体" w:cs="宋体" w:eastAsia="宋体" w:hint="default"/>
        </w:rPr>
      </w:pPr>
      <w:r>
        <w:rPr>
          <w:spacing w:val="-2"/>
        </w:rPr>
        <w:t>建立了相应的内部控制制度，能根据法律法规及公司《章程》的相关规定并结合自身的情况独立作出财务</w:t>
      </w:r>
      <w:r>
        <w:rPr>
          <w:spacing w:val="-44"/>
        </w:rPr>
        <w:t> </w:t>
      </w:r>
      <w:r>
        <w:rPr>
          <w:spacing w:val="-44"/>
        </w:rPr>
      </w:r>
      <w:r>
        <w:rPr>
          <w:spacing w:val="-2"/>
        </w:rPr>
        <w:t>决策。公司设立了独立的财务部门及内部审计部门，配备了专职财务人员及内审人员；公司在银行单独开</w:t>
      </w:r>
      <w:r>
        <w:rPr>
          <w:spacing w:val="-45"/>
        </w:rPr>
        <w:t> </w:t>
      </w:r>
      <w:r>
        <w:rPr>
          <w:spacing w:val="-45"/>
        </w:rPr>
      </w:r>
      <w:r>
        <w:rPr>
          <w:spacing w:val="-2"/>
        </w:rPr>
        <w:t>立账户，拥有独立的银行账号，不存在与控股股东共用账户的情况。公司作为独立的纳税人，依法独立纳</w:t>
      </w:r>
      <w:r>
        <w:rPr>
          <w:spacing w:val="-50"/>
        </w:rPr>
        <w:t> </w:t>
      </w:r>
      <w:r>
        <w:rPr>
          <w:spacing w:val="-50"/>
        </w:rPr>
      </w:r>
      <w:r>
        <w:rPr/>
        <w:t>税。公司控股股东未以任何形式占用公司货币资金或其他资产。</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80" w:right="980"/>
        </w:sectPr>
      </w:pPr>
    </w:p>
    <w:p>
      <w:pPr>
        <w:spacing w:line="240" w:lineRule="auto" w:before="12"/>
        <w:rPr>
          <w:rFonts w:ascii="宋体" w:hAnsi="宋体" w:cs="宋体" w:eastAsia="宋体" w:hint="default"/>
          <w:sz w:val="19"/>
          <w:szCs w:val="19"/>
        </w:rPr>
      </w:pPr>
    </w:p>
    <w:p>
      <w:pPr>
        <w:pStyle w:val="Heading2"/>
        <w:spacing w:line="240" w:lineRule="auto" w:before="26"/>
        <w:ind w:right="15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9"/>
              <w:jc w:val="both"/>
              <w:rPr>
                <w:rFonts w:ascii="宋体" w:hAnsi="宋体" w:cs="宋体" w:eastAsia="宋体" w:hint="default"/>
                <w:sz w:val="18"/>
                <w:szCs w:val="18"/>
              </w:rPr>
            </w:pPr>
            <w:r>
              <w:rPr>
                <w:rFonts w:ascii="宋体" w:hAnsi="宋体" w:cs="宋体" w:eastAsia="宋体" w:hint="default"/>
                <w:sz w:val="18"/>
                <w:szCs w:val="18"/>
              </w:rPr>
              <w:t>详见中国证监会指 定的创业板信息披 露网站</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）刊登的</w:t>
            </w:r>
          </w:p>
          <w:p>
            <w:pPr>
              <w:pStyle w:val="TableParagraph"/>
              <w:spacing w:line="312" w:lineRule="auto" w:before="63"/>
              <w:ind w:left="24" w:right="119"/>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 临时股东大会决议 公告</w:t>
            </w:r>
            <w:r>
              <w:rPr>
                <w:rFonts w:ascii="宋体" w:hAnsi="宋体" w:cs="宋体" w:eastAsia="宋体" w:hint="default"/>
                <w:spacing w:val="4"/>
                <w:sz w:val="18"/>
                <w:szCs w:val="18"/>
              </w:rPr>
              <w:t> </w:t>
            </w:r>
            <w:r>
              <w:rPr>
                <w:rFonts w:ascii="宋体" w:hAnsi="宋体" w:cs="宋体" w:eastAsia="宋体" w:hint="default"/>
                <w:spacing w:val="-16"/>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2017-024</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黄泽永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赖肇庆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2"/>
        <w:rPr>
          <w:rFonts w:ascii="宋体" w:hAnsi="宋体" w:cs="宋体" w:eastAsia="宋体" w:hint="default"/>
          <w:sz w:val="12"/>
          <w:szCs w:val="12"/>
        </w:rPr>
      </w:pPr>
    </w:p>
    <w:p>
      <w:pPr>
        <w:pStyle w:val="BodyText"/>
        <w:spacing w:line="240" w:lineRule="auto" w:before="0"/>
        <w:ind w:right="153"/>
        <w:jc w:val="left"/>
      </w:pPr>
      <w:r>
        <w:rPr>
          <w:w w:val="100"/>
        </w:rPr>
        <w:t>无</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0" w:firstLine="420"/>
        <w:jc w:val="left"/>
        <w:rPr>
          <w:rFonts w:ascii="宋体" w:hAnsi="宋体" w:cs="宋体" w:eastAsia="宋体" w:hint="default"/>
        </w:rPr>
      </w:pPr>
      <w:r>
        <w:rPr/>
        <w:t>报告期内，公司独立董事能够严格按照《深圳证券交易所创业板上市公司规范运作指引》等法律法规</w:t>
      </w:r>
      <w:r>
        <w:rPr>
          <w:w w:val="100"/>
        </w:rPr>
        <w:t> </w:t>
      </w:r>
      <w:r>
        <w:rPr>
          <w:spacing w:val="-2"/>
        </w:rPr>
        <w:t>以及《公司章程》、《独立董事工作制度》等规定，本着对公司、股东负责的态度，忠实、勤勉地履行职</w:t>
      </w:r>
      <w:r>
        <w:rPr>
          <w:spacing w:val="-45"/>
        </w:rPr>
        <w:t> </w:t>
      </w:r>
      <w:r>
        <w:rPr>
          <w:spacing w:val="-45"/>
        </w:rPr>
      </w:r>
      <w:r>
        <w:rPr>
          <w:spacing w:val="-2"/>
        </w:rPr>
        <w:t>责，按时出席相关会议，认真审议各项议案，客观地发表自己的看法及观点，通过电话、邮件及现场调查</w:t>
      </w:r>
      <w:r>
        <w:rPr>
          <w:spacing w:val="-43"/>
        </w:rPr>
        <w:t> </w:t>
      </w:r>
      <w:r>
        <w:rPr>
          <w:spacing w:val="-43"/>
        </w:rPr>
      </w:r>
      <w:r>
        <w:rPr>
          <w:spacing w:val="-5"/>
        </w:rPr>
        <w:t>等形式，与公司其他董事、高级管理人员及相关人员保持沟通，积极了解公司的生产经营情况及财务状况，</w:t>
      </w:r>
      <w:r>
        <w:rPr>
          <w:spacing w:val="-4"/>
        </w:rPr>
        <w:t> </w:t>
      </w:r>
      <w:r>
        <w:rPr>
          <w:spacing w:val="-4"/>
        </w:rPr>
      </w:r>
      <w:r>
        <w:rPr>
          <w:spacing w:val="-2"/>
        </w:rPr>
        <w:t>为公司的发展战略、完善公司治理等方面提出了积极建议。对公司定期报告、控股股东及其他关联方资金</w:t>
      </w:r>
      <w:r>
        <w:rPr>
          <w:spacing w:val="-43"/>
        </w:rPr>
        <w:t> </w:t>
      </w:r>
      <w:r>
        <w:rPr>
          <w:spacing w:val="-43"/>
        </w:rPr>
      </w:r>
      <w:r>
        <w:rPr>
          <w:spacing w:val="-2"/>
        </w:rPr>
        <w:t>占用和对外担保、关联交易等事项发表了独立意见，有效保证了公司董事会决策的公正性和客观性，认真</w:t>
      </w:r>
      <w:r>
        <w:rPr>
          <w:spacing w:val="-43"/>
        </w:rPr>
        <w:t> </w:t>
      </w:r>
      <w:r>
        <w:rPr>
          <w:spacing w:val="-43"/>
        </w:rPr>
      </w:r>
      <w:r>
        <w:rPr>
          <w:spacing w:val="-2"/>
        </w:rPr>
        <w:t>履行应有的监督职能，维护了公司整体利益和广大中小股东的合法权益，为公司的规范运作和健康发展发</w:t>
      </w:r>
      <w:r>
        <w:rPr>
          <w:spacing w:val="-44"/>
        </w:rPr>
        <w:t> </w:t>
      </w:r>
      <w:r>
        <w:rPr>
          <w:spacing w:val="-44"/>
        </w:rPr>
      </w:r>
      <w:r>
        <w:rPr/>
        <w:t>挥了积极作用。</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0"/>
        <w:jc w:val="left"/>
        <w:rPr>
          <w:rFonts w:ascii="宋体" w:hAnsi="宋体" w:cs="宋体" w:eastAsia="宋体" w:hint="default"/>
        </w:rPr>
      </w:pPr>
      <w:r>
        <w:rPr/>
        <w:t>（一）审计委员会的履职情况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05"/>
        <w:jc w:val="both"/>
        <w:rPr>
          <w:rFonts w:ascii="宋体" w:hAnsi="宋体" w:cs="宋体" w:eastAsia="宋体" w:hint="default"/>
        </w:rPr>
      </w:pPr>
      <w:r>
        <w:rPr>
          <w:rFonts w:ascii="宋体" w:hAnsi="宋体" w:cs="宋体" w:eastAsia="宋体" w:hint="default"/>
          <w:w w:val="100"/>
        </w:rPr>
        <w:t>    </w:t>
      </w:r>
      <w:r>
        <w:rPr>
          <w:spacing w:val="-2"/>
        </w:rPr>
        <w:t>报告期内，根据《审计委员会工作细则》，审计委员会充分发挥了审核与监督作用，主要负责公司财</w:t>
      </w:r>
      <w:r>
        <w:rPr>
          <w:w w:val="100"/>
        </w:rPr>
        <w:t> </w:t>
      </w:r>
      <w:r>
        <w:rPr>
          <w:spacing w:val="-2"/>
        </w:rPr>
        <w:t>务监督和核查工作及外部审计机构的沟通、协调工作。审计委员会对公司内部控制情况进行了核查，认为</w:t>
      </w:r>
      <w:r>
        <w:rPr>
          <w:spacing w:val="-43"/>
        </w:rPr>
        <w:t> </w:t>
      </w:r>
      <w:r>
        <w:rPr>
          <w:spacing w:val="-43"/>
        </w:rPr>
      </w:r>
      <w:r>
        <w:rPr>
          <w:spacing w:val="-2"/>
        </w:rPr>
        <w:t>公司已经建立的内控制度体系符合相关法规的规定，并能有效控制相关风险。</w:t>
      </w:r>
      <w:r>
        <w:rPr>
          <w:rFonts w:ascii="宋体" w:hAnsi="宋体" w:cs="宋体" w:eastAsia="宋体" w:hint="default"/>
          <w:spacing w:val="-2"/>
        </w:rPr>
        <w:t>2017</w:t>
      </w:r>
      <w:r>
        <w:rPr>
          <w:spacing w:val="-2"/>
        </w:rPr>
        <w:t>年，审计委员会共计召</w:t>
      </w:r>
      <w:r>
        <w:rPr>
          <w:spacing w:val="-41"/>
        </w:rPr>
        <w:t> </w:t>
      </w:r>
      <w:r>
        <w:rPr>
          <w:spacing w:val="-41"/>
        </w:rPr>
      </w:r>
      <w:r>
        <w:rPr>
          <w:spacing w:val="-2"/>
          <w:w w:val="100"/>
        </w:rPr>
        <w:t>开</w:t>
      </w:r>
      <w:r>
        <w:rPr>
          <w:rFonts w:ascii="宋体" w:hAnsi="宋体" w:cs="宋体" w:eastAsia="宋体" w:hint="default"/>
          <w:spacing w:val="-2"/>
          <w:w w:val="100"/>
        </w:rPr>
        <w:t>3</w:t>
      </w:r>
      <w:r>
        <w:rPr>
          <w:spacing w:val="-2"/>
          <w:w w:val="100"/>
        </w:rPr>
        <w:t>次会议，对公司《</w:t>
      </w:r>
      <w:r>
        <w:rPr>
          <w:rFonts w:ascii="宋体" w:hAnsi="宋体" w:cs="宋体" w:eastAsia="宋体" w:hint="default"/>
          <w:spacing w:val="-2"/>
          <w:w w:val="100"/>
        </w:rPr>
        <w:t>IPO</w:t>
      </w:r>
      <w:r>
        <w:rPr>
          <w:spacing w:val="-2"/>
          <w:w w:val="100"/>
        </w:rPr>
        <w:t>财务报告》《内部控制自我评价报告（</w:t>
      </w:r>
      <w:r>
        <w:rPr>
          <w:rFonts w:ascii="宋体" w:hAnsi="宋体" w:cs="宋体" w:eastAsia="宋体" w:hint="default"/>
          <w:spacing w:val="-2"/>
          <w:w w:val="100"/>
        </w:rPr>
        <w:t>2016</w:t>
      </w:r>
      <w:r>
        <w:rPr>
          <w:spacing w:val="-2"/>
          <w:w w:val="100"/>
        </w:rPr>
        <w:t>年度）》</w:t>
      </w:r>
      <w:r>
        <w:rPr>
          <w:spacing w:val="5"/>
          <w:w w:val="100"/>
        </w:rPr>
        <w:t> </w:t>
      </w:r>
      <w:r>
        <w:rPr>
          <w:rFonts w:ascii="宋体" w:hAnsi="宋体" w:cs="宋体" w:eastAsia="宋体" w:hint="default"/>
          <w:spacing w:val="5"/>
          <w:w w:val="100"/>
        </w:rPr>
      </w:r>
      <w:r>
        <w:rPr>
          <w:spacing w:val="-9"/>
          <w:w w:val="100"/>
        </w:rPr>
        <w:t>《</w:t>
      </w:r>
      <w:r>
        <w:rPr>
          <w:rFonts w:ascii="宋体" w:hAnsi="宋体" w:cs="宋体" w:eastAsia="宋体" w:hint="default"/>
          <w:spacing w:val="-9"/>
          <w:w w:val="100"/>
        </w:rPr>
        <w:t>2016</w:t>
      </w:r>
      <w:r>
        <w:rPr>
          <w:spacing w:val="-9"/>
          <w:w w:val="100"/>
        </w:rPr>
        <w:t>年度财务决算报告》</w:t>
      </w:r>
      <w:r>
        <w:rPr>
          <w:rFonts w:ascii="宋体" w:hAnsi="宋体" w:cs="宋体" w:eastAsia="宋体" w:hint="default"/>
          <w:w w:val="100"/>
        </w:rPr>
        <w:t> </w:t>
      </w:r>
    </w:p>
    <w:p>
      <w:pPr>
        <w:pStyle w:val="BodyText"/>
        <w:spacing w:line="410" w:lineRule="auto"/>
        <w:ind w:right="211"/>
        <w:jc w:val="left"/>
        <w:rPr>
          <w:rFonts w:ascii="宋体" w:hAnsi="宋体" w:cs="宋体" w:eastAsia="宋体" w:hint="default"/>
        </w:rPr>
      </w:pPr>
      <w:r>
        <w:rPr/>
        <w:t>《</w:t>
      </w:r>
      <w:r>
        <w:rPr>
          <w:rFonts w:ascii="宋体" w:hAnsi="宋体" w:cs="宋体" w:eastAsia="宋体" w:hint="default"/>
        </w:rPr>
        <w:t>2017</w:t>
      </w:r>
      <w:r>
        <w:rPr/>
        <w:t>年度财务预算方案》</w:t>
      </w:r>
      <w:r>
        <w:rPr>
          <w:spacing w:val="68"/>
        </w:rPr>
        <w:t> </w:t>
      </w:r>
      <w:r>
        <w:rPr>
          <w:rFonts w:ascii="宋体" w:hAnsi="宋体" w:cs="宋体" w:eastAsia="宋体" w:hint="default"/>
          <w:spacing w:val="68"/>
        </w:rPr>
      </w:r>
      <w:r>
        <w:rPr/>
        <w:t>《关于</w:t>
      </w:r>
      <w:r>
        <w:rPr>
          <w:rFonts w:ascii="宋体" w:hAnsi="宋体" w:cs="宋体" w:eastAsia="宋体" w:hint="default"/>
        </w:rPr>
        <w:t>2017</w:t>
      </w:r>
      <w:r>
        <w:rPr/>
        <w:t>年半年度报告及其摘要的议案》等多项议案进行了审议并提交董</w:t>
      </w:r>
      <w:r>
        <w:rPr>
          <w:spacing w:val="-97"/>
        </w:rPr>
        <w:t> </w:t>
      </w:r>
      <w:r>
        <w:rPr>
          <w:spacing w:val="-97"/>
        </w:rPr>
      </w:r>
      <w:r>
        <w:rPr/>
        <w:t>事会审议。</w:t>
      </w:r>
      <w:r>
        <w:rPr>
          <w:rFonts w:ascii="宋体" w:hAnsi="宋体" w:cs="宋体" w:eastAsia="宋体" w:hint="default"/>
        </w:rPr>
        <w:t> </w:t>
      </w:r>
    </w:p>
    <w:p>
      <w:pPr>
        <w:pStyle w:val="BodyText"/>
        <w:spacing w:line="408" w:lineRule="auto" w:before="44"/>
        <w:ind w:left="573" w:right="0"/>
        <w:jc w:val="left"/>
      </w:pPr>
      <w:r>
        <w:rPr/>
        <w:t>（二）薪酬与考核委员会的履职情况</w:t>
      </w:r>
      <w:r>
        <w:rPr>
          <w:rFonts w:ascii="宋体" w:hAnsi="宋体" w:cs="宋体" w:eastAsia="宋体" w:hint="default"/>
          <w:w w:val="100"/>
        </w:rPr>
        <w:t> </w:t>
      </w:r>
      <w:r>
        <w:rPr>
          <w:spacing w:val="-2"/>
        </w:rPr>
        <w:t>报告期内，公司董事会薪酬与考核委员会依照相关法规及公司《章程》、《薪酬与考核委员会工作细</w:t>
      </w:r>
    </w:p>
    <w:p>
      <w:pPr>
        <w:pStyle w:val="BodyText"/>
        <w:spacing w:line="408" w:lineRule="auto"/>
        <w:ind w:right="210"/>
        <w:jc w:val="both"/>
        <w:rPr>
          <w:rFonts w:ascii="宋体" w:hAnsi="宋体" w:cs="宋体" w:eastAsia="宋体" w:hint="default"/>
        </w:rPr>
      </w:pPr>
      <w:r>
        <w:rPr/>
        <w:t>则》</w:t>
      </w:r>
      <w:r>
        <w:rPr>
          <w:spacing w:val="73"/>
        </w:rPr>
        <w:t> </w:t>
      </w:r>
      <w:r>
        <w:rPr>
          <w:rFonts w:ascii="宋体" w:hAnsi="宋体" w:cs="宋体" w:eastAsia="宋体" w:hint="default"/>
          <w:spacing w:val="73"/>
        </w:rPr>
      </w:r>
      <w:r>
        <w:rPr/>
        <w:t>的规定审查了公司董事及高级管理人员的履行职责情况等相关职责。</w:t>
      </w:r>
      <w:r>
        <w:rPr>
          <w:rFonts w:ascii="宋体" w:hAnsi="宋体" w:cs="宋体" w:eastAsia="宋体" w:hint="default"/>
        </w:rPr>
        <w:t>2017</w:t>
      </w:r>
      <w:r>
        <w:rPr/>
        <w:t>年度，薪酬与考核委员会</w:t>
      </w:r>
      <w:r>
        <w:rPr>
          <w:spacing w:val="-98"/>
        </w:rPr>
        <w:t> </w:t>
      </w:r>
      <w:r>
        <w:rPr>
          <w:spacing w:val="-98"/>
        </w:rPr>
      </w:r>
      <w:r>
        <w:rPr/>
        <w:t>共召开</w:t>
      </w:r>
      <w:r>
        <w:rPr>
          <w:rFonts w:ascii="宋体" w:hAnsi="宋体" w:cs="宋体" w:eastAsia="宋体" w:hint="default"/>
        </w:rPr>
        <w:t>1</w:t>
      </w:r>
      <w:r>
        <w:rPr/>
        <w:t>次会议，审议通过了《关于高级管理人员</w:t>
      </w:r>
      <w:r>
        <w:rPr>
          <w:rFonts w:ascii="宋体" w:hAnsi="宋体" w:cs="宋体" w:eastAsia="宋体" w:hint="default"/>
        </w:rPr>
        <w:t>2016</w:t>
      </w:r>
      <w:r>
        <w:rPr/>
        <w:t>年度经营业绩考核结果与奖惩的议案》，并提交董</w:t>
      </w:r>
      <w:r>
        <w:rPr>
          <w:spacing w:val="-25"/>
        </w:rPr>
        <w:t> </w:t>
      </w:r>
      <w:r>
        <w:rPr>
          <w:spacing w:val="-25"/>
        </w:rPr>
      </w:r>
      <w:r>
        <w:rPr/>
        <w:t>事会审议。</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after="0"/>
        <w:jc w:val="both"/>
        <w:rPr>
          <w:rFonts w:ascii="宋体" w:hAnsi="宋体" w:cs="宋体" w:eastAsia="宋体" w:hint="default"/>
          <w:sz w:val="18"/>
          <w:szCs w:val="18"/>
        </w:rPr>
        <w:sectPr>
          <w:pgSz w:w="11910" w:h="16840"/>
          <w:pgMar w:header="880" w:footer="974" w:top="1100" w:bottom="1160" w:left="980" w:right="920"/>
        </w:sectPr>
      </w:pPr>
    </w:p>
    <w:p>
      <w:pPr>
        <w:spacing w:line="240" w:lineRule="auto" w:before="0"/>
        <w:rPr>
          <w:rFonts w:ascii="宋体" w:hAnsi="宋体" w:cs="宋体" w:eastAsia="宋体" w:hint="default"/>
          <w:sz w:val="22"/>
          <w:szCs w:val="22"/>
        </w:rPr>
      </w:pPr>
    </w:p>
    <w:p>
      <w:pPr>
        <w:spacing w:line="340" w:lineRule="auto" w:before="44"/>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420"/>
        <w:jc w:val="both"/>
      </w:pPr>
      <w:r>
        <w:rPr>
          <w:spacing w:val="-2"/>
        </w:rPr>
        <w:t>公司对高级管理人员的考评实行年度薪酬与工作绩效挂钩的激励与约束机制，采用定量与定性相结合</w:t>
      </w:r>
      <w:r>
        <w:rPr>
          <w:w w:val="100"/>
        </w:rPr>
        <w:t> </w:t>
      </w:r>
      <w:r>
        <w:rPr>
          <w:spacing w:val="-2"/>
        </w:rPr>
        <w:t>的方式进行年度考评，并根据考评情况发放绩效工资，同时明确其年度任务目标，将其收入与其承担的责</w:t>
      </w:r>
      <w:r>
        <w:rPr>
          <w:spacing w:val="-44"/>
        </w:rPr>
        <w:t> </w:t>
      </w:r>
      <w:r>
        <w:rPr>
          <w:spacing w:val="-44"/>
        </w:rPr>
      </w:r>
      <w:r>
        <w:rPr/>
        <w:t>任、贡献、经营业绩挂钩。</w:t>
      </w:r>
    </w:p>
    <w:p>
      <w:pPr>
        <w:pStyle w:val="BodyText"/>
        <w:spacing w:line="408" w:lineRule="auto"/>
        <w:ind w:right="146" w:firstLine="420"/>
        <w:jc w:val="both"/>
      </w:pPr>
      <w:r>
        <w:rPr>
          <w:spacing w:val="-2"/>
        </w:rPr>
        <w:t>本公司确定董事、监事、高级管理人员及其他核心人员薪酬的原则是：对于非独立董事和监事，按其</w:t>
      </w:r>
      <w:r>
        <w:rPr>
          <w:w w:val="100"/>
        </w:rPr>
        <w:t> </w:t>
      </w:r>
      <w:r>
        <w:rPr>
          <w:spacing w:val="-2"/>
        </w:rPr>
        <w:t>在公司所担任的行政职务领取相对应的薪酬；对独立董事，经本公司股东大会批准，独立董事领取独立董</w:t>
      </w:r>
      <w:r>
        <w:rPr>
          <w:spacing w:val="-41"/>
        </w:rPr>
        <w:t> </w:t>
      </w:r>
      <w:r>
        <w:rPr>
          <w:spacing w:val="-41"/>
        </w:rPr>
      </w:r>
      <w:r>
        <w:rPr>
          <w:spacing w:val="-2"/>
        </w:rPr>
        <w:t>事津贴；对于高级管理人员及其他核心人员，根据地区和行业水平、公司年度经营业绩结合个人表现及岗</w:t>
      </w:r>
      <w:r>
        <w:rPr>
          <w:spacing w:val="-43"/>
        </w:rPr>
        <w:t> </w:t>
      </w:r>
      <w:r>
        <w:rPr>
          <w:spacing w:val="-43"/>
        </w:rPr>
      </w:r>
      <w:r>
        <w:rPr/>
        <w:t>位确定薪酬水平。</w:t>
      </w:r>
      <w:r>
        <w:rPr>
          <w:spacing w:val="57"/>
        </w:rPr>
        <w:t> </w:t>
      </w:r>
      <w:r>
        <w:rPr/>
        <w:t>索继栓、张勇、杨红梅为国科控股提名但不在公司担任具体管理职务的董事，傅敏为</w:t>
      </w:r>
      <w:r>
        <w:rPr>
          <w:spacing w:val="-87"/>
        </w:rPr>
        <w:t> </w:t>
      </w:r>
      <w:r>
        <w:rPr>
          <w:spacing w:val="-87"/>
        </w:rPr>
      </w:r>
      <w:r>
        <w:rPr/>
        <w:t>国科控股提名但不在公司担任具体管理职务的监事，均不在公司领薪。</w:t>
      </w:r>
    </w:p>
    <w:p>
      <w:pPr>
        <w:pStyle w:val="BodyText"/>
        <w:spacing w:line="408" w:lineRule="auto"/>
        <w:ind w:right="124" w:firstLine="420"/>
        <w:jc w:val="both"/>
      </w:pPr>
      <w:r>
        <w:rPr>
          <w:spacing w:val="-2"/>
        </w:rPr>
        <w:t>公司建立了完善的高级管理人员绩效考评体系和薪酬制度，根据高级管理人员管理岗位的主要范围、</w:t>
      </w:r>
      <w:r>
        <w:rPr>
          <w:w w:val="100"/>
        </w:rPr>
        <w:t> </w:t>
      </w:r>
      <w:r>
        <w:rPr>
          <w:spacing w:val="-2"/>
        </w:rPr>
        <w:t>职责、重要性以及其他相关企业相关岗位的薪酬水平制定薪酬方案，根据公司年经营目标的完成情况，由</w:t>
      </w:r>
      <w:r>
        <w:rPr>
          <w:spacing w:val="-44"/>
        </w:rPr>
        <w:t> </w:t>
      </w:r>
      <w:r>
        <w:rPr>
          <w:spacing w:val="-44"/>
        </w:rPr>
      </w:r>
      <w:r>
        <w:rPr>
          <w:spacing w:val="-2"/>
        </w:rPr>
        <w:t>董事会薪酬与考核委员会对高级管理人进行年度绩效考核并提出奖惩建议，由董事会审定并监督薪酬执行</w:t>
      </w:r>
      <w:r>
        <w:rPr>
          <w:spacing w:val="-42"/>
        </w:rPr>
        <w:t> </w:t>
      </w:r>
      <w:r>
        <w:rPr>
          <w:spacing w:val="-42"/>
        </w:rPr>
      </w:r>
      <w:r>
        <w:rPr/>
        <w:t>情况。</w:t>
      </w:r>
    </w:p>
    <w:p>
      <w:pPr>
        <w:spacing w:line="240" w:lineRule="auto" w:before="11"/>
        <w:rPr>
          <w:rFonts w:ascii="宋体" w:hAnsi="宋体" w:cs="宋体" w:eastAsia="宋体" w:hint="default"/>
          <w:sz w:val="18"/>
          <w:szCs w:val="18"/>
        </w:rPr>
      </w:pPr>
    </w:p>
    <w:p>
      <w:pPr>
        <w:pStyle w:val="Heading2"/>
        <w:spacing w:line="240" w:lineRule="auto"/>
        <w:ind w:right="15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hyperlink r:id="rId21">
              <w:r>
                <w:rPr>
                  <w:rFonts w:ascii="Times New Roman"/>
                  <w:sz w:val="18"/>
                </w:rPr>
                <w:t>http://www.cninfo.com.cn/cninfo-new/index</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9" w:lineRule="auto" w:before="51"/>
              <w:ind w:left="29" w:right="46"/>
              <w:jc w:val="left"/>
              <w:rPr>
                <w:rFonts w:ascii="宋体" w:hAnsi="宋体" w:cs="宋体" w:eastAsia="宋体" w:hint="default"/>
                <w:sz w:val="18"/>
                <w:szCs w:val="18"/>
              </w:rPr>
            </w:pPr>
            <w:r>
              <w:rPr>
                <w:rFonts w:ascii="宋体" w:hAnsi="宋体" w:cs="宋体" w:eastAsia="宋体" w:hint="default"/>
                <w:sz w:val="18"/>
                <w:szCs w:val="18"/>
              </w:rPr>
              <w:t>财务报告内部控制存在重大缺陷的迹象包 括：</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公司董事、监事或高级管理人员的</w:t>
            </w:r>
          </w:p>
        </w:tc>
        <w:tc>
          <w:tcPr>
            <w:tcW w:w="3053" w:type="dxa"/>
            <w:vMerge w:val="restart"/>
            <w:tcBorders>
              <w:top w:val="single" w:sz="4" w:space="0" w:color="000000"/>
              <w:left w:val="single" w:sz="4" w:space="0" w:color="000000"/>
              <w:right w:val="single" w:sz="4" w:space="0" w:color="000000"/>
            </w:tcBorders>
          </w:tcPr>
          <w:p>
            <w:pPr>
              <w:pStyle w:val="TableParagraph"/>
              <w:spacing w:line="319"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非财务报告内部控制存在重大缺陷包 </w:t>
            </w:r>
            <w:r>
              <w:rPr>
                <w:rFonts w:ascii="宋体" w:hAnsi="宋体" w:cs="宋体" w:eastAsia="宋体" w:hint="default"/>
                <w:spacing w:val="-2"/>
                <w:sz w:val="18"/>
                <w:szCs w:val="18"/>
              </w:rPr>
              <w:t>括以下情形：</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违反国家法律法规等规</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b/>
          <w:bCs/>
          <w:sz w:val="24"/>
          <w:szCs w:val="24"/>
        </w:rPr>
      </w:pPr>
      <w:r>
        <w:rPr/>
        <w:pict>
          <v:shape style="position:absolute;margin-left:268.730011pt;margin-top:72.47998pt;width:266.2pt;height:251.7pt;mso-position-horizontal-relative:page;mso-position-vertical-relative:page;z-index:-725848" type="#_x0000_t202" filled="false" stroked="false">
            <v:textbox inset="0,0,0,0">
              <w:txbxContent>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公司更正已公布的财务报告；</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50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09" w:lineRule="auto" w:before="11"/>
              <w:ind w:left="24" w:right="10"/>
              <w:jc w:val="left"/>
              <w:rPr>
                <w:rFonts w:ascii="宋体" w:hAnsi="宋体" w:cs="宋体" w:eastAsia="宋体" w:hint="default"/>
                <w:sz w:val="18"/>
                <w:szCs w:val="18"/>
              </w:rPr>
            </w:pPr>
            <w:r>
              <w:rPr>
                <w:rFonts w:ascii="宋体" w:hAnsi="宋体" w:cs="宋体" w:eastAsia="宋体" w:hint="default"/>
                <w:spacing w:val="-5"/>
                <w:sz w:val="18"/>
                <w:szCs w:val="18"/>
              </w:rPr>
              <w:t>舞弊行为；</w:t>
            </w:r>
            <w:r>
              <w:rPr>
                <w:rFonts w:ascii="Times New Roman" w:hAnsi="Times New Roman" w:cs="Times New Roman" w:eastAsia="Times New Roman" w:hint="default"/>
                <w:spacing w:val="-5"/>
                <w:sz w:val="18"/>
                <w:szCs w:val="18"/>
              </w:rPr>
              <w:t>b)</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公司的内部控制体系未发现当期财务报 告的重大错报；</w:t>
            </w:r>
            <w:r>
              <w:rPr>
                <w:rFonts w:ascii="Times New Roman" w:hAnsi="Times New Roman" w:cs="Times New Roman" w:eastAsia="Times New Roman" w:hint="default"/>
                <w:sz w:val="18"/>
                <w:szCs w:val="18"/>
              </w:rPr>
              <w:t>d)</w:t>
            </w:r>
            <w:r>
              <w:rPr>
                <w:rFonts w:ascii="宋体" w:hAnsi="宋体" w:cs="宋体" w:eastAsia="宋体" w:hint="default"/>
                <w:sz w:val="18"/>
                <w:szCs w:val="18"/>
              </w:rPr>
              <w:t>报</w:t>
            </w:r>
            <w:r>
              <w:rPr>
                <w:rFonts w:ascii="宋体" w:hAnsi="宋体" w:cs="宋体" w:eastAsia="宋体" w:hint="default"/>
                <w:spacing w:val="-7"/>
                <w:sz w:val="18"/>
                <w:szCs w:val="18"/>
              </w:rPr>
              <w:t> </w:t>
            </w:r>
            <w:r>
              <w:rPr>
                <w:rFonts w:ascii="宋体" w:hAnsi="宋体" w:cs="宋体" w:eastAsia="宋体" w:hint="default"/>
                <w:spacing w:val="-3"/>
                <w:sz w:val="18"/>
                <w:szCs w:val="18"/>
              </w:rPr>
              <w:t>告给管理层、董事会</w:t>
            </w:r>
            <w:r>
              <w:rPr>
                <w:rFonts w:ascii="宋体" w:hAnsi="宋体" w:cs="宋体" w:eastAsia="宋体" w:hint="default"/>
                <w:sz w:val="18"/>
                <w:szCs w:val="18"/>
              </w:rPr>
              <w:t> 的重大缺陷在经过合理的时间后，未加以 改正；</w:t>
            </w:r>
            <w:r>
              <w:rPr>
                <w:rFonts w:ascii="Times New Roman" w:hAnsi="Times New Roman" w:cs="Times New Roman" w:eastAsia="Times New Roman" w:hint="default"/>
                <w:sz w:val="18"/>
                <w:szCs w:val="18"/>
              </w:rPr>
              <w:t>e)</w:t>
            </w:r>
            <w:r>
              <w:rPr>
                <w:rFonts w:ascii="宋体" w:hAnsi="宋体" w:cs="宋体" w:eastAsia="宋体" w:hint="default"/>
                <w:sz w:val="18"/>
                <w:szCs w:val="18"/>
              </w:rPr>
              <w:t>审计委员会和内部审计部对内部 控制的监督无效。财务报告内部控制存在 重要缺陷的迹象包括：</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w:t>
            </w:r>
            <w:r>
              <w:rPr>
                <w:rFonts w:ascii="宋体" w:hAnsi="宋体" w:cs="宋体" w:eastAsia="宋体" w:hint="default"/>
                <w:spacing w:val="-18"/>
                <w:sz w:val="18"/>
                <w:szCs w:val="18"/>
              </w:rPr>
              <w:t> </w:t>
            </w:r>
            <w:r>
              <w:rPr>
                <w:rFonts w:ascii="宋体" w:hAnsi="宋体" w:cs="宋体" w:eastAsia="宋体" w:hint="default"/>
                <w:sz w:val="18"/>
                <w:szCs w:val="18"/>
              </w:rPr>
              <w:t>计</w:t>
            </w:r>
            <w:r>
              <w:rPr>
                <w:rFonts w:ascii="宋体" w:hAnsi="宋体" w:cs="宋体" w:eastAsia="宋体" w:hint="default"/>
                <w:sz w:val="18"/>
                <w:szCs w:val="18"/>
              </w:rPr>
              <w:t> 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 弊</w:t>
            </w:r>
            <w:r>
              <w:rPr>
                <w:rFonts w:ascii="宋体" w:hAnsi="宋体" w:cs="宋体" w:eastAsia="宋体" w:hint="default"/>
                <w:spacing w:val="-20"/>
                <w:sz w:val="18"/>
                <w:szCs w:val="18"/>
              </w:rPr>
              <w:t> </w:t>
            </w:r>
            <w:r>
              <w:rPr>
                <w:rFonts w:ascii="宋体" w:hAnsi="宋体" w:cs="宋体" w:eastAsia="宋体" w:hint="default"/>
                <w:sz w:val="18"/>
                <w:szCs w:val="18"/>
              </w:rPr>
              <w:t>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 交易的账务处理没有建立相应的控制机制 或没有实施且没有相应的补偿性控制；</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对于期末财务报告过程的控制存在一项或 多项缺陷且不能合理</w:t>
            </w:r>
            <w:r>
              <w:rPr>
                <w:rFonts w:ascii="宋体" w:hAnsi="宋体" w:cs="宋体" w:eastAsia="宋体" w:hint="default"/>
                <w:spacing w:val="1"/>
                <w:sz w:val="18"/>
                <w:szCs w:val="18"/>
              </w:rPr>
              <w:t> </w:t>
            </w:r>
            <w:r>
              <w:rPr>
                <w:rFonts w:ascii="宋体" w:hAnsi="宋体" w:cs="宋体" w:eastAsia="宋体" w:hint="default"/>
                <w:sz w:val="18"/>
                <w:szCs w:val="18"/>
              </w:rPr>
              <w:t>保证编制的财务报</w:t>
            </w:r>
            <w:r>
              <w:rPr>
                <w:rFonts w:ascii="宋体" w:hAnsi="宋体" w:cs="宋体" w:eastAsia="宋体" w:hint="default"/>
                <w:sz w:val="18"/>
                <w:szCs w:val="18"/>
              </w:rPr>
              <w:t> </w:t>
            </w:r>
            <w:r>
              <w:rPr>
                <w:rFonts w:ascii="宋体" w:hAnsi="宋体" w:cs="宋体" w:eastAsia="宋体" w:hint="default"/>
                <w:spacing w:val="-3"/>
                <w:sz w:val="18"/>
                <w:szCs w:val="18"/>
              </w:rPr>
              <w:t>表达到真实、完整的目标。</w:t>
            </w:r>
            <w:r>
              <w:rPr>
                <w:rFonts w:ascii="宋体" w:hAnsi="宋体" w:cs="宋体" w:eastAsia="宋体" w:hint="default"/>
                <w:spacing w:val="-30"/>
                <w:sz w:val="18"/>
                <w:szCs w:val="18"/>
              </w:rPr>
              <w:t> </w:t>
            </w:r>
            <w:r>
              <w:rPr>
                <w:rFonts w:ascii="宋体" w:hAnsi="宋体" w:cs="宋体" w:eastAsia="宋体" w:hint="default"/>
                <w:sz w:val="18"/>
                <w:szCs w:val="18"/>
              </w:rPr>
              <w:t>财务报告内部</w:t>
            </w:r>
            <w:r>
              <w:rPr>
                <w:rFonts w:ascii="宋体" w:hAnsi="宋体" w:cs="宋体" w:eastAsia="宋体" w:hint="default"/>
                <w:sz w:val="18"/>
                <w:szCs w:val="18"/>
              </w:rPr>
              <w:t> 控制的一般缺陷是指除上述重大缺陷、重 要缺陷之外的其他控制缺陷。</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07" w:lineRule="auto" w:before="11"/>
              <w:ind w:left="19" w:right="-50"/>
              <w:jc w:val="left"/>
              <w:rPr>
                <w:rFonts w:ascii="宋体" w:hAnsi="宋体" w:cs="宋体" w:eastAsia="宋体" w:hint="default"/>
                <w:sz w:val="18"/>
                <w:szCs w:val="18"/>
              </w:rPr>
            </w:pPr>
            <w:r>
              <w:rPr>
                <w:rFonts w:ascii="宋体" w:hAnsi="宋体" w:cs="宋体" w:eastAsia="宋体" w:hint="default"/>
                <w:sz w:val="18"/>
                <w:szCs w:val="18"/>
              </w:rPr>
              <w:t>范文件并受到处罚；</w:t>
            </w:r>
            <w:r>
              <w:rPr>
                <w:rFonts w:ascii="Times New Roman" w:hAnsi="Times New Roman" w:cs="Times New Roman" w:eastAsia="Times New Roman" w:hint="default"/>
                <w:sz w:val="18"/>
                <w:szCs w:val="18"/>
              </w:rPr>
              <w:t>b)</w:t>
            </w:r>
            <w:r>
              <w:rPr>
                <w:rFonts w:ascii="宋体" w:hAnsi="宋体" w:cs="宋体" w:eastAsia="宋体" w:hint="default"/>
                <w:sz w:val="18"/>
                <w:szCs w:val="18"/>
              </w:rPr>
              <w:t>重大决策程序不 科学导致重大失误；</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重要业务缺乏制 度控制或者制度体系失效；</w:t>
            </w:r>
            <w:r>
              <w:rPr>
                <w:rFonts w:ascii="Times New Roman" w:hAnsi="Times New Roman" w:cs="Times New Roman" w:eastAsia="Times New Roman" w:hint="default"/>
                <w:sz w:val="18"/>
                <w:szCs w:val="18"/>
              </w:rPr>
              <w:t>d)</w:t>
            </w:r>
            <w:r>
              <w:rPr>
                <w:rFonts w:ascii="宋体" w:hAnsi="宋体" w:cs="宋体" w:eastAsia="宋体" w:hint="default"/>
                <w:sz w:val="18"/>
                <w:szCs w:val="18"/>
              </w:rPr>
              <w:t>中高级管 理人员和高级技术人才流失严重；</w:t>
            </w:r>
            <w:r>
              <w:rPr>
                <w:rFonts w:ascii="Times New Roman" w:hAnsi="Times New Roman" w:cs="Times New Roman" w:eastAsia="Times New Roman" w:hint="default"/>
                <w:sz w:val="18"/>
                <w:szCs w:val="18"/>
              </w:rPr>
              <w:t>e)</w:t>
            </w:r>
            <w:r>
              <w:rPr>
                <w:rFonts w:ascii="宋体" w:hAnsi="宋体" w:cs="宋体" w:eastAsia="宋体" w:hint="default"/>
                <w:sz w:val="18"/>
                <w:szCs w:val="18"/>
              </w:rPr>
              <w:t>媒 体频现负面新闻，涉及面广且未消除； </w:t>
            </w:r>
            <w:r>
              <w:rPr>
                <w:rFonts w:ascii="Times New Roman" w:hAnsi="Times New Roman" w:cs="Times New Roman" w:eastAsia="Times New Roman" w:hint="default"/>
                <w:sz w:val="18"/>
                <w:szCs w:val="18"/>
              </w:rPr>
              <w:t>f)</w:t>
            </w:r>
            <w:r>
              <w:rPr>
                <w:rFonts w:ascii="宋体" w:hAnsi="宋体" w:cs="宋体" w:eastAsia="宋体" w:hint="default"/>
                <w:sz w:val="18"/>
                <w:szCs w:val="18"/>
              </w:rPr>
              <w:t>内部控制重大缺陷未得到整改。</w:t>
            </w:r>
            <w:r>
              <w:rPr>
                <w:rFonts w:ascii="宋体" w:hAnsi="宋体" w:cs="宋体" w:eastAsia="宋体" w:hint="default"/>
                <w:spacing w:val="1"/>
                <w:sz w:val="18"/>
                <w:szCs w:val="18"/>
              </w:rPr>
              <w:t> </w:t>
            </w:r>
            <w:r>
              <w:rPr>
                <w:rFonts w:ascii="宋体" w:hAnsi="宋体" w:cs="宋体" w:eastAsia="宋体" w:hint="default"/>
                <w:sz w:val="18"/>
                <w:szCs w:val="18"/>
              </w:rPr>
              <w:t>非</w:t>
            </w:r>
            <w:r>
              <w:rPr>
                <w:rFonts w:ascii="宋体" w:hAnsi="宋体" w:cs="宋体" w:eastAsia="宋体" w:hint="default"/>
                <w:sz w:val="18"/>
                <w:szCs w:val="18"/>
              </w:rPr>
              <w:t> 财务报告内部控制存在重要缺陷包括 以下情形：</w:t>
            </w:r>
            <w:r>
              <w:rPr>
                <w:rFonts w:ascii="Times New Roman" w:hAnsi="Times New Roman" w:cs="Times New Roman" w:eastAsia="Times New Roman" w:hint="default"/>
                <w:sz w:val="18"/>
                <w:szCs w:val="18"/>
              </w:rPr>
              <w:t>a)</w:t>
            </w:r>
            <w:r>
              <w:rPr>
                <w:rFonts w:ascii="宋体" w:hAnsi="宋体" w:cs="宋体" w:eastAsia="宋体" w:hint="default"/>
                <w:sz w:val="18"/>
                <w:szCs w:val="18"/>
              </w:rPr>
              <w:t>民主决策程序存在但不够 完善； </w:t>
            </w:r>
            <w:r>
              <w:rPr>
                <w:rFonts w:ascii="Times New Roman" w:hAnsi="Times New Roman" w:cs="Times New Roman" w:eastAsia="Times New Roman" w:hint="default"/>
                <w:sz w:val="18"/>
                <w:szCs w:val="18"/>
              </w:rPr>
              <w:t>b)</w:t>
            </w:r>
            <w:r>
              <w:rPr>
                <w:rFonts w:ascii="宋体" w:hAnsi="宋体" w:cs="宋体" w:eastAsia="宋体" w:hint="default"/>
                <w:sz w:val="18"/>
                <w:szCs w:val="18"/>
              </w:rPr>
              <w:t>决策程序导致出现一般性失 误；</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重要业务制度或系统存在缺陷； </w:t>
            </w:r>
            <w:r>
              <w:rPr>
                <w:rFonts w:ascii="Times New Roman" w:hAnsi="Times New Roman" w:cs="Times New Roman" w:eastAsia="Times New Roman" w:hint="default"/>
                <w:sz w:val="18"/>
                <w:szCs w:val="18"/>
              </w:rPr>
              <w:t>d)</w:t>
            </w:r>
            <w:r>
              <w:rPr>
                <w:rFonts w:ascii="宋体" w:hAnsi="宋体" w:cs="宋体" w:eastAsia="宋体" w:hint="default"/>
                <w:sz w:val="18"/>
                <w:szCs w:val="18"/>
              </w:rPr>
              <w:t>关键岗位业务人员流失严重；</w:t>
            </w:r>
            <w:r>
              <w:rPr>
                <w:rFonts w:ascii="Times New Roman" w:hAnsi="Times New Roman" w:cs="Times New Roman" w:eastAsia="Times New Roman" w:hint="default"/>
                <w:sz w:val="18"/>
                <w:szCs w:val="18"/>
              </w:rPr>
              <w:t>e)</w:t>
            </w:r>
            <w:r>
              <w:rPr>
                <w:rFonts w:ascii="宋体" w:hAnsi="宋体" w:cs="宋体" w:eastAsia="宋体" w:hint="default"/>
                <w:sz w:val="18"/>
                <w:szCs w:val="18"/>
              </w:rPr>
              <w:t>媒体 出现负面新闻，波及局部区域；</w:t>
            </w:r>
            <w:r>
              <w:rPr>
                <w:rFonts w:ascii="Times New Roman" w:hAnsi="Times New Roman" w:cs="Times New Roman" w:eastAsia="Times New Roman" w:hint="default"/>
                <w:sz w:val="18"/>
                <w:szCs w:val="18"/>
              </w:rPr>
              <w:t>f)</w:t>
            </w:r>
            <w:r>
              <w:rPr>
                <w:rFonts w:ascii="宋体" w:hAnsi="宋体" w:cs="宋体" w:eastAsia="宋体" w:hint="default"/>
                <w:sz w:val="18"/>
                <w:szCs w:val="18"/>
              </w:rPr>
              <w:t>内部 </w:t>
            </w:r>
            <w:r>
              <w:rPr>
                <w:rFonts w:ascii="宋体" w:hAnsi="宋体" w:cs="宋体" w:eastAsia="宋体" w:hint="default"/>
                <w:spacing w:val="-4"/>
                <w:sz w:val="18"/>
                <w:szCs w:val="18"/>
              </w:rPr>
              <w:t>控制重要或者一般缺陷未得到整改。非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财务报告内部控制的一般缺陷是指除 </w:t>
            </w:r>
            <w:r>
              <w:rPr>
                <w:rFonts w:ascii="宋体" w:hAnsi="宋体" w:cs="宋体" w:eastAsia="宋体" w:hint="default"/>
                <w:spacing w:val="-4"/>
                <w:sz w:val="18"/>
                <w:szCs w:val="18"/>
              </w:rPr>
              <w:t>上述重大缺陷、重要缺陷之外的其他控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制缺陷。</w:t>
            </w:r>
          </w:p>
        </w:tc>
      </w:tr>
      <w:tr>
        <w:trPr>
          <w:trHeight w:val="164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39"/>
              <w:jc w:val="left"/>
              <w:rPr>
                <w:rFonts w:ascii="宋体" w:hAnsi="宋体" w:cs="宋体" w:eastAsia="宋体" w:hint="default"/>
                <w:sz w:val="18"/>
                <w:szCs w:val="18"/>
              </w:rPr>
            </w:pPr>
            <w:r>
              <w:rPr>
                <w:rFonts w:ascii="宋体" w:hAnsi="宋体" w:cs="宋体" w:eastAsia="宋体" w:hint="default"/>
                <w:sz w:val="18"/>
                <w:szCs w:val="18"/>
              </w:rPr>
              <w:t>重大缺陷：潜在错报金额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×5%</w:t>
            </w:r>
            <w:r>
              <w:rPr>
                <w:rFonts w:ascii="宋体" w:hAnsi="宋体" w:cs="宋体" w:eastAsia="宋体" w:hint="default"/>
                <w:sz w:val="18"/>
                <w:szCs w:val="18"/>
              </w:rPr>
              <w:t>； 重要缺陷：利润总额</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＜潜在错报金额</w:t>
            </w:r>
          </w:p>
          <w:p>
            <w:pPr>
              <w:pStyle w:val="TableParagraph"/>
              <w:spacing w:line="300" w:lineRule="auto" w:before="13"/>
              <w:ind w:left="24"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；一般缺陷：潜在错报金 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×3%</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万元；重要缺陷：人民币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w:t>
            </w:r>
          </w:p>
          <w:p>
            <w:pPr>
              <w:pStyle w:val="TableParagraph"/>
              <w:spacing w:line="300" w:lineRule="auto" w:before="63"/>
              <w:ind w:left="19" w:right="1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 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1000 </w:t>
            </w:r>
            <w:r>
              <w:rPr>
                <w:rFonts w:ascii="宋体" w:hAnsi="宋体" w:cs="宋体" w:eastAsia="宋体" w:hint="default"/>
                <w:spacing w:val="-8"/>
                <w:sz w:val="18"/>
                <w:szCs w:val="18"/>
              </w:rPr>
              <w:t>万元；一般缺陷：直接财</w:t>
            </w:r>
            <w:r>
              <w:rPr>
                <w:rFonts w:ascii="宋体" w:hAnsi="宋体" w:cs="宋体" w:eastAsia="宋体" w:hint="default"/>
                <w:spacing w:val="8"/>
                <w:sz w:val="18"/>
                <w:szCs w:val="18"/>
              </w:rPr>
              <w:t> </w:t>
            </w:r>
            <w:r>
              <w:rPr>
                <w:rFonts w:ascii="宋体" w:hAnsi="宋体" w:cs="宋体" w:eastAsia="宋体" w:hint="default"/>
                <w:sz w:val="18"/>
                <w:szCs w:val="18"/>
              </w:rPr>
              <w:t>产损失金额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信永中和会计师事务所（特殊普通合伙）认为，中科信息公司按照《企业内部控制基本规范》及相关规定于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《内部控制鉴证报告》详见巨潮咨询网（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after="0" w:line="338"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125" w:right="153"/>
        <w:jc w:val="left"/>
        <w:rPr>
          <w:b w:val="0"/>
          <w:bCs w:val="0"/>
        </w:rPr>
      </w:pPr>
      <w:bookmarkStart w:name="_TOC_250001"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650"/>
        <w:jc w:val="center"/>
        <w:rPr>
          <w:b w:val="0"/>
          <w:bCs w:val="0"/>
        </w:rPr>
      </w:pPr>
      <w:bookmarkStart w:name="_TOC_250000"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XYZH/2018CDA10161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罗东先、李丽</w:t>
            </w:r>
          </w:p>
        </w:tc>
      </w:tr>
    </w:tbl>
    <w:p>
      <w:pPr>
        <w:spacing w:line="240" w:lineRule="auto" w:before="4"/>
        <w:rPr>
          <w:rFonts w:ascii="宋体" w:hAnsi="宋体" w:cs="宋体" w:eastAsia="宋体" w:hint="default"/>
          <w:b/>
          <w:bCs/>
          <w:sz w:val="27"/>
          <w:szCs w:val="27"/>
        </w:rPr>
      </w:pPr>
    </w:p>
    <w:p>
      <w:pPr>
        <w:spacing w:before="44"/>
        <w:ind w:left="1649" w:right="164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7"/>
        <w:rPr>
          <w:rFonts w:ascii="宋体" w:hAnsi="宋体" w:cs="宋体" w:eastAsia="宋体" w:hint="default"/>
          <w:sz w:val="12"/>
          <w:szCs w:val="12"/>
        </w:rPr>
      </w:pPr>
    </w:p>
    <w:p>
      <w:pPr>
        <w:spacing w:before="0"/>
        <w:ind w:left="152" w:right="153" w:firstLine="0"/>
        <w:jc w:val="left"/>
        <w:rPr>
          <w:rFonts w:ascii="宋体" w:hAnsi="宋体" w:cs="宋体" w:eastAsia="宋体" w:hint="default"/>
          <w:sz w:val="22"/>
          <w:szCs w:val="22"/>
        </w:rPr>
      </w:pPr>
      <w:r>
        <w:rPr>
          <w:rFonts w:ascii="宋体" w:hAnsi="宋体" w:cs="宋体" w:eastAsia="宋体" w:hint="default"/>
          <w:b/>
          <w:bCs/>
          <w:sz w:val="22"/>
          <w:szCs w:val="22"/>
        </w:rPr>
        <w:t>中科院成都信息技术股份有限公司全体股东：</w:t>
      </w:r>
      <w:r>
        <w:rPr>
          <w:rFonts w:ascii="宋体" w:hAnsi="宋体" w:cs="宋体" w:eastAsia="宋体" w:hint="default"/>
          <w:sz w:val="22"/>
          <w:szCs w:val="22"/>
        </w:rPr>
      </w:r>
    </w:p>
    <w:p>
      <w:pPr>
        <w:pStyle w:val="BodyText"/>
        <w:spacing w:line="408" w:lineRule="auto" w:before="110"/>
        <w:ind w:left="592" w:right="153" w:hanging="65"/>
        <w:jc w:val="left"/>
      </w:pPr>
      <w:r>
        <w:rPr>
          <w:rFonts w:ascii="宋体" w:hAnsi="宋体" w:cs="宋体" w:eastAsia="宋体" w:hint="default"/>
          <w:b/>
          <w:bCs/>
        </w:rPr>
        <w:t>一、审计意见</w:t>
      </w:r>
      <w:r>
        <w:rPr>
          <w:rFonts w:ascii="宋体" w:hAnsi="宋体" w:cs="宋体" w:eastAsia="宋体" w:hint="default"/>
          <w:b/>
          <w:bCs/>
          <w:w w:val="99"/>
        </w:rPr>
        <w:t> </w:t>
      </w:r>
      <w:r>
        <w:rPr>
          <w:spacing w:val="-3"/>
        </w:rPr>
        <w:t>我们审计了中科院成都信息技术股份有限公司（以下简称中科信息公司）财务报表，包括</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p>
    <w:p>
      <w:pPr>
        <w:pStyle w:val="BodyText"/>
        <w:spacing w:line="408" w:lineRule="auto"/>
        <w:ind w:right="153"/>
        <w:jc w:val="left"/>
        <w:rPr>
          <w:rFonts w:ascii="宋体" w:hAnsi="宋体" w:cs="宋体" w:eastAsia="宋体" w:hint="default"/>
        </w:rPr>
      </w:pP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2017</w:t>
      </w:r>
      <w:r>
        <w:rPr>
          <w:spacing w:val="-2"/>
        </w:rPr>
        <w:t>年度的合并及母公司利润表、合并及母公司现金流量表、合并及母</w:t>
      </w:r>
      <w:r>
        <w:rPr>
          <w:spacing w:val="-38"/>
        </w:rPr>
        <w:t> </w:t>
      </w:r>
      <w:r>
        <w:rPr>
          <w:spacing w:val="-38"/>
        </w:rPr>
      </w:r>
      <w:r>
        <w:rPr/>
        <w:t>公司股东权益变动表以及相关财务报表附注。</w:t>
      </w:r>
      <w:r>
        <w:rPr>
          <w:rFonts w:ascii="宋体" w:hAnsi="宋体" w:cs="宋体" w:eastAsia="宋体" w:hint="default"/>
        </w:rPr>
        <w:t> </w:t>
      </w:r>
    </w:p>
    <w:p>
      <w:pPr>
        <w:pStyle w:val="BodyText"/>
        <w:spacing w:line="240" w:lineRule="auto"/>
        <w:ind w:left="592" w:right="153"/>
        <w:jc w:val="left"/>
      </w:pPr>
      <w:r>
        <w:rPr>
          <w:spacing w:val="-3"/>
        </w:rPr>
        <w:t>我们认为，后附的财务报表在所有重大方面按照企业会计准则的规定编制，公允反映了中科信息公司</w:t>
      </w:r>
    </w:p>
    <w:p>
      <w:pPr>
        <w:spacing w:line="240" w:lineRule="auto" w:before="10"/>
        <w:rPr>
          <w:rFonts w:ascii="宋体" w:hAnsi="宋体" w:cs="宋体" w:eastAsia="宋体" w:hint="default"/>
          <w:sz w:val="14"/>
          <w:szCs w:val="14"/>
        </w:rPr>
      </w:pPr>
    </w:p>
    <w:p>
      <w:pPr>
        <w:pStyle w:val="BodyText"/>
        <w:spacing w:line="240" w:lineRule="auto" w:before="0"/>
        <w:ind w:right="153"/>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ind w:right="153"/>
        <w:jc w:val="left"/>
        <w:rPr>
          <w:rFonts w:ascii="宋体" w:hAnsi="宋体" w:cs="宋体" w:eastAsia="宋体" w:hint="default"/>
          <w:b w:val="0"/>
          <w:bCs w:val="0"/>
        </w:rPr>
      </w:pPr>
      <w:r>
        <w:rPr>
          <w:rFonts w:ascii="宋体" w:hAnsi="宋体" w:cs="宋体" w:eastAsia="宋体" w:hint="default"/>
          <w:w w:val="99"/>
        </w:rPr>
        <w:t>    </w:t>
      </w:r>
      <w:r>
        <w:rPr/>
        <w:t>二、形成审计意见的基础</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46" w:firstLine="439"/>
        <w:jc w:val="both"/>
        <w:rPr>
          <w:rFonts w:ascii="宋体" w:hAnsi="宋体" w:cs="宋体" w:eastAsia="宋体" w:hint="default"/>
        </w:rPr>
      </w:pPr>
      <w:r>
        <w:rPr>
          <w:spacing w:val="-3"/>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的责任”部分进一步阐述了我们在这些准则下的责任。按照中国注册会计师职业道德守则，我们独立于中</w:t>
      </w:r>
      <w:r>
        <w:rPr>
          <w:spacing w:val="-42"/>
        </w:rPr>
        <w:t> </w:t>
      </w:r>
      <w:r>
        <w:rPr>
          <w:spacing w:val="-42"/>
        </w:rPr>
      </w:r>
      <w:r>
        <w:rPr>
          <w:spacing w:val="-2"/>
        </w:rPr>
        <w:t>科信息公司，并履行了职业道德方面的其他责任。我们相信，我们获取的审计证据是充分、适当的，为发</w:t>
      </w:r>
      <w:r>
        <w:rPr>
          <w:spacing w:val="-43"/>
        </w:rPr>
        <w:t> </w:t>
      </w:r>
      <w:r>
        <w:rPr>
          <w:spacing w:val="-43"/>
        </w:rPr>
      </w:r>
      <w:r>
        <w:rPr/>
        <w:t>表审计意见提供了基础。</w:t>
      </w:r>
      <w:r>
        <w:rPr>
          <w:rFonts w:ascii="宋体" w:hAnsi="宋体" w:cs="宋体" w:eastAsia="宋体" w:hint="default"/>
        </w:rPr>
        <w:t> </w:t>
      </w:r>
    </w:p>
    <w:p>
      <w:pPr>
        <w:pStyle w:val="Heading4"/>
        <w:spacing w:line="240" w:lineRule="auto" w:before="46"/>
        <w:ind w:right="153"/>
        <w:jc w:val="left"/>
        <w:rPr>
          <w:rFonts w:ascii="宋体" w:hAnsi="宋体" w:cs="宋体" w:eastAsia="宋体" w:hint="default"/>
          <w:b w:val="0"/>
          <w:bCs w:val="0"/>
        </w:rPr>
      </w:pPr>
      <w:r>
        <w:rPr>
          <w:rFonts w:ascii="宋体" w:hAnsi="宋体" w:cs="宋体" w:eastAsia="宋体" w:hint="default"/>
          <w:w w:val="99"/>
        </w:rPr>
        <w:t>    </w:t>
      </w:r>
      <w:r>
        <w:rPr/>
        <w:t>三、关键审计事项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46" w:firstLine="439"/>
        <w:jc w:val="both"/>
        <w:rPr>
          <w:rFonts w:ascii="宋体" w:hAnsi="宋体" w:cs="宋体" w:eastAsia="宋体" w:hint="default"/>
        </w:rPr>
      </w:pPr>
      <w:r>
        <w:rPr>
          <w:spacing w:val="-3"/>
        </w:rPr>
        <w:t>关键审计事项是我们根据职业判断，认为对本期财务报表审计最为重要的事项。这些事项的应对以对</w:t>
      </w:r>
      <w:r>
        <w:rPr>
          <w:w w:val="100"/>
        </w:rPr>
        <w:t> </w:t>
      </w:r>
      <w:r>
        <w:rPr>
          <w:spacing w:val="-2"/>
        </w:rPr>
        <w:t>财务报表整体进行审计并形成审计意见为背景，我们不对这些事项单独发表意见。我们在审计中识别的关</w:t>
      </w:r>
      <w:r>
        <w:rPr>
          <w:spacing w:val="-43"/>
        </w:rPr>
        <w:t> </w:t>
      </w:r>
      <w:r>
        <w:rPr>
          <w:spacing w:val="-43"/>
        </w:rPr>
      </w:r>
      <w:r>
        <w:rPr/>
        <w:t>键审计事项如下：</w:t>
      </w:r>
      <w:r>
        <w:rPr>
          <w:rFonts w:ascii="宋体" w:hAnsi="宋体" w:cs="宋体" w:eastAsia="宋体" w:hint="default"/>
        </w:rPr>
        <w:t> </w:t>
      </w:r>
    </w:p>
    <w:tbl>
      <w:tblPr>
        <w:tblW w:w="0" w:type="auto"/>
        <w:jc w:val="left"/>
        <w:tblInd w:w="455" w:type="dxa"/>
        <w:tblLayout w:type="fixed"/>
        <w:tblCellMar>
          <w:top w:w="0" w:type="dxa"/>
          <w:left w:w="0" w:type="dxa"/>
          <w:bottom w:w="0" w:type="dxa"/>
          <w:right w:w="0" w:type="dxa"/>
        </w:tblCellMar>
        <w:tblLook w:val="01E0"/>
      </w:tblPr>
      <w:tblGrid>
        <w:gridCol w:w="4628"/>
        <w:gridCol w:w="4393"/>
      </w:tblGrid>
      <w:tr>
        <w:trPr>
          <w:trHeight w:val="348" w:hRule="exact"/>
        </w:trPr>
        <w:tc>
          <w:tcPr>
            <w:tcW w:w="9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、收入确认</w:t>
            </w:r>
          </w:p>
        </w:tc>
      </w:tr>
      <w:tr>
        <w:trPr>
          <w:trHeight w:val="346"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972"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58"/>
              <w:ind w:left="2" w:right="-15"/>
              <w:jc w:val="left"/>
              <w:rPr>
                <w:rFonts w:ascii="宋体" w:hAnsi="宋体" w:cs="宋体" w:eastAsia="宋体" w:hint="default"/>
                <w:sz w:val="21"/>
                <w:szCs w:val="21"/>
              </w:rPr>
            </w:pPr>
            <w:r>
              <w:rPr>
                <w:rFonts w:ascii="宋体" w:hAnsi="宋体" w:cs="宋体" w:eastAsia="宋体" w:hint="default"/>
                <w:spacing w:val="-2"/>
                <w:sz w:val="21"/>
                <w:szCs w:val="21"/>
              </w:rPr>
              <w:t>中科信息公司营业收入主要包括信息化解决方案、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软件开发收入、服务收入等。</w:t>
            </w:r>
            <w:r>
              <w:rPr>
                <w:rFonts w:ascii="宋体" w:hAnsi="宋体" w:cs="宋体" w:eastAsia="宋体" w:hint="default"/>
                <w:sz w:val="21"/>
                <w:szCs w:val="21"/>
              </w:rPr>
              <w:t> </w:t>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58"/>
              <w:ind w:left="4" w:right="1"/>
              <w:jc w:val="left"/>
              <w:rPr>
                <w:rFonts w:ascii="宋体" w:hAnsi="宋体" w:cs="宋体" w:eastAsia="宋体" w:hint="default"/>
                <w:sz w:val="21"/>
                <w:szCs w:val="21"/>
              </w:rPr>
            </w:pPr>
            <w:r>
              <w:rPr>
                <w:rFonts w:ascii="宋体" w:hAnsi="宋体" w:cs="宋体" w:eastAsia="宋体" w:hint="default"/>
                <w:spacing w:val="5"/>
                <w:sz w:val="21"/>
                <w:szCs w:val="21"/>
              </w:rPr>
              <w:t>针对收入确认的审计，我们主要执行了以下程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序：</w:t>
            </w:r>
            <w:r>
              <w:rPr>
                <w:rFonts w:ascii="宋体" w:hAnsi="宋体" w:cs="宋体" w:eastAsia="宋体" w:hint="default"/>
                <w:sz w:val="21"/>
                <w:szCs w:val="21"/>
              </w:rPr>
              <w:t> </w:t>
            </w:r>
          </w:p>
        </w:tc>
      </w:tr>
    </w:tbl>
    <w:p>
      <w:pPr>
        <w:spacing w:after="0" w:line="408" w:lineRule="auto"/>
        <w:jc w:val="left"/>
        <w:rPr>
          <w:rFonts w:ascii="宋体" w:hAnsi="宋体" w:cs="宋体" w:eastAsia="宋体" w:hint="default"/>
          <w:sz w:val="21"/>
          <w:szCs w:val="21"/>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455" w:type="dxa"/>
        <w:tblLayout w:type="fixed"/>
        <w:tblCellMar>
          <w:top w:w="0" w:type="dxa"/>
          <w:left w:w="0" w:type="dxa"/>
          <w:bottom w:w="0" w:type="dxa"/>
          <w:right w:w="0" w:type="dxa"/>
        </w:tblCellMar>
        <w:tblLook w:val="01E0"/>
      </w:tblPr>
      <w:tblGrid>
        <w:gridCol w:w="4628"/>
        <w:gridCol w:w="4393"/>
      </w:tblGrid>
      <w:tr>
        <w:trPr>
          <w:trHeight w:val="7057"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2" w:right="-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z w:val="21"/>
                <w:szCs w:val="21"/>
              </w:rPr>
              <w:t>年度收入总额</w:t>
            </w:r>
            <w:r>
              <w:rPr>
                <w:rFonts w:ascii="宋体" w:hAnsi="宋体" w:cs="宋体" w:eastAsia="宋体" w:hint="default"/>
                <w:sz w:val="21"/>
                <w:szCs w:val="21"/>
              </w:rPr>
              <w:t>290,694,326.03</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较</w:t>
            </w:r>
            <w:r>
              <w:rPr>
                <w:rFonts w:ascii="宋体" w:hAnsi="宋体" w:cs="宋体" w:eastAsia="宋体" w:hint="default"/>
                <w:sz w:val="21"/>
                <w:szCs w:val="21"/>
              </w:rPr>
              <w:t>2016</w:t>
            </w:r>
            <w:r>
              <w:rPr>
                <w:rFonts w:ascii="宋体" w:hAnsi="宋体" w:cs="宋体" w:eastAsia="宋体" w:hint="default"/>
                <w:sz w:val="21"/>
                <w:szCs w:val="21"/>
              </w:rPr>
              <w:t>年度</w:t>
            </w:r>
            <w:r>
              <w:rPr>
                <w:rFonts w:ascii="宋体" w:hAnsi="宋体" w:cs="宋体" w:eastAsia="宋体" w:hint="default"/>
                <w:spacing w:val="92"/>
                <w:sz w:val="21"/>
                <w:szCs w:val="21"/>
              </w:rPr>
              <w:t> </w:t>
            </w:r>
            <w:r>
              <w:rPr>
                <w:rFonts w:ascii="宋体" w:hAnsi="宋体" w:cs="宋体" w:eastAsia="宋体" w:hint="default"/>
                <w:w w:val="100"/>
                <w:sz w:val="21"/>
                <w:szCs w:val="21"/>
              </w:rPr>
              <w:t>增长</w:t>
            </w:r>
            <w:r>
              <w:rPr>
                <w:rFonts w:ascii="宋体" w:hAnsi="宋体" w:cs="宋体" w:eastAsia="宋体" w:hint="default"/>
                <w:w w:val="100"/>
                <w:sz w:val="21"/>
                <w:szCs w:val="21"/>
              </w:rPr>
              <w:t>4</w:t>
            </w:r>
            <w:r>
              <w:rPr>
                <w:rFonts w:ascii="宋体" w:hAnsi="宋体" w:cs="宋体" w:eastAsia="宋体" w:hint="default"/>
                <w:spacing w:val="-3"/>
                <w:w w:val="100"/>
                <w:sz w:val="21"/>
                <w:szCs w:val="21"/>
              </w:rPr>
              <w:t>6</w:t>
            </w:r>
            <w:r>
              <w:rPr>
                <w:rFonts w:ascii="宋体" w:hAnsi="宋体" w:cs="宋体" w:eastAsia="宋体" w:hint="default"/>
                <w:w w:val="100"/>
                <w:sz w:val="21"/>
                <w:szCs w:val="21"/>
              </w:rPr>
              <w:t>,61</w:t>
            </w:r>
            <w:r>
              <w:rPr>
                <w:rFonts w:ascii="宋体" w:hAnsi="宋体" w:cs="宋体" w:eastAsia="宋体" w:hint="default"/>
                <w:spacing w:val="-3"/>
                <w:w w:val="100"/>
                <w:sz w:val="21"/>
                <w:szCs w:val="21"/>
              </w:rPr>
              <w:t>3</w:t>
            </w:r>
            <w:r>
              <w:rPr>
                <w:rFonts w:ascii="宋体" w:hAnsi="宋体" w:cs="宋体" w:eastAsia="宋体" w:hint="default"/>
                <w:w w:val="100"/>
                <w:sz w:val="21"/>
                <w:szCs w:val="21"/>
              </w:rPr>
              <w:t>,13</w:t>
            </w:r>
            <w:r>
              <w:rPr>
                <w:rFonts w:ascii="宋体" w:hAnsi="宋体" w:cs="宋体" w:eastAsia="宋体" w:hint="default"/>
                <w:spacing w:val="-3"/>
                <w:w w:val="100"/>
                <w:sz w:val="21"/>
                <w:szCs w:val="21"/>
              </w:rPr>
              <w:t>6</w:t>
            </w:r>
            <w:r>
              <w:rPr>
                <w:rFonts w:ascii="宋体" w:hAnsi="宋体" w:cs="宋体" w:eastAsia="宋体" w:hint="default"/>
                <w:w w:val="100"/>
                <w:sz w:val="21"/>
                <w:szCs w:val="21"/>
              </w:rPr>
              <w:t>.9</w:t>
            </w:r>
            <w:r>
              <w:rPr>
                <w:rFonts w:ascii="宋体" w:hAnsi="宋体" w:cs="宋体" w:eastAsia="宋体" w:hint="default"/>
                <w:spacing w:val="-3"/>
                <w:w w:val="100"/>
                <w:sz w:val="21"/>
                <w:szCs w:val="21"/>
              </w:rPr>
              <w:t>1</w:t>
            </w:r>
            <w:r>
              <w:rPr>
                <w:rFonts w:ascii="宋体" w:hAnsi="宋体" w:cs="宋体" w:eastAsia="宋体" w:hint="default"/>
                <w:w w:val="100"/>
                <w:sz w:val="21"/>
                <w:szCs w:val="21"/>
              </w:rPr>
              <w:t>元</w:t>
            </w:r>
            <w:r>
              <w:rPr>
                <w:rFonts w:ascii="宋体" w:hAnsi="宋体" w:cs="宋体" w:eastAsia="宋体" w:hint="default"/>
                <w:spacing w:val="-3"/>
                <w:w w:val="100"/>
                <w:sz w:val="21"/>
                <w:szCs w:val="21"/>
              </w:rPr>
              <w:t>，增</w:t>
            </w:r>
            <w:r>
              <w:rPr>
                <w:rFonts w:ascii="宋体" w:hAnsi="宋体" w:cs="宋体" w:eastAsia="宋体" w:hint="default"/>
                <w:w w:val="100"/>
                <w:sz w:val="21"/>
                <w:szCs w:val="21"/>
              </w:rPr>
              <w:t>长率</w:t>
            </w:r>
            <w:r>
              <w:rPr>
                <w:rFonts w:ascii="宋体" w:hAnsi="宋体" w:cs="宋体" w:eastAsia="宋体" w:hint="default"/>
                <w:w w:val="100"/>
                <w:sz w:val="21"/>
                <w:szCs w:val="21"/>
              </w:rPr>
              <w:t>1</w:t>
            </w:r>
            <w:r>
              <w:rPr>
                <w:rFonts w:ascii="宋体" w:hAnsi="宋体" w:cs="宋体" w:eastAsia="宋体" w:hint="default"/>
                <w:spacing w:val="-3"/>
                <w:w w:val="100"/>
                <w:sz w:val="21"/>
                <w:szCs w:val="21"/>
              </w:rPr>
              <w:t>9</w:t>
            </w:r>
            <w:r>
              <w:rPr>
                <w:rFonts w:ascii="宋体" w:hAnsi="宋体" w:cs="宋体" w:eastAsia="宋体" w:hint="default"/>
                <w:w w:val="100"/>
                <w:sz w:val="21"/>
                <w:szCs w:val="21"/>
              </w:rPr>
              <w:t>.10</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408" w:lineRule="auto" w:before="46"/>
              <w:ind w:left="2" w:right="4"/>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中科信息公司收入确认的会计政策和具体方法详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见财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四</w:t>
            </w:r>
            <w:r>
              <w:rPr>
                <w:rFonts w:ascii="宋体" w:hAnsi="宋体" w:cs="宋体" w:eastAsia="宋体" w:hint="default"/>
                <w:spacing w:val="-3"/>
                <w:w w:val="100"/>
                <w:sz w:val="21"/>
                <w:szCs w:val="21"/>
              </w:rPr>
              <w:t>、</w:t>
            </w:r>
            <w:r>
              <w:rPr>
                <w:rFonts w:ascii="宋体" w:hAnsi="宋体" w:cs="宋体" w:eastAsia="宋体" w:hint="default"/>
                <w:w w:val="100"/>
                <w:sz w:val="21"/>
                <w:szCs w:val="21"/>
              </w:rPr>
              <w:t>23</w:t>
            </w:r>
            <w:r>
              <w:rPr>
                <w:rFonts w:ascii="宋体" w:hAnsi="宋体" w:cs="宋体" w:eastAsia="宋体" w:hint="default"/>
                <w:spacing w:val="-3"/>
                <w:w w:val="100"/>
                <w:sz w:val="21"/>
                <w:szCs w:val="21"/>
              </w:rPr>
              <w:t>所</w:t>
            </w:r>
            <w:r>
              <w:rPr>
                <w:rFonts w:ascii="宋体" w:hAnsi="宋体" w:cs="宋体" w:eastAsia="宋体" w:hint="default"/>
                <w:w w:val="100"/>
                <w:sz w:val="21"/>
                <w:szCs w:val="21"/>
              </w:rPr>
              <w:t>述</w:t>
            </w:r>
            <w:r>
              <w:rPr>
                <w:rFonts w:ascii="宋体" w:hAnsi="宋体" w:cs="宋体" w:eastAsia="宋体" w:hint="default"/>
                <w:spacing w:val="-2"/>
                <w:w w:val="100"/>
                <w:sz w:val="21"/>
                <w:szCs w:val="21"/>
              </w:rPr>
              <w:t>。</w:t>
            </w:r>
            <w:r>
              <w:rPr>
                <w:rFonts w:ascii="宋体" w:hAnsi="宋体" w:cs="宋体" w:eastAsia="宋体" w:hint="default"/>
                <w:w w:val="100"/>
                <w:sz w:val="21"/>
                <w:szCs w:val="21"/>
              </w:rPr>
              <w:t> </w:t>
            </w:r>
          </w:p>
          <w:p>
            <w:pPr>
              <w:pStyle w:val="TableParagraph"/>
              <w:spacing w:line="408" w:lineRule="auto" w:before="46"/>
              <w:ind w:left="2" w:right="-1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其收入增长对中科信息公司业绩影响重大，收入确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认是否在恰当的财务报表期间可能存在潜在错报，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因此我们将中科信息公司收入确认作为关键审计                               </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事项</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40" w:lineRule="auto" w:before="46"/>
              <w:ind w:left="2" w:right="0"/>
              <w:jc w:val="left"/>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21"/>
                <w:szCs w:val="21"/>
              </w:rPr>
            </w:pPr>
            <w:r>
              <w:rPr>
                <w:rFonts w:ascii="宋体"/>
                <w:b/>
                <w:w w:val="99"/>
                <w:sz w:val="21"/>
              </w:rPr>
              <w:t> </w:t>
            </w:r>
            <w:r>
              <w:rPr>
                <w:rFonts w:ascii="宋体"/>
                <w:sz w:val="21"/>
              </w:rPr>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）了解有关收入确认的内部控制，并对其是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否有效运行进行了测试；</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）审阅项目合同及与管理层沟通，分析、评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估收入确认会计政策；</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408" w:lineRule="auto"/>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）结合中科信息公司收入确认会计政策，对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收入确认进行了抽样测试，抽查收入确认是否有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项目完工验收支持，收入确认的金额是否与合同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金额或项目结算金额一致；</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）选取样本执行函证或现场走访程序以检查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收入的真实性及是否确认在恰当的财务报表期</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间。</w:t>
            </w:r>
            <w:r>
              <w:rPr>
                <w:rFonts w:ascii="宋体" w:hAnsi="宋体" w:cs="宋体" w:eastAsia="宋体" w:hint="default"/>
                <w:sz w:val="21"/>
                <w:szCs w:val="21"/>
              </w:rPr>
              <w:t> </w:t>
            </w:r>
          </w:p>
        </w:tc>
      </w:tr>
      <w:tr>
        <w:trPr>
          <w:trHeight w:val="502" w:hRule="exact"/>
        </w:trPr>
        <w:tc>
          <w:tcPr>
            <w:tcW w:w="90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、应收账款坏账准备</w:t>
            </w:r>
            <w:r>
              <w:rPr>
                <w:rFonts w:ascii="宋体" w:hAnsi="宋体" w:cs="宋体" w:eastAsia="宋体" w:hint="default"/>
                <w:sz w:val="21"/>
                <w:szCs w:val="21"/>
              </w:rPr>
              <w:t> </w:t>
            </w:r>
          </w:p>
        </w:tc>
      </w:tr>
      <w:tr>
        <w:trPr>
          <w:trHeight w:val="504"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4" w:right="0"/>
              <w:jc w:val="left"/>
              <w:rPr>
                <w:rFonts w:ascii="宋体" w:hAnsi="宋体" w:cs="宋体" w:eastAsia="宋体" w:hint="default"/>
                <w:sz w:val="21"/>
                <w:szCs w:val="21"/>
              </w:rPr>
            </w:pPr>
            <w:r>
              <w:rPr>
                <w:rFonts w:ascii="宋体" w:hAnsi="宋体" w:cs="宋体" w:eastAsia="宋体" w:hint="default"/>
                <w:b/>
                <w:bCs/>
                <w:sz w:val="21"/>
                <w:szCs w:val="21"/>
              </w:rPr>
              <w:t>审计中的应对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53" w:hRule="exact"/>
        </w:trPr>
        <w:tc>
          <w:tcPr>
            <w:tcW w:w="462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2" w:right="1"/>
              <w:jc w:val="left"/>
              <w:rPr>
                <w:rFonts w:ascii="宋体" w:hAnsi="宋体" w:cs="宋体" w:eastAsia="宋体" w:hint="default"/>
                <w:sz w:val="21"/>
                <w:szCs w:val="21"/>
              </w:rPr>
            </w:pPr>
            <w:r>
              <w:rPr>
                <w:rFonts w:ascii="宋体" w:hAnsi="宋体" w:cs="宋体" w:eastAsia="宋体" w:hint="default"/>
                <w:spacing w:val="5"/>
                <w:sz w:val="21"/>
                <w:szCs w:val="21"/>
              </w:rPr>
              <w:t>中科信息公司截止</w:t>
            </w:r>
            <w:r>
              <w:rPr>
                <w:rFonts w:ascii="宋体" w:hAnsi="宋体" w:cs="宋体" w:eastAsia="宋体" w:hint="default"/>
                <w:spacing w:val="5"/>
                <w:sz w:val="21"/>
                <w:szCs w:val="21"/>
              </w:rPr>
              <w:t>2017</w:t>
            </w:r>
            <w:r>
              <w:rPr>
                <w:rFonts w:ascii="宋体" w:hAnsi="宋体" w:cs="宋体" w:eastAsia="宋体" w:hint="default"/>
                <w:spacing w:val="5"/>
                <w:sz w:val="21"/>
                <w:szCs w:val="21"/>
              </w:rPr>
              <w:t>年</w:t>
            </w:r>
            <w:r>
              <w:rPr>
                <w:rFonts w:ascii="宋体" w:hAnsi="宋体" w:cs="宋体" w:eastAsia="宋体" w:hint="default"/>
                <w:spacing w:val="5"/>
                <w:sz w:val="21"/>
                <w:szCs w:val="21"/>
              </w:rPr>
              <w:t>12</w:t>
            </w:r>
            <w:r>
              <w:rPr>
                <w:rFonts w:ascii="宋体" w:hAnsi="宋体" w:cs="宋体" w:eastAsia="宋体" w:hint="default"/>
                <w:spacing w:val="5"/>
                <w:sz w:val="21"/>
                <w:szCs w:val="21"/>
              </w:rPr>
              <w:t>月</w:t>
            </w:r>
            <w:r>
              <w:rPr>
                <w:rFonts w:ascii="宋体" w:hAnsi="宋体" w:cs="宋体" w:eastAsia="宋体" w:hint="default"/>
                <w:spacing w:val="5"/>
                <w:sz w:val="21"/>
                <w:szCs w:val="21"/>
              </w:rPr>
              <w:t>31</w:t>
            </w:r>
            <w:r>
              <w:rPr>
                <w:rFonts w:ascii="宋体" w:hAnsi="宋体" w:cs="宋体" w:eastAsia="宋体" w:hint="default"/>
                <w:spacing w:val="5"/>
                <w:sz w:val="21"/>
                <w:szCs w:val="21"/>
              </w:rPr>
              <w:t>日应收账款账面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价值</w:t>
            </w:r>
            <w:r>
              <w:rPr>
                <w:rFonts w:ascii="宋体" w:hAnsi="宋体" w:cs="宋体" w:eastAsia="宋体" w:hint="default"/>
                <w:sz w:val="21"/>
                <w:szCs w:val="21"/>
              </w:rPr>
              <w:t>169,121,978.63</w:t>
            </w:r>
            <w:r>
              <w:rPr>
                <w:rFonts w:ascii="宋体" w:hAnsi="宋体" w:cs="宋体" w:eastAsia="宋体" w:hint="default"/>
                <w:sz w:val="21"/>
                <w:szCs w:val="21"/>
              </w:rPr>
              <w:t>元，占资产总额的</w:t>
            </w:r>
            <w:r>
              <w:rPr>
                <w:rFonts w:ascii="宋体" w:hAnsi="宋体" w:cs="宋体" w:eastAsia="宋体" w:hint="default"/>
                <w:sz w:val="21"/>
                <w:szCs w:val="21"/>
              </w:rPr>
              <w:t>24.54%</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408" w:lineRule="auto" w:before="46"/>
              <w:ind w:left="2" w:right="4"/>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中科信息公司应收款项坏账准备的会计政策和具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体方</w:t>
            </w:r>
            <w:r>
              <w:rPr>
                <w:rFonts w:ascii="宋体" w:hAnsi="宋体" w:cs="宋体" w:eastAsia="宋体" w:hint="default"/>
                <w:spacing w:val="-3"/>
                <w:w w:val="100"/>
                <w:sz w:val="21"/>
                <w:szCs w:val="21"/>
              </w:rPr>
              <w:t>法</w:t>
            </w:r>
            <w:r>
              <w:rPr>
                <w:rFonts w:ascii="宋体" w:hAnsi="宋体" w:cs="宋体" w:eastAsia="宋体" w:hint="default"/>
                <w:w w:val="100"/>
                <w:sz w:val="21"/>
                <w:szCs w:val="21"/>
              </w:rPr>
              <w:t>详</w:t>
            </w:r>
            <w:r>
              <w:rPr>
                <w:rFonts w:ascii="宋体" w:hAnsi="宋体" w:cs="宋体" w:eastAsia="宋体" w:hint="default"/>
                <w:spacing w:val="-3"/>
                <w:w w:val="100"/>
                <w:sz w:val="21"/>
                <w:szCs w:val="21"/>
              </w:rPr>
              <w:t>见</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四、</w:t>
            </w:r>
            <w:r>
              <w:rPr>
                <w:rFonts w:ascii="宋体" w:hAnsi="宋体" w:cs="宋体" w:eastAsia="宋体" w:hint="default"/>
                <w:w w:val="100"/>
                <w:sz w:val="21"/>
                <w:szCs w:val="21"/>
              </w:rPr>
              <w:t>1</w:t>
            </w:r>
            <w:r>
              <w:rPr>
                <w:rFonts w:ascii="宋体" w:hAnsi="宋体" w:cs="宋体" w:eastAsia="宋体" w:hint="default"/>
                <w:spacing w:val="-3"/>
                <w:w w:val="100"/>
                <w:sz w:val="21"/>
                <w:szCs w:val="21"/>
              </w:rPr>
              <w:t>0</w:t>
            </w:r>
            <w:r>
              <w:rPr>
                <w:rFonts w:ascii="宋体" w:hAnsi="宋体" w:cs="宋体" w:eastAsia="宋体" w:hint="default"/>
                <w:w w:val="100"/>
                <w:sz w:val="21"/>
                <w:szCs w:val="21"/>
              </w:rPr>
              <w:t>所</w:t>
            </w:r>
            <w:r>
              <w:rPr>
                <w:rFonts w:ascii="宋体" w:hAnsi="宋体" w:cs="宋体" w:eastAsia="宋体" w:hint="default"/>
                <w:spacing w:val="-3"/>
                <w:w w:val="100"/>
                <w:sz w:val="21"/>
                <w:szCs w:val="21"/>
              </w:rPr>
              <w:t>述。</w:t>
            </w:r>
            <w:r>
              <w:rPr>
                <w:rFonts w:ascii="宋体" w:hAnsi="宋体" w:cs="宋体" w:eastAsia="宋体" w:hint="default"/>
                <w:w w:val="100"/>
                <w:sz w:val="21"/>
                <w:szCs w:val="21"/>
              </w:rPr>
              <w:t> </w:t>
            </w:r>
          </w:p>
          <w:p>
            <w:pPr>
              <w:pStyle w:val="TableParagraph"/>
              <w:spacing w:line="408" w:lineRule="auto" w:before="46"/>
              <w:ind w:left="2"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由于应收账款占资产总额的比重较大，应收账款坏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账准备计提是否充分对财务报表的影响较大，因此</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我们将中科信息公司应收账款坏账准备计提作为               </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关键</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40" w:lineRule="auto" w:before="46"/>
              <w:ind w:left="2" w:right="0"/>
              <w:jc w:val="left"/>
              <w:rPr>
                <w:rFonts w:ascii="宋体" w:hAnsi="宋体" w:cs="宋体" w:eastAsia="宋体" w:hint="default"/>
                <w:sz w:val="21"/>
                <w:szCs w:val="21"/>
              </w:rPr>
            </w:pPr>
            <w:r>
              <w:rPr>
                <w:rFonts w:ascii="宋体"/>
                <w:w w:val="100"/>
                <w:sz w:val="21"/>
              </w:rPr>
              <w:t> </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21"/>
                <w:szCs w:val="21"/>
              </w:rPr>
            </w:pPr>
            <w:r>
              <w:rPr>
                <w:rFonts w:ascii="宋体"/>
                <w:w w:val="100"/>
                <w:sz w:val="21"/>
              </w:rPr>
              <w:t> </w:t>
            </w:r>
          </w:p>
        </w:tc>
        <w:tc>
          <w:tcPr>
            <w:tcW w:w="439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74"/>
              <w:ind w:left="4" w:right="-3"/>
              <w:jc w:val="left"/>
              <w:rPr>
                <w:rFonts w:ascii="宋体" w:hAnsi="宋体" w:cs="宋体" w:eastAsia="宋体" w:hint="default"/>
                <w:sz w:val="21"/>
                <w:szCs w:val="21"/>
              </w:rPr>
            </w:pPr>
            <w:r>
              <w:rPr>
                <w:rFonts w:ascii="宋体" w:hAnsi="宋体" w:cs="宋体" w:eastAsia="宋体" w:hint="default"/>
                <w:spacing w:val="-4"/>
                <w:sz w:val="21"/>
                <w:szCs w:val="21"/>
              </w:rPr>
              <w:t>针对应收账款坏账准备的审计，我们主要执行了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以下程序：</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）根据过往中科信息公司发生坏账情况、同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行业企业坏账准备的会计政策，分析、评估中科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信息公司坏账准备政策的合理性；</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）分析中科信息公司客户信誉情况；</w:t>
            </w:r>
            <w:r>
              <w:rPr>
                <w:rFonts w:ascii="宋体" w:hAnsi="宋体" w:cs="宋体" w:eastAsia="宋体" w:hint="default"/>
                <w:sz w:val="21"/>
                <w:szCs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both"/>
              <w:rPr>
                <w:rFonts w:ascii="宋体" w:hAnsi="宋体" w:cs="宋体" w:eastAsia="宋体" w:hint="default"/>
                <w:sz w:val="21"/>
                <w:szCs w:val="21"/>
              </w:rPr>
            </w:pPr>
            <w:r>
              <w:rPr>
                <w:rFonts w:ascii="宋体"/>
                <w:w w:val="100"/>
                <w:sz w:val="21"/>
              </w:rPr>
              <w:t> </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4"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）检查中科信息公司应收账款账龄划分是否</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正确；</w:t>
            </w:r>
            <w:r>
              <w:rPr>
                <w:rFonts w:ascii="宋体" w:hAnsi="宋体" w:cs="宋体" w:eastAsia="宋体" w:hint="default"/>
                <w:sz w:val="21"/>
                <w:szCs w:val="21"/>
              </w:rPr>
              <w:t> </w:t>
            </w:r>
          </w:p>
          <w:p>
            <w:pPr>
              <w:pStyle w:val="TableParagraph"/>
              <w:spacing w:line="240" w:lineRule="auto" w:before="46"/>
              <w:ind w:left="4" w:right="0"/>
              <w:jc w:val="both"/>
              <w:rPr>
                <w:rFonts w:ascii="宋体" w:hAnsi="宋体" w:cs="宋体" w:eastAsia="宋体" w:hint="default"/>
                <w:sz w:val="21"/>
                <w:szCs w:val="21"/>
              </w:rPr>
            </w:pPr>
            <w:r>
              <w:rPr>
                <w:rFonts w:ascii="宋体"/>
                <w:w w:val="100"/>
                <w:sz w:val="21"/>
              </w:rPr>
              <w:t> </w:t>
            </w:r>
          </w:p>
        </w:tc>
      </w:tr>
    </w:tbl>
    <w:p>
      <w:pPr>
        <w:spacing w:after="0" w:line="240" w:lineRule="auto"/>
        <w:jc w:val="both"/>
        <w:rPr>
          <w:rFonts w:ascii="宋体" w:hAnsi="宋体" w:cs="宋体" w:eastAsia="宋体" w:hint="default"/>
          <w:sz w:val="21"/>
          <w:szCs w:val="21"/>
        </w:rPr>
        <w:sectPr>
          <w:pgSz w:w="11910" w:h="16840"/>
          <w:pgMar w:header="880" w:footer="974" w:top="1100" w:bottom="1160" w:left="980" w:right="980"/>
        </w:sectPr>
      </w:pPr>
    </w:p>
    <w:p>
      <w:pPr>
        <w:spacing w:line="240" w:lineRule="auto" w:before="4"/>
        <w:rPr>
          <w:rFonts w:ascii="Times New Roman" w:hAnsi="Times New Roman" w:cs="Times New Roman" w:eastAsia="Times New Roman" w:hint="default"/>
          <w:sz w:val="27"/>
          <w:szCs w:val="27"/>
        </w:rPr>
      </w:pPr>
    </w:p>
    <w:p>
      <w:pPr>
        <w:spacing w:line="1346" w:lineRule="exact"/>
        <w:ind w:left="4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451.8pt;height:67.350pt;mso-position-horizontal-relative:char;mso-position-vertical-relative:line" coordorigin="0,0" coordsize="9036,1347">
            <v:group style="position:absolute;left:14;top:14;width:4614;height:2" coordorigin="14,14" coordsize="4614,2">
              <v:shape style="position:absolute;left:14;top:14;width:4614;height:2" coordorigin="14,14" coordsize="4614,0" path="m14,14l4628,14e" filled="false" stroked="true" strokeweight=".72pt" strokecolor="#000000">
                <v:path arrowok="t"/>
              </v:shape>
            </v:group>
            <v:group style="position:absolute;left:4642;top:14;width:4379;height:2" coordorigin="4642,14" coordsize="4379,2">
              <v:shape style="position:absolute;left:4642;top:14;width:4379;height:2" coordorigin="4642,14" coordsize="4379,0" path="m4642,14l9021,14e" filled="false" stroked="true" strokeweight=".72pt" strokecolor="#000000">
                <v:path arrowok="t"/>
              </v:shape>
            </v:group>
            <v:group style="position:absolute;left:4635;top:7;width:2;height:987" coordorigin="4635,7" coordsize="2,987">
              <v:shape style="position:absolute;left:4635;top:7;width:2;height:987" coordorigin="4635,7" coordsize="0,987" path="m4635,7l4635,994e" filled="false" stroked="true" strokeweight=".72pt" strokecolor="#000000">
                <v:path arrowok="t"/>
              </v:shape>
            </v:group>
            <v:group style="position:absolute;left:14;top:987;width:4614;height:2" coordorigin="14,987" coordsize="4614,2">
              <v:shape style="position:absolute;left:14;top:987;width:4614;height:2" coordorigin="14,987" coordsize="4614,0" path="m14,987l4628,987e" filled="false" stroked="true" strokeweight=".72pt" strokecolor="#000000">
                <v:path arrowok="t"/>
              </v:shape>
            </v:group>
            <v:group style="position:absolute;left:4642;top:987;width:4379;height:2" coordorigin="4642,987" coordsize="4379,2">
              <v:shape style="position:absolute;left:4642;top:987;width:4379;height:2" coordorigin="4642,987" coordsize="4379,0" path="m4642,987l9021,987e" filled="false" stroked="true" strokeweight=".72pt" strokecolor="#000000">
                <v:path arrowok="t"/>
              </v:shape>
            </v:group>
            <v:group style="position:absolute;left:7;top:7;width:2;height:1333" coordorigin="7,7" coordsize="2,1333">
              <v:shape style="position:absolute;left:7;top:7;width:2;height:1333" coordorigin="7,7" coordsize="0,1333" path="m7,7l7,1340e" filled="false" stroked="true" strokeweight=".71999pt" strokecolor="#000000">
                <v:path arrowok="t"/>
              </v:shape>
            </v:group>
            <v:group style="position:absolute;left:14;top:1332;width:9007;height:2" coordorigin="14,1332" coordsize="9007,2">
              <v:shape style="position:absolute;left:14;top:1332;width:9007;height:2" coordorigin="14,1332" coordsize="9007,0" path="m14,1332l9021,1332e" filled="false" stroked="true" strokeweight=".72pt" strokecolor="#000000">
                <v:path arrowok="t"/>
              </v:shape>
            </v:group>
            <v:group style="position:absolute;left:9028;top:7;width:2;height:1333" coordorigin="9028,7" coordsize="2,1333">
              <v:shape style="position:absolute;left:9028;top:7;width:2;height:1333" coordorigin="9028,7" coordsize="0,1333" path="m9028,7l9028,1340e" filled="false" stroked="true" strokeweight=".72003pt" strokecolor="#000000">
                <v:path arrowok="t"/>
              </v:shape>
              <v:shape style="position:absolute;left:4635;top:14;width:4393;height:973" type="#_x0000_t202" filled="false" stroked="false">
                <v:textbox inset="0,0,0,0">
                  <w:txbxContent>
                    <w:p>
                      <w:pPr>
                        <w:spacing w:before="81"/>
                        <w:ind w:left="1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）复核中科信息公司坏账准备的计提计算是</w:t>
                      </w:r>
                    </w:p>
                    <w:p>
                      <w:pPr>
                        <w:spacing w:line="240" w:lineRule="auto" w:before="9"/>
                        <w:rPr>
                          <w:rFonts w:ascii="Times New Roman" w:hAnsi="Times New Roman" w:cs="Times New Roman" w:eastAsia="Times New Roman" w:hint="default"/>
                          <w:sz w:val="16"/>
                          <w:szCs w:val="16"/>
                        </w:rPr>
                      </w:pPr>
                    </w:p>
                    <w:p>
                      <w:pPr>
                        <w:spacing w:before="0"/>
                        <w:ind w:left="11" w:right="0" w:firstLine="0"/>
                        <w:jc w:val="left"/>
                        <w:rPr>
                          <w:rFonts w:ascii="宋体" w:hAnsi="宋体" w:cs="宋体" w:eastAsia="宋体" w:hint="default"/>
                          <w:sz w:val="21"/>
                          <w:szCs w:val="21"/>
                        </w:rPr>
                      </w:pPr>
                      <w:r>
                        <w:rPr>
                          <w:rFonts w:ascii="宋体" w:hAnsi="宋体" w:cs="宋体" w:eastAsia="宋体" w:hint="default"/>
                          <w:sz w:val="21"/>
                          <w:szCs w:val="21"/>
                        </w:rPr>
                        <w:t>否正确。</w:t>
                      </w:r>
                      <w:r>
                        <w:rPr>
                          <w:rFonts w:ascii="宋体" w:hAnsi="宋体" w:cs="宋体" w:eastAsia="宋体" w:hint="default"/>
                          <w:sz w:val="21"/>
                          <w:szCs w:val="21"/>
                        </w:rPr>
                        <w:t> </w:t>
                      </w:r>
                    </w:p>
                  </w:txbxContent>
                </v:textbox>
                <w10:wrap type="none"/>
              </v:shape>
            </v:group>
          </v:group>
        </w:pict>
      </w:r>
      <w:r>
        <w:rPr>
          <w:rFonts w:ascii="Times New Roman" w:hAnsi="Times New Roman" w:cs="Times New Roman" w:eastAsia="Times New Roman" w:hint="default"/>
          <w:position w:val="-26"/>
          <w:sz w:val="20"/>
          <w:szCs w:val="20"/>
        </w:rPr>
      </w:r>
    </w:p>
    <w:p>
      <w:pPr>
        <w:pStyle w:val="BodyText"/>
        <w:spacing w:line="408" w:lineRule="auto" w:before="58"/>
        <w:ind w:left="592" w:right="0" w:hanging="65"/>
        <w:jc w:val="left"/>
      </w:pPr>
      <w:r>
        <w:rPr>
          <w:rFonts w:ascii="宋体" w:hAnsi="宋体" w:cs="宋体" w:eastAsia="宋体" w:hint="default"/>
          <w:b/>
          <w:bCs/>
        </w:rPr>
        <w:t>四、其他信息</w:t>
      </w:r>
      <w:r>
        <w:rPr>
          <w:rFonts w:ascii="宋体" w:hAnsi="宋体" w:cs="宋体" w:eastAsia="宋体" w:hint="default"/>
          <w:b/>
          <w:bCs/>
          <w:w w:val="99"/>
        </w:rPr>
        <w:t> </w:t>
      </w:r>
      <w:r>
        <w:rPr>
          <w:spacing w:val="-3"/>
        </w:rPr>
        <w:t>中科信息公司管理层</w:t>
      </w:r>
      <w:r>
        <w:rPr>
          <w:rFonts w:ascii="宋体" w:hAnsi="宋体" w:cs="宋体" w:eastAsia="宋体" w:hint="default"/>
          <w:spacing w:val="-3"/>
        </w:rPr>
        <w:t>(</w:t>
      </w:r>
      <w:r>
        <w:rPr>
          <w:spacing w:val="-3"/>
        </w:rPr>
        <w:t>以下简称管理层</w:t>
      </w:r>
      <w:r>
        <w:rPr>
          <w:rFonts w:ascii="宋体" w:hAnsi="宋体" w:cs="宋体" w:eastAsia="宋体" w:hint="default"/>
          <w:spacing w:val="-3"/>
        </w:rPr>
        <w:t>)</w:t>
      </w:r>
      <w:r>
        <w:rPr>
          <w:spacing w:val="-3"/>
        </w:rPr>
        <w:t>对其他信息负责。其他信息包括中科信息公司</w:t>
      </w:r>
      <w:r>
        <w:rPr>
          <w:rFonts w:ascii="宋体" w:hAnsi="宋体" w:cs="宋体" w:eastAsia="宋体" w:hint="default"/>
          <w:spacing w:val="-3"/>
        </w:rPr>
        <w:t>2017</w:t>
      </w:r>
      <w:r>
        <w:rPr>
          <w:spacing w:val="-3"/>
        </w:rPr>
        <w:t>年年度报告</w:t>
      </w:r>
    </w:p>
    <w:p>
      <w:pPr>
        <w:pStyle w:val="BodyText"/>
        <w:spacing w:line="408" w:lineRule="auto"/>
        <w:ind w:left="592" w:right="0" w:hanging="440"/>
        <w:jc w:val="left"/>
      </w:pPr>
      <w:r>
        <w:rPr/>
        <w:t>中涵盖的信息，但不包括财务报表和我们的审计报告。</w:t>
      </w:r>
      <w:r>
        <w:rPr>
          <w:rFonts w:ascii="宋体" w:hAnsi="宋体" w:cs="宋体" w:eastAsia="宋体" w:hint="default"/>
          <w:w w:val="100"/>
        </w:rPr>
        <w:t> </w:t>
      </w:r>
      <w:r>
        <w:rPr/>
        <w:t>我们对财务报表发表的审计意见不涵盖其他信息，我们也不对其他信息发表任何形式的鉴证结论。</w:t>
      </w:r>
      <w:r>
        <w:rPr>
          <w:rFonts w:ascii="宋体" w:hAnsi="宋体" w:cs="宋体" w:eastAsia="宋体" w:hint="default"/>
          <w:w w:val="100"/>
        </w:rPr>
        <w:t> </w:t>
      </w:r>
      <w:r>
        <w:rPr>
          <w:spacing w:val="-3"/>
        </w:rPr>
        <w:t>结合我们对财务报表的审计，我们的责任是阅读其他信息，在此过程中，考虑其他信息是否与财务报</w:t>
      </w:r>
    </w:p>
    <w:p>
      <w:pPr>
        <w:pStyle w:val="BodyText"/>
        <w:spacing w:line="408" w:lineRule="auto"/>
        <w:ind w:left="592" w:right="0" w:hanging="440"/>
        <w:jc w:val="left"/>
      </w:pPr>
      <w:r>
        <w:rPr/>
        <w:t>表或我们在审计过程中了解到的情况存在重大不一致或者似乎存在重大错报。</w:t>
      </w:r>
      <w:r>
        <w:rPr>
          <w:rFonts w:ascii="宋体" w:hAnsi="宋体" w:cs="宋体" w:eastAsia="宋体" w:hint="default"/>
          <w:w w:val="100"/>
        </w:rPr>
        <w:t> </w:t>
      </w:r>
      <w:r>
        <w:rPr>
          <w:spacing w:val="-3"/>
        </w:rPr>
        <w:t>基于我们已执行的工作，如果我们确定其他信息存在重大错报，我们应当报告该事实。在这方面，我</w:t>
      </w:r>
    </w:p>
    <w:p>
      <w:pPr>
        <w:pStyle w:val="BodyText"/>
        <w:spacing w:line="240" w:lineRule="auto"/>
        <w:ind w:right="0"/>
        <w:jc w:val="left"/>
        <w:rPr>
          <w:rFonts w:ascii="宋体" w:hAnsi="宋体" w:cs="宋体" w:eastAsia="宋体" w:hint="default"/>
        </w:rPr>
      </w:pPr>
      <w:r>
        <w:rPr/>
        <w:t>们无任何事项需要报告。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w w:val="99"/>
        </w:rPr>
        <w:t>    </w:t>
      </w:r>
      <w:r>
        <w:rPr/>
        <w:t>五、管理层和治理层对财务报表的责任</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206" w:firstLine="439"/>
        <w:jc w:val="both"/>
        <w:rPr>
          <w:rFonts w:ascii="宋体" w:hAnsi="宋体" w:cs="宋体" w:eastAsia="宋体" w:hint="default"/>
        </w:rPr>
      </w:pPr>
      <w:r>
        <w:rPr>
          <w:spacing w:val="-3"/>
        </w:rPr>
        <w:t>管理层负责按照企业会计准则的规定编制财务报表，使其实现公允反映，并设计、执行和维护必要的</w:t>
      </w:r>
      <w:r>
        <w:rPr>
          <w:w w:val="100"/>
        </w:rPr>
        <w:t> </w:t>
      </w:r>
      <w:r>
        <w:rPr/>
        <w:t>内部控制，以使财务报表不存在由于舞弊或错误导致的重大错报。</w:t>
      </w:r>
      <w:r>
        <w:rPr>
          <w:rFonts w:ascii="宋体" w:hAnsi="宋体" w:cs="宋体" w:eastAsia="宋体" w:hint="default"/>
          <w:spacing w:val="-3"/>
        </w:rPr>
        <w:t> </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在编制财务报表时，管理层负责评估中科信息公司的持续经营能力，披露与持续经营相关的事项（如</w:t>
      </w:r>
      <w:r>
        <w:rPr>
          <w:w w:val="100"/>
        </w:rPr>
        <w:t> </w:t>
      </w:r>
      <w:r>
        <w:rPr/>
        <w:t>适用），并运用持续经营假设，除非管理层计划清算中科信息公司、终止运营或别无其他现实的选择。</w:t>
      </w:r>
      <w:r>
        <w:rPr>
          <w:rFonts w:ascii="宋体" w:hAnsi="宋体" w:cs="宋体" w:eastAsia="宋体" w:hint="default"/>
        </w:rPr>
        <w:t> </w:t>
      </w:r>
    </w:p>
    <w:p>
      <w:pPr>
        <w:pStyle w:val="BodyText"/>
        <w:spacing w:line="240" w:lineRule="auto"/>
        <w:ind w:left="592" w:right="0"/>
        <w:jc w:val="left"/>
        <w:rPr>
          <w:rFonts w:ascii="宋体" w:hAnsi="宋体" w:cs="宋体" w:eastAsia="宋体" w:hint="default"/>
        </w:rPr>
      </w:pPr>
      <w:r>
        <w:rPr/>
        <w:t>治理层负责监督中科信息公司的财务报告过程。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w w:val="99"/>
        </w:rPr>
        <w:t>    </w:t>
      </w:r>
      <w:r>
        <w:rPr/>
        <w:t>六、注册会计师对财务报表审计的责任</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206" w:firstLine="439"/>
        <w:jc w:val="both"/>
        <w:rPr>
          <w:rFonts w:ascii="宋体" w:hAnsi="宋体" w:cs="宋体" w:eastAsia="宋体" w:hint="default"/>
        </w:rPr>
      </w:pPr>
      <w:r>
        <w:rPr>
          <w:spacing w:val="-3"/>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r>
        <w:rPr>
          <w:rFonts w:ascii="宋体" w:hAnsi="宋体" w:cs="宋体" w:eastAsia="宋体" w:hint="default"/>
        </w:rPr>
        <w:t> </w:t>
      </w:r>
    </w:p>
    <w:p>
      <w:pPr>
        <w:pStyle w:val="BodyText"/>
        <w:spacing w:line="408" w:lineRule="auto"/>
        <w:ind w:right="208" w:firstLine="439"/>
        <w:jc w:val="both"/>
        <w:rPr>
          <w:rFonts w:ascii="宋体" w:hAnsi="宋体" w:cs="宋体" w:eastAsia="宋体" w:hint="default"/>
        </w:rPr>
      </w:pPr>
      <w:r>
        <w:rPr>
          <w:spacing w:val="-3"/>
        </w:rPr>
        <w:t>在按照审计准则执行审计工作的过程中，我们运用职业判断，并保持职业怀疑。同时，我们也执行以</w:t>
      </w:r>
      <w:r>
        <w:rPr>
          <w:w w:val="100"/>
        </w:rPr>
        <w:t> </w:t>
      </w:r>
      <w:r>
        <w:rPr/>
        <w:t>下工作：</w:t>
      </w:r>
      <w:r>
        <w:rPr>
          <w:rFonts w:ascii="宋体" w:hAnsi="宋体" w:cs="宋体" w:eastAsia="宋体" w:hint="default"/>
        </w:rPr>
        <w:t> </w:t>
      </w:r>
    </w:p>
    <w:p>
      <w:pPr>
        <w:pStyle w:val="BodyText"/>
        <w:spacing w:line="408" w:lineRule="auto"/>
        <w:ind w:right="0"/>
        <w:jc w:val="left"/>
        <w:rPr>
          <w:rFonts w:ascii="宋体" w:hAnsi="宋体" w:cs="宋体" w:eastAsia="宋体" w:hint="default"/>
        </w:rPr>
      </w:pPr>
      <w:r>
        <w:rPr>
          <w:rFonts w:ascii="宋体" w:hAnsi="宋体" w:cs="宋体" w:eastAsia="宋体" w:hint="default"/>
          <w:w w:val="100"/>
        </w:rPr>
        <w:t>    </w:t>
      </w:r>
      <w:r>
        <w:rPr>
          <w:spacing w:val="-2"/>
        </w:rPr>
        <w:t>（一）识别和评估由于舞弊或错误导致的财务报表重大错报风险，设计和实施审计程序以应对这些风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（二）了解与审计相关的内部控制，以设计恰当的审计程序。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w w:val="100"/>
        </w:rPr>
        <w:t>    </w:t>
      </w:r>
      <w:r>
        <w:rPr/>
        <w:t>（三）评价管理层选用会计政策的恰当性和作出会计估计及相关披露的合理性。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rFonts w:ascii="宋体" w:hAnsi="宋体" w:cs="宋体" w:eastAsia="宋体" w:hint="default"/>
          <w:w w:val="100"/>
        </w:rPr>
        <w:t>    </w:t>
      </w:r>
      <w:r>
        <w:rPr>
          <w:spacing w:val="-2"/>
        </w:rPr>
        <w:t>（四）对管理层使用持续经营假设的恰当性得出结论。同时，根据获取的审计证据，就可能导致对中</w:t>
      </w:r>
      <w:r>
        <w:rPr>
          <w:w w:val="100"/>
        </w:rPr>
        <w:t> </w:t>
      </w:r>
      <w:r>
        <w:rPr>
          <w:spacing w:val="-2"/>
        </w:rPr>
        <w:t>科信息公司持续经营能力产生重大疑虑的事项或情况是否存在重大不确定性得出结论。如果我们得出结论</w:t>
      </w:r>
      <w:r>
        <w:rPr>
          <w:spacing w:val="-43"/>
        </w:rPr>
        <w:t> </w:t>
      </w:r>
      <w:r>
        <w:rPr>
          <w:spacing w:val="-43"/>
        </w:rPr>
      </w:r>
      <w:r>
        <w:rPr>
          <w:spacing w:val="-2"/>
        </w:rPr>
        <w:t>认为存在重大不确定性，审计准则要求我们在审计报告中提请报表使用者注意财务报表中的相关披露；如</w:t>
      </w:r>
      <w:r>
        <w:rPr>
          <w:spacing w:val="-43"/>
        </w:rPr>
        <w:t> </w:t>
      </w:r>
      <w:r>
        <w:rPr>
          <w:spacing w:val="-43"/>
        </w:rPr>
      </w:r>
      <w:r>
        <w:rPr>
          <w:spacing w:val="-2"/>
        </w:rPr>
        <w:t>果披露不充分，我们应当发表非无保留意见。我们的结论基于截至审计报告日可获得的信息。然而，未来</w:t>
      </w:r>
      <w:r>
        <w:rPr>
          <w:spacing w:val="-47"/>
        </w:rPr>
        <w:t> </w:t>
      </w:r>
      <w:r>
        <w:rPr>
          <w:spacing w:val="-47"/>
        </w:rPr>
      </w:r>
      <w:r>
        <w:rPr/>
        <w:t>的事项或情况可能导致中科信息公司不能持续经营。</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（五）评价财务报表的总体列报、结构和内容（包括披露），并评价财务报表是否公允反映相关交易</w:t>
      </w:r>
      <w:r>
        <w:rPr>
          <w:w w:val="100"/>
        </w:rPr>
        <w:t> </w:t>
      </w:r>
      <w:r>
        <w:rPr/>
        <w:t>和事项。</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（六）就中科信息公司中实体或业务活动的财务信息获取充分、适当的审计证据，以对财务报表发表</w:t>
      </w:r>
      <w:r>
        <w:rPr>
          <w:w w:val="100"/>
        </w:rPr>
        <w:t> </w:t>
      </w:r>
      <w:r>
        <w:rPr/>
        <w:t>审计意见。我们负责指导、监督和执行集团审计，并对审计意见承担全部责任。</w:t>
      </w:r>
      <w:r>
        <w:rPr>
          <w:rFonts w:ascii="宋体" w:hAnsi="宋体" w:cs="宋体" w:eastAsia="宋体" w:hint="default"/>
        </w:rPr>
        <w:t> </w:t>
      </w:r>
    </w:p>
    <w:p>
      <w:pPr>
        <w:pStyle w:val="BodyText"/>
        <w:spacing w:line="408" w:lineRule="auto"/>
        <w:ind w:right="153" w:firstLine="439"/>
        <w:jc w:val="left"/>
        <w:rPr>
          <w:rFonts w:ascii="宋体" w:hAnsi="宋体" w:cs="宋体" w:eastAsia="宋体" w:hint="default"/>
        </w:rPr>
      </w:pPr>
      <w:r>
        <w:rPr>
          <w:spacing w:val="-3"/>
        </w:rPr>
        <w:t>我们与治理层就计划的审计范围、时间安排和重大审计发现等事项进行沟通，包括沟通我们在审计中</w:t>
      </w:r>
      <w:r>
        <w:rPr>
          <w:w w:val="100"/>
        </w:rPr>
        <w:t> </w:t>
      </w:r>
      <w:r>
        <w:rPr/>
        <w:t>识别出的值得关注的内部控制缺陷。</w:t>
      </w:r>
      <w:r>
        <w:rPr>
          <w:rFonts w:ascii="宋体" w:hAnsi="宋体" w:cs="宋体" w:eastAsia="宋体" w:hint="default"/>
        </w:rPr>
        <w:t> </w:t>
      </w:r>
    </w:p>
    <w:p>
      <w:pPr>
        <w:pStyle w:val="BodyText"/>
        <w:spacing w:line="240" w:lineRule="auto"/>
        <w:ind w:left="592" w:right="153"/>
        <w:jc w:val="left"/>
      </w:pPr>
      <w:r>
        <w:rPr>
          <w:spacing w:val="-3"/>
        </w:rPr>
        <w:t>我们还就已遵守与独立性相关的职业道德要求向治理层提供声明，并与治理层沟通可能被合理认为影</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t>响我们独立性的所有关系和其他事项，以及相关的防范措施。</w:t>
      </w:r>
      <w:r>
        <w:rPr>
          <w:rFonts w:ascii="宋体" w:hAnsi="宋体" w:cs="宋体" w:eastAsia="宋体" w:hint="default"/>
        </w:rPr>
        <w:t> </w:t>
      </w:r>
    </w:p>
    <w:p>
      <w:pPr>
        <w:pStyle w:val="BodyText"/>
        <w:spacing w:line="273" w:lineRule="auto" w:before="157"/>
        <w:ind w:right="125"/>
        <w:jc w:val="both"/>
      </w:pPr>
      <w:r>
        <w:rPr>
          <w:spacing w:val="-2"/>
        </w:rPr>
        <w:t>从与治理层沟通过的事项中，我们确定哪些事项对本期财务报表审计最为重要，因而构成关键审计事项。</w:t>
      </w:r>
      <w:r>
        <w:rPr>
          <w:spacing w:val="-21"/>
        </w:rPr>
        <w:t> </w:t>
      </w:r>
      <w:r>
        <w:rPr>
          <w:spacing w:val="-21"/>
        </w:rPr>
      </w:r>
      <w:r>
        <w:rPr>
          <w:spacing w:val="-2"/>
        </w:rPr>
        <w:t>我们在审计报告中描述这些事项，除非法律法规禁止公开披露这些事项，或在极少数情形下，如果合理预</w:t>
      </w:r>
      <w:r>
        <w:rPr>
          <w:spacing w:val="-43"/>
        </w:rPr>
        <w:t> </w:t>
      </w:r>
      <w:r>
        <w:rPr>
          <w:spacing w:val="-43"/>
        </w:rPr>
      </w:r>
      <w:r>
        <w:rPr>
          <w:spacing w:val="-2"/>
        </w:rPr>
        <w:t>期在审计报告中沟通某事项造成的负面后果超过在公众利益方面产生的益处，我们确定不应在审计报告中</w:t>
      </w:r>
      <w:r>
        <w:rPr>
          <w:spacing w:val="-43"/>
        </w:rPr>
        <w:t> </w:t>
      </w:r>
      <w:r>
        <w:rPr>
          <w:spacing w:val="-43"/>
        </w:rPr>
      </w:r>
      <w:r>
        <w:rPr/>
        <w:t>沟通该事项。</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4" w:top="11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编制单位：中科院成都信息技术股份有限公司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280" w:left="980" w:right="980"/>
          <w:cols w:num="3" w:equalWidth="0">
            <w:col w:w="3753" w:space="323"/>
            <w:col w:w="1642" w:space="3202"/>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275,527,533.50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0" w:right="0"/>
              <w:jc w:val="left"/>
              <w:rPr>
                <w:rFonts w:ascii="Times New Roman" w:hAnsi="Times New Roman" w:cs="Times New Roman" w:eastAsia="Times New Roman" w:hint="default"/>
                <w:sz w:val="18"/>
                <w:szCs w:val="18"/>
              </w:rPr>
            </w:pPr>
            <w:r>
              <w:rPr>
                <w:rFonts w:ascii="Times New Roman"/>
                <w:sz w:val="18"/>
              </w:rPr>
              <w:t>112,192,349.00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2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10,133,470.69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10,511,343.52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169,121,978.63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102,595,971.80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6,156,732.00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7,164,397.15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1,186,208.33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663,312.45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27,704,511.75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27,396,769.54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64,222,820.55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63,206,380.39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150,709.33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554,203,964.78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323,730,523.85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99,033,833.81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97,094,343.98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20,948,707.88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20,487,085.87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7,637,625.10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7,922,628.49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7,263,511.74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4,792,182.08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134,883,678.53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130,296,240.42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689,087,643.31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454,026,764.27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56,430,647.10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35,687,020.04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41,537,998.23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26,499,099.63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6,663,986.45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7,329,745.73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28,686,121.81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23,334,877.48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25,814,686.12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25,586,473.68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159,133,439.71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118,437,216.56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320,000.00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4,866,406.09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1,089,113.50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5,186,406.09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1,409,113.50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164,319,845.80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119,846,330.06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258,367,745.82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125,817,745.82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27,733,726.20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22,493,356.98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138,737,496.62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110,816,534.97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524,838,968.64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334,127,637.77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-71,171.13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52,796.44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524,767,797.51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334,180,434.21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689,087,643.31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454,026,764.27</w:t>
            </w:r>
          </w:p>
        </w:tc>
      </w:tr>
    </w:tbl>
    <w:p>
      <w:pPr>
        <w:spacing w:line="240" w:lineRule="auto" w:before="2"/>
        <w:rPr>
          <w:rFonts w:ascii="Times New Roman" w:hAnsi="Times New Roman" w:cs="Times New Roman" w:eastAsia="Times New Roman" w:hint="default"/>
          <w:sz w:val="23"/>
          <w:szCs w:val="23"/>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法定代表人：王晓宇</w:t>
        <w:tab/>
      </w:r>
      <w:r>
        <w:rPr>
          <w:rFonts w:ascii="宋体" w:hAnsi="宋体" w:cs="宋体" w:eastAsia="宋体" w:hint="default"/>
          <w:spacing w:val="-1"/>
          <w:sz w:val="18"/>
          <w:szCs w:val="18"/>
        </w:rPr>
        <w:t>主管会计工作负责人：刘小兵</w:t>
        <w:tab/>
      </w:r>
      <w:r>
        <w:rPr>
          <w:rFonts w:ascii="宋体" w:hAnsi="宋体" w:cs="宋体" w:eastAsia="宋体" w:hint="default"/>
          <w:sz w:val="18"/>
          <w:szCs w:val="18"/>
        </w:rPr>
        <w:t>会计机构负责人：彭庶星</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257,783,242.06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106,189,721.60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10,133,470.69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10,511,343.52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167,140,630.34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102,047,974.28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5,913,107.00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7,164,397.15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1,186,208.33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663,312.45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35,571,508.05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31,890,103.12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61,986,612.14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64,206,096.12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539,714,778.61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322,672,948.24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109,241,833.81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103,802,343.98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18,925,793.12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19,647,192.59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7,544,481.27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7,859,633.36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6,876,034.27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4,746,258.68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142,588,142.47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136,055,428.61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682,302,921.08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458,728,376.85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68,586,520.92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44,145,689.81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39,856,514.70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25,449,168.86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3,615,395.73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4,406,476.64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23,044,527.12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21,166,593.36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24,619,943.40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25,541,828.29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159,722,901.87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120,709,756.96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3,609,965.76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1,089,113.50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3,929,965.76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1,409,113.50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163,652,867.63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122,118,870.46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258,845,571.61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126,295,571.61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27,733,726.20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22,493,356.98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132,070,755.64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112,820,577.80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518,650,053.45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336,609,506.39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682,302,921.08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458,728,376.85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290,694,326.03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244,081,189.12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290,694,326.03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244,081,189.12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261,427,679.63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221,022,420.61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189,142,666.83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167,965,128.03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1,460,192.65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1,250,530.87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26,767,370.71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21,643,863.01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33,721,634.26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23,315,750.42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-1,680,146.88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-1,170,423.48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12,015,962.06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8,017,571.76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5,939,489.83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14,572,633.35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77.860001pt;margin-top:244.465988pt;width:193.15pt;height:19.6pt;mso-position-horizontal-relative:page;mso-position-vertical-relative:page;z-index:-725776"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108.259979pt;width:160pt;height:19.6pt;mso-position-horizontal-relative:page;mso-position-vertical-relative:page;z-index:-725752" coordorigin="4220,2165" coordsize="3200,392">
            <v:group style="position:absolute;left:7398;top:2165;width:22;height:392" coordorigin="7398,2165" coordsize="22,392">
              <v:shape style="position:absolute;left:7398;top:2165;width:22;height:392" coordorigin="7398,2165" coordsize="22,392" path="m7398,2556l7420,2556,7420,2165,7398,2165,7398,2556xe" filled="true" fillcolor="#ffffff" stroked="false">
                <v:path arrowok="t"/>
                <v:fill type="solid"/>
              </v:shape>
            </v:group>
            <v:group style="position:absolute;left:4220;top:2165;width:22;height:392" coordorigin="4220,2165" coordsize="22,392">
              <v:shape style="position:absolute;left:4220;top:2165;width:22;height:392" coordorigin="4220,2165" coordsize="22,392" path="m4220,2556l4242,2556,4242,2165,4220,2165,4220,2556xe" filled="true" fillcolor="#ffffff" stroked="false">
                <v:path arrowok="t"/>
                <v:fill type="solid"/>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5,939,489.83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40,204,096.23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37,631,401.86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9,696,950.28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4,588,597.70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965,184.72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65,313.91</w:t>
            </w:r>
          </w:p>
        </w:tc>
      </w:tr>
      <w:tr>
        <w:trPr>
          <w:trHeight w:val="404"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4"/>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6"/>
              <w:ind w:left="1042" w:right="0"/>
              <w:jc w:val="left"/>
              <w:rPr>
                <w:rFonts w:ascii="Times New Roman" w:hAnsi="Times New Roman" w:cs="Times New Roman" w:eastAsia="Times New Roman" w:hint="default"/>
                <w:sz w:val="18"/>
                <w:szCs w:val="18"/>
              </w:rPr>
            </w:pPr>
            <w:r>
              <w:rPr>
                <w:rFonts w:ascii="Times New Roman"/>
                <w:sz w:val="18"/>
              </w:rPr>
              <w:t>48,935,861.79</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42,154,685.65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6,523,498.49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4,002,740.21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42,412,363.30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38,151,945.44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42,412,363.30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38,151,945.44</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42,536,330.87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38,761,009.22</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-123,967.57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-609,063.78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42,412,363.30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38,151,945.44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42,536,330.87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38,761,009.22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-123,967.57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-609,063.78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0.5168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0.4980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0.5168</w:t>
            </w:r>
          </w:p>
        </w:tc>
      </w:tr>
    </w:tbl>
    <w:p>
      <w:pPr>
        <w:tabs>
          <w:tab w:pos="3578" w:val="left" w:leader="none"/>
          <w:tab w:pos="7721" w:val="left" w:leader="none"/>
        </w:tabs>
        <w:spacing w:line="624" w:lineRule="auto" w:before="51"/>
        <w:ind w:left="152" w:right="24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法定代表人：王晓宇</w:t>
        <w:tab/>
      </w:r>
      <w:r>
        <w:rPr>
          <w:rFonts w:ascii="宋体" w:hAnsi="宋体" w:cs="宋体" w:eastAsia="宋体" w:hint="default"/>
          <w:spacing w:val="-1"/>
          <w:sz w:val="18"/>
          <w:szCs w:val="18"/>
        </w:rPr>
        <w:t>主管会计工作负责人：刘小兵</w:t>
        <w:tab/>
      </w:r>
      <w:r>
        <w:rPr>
          <w:rFonts w:ascii="宋体" w:hAnsi="宋体" w:cs="宋体" w:eastAsia="宋体" w:hint="default"/>
          <w:sz w:val="18"/>
          <w:szCs w:val="18"/>
        </w:rPr>
        <w:t>会计机构负责人：彭庶星</w:t>
      </w:r>
    </w:p>
    <w:p>
      <w:pPr>
        <w:pStyle w:val="Heading4"/>
        <w:spacing w:line="240" w:lineRule="auto" w:before="63"/>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268,409,526.69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238,498,520.06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184,095,354.51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167,987,684.43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1,355,725.01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1,226,790.61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24,539,888.16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20,597,160.43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26,214,813.47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20,382,989.93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-1,654,093.18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-1,167,408.18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11,906,186.09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7,907,380.15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5,939,489.83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5,939,489.83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32,889,102.46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36,136,556.04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4,633,390.61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4,588,597.70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31,819.05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37,519,879.37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40,693,334.69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3,654,332.31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3,617,044.49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33,865,547.06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37,076,290.20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33,865,547.06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37,076,290.20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33,865,547.06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37,076,290.20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262,202,280.78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224,937,555.90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19,533,777.61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6,665,892.28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281,736,058.39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231,603,448.18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158,815,817.09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159,695,852.93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51,557,450.51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46,064,472.85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17,106,867.68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15,884,816.27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42,203,596.37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30,933,065.30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269,683,731.65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252,578,207.35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12,052,326.74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-20,974,759.17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528.21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4,000,528.21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2,257,301.63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751,253.67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147,257,301.63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751,253.67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-143,157,201.63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3,249,274.54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157,550,000.00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157,550,000.00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10,063,485.40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19,438,485.40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148,175,000.00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-10,838,485.40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17,070,125.11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-28,563,970.03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106,792,325.16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135,356,295.19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123,862,450.27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106,792,325.16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237,848,920.26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219,931,725.08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13,312,263.13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7,061,969.15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251,161,183.39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226,993,694.23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164,113,821.48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165,578,897.82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29,379,845.94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34,163,724.76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14,526,182.79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15,770,576.62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40,837,608.68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33,557,905.50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248,857,458.89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249,071,104.70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2,303,724.50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-22,077,410.47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4,100,100.00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4,000,400.00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750,363.43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584,915.29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149,250,363.43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4,584,915.29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-145,150,263.43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-584,515.29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157,550,000.00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157,550,000.00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10,063,485.40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19,438,485.40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-10,838,485.40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5,328,461.07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-33,500,411.16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100,789,697.76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134,290,108.92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106,118,158.83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100,789,697.76</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711"/>
        <w:gridCol w:w="425"/>
        <w:gridCol w:w="425"/>
        <w:gridCol w:w="425"/>
        <w:gridCol w:w="708"/>
        <w:gridCol w:w="567"/>
        <w:gridCol w:w="569"/>
        <w:gridCol w:w="566"/>
        <w:gridCol w:w="708"/>
        <w:gridCol w:w="494"/>
        <w:gridCol w:w="665"/>
        <w:gridCol w:w="665"/>
        <w:gridCol w:w="660"/>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985" w:type="dxa"/>
            <w:vMerge/>
            <w:tcBorders>
              <w:left w:val="single" w:sz="4" w:space="0" w:color="000000"/>
              <w:right w:val="single" w:sz="4" w:space="0" w:color="000000"/>
            </w:tcBorders>
            <w:shd w:val="clear" w:color="auto" w:fill="D2D2D2"/>
          </w:tcPr>
          <w:p>
            <w:pPr/>
          </w:p>
        </w:tc>
        <w:tc>
          <w:tcPr>
            <w:tcW w:w="62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985" w:type="dxa"/>
            <w:vMerge/>
            <w:tcBorders>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0"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62" w:right="60"/>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56.98</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110,816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,534.97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52,796.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334,180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,434.21</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前期差错更正</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同一控制下企 业合并</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56.98</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110,816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,534.97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52,796.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334,180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,434.21</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711"/>
        <w:gridCol w:w="425"/>
        <w:gridCol w:w="425"/>
        <w:gridCol w:w="425"/>
        <w:gridCol w:w="708"/>
        <w:gridCol w:w="567"/>
        <w:gridCol w:w="569"/>
        <w:gridCol w:w="566"/>
        <w:gridCol w:w="708"/>
        <w:gridCol w:w="494"/>
        <w:gridCol w:w="665"/>
        <w:gridCol w:w="665"/>
        <w:gridCol w:w="660"/>
      </w:tblGrid>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9.22</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left"/>
              <w:rPr>
                <w:rFonts w:ascii="Times New Roman" w:hAnsi="Times New Roman" w:cs="Times New Roman" w:eastAsia="Times New Roman" w:hint="default"/>
                <w:sz w:val="18"/>
                <w:szCs w:val="18"/>
              </w:rPr>
            </w:pPr>
            <w:r>
              <w:rPr>
                <w:rFonts w:ascii="Times New Roman"/>
                <w:sz w:val="18"/>
              </w:rPr>
              <w:t>27,920,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961.65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190,587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,363.30</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42,536,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330.87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42,412,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363.30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157,550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132,550,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157,550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9.22</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-14,615,</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369.22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9.22</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258,367,</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27,733,7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26.20</w:t>
            </w:r>
          </w:p>
        </w:tc>
        <w:tc>
          <w:tcPr>
            <w:tcW w:w="4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138,737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,496.62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-71,171.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524,767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,797.51</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85"/>
        <w:gridCol w:w="711"/>
        <w:gridCol w:w="425"/>
        <w:gridCol w:w="425"/>
        <w:gridCol w:w="425"/>
        <w:gridCol w:w="708"/>
        <w:gridCol w:w="567"/>
        <w:gridCol w:w="569"/>
        <w:gridCol w:w="566"/>
        <w:gridCol w:w="708"/>
        <w:gridCol w:w="492"/>
        <w:gridCol w:w="680"/>
        <w:gridCol w:w="653"/>
        <w:gridCol w:w="658"/>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985" w:type="dxa"/>
            <w:vMerge/>
            <w:tcBorders>
              <w:left w:val="single" w:sz="4" w:space="0" w:color="000000"/>
              <w:right w:val="single" w:sz="4" w:space="0" w:color="000000"/>
            </w:tcBorders>
            <w:shd w:val="clear" w:color="auto" w:fill="D2D2D2"/>
          </w:tcPr>
          <w:p>
            <w:pPr/>
          </w:p>
        </w:tc>
        <w:tc>
          <w:tcPr>
            <w:tcW w:w="62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985" w:type="dxa"/>
            <w:vMerge/>
            <w:tcBorders>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0" w:right="9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2" w:right="59"/>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7" w:right="2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7" w:right="2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125,717,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16,891,7</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44.45</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87,032,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138.28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661,860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305,303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,488.77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125,717,</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16,891,7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44.45</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87,032,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138.28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661,860</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305,303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,488.77</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5,601,61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2.53</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23,784,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396.69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-609,06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3.78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28,876,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945.44</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38,761,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009.22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-609,06</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3.78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38,151,</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945.44</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5,601,61</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2.53</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center"/>
              <w:rPr>
                <w:rFonts w:ascii="Times New Roman" w:hAnsi="Times New Roman" w:cs="Times New Roman" w:eastAsia="Times New Roman" w:hint="default"/>
                <w:sz w:val="18"/>
                <w:szCs w:val="18"/>
              </w:rPr>
            </w:pPr>
            <w:r>
              <w:rPr>
                <w:rFonts w:ascii="Times New Roman"/>
                <w:sz w:val="18"/>
              </w:rPr>
              <w:t>-14,976,</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612.53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5,601,61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2.53</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-5,601,6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12.53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84"/>
        <w:gridCol w:w="711"/>
        <w:gridCol w:w="425"/>
        <w:gridCol w:w="425"/>
        <w:gridCol w:w="425"/>
        <w:gridCol w:w="708"/>
        <w:gridCol w:w="567"/>
        <w:gridCol w:w="569"/>
        <w:gridCol w:w="566"/>
        <w:gridCol w:w="708"/>
        <w:gridCol w:w="492"/>
        <w:gridCol w:w="680"/>
        <w:gridCol w:w="653"/>
        <w:gridCol w:w="658"/>
      </w:tblGrid>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1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745.82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56.98</w:t>
            </w:r>
          </w:p>
        </w:tc>
        <w:tc>
          <w:tcPr>
            <w:tcW w:w="49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110,816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,534.97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52,796.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334,180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,434.21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569"/>
        <w:gridCol w:w="566"/>
        <w:gridCol w:w="566"/>
        <w:gridCol w:w="852"/>
        <w:gridCol w:w="566"/>
        <w:gridCol w:w="708"/>
        <w:gridCol w:w="566"/>
        <w:gridCol w:w="711"/>
        <w:gridCol w:w="708"/>
        <w:gridCol w:w="782"/>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4" w:hRule="exact"/>
        </w:trPr>
        <w:tc>
          <w:tcPr>
            <w:tcW w:w="1985" w:type="dxa"/>
            <w:vMerge/>
            <w:tcBorders>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59" w:right="80"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17"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1" w:right="9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126,295,5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56.98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112,820,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577.80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336,609,5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06.39</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746"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前期差错更正</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126,295,5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56.98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112,820,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577.80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336,609,5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06.39</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19,250,1</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77.84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182,040,5</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47.06</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33,865,5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47.06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33,865,54</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7.06</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157,550,0</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132,550,0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157,550,0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4" w:header="880"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992"/>
        <w:gridCol w:w="569"/>
        <w:gridCol w:w="566"/>
        <w:gridCol w:w="566"/>
        <w:gridCol w:w="852"/>
        <w:gridCol w:w="566"/>
        <w:gridCol w:w="708"/>
        <w:gridCol w:w="566"/>
        <w:gridCol w:w="711"/>
        <w:gridCol w:w="708"/>
        <w:gridCol w:w="782"/>
      </w:tblGrid>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-14,615,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369.22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5,240,36</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9.22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-5,240,3</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69.22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258,845,5</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27,733,7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26.20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132,070,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755.64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518,650,0</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53.45</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569"/>
        <w:gridCol w:w="566"/>
        <w:gridCol w:w="566"/>
        <w:gridCol w:w="852"/>
        <w:gridCol w:w="566"/>
        <w:gridCol w:w="708"/>
        <w:gridCol w:w="514"/>
        <w:gridCol w:w="797"/>
        <w:gridCol w:w="677"/>
        <w:gridCol w:w="780"/>
      </w:tblGrid>
      <w:tr>
        <w:trPr>
          <w:trHeight w:val="404"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985" w:type="dxa"/>
            <w:vMerge/>
            <w:tcBorders>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71" w:right="7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1" w:right="9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9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1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126,195,5</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16,891,74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90,720,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308,808,2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16.19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加：会计政策变更</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126,195,5</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16,891,74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90,720,</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900.13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308,808,2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16.19</w:t>
            </w:r>
          </w:p>
        </w:tc>
      </w:tr>
    </w:tbl>
    <w:p>
      <w:pPr>
        <w:spacing w:after="0" w:line="240" w:lineRule="auto"/>
        <w:jc w:val="left"/>
        <w:rPr>
          <w:rFonts w:ascii="Times New Roman" w:hAnsi="Times New Roman" w:cs="Times New Roman" w:eastAsia="Times New Roman" w:hint="default"/>
          <w:sz w:val="18"/>
          <w:szCs w:val="18"/>
        </w:rPr>
        <w:sectPr>
          <w:footerReference w:type="default" r:id="rId23"/>
          <w:pgSz w:w="11910" w:h="16840"/>
          <w:pgMar w:footer="974" w:header="880" w:top="1100" w:bottom="1160" w:left="980" w:right="980"/>
          <w:pgNumType w:start="101"/>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992"/>
        <w:gridCol w:w="569"/>
        <w:gridCol w:w="566"/>
        <w:gridCol w:w="566"/>
        <w:gridCol w:w="852"/>
        <w:gridCol w:w="566"/>
        <w:gridCol w:w="708"/>
        <w:gridCol w:w="514"/>
        <w:gridCol w:w="797"/>
        <w:gridCol w:w="677"/>
        <w:gridCol w:w="780"/>
      </w:tblGrid>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5,601,612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677.67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27,801,29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0.20</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37,076,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290.20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37,076,29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0.20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5,601,612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-14,976,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612.53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5,601,612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-5,601,6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12.53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-9,375,0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-9,375,00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126,295,5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22,493,35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112,820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,577.80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336,609,5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06.39</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92" w:right="0"/>
        <w:jc w:val="left"/>
      </w:pPr>
      <w:r>
        <w:rPr>
          <w:spacing w:val="-10"/>
        </w:rPr>
        <w:t>中科院成都信息技术股份有限公司（以下简称“本公司”或“公司”，在包含子公司时统称“本集团”）</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592" w:right="3934" w:hanging="440"/>
        <w:jc w:val="left"/>
        <w:rPr>
          <w:rFonts w:ascii="宋体" w:hAnsi="宋体" w:cs="宋体" w:eastAsia="宋体" w:hint="default"/>
        </w:rPr>
      </w:pPr>
      <w:r>
        <w:rPr/>
        <w:t>统一社会信用代码：</w:t>
      </w:r>
      <w:r>
        <w:rPr>
          <w:rFonts w:ascii="宋体" w:hAnsi="宋体" w:cs="宋体" w:eastAsia="宋体" w:hint="default"/>
        </w:rPr>
        <w:t>915101007301965784</w:t>
      </w:r>
      <w:r>
        <w:rPr/>
        <w:t>。</w:t>
      </w:r>
      <w:r>
        <w:rPr>
          <w:rFonts w:ascii="宋体" w:hAnsi="宋体" w:cs="宋体" w:eastAsia="宋体" w:hint="default"/>
          <w:w w:val="100"/>
        </w:rPr>
        <w:t> </w:t>
      </w:r>
      <w:r>
        <w:rPr/>
        <w:t>注册资本：人民币</w:t>
      </w:r>
      <w:r>
        <w:rPr>
          <w:rFonts w:ascii="宋体" w:hAnsi="宋体" w:cs="宋体" w:eastAsia="宋体" w:hint="default"/>
        </w:rPr>
        <w:t>10,000</w:t>
      </w:r>
      <w:r>
        <w:rPr/>
        <w:t>万元</w:t>
      </w:r>
      <w:r>
        <w:rPr>
          <w:rFonts w:ascii="宋体" w:hAnsi="宋体" w:cs="宋体" w:eastAsia="宋体" w:hint="default"/>
          <w:w w:val="100"/>
        </w:rPr>
        <w:t> </w:t>
      </w:r>
      <w:r>
        <w:rPr/>
        <w:t>注册地址：成都高新区天晖路</w:t>
      </w:r>
      <w:r>
        <w:rPr>
          <w:rFonts w:ascii="宋体" w:hAnsi="宋体" w:cs="宋体" w:eastAsia="宋体" w:hint="default"/>
        </w:rPr>
        <w:t>360</w:t>
      </w:r>
      <w:r>
        <w:rPr/>
        <w:t>号晶科</w:t>
      </w:r>
      <w:r>
        <w:rPr>
          <w:rFonts w:ascii="宋体" w:hAnsi="宋体" w:cs="宋体" w:eastAsia="宋体" w:hint="default"/>
        </w:rPr>
        <w:t>1</w:t>
      </w:r>
      <w:r>
        <w:rPr/>
        <w:t>号大厦</w:t>
      </w:r>
      <w:r>
        <w:rPr>
          <w:rFonts w:ascii="宋体" w:hAnsi="宋体" w:cs="宋体" w:eastAsia="宋体" w:hint="default"/>
        </w:rPr>
        <w:t>18</w:t>
      </w:r>
      <w:r>
        <w:rPr/>
        <w:t>栋</w:t>
      </w:r>
      <w:r>
        <w:rPr>
          <w:rFonts w:ascii="宋体" w:hAnsi="宋体" w:cs="宋体" w:eastAsia="宋体" w:hint="default"/>
        </w:rPr>
        <w:t>1803</w:t>
      </w:r>
      <w:r>
        <w:rPr/>
        <w:t>室</w:t>
      </w:r>
      <w:r>
        <w:rPr>
          <w:rFonts w:ascii="宋体" w:hAnsi="宋体" w:cs="宋体" w:eastAsia="宋体" w:hint="default"/>
          <w:w w:val="100"/>
        </w:rPr>
        <w:t> </w:t>
      </w:r>
      <w:r>
        <w:rPr/>
        <w:t>法定代表人：王晓宇</w:t>
      </w:r>
      <w:r>
        <w:rPr>
          <w:rFonts w:ascii="宋体" w:hAnsi="宋体" w:cs="宋体" w:eastAsia="宋体" w:hint="default"/>
          <w:w w:val="100"/>
        </w:rPr>
        <w:t> </w:t>
      </w:r>
      <w:r>
        <w:rPr>
          <w:rFonts w:ascii="宋体" w:hAnsi="宋体" w:cs="宋体" w:eastAsia="宋体" w:hint="default"/>
          <w:spacing w:val="-21"/>
        </w:rPr>
        <w:t> </w:t>
      </w:r>
      <w:r>
        <w:rPr>
          <w:rFonts w:ascii="宋体" w:hAnsi="宋体" w:cs="宋体" w:eastAsia="宋体" w:hint="default"/>
          <w:w w:val="100"/>
        </w:rPr>
        <w:t> </w:t>
      </w:r>
      <w:r>
        <w:rPr/>
        <w:t>公司类型：其他股份有限公司（上市）</w:t>
      </w:r>
      <w:r>
        <w:rPr>
          <w:rFonts w:ascii="宋体" w:hAnsi="宋体" w:cs="宋体" w:eastAsia="宋体" w:hint="default"/>
          <w:w w:val="100"/>
        </w:rPr>
        <w:t> </w:t>
      </w:r>
      <w:r>
        <w:rPr/>
        <w:t>营业期限：</w:t>
      </w:r>
      <w:r>
        <w:rPr>
          <w:rFonts w:ascii="宋体" w:hAnsi="宋体" w:cs="宋体" w:eastAsia="宋体" w:hint="default"/>
        </w:rPr>
        <w:t>2001</w:t>
      </w:r>
      <w:r>
        <w:rPr/>
        <w:t>年</w:t>
      </w:r>
      <w:r>
        <w:rPr>
          <w:rFonts w:ascii="宋体" w:hAnsi="宋体" w:cs="宋体" w:eastAsia="宋体" w:hint="default"/>
        </w:rPr>
        <w:t>6</w:t>
      </w:r>
      <w:r>
        <w:rPr/>
        <w:t>月</w:t>
      </w:r>
      <w:r>
        <w:rPr>
          <w:rFonts w:ascii="宋体" w:hAnsi="宋体" w:cs="宋体" w:eastAsia="宋体" w:hint="default"/>
        </w:rPr>
        <w:t>26</w:t>
      </w:r>
      <w:r>
        <w:rPr/>
        <w:t>日至永久</w:t>
      </w:r>
      <w:r>
        <w:rPr>
          <w:rFonts w:ascii="宋体" w:hAnsi="宋体" w:cs="宋体" w:eastAsia="宋体" w:hint="default"/>
        </w:rPr>
        <w:t> </w:t>
      </w:r>
    </w:p>
    <w:p>
      <w:pPr>
        <w:pStyle w:val="BodyText"/>
        <w:spacing w:line="408" w:lineRule="auto"/>
        <w:ind w:right="0" w:firstLine="439"/>
        <w:jc w:val="left"/>
        <w:rPr>
          <w:rFonts w:ascii="宋体" w:hAnsi="宋体" w:cs="宋体" w:eastAsia="宋体" w:hint="default"/>
        </w:rPr>
      </w:pPr>
      <w:r>
        <w:rPr>
          <w:spacing w:val="-3"/>
        </w:rPr>
        <w:t>公司经营范围：以计算机软件为重点的电子信息领域相关技术产品开发、生产（生产行业另设分支机</w:t>
      </w:r>
      <w:r>
        <w:rPr>
          <w:w w:val="100"/>
        </w:rPr>
        <w:t> </w:t>
      </w:r>
      <w:r>
        <w:rPr>
          <w:spacing w:val="-2"/>
        </w:rPr>
        <w:t>构或另择经营产地经营）、销售、服务；计算机应用与计算机通讯系统工程设计与实施；信息技术咨询服</w:t>
      </w:r>
      <w:r>
        <w:rPr>
          <w:spacing w:val="-43"/>
        </w:rPr>
        <w:t> </w:t>
      </w:r>
      <w:r>
        <w:rPr>
          <w:spacing w:val="-43"/>
        </w:rPr>
      </w:r>
      <w:r>
        <w:rPr>
          <w:spacing w:val="-2"/>
        </w:rPr>
        <w:t>务；计算机及网络通讯设备、电子设备及元器件、计算机软硬件产品代理；涉密计算机系统集成（凭资质</w:t>
      </w:r>
      <w:r>
        <w:rPr>
          <w:spacing w:val="-43"/>
        </w:rPr>
        <w:t> </w:t>
      </w:r>
      <w:r>
        <w:rPr>
          <w:spacing w:val="-43"/>
        </w:rPr>
      </w:r>
      <w:r>
        <w:rPr>
          <w:spacing w:val="-2"/>
        </w:rPr>
        <w:t>许可证在有效期内经营）；建筑智能化工程设计、施工（凭资质证在有效期内经营）；安防工程设计、施</w:t>
      </w:r>
      <w:r>
        <w:rPr>
          <w:spacing w:val="-46"/>
        </w:rPr>
        <w:t> </w:t>
      </w:r>
      <w:r>
        <w:rPr>
          <w:spacing w:val="-46"/>
        </w:rPr>
      </w:r>
      <w:r>
        <w:rPr>
          <w:spacing w:val="-2"/>
        </w:rPr>
        <w:t>工（凭资质证在有效期内经营）；防雷工程设计、施工（凭资质证在有效期内经营）；电子工程安装、通</w:t>
      </w:r>
      <w:r>
        <w:rPr>
          <w:spacing w:val="-50"/>
        </w:rPr>
        <w:t> </w:t>
      </w:r>
      <w:r>
        <w:rPr>
          <w:spacing w:val="-50"/>
        </w:rPr>
      </w:r>
      <w:r>
        <w:rPr>
          <w:spacing w:val="-2"/>
        </w:rPr>
        <w:t>信线路和设备安装（凭资质证在有效期内经营））；仪器仪表、教学模具的技术服务；房屋租赁；（以上</w:t>
      </w:r>
      <w:r>
        <w:rPr>
          <w:spacing w:val="-49"/>
        </w:rPr>
        <w:t> </w:t>
      </w:r>
      <w:r>
        <w:rPr>
          <w:spacing w:val="-49"/>
        </w:rPr>
      </w:r>
      <w:r>
        <w:rPr/>
        <w:t>经营范围依法须经批准的项目，经相关部门批准后方可开展经营活动）。</w:t>
      </w:r>
      <w:r>
        <w:rPr>
          <w:rFonts w:ascii="宋体" w:hAnsi="宋体" w:cs="宋体" w:eastAsia="宋体" w:hint="default"/>
          <w:w w:val="100"/>
        </w:rPr>
        <w:t> </w:t>
      </w:r>
      <w:r>
        <w:rPr/>
        <w:t>本集团主要产品包括：信息化解决方案、技术开发、技术服务等。</w:t>
      </w:r>
      <w:r>
        <w:rPr>
          <w:rFonts w:ascii="宋体" w:hAnsi="宋体" w:cs="宋体" w:eastAsia="宋体" w:hint="default"/>
        </w:rPr>
        <w:t> </w:t>
      </w:r>
    </w:p>
    <w:p>
      <w:pPr>
        <w:pStyle w:val="BodyText"/>
        <w:spacing w:line="408" w:lineRule="auto"/>
        <w:ind w:right="209" w:firstLine="442"/>
        <w:jc w:val="both"/>
        <w:rPr>
          <w:rFonts w:ascii="宋体" w:hAnsi="宋体" w:cs="宋体" w:eastAsia="宋体" w:hint="default"/>
        </w:rPr>
      </w:pPr>
      <w:r>
        <w:rPr>
          <w:spacing w:val="-3"/>
        </w:rPr>
        <w:t>本集团合并财务报表范围包括成都中科石油工程技术股份有限公司（以下简称中科石油）、成都中科</w:t>
      </w:r>
      <w:r>
        <w:rPr>
          <w:w w:val="100"/>
        </w:rPr>
        <w:t> </w:t>
      </w:r>
      <w:r>
        <w:rPr/>
        <w:t>信息技术有限公司（以下简称成都中科）、中科院金华信息技术有限公司（以下简称中科金华）</w:t>
      </w:r>
      <w:r>
        <w:rPr>
          <w:rFonts w:ascii="宋体" w:hAnsi="宋体" w:cs="宋体" w:eastAsia="宋体" w:hint="default"/>
        </w:rPr>
        <w:t>3</w:t>
      </w:r>
      <w:r>
        <w:rPr/>
        <w:t>家子公</w:t>
      </w:r>
      <w:r>
        <w:rPr>
          <w:spacing w:val="-20"/>
        </w:rPr>
        <w:t> </w:t>
      </w:r>
      <w:r>
        <w:rPr>
          <w:spacing w:val="-20"/>
        </w:rPr>
      </w:r>
      <w:r>
        <w:rPr/>
        <w:t>司。与上年相比，本年因投资设立增加中科金华</w:t>
      </w:r>
      <w:r>
        <w:rPr>
          <w:rFonts w:ascii="宋体" w:hAnsi="宋体" w:cs="宋体" w:eastAsia="宋体" w:hint="default"/>
        </w:rPr>
        <w:t>1</w:t>
      </w:r>
      <w:r>
        <w:rPr/>
        <w:t>家子公司。</w:t>
      </w:r>
      <w:r>
        <w:rPr>
          <w:rFonts w:ascii="宋体" w:hAnsi="宋体" w:cs="宋体" w:eastAsia="宋体" w:hint="default"/>
        </w:rPr>
        <w:t> </w:t>
      </w:r>
    </w:p>
    <w:p>
      <w:pPr>
        <w:pStyle w:val="BodyText"/>
        <w:spacing w:line="240" w:lineRule="auto"/>
        <w:ind w:left="594" w:right="0"/>
        <w:jc w:val="left"/>
        <w:rPr>
          <w:rFonts w:ascii="宋体" w:hAnsi="宋体" w:cs="宋体" w:eastAsia="宋体" w:hint="default"/>
        </w:rPr>
      </w:pPr>
      <w:r>
        <w:rPr/>
        <w:t>详见本附注“七、合并范围的变化”</w:t>
      </w:r>
      <w:r>
        <w:rPr>
          <w:spacing w:val="-8"/>
        </w:rPr>
        <w:t> </w:t>
      </w:r>
      <w:r>
        <w:rPr>
          <w:rFonts w:ascii="宋体" w:hAnsi="宋体" w:cs="宋体" w:eastAsia="宋体" w:hint="default"/>
          <w:spacing w:val="-8"/>
        </w:rPr>
      </w:r>
      <w:r>
        <w:rPr/>
        <w:t>及本附注“八、在其他主体中的权益”相关内容。</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0" w:firstLine="420"/>
        <w:jc w:val="left"/>
        <w:rPr>
          <w:rFonts w:ascii="宋体" w:hAnsi="宋体" w:cs="宋体" w:eastAsia="宋体" w:hint="default"/>
        </w:rPr>
      </w:pPr>
      <w:r>
        <w:rPr>
          <w:spacing w:val="-5"/>
        </w:rPr>
        <w:t>本集团财务报表以持续经营为基础，根据实际发生的交易和事项，按照财政部颁布的《企业会计准则》</w:t>
      </w:r>
      <w:r>
        <w:rPr>
          <w:w w:val="100"/>
        </w:rPr>
        <w:t> </w:t>
      </w:r>
      <w:r>
        <w:rPr/>
        <w:t>及相关规定，并基于本附注“四、重要会计政策及会计估计”所述会计政策和会计估计编制。</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94" w:right="0"/>
        <w:jc w:val="left"/>
        <w:rPr>
          <w:rFonts w:ascii="宋体" w:hAnsi="宋体" w:cs="宋体" w:eastAsia="宋体" w:hint="default"/>
        </w:rPr>
      </w:pPr>
      <w:r>
        <w:rPr/>
        <w:t>本公司自报告期末至少</w:t>
      </w:r>
      <w:r>
        <w:rPr>
          <w:rFonts w:ascii="宋体" w:hAnsi="宋体" w:cs="宋体" w:eastAsia="宋体" w:hint="default"/>
        </w:rPr>
        <w:t>12</w:t>
      </w:r>
      <w:r>
        <w:rPr/>
        <w:t>个月内具备持续经营能力，无影响持续经营能力的重大事项。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60" w:lineRule="auto"/>
        <w:jc w:val="left"/>
        <w:rPr>
          <w:rFonts w:ascii="宋体" w:hAnsi="宋体" w:cs="宋体" w:eastAsia="宋体" w:hint="default"/>
          <w:sz w:val="18"/>
          <w:szCs w:val="18"/>
        </w:rPr>
        <w:sectPr>
          <w:pgSz w:w="11910" w:h="16840"/>
          <w:pgMar w:header="880" w:footer="974" w:top="1100" w:bottom="1160" w:left="980" w:right="920"/>
        </w:sectPr>
      </w:pPr>
    </w:p>
    <w:p>
      <w:pPr>
        <w:spacing w:line="240" w:lineRule="auto" w:before="0"/>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
        <w:rPr>
          <w:rFonts w:ascii="宋体" w:hAnsi="宋体" w:cs="宋体" w:eastAsia="宋体" w:hint="default"/>
          <w:sz w:val="13"/>
          <w:szCs w:val="13"/>
        </w:rPr>
      </w:pPr>
    </w:p>
    <w:p>
      <w:pPr>
        <w:pStyle w:val="BodyText"/>
        <w:spacing w:line="408" w:lineRule="auto" w:before="0"/>
        <w:ind w:right="0" w:firstLine="420"/>
        <w:jc w:val="left"/>
      </w:pPr>
      <w:r>
        <w:rPr>
          <w:spacing w:val="-2"/>
        </w:rPr>
        <w:t>本集团根据实际生产经营特点制定的具体会计政策和会计估计包括应收款项坏账准备的确认和计量、</w:t>
      </w:r>
      <w:r>
        <w:rPr>
          <w:w w:val="100"/>
        </w:rPr>
        <w:t> </w:t>
      </w:r>
      <w:r>
        <w:rPr/>
        <w:t>存货的发出和计量、固定资产分类及折旧方法、无形资产摊销、收入确认和计量等。</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2"/>
        </w:rPr>
        <w:t>本公司编制的财务报表符合企业会计准则的要求，真实、完整地反映了本公司及本集团的财务状况、</w:t>
      </w:r>
      <w:r>
        <w:rPr>
          <w:w w:val="100"/>
        </w:rPr>
        <w:t> </w:t>
      </w:r>
      <w:r>
        <w:rPr/>
        <w:t>经营成果和现金流量等有关信息。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rPr>
          <w:rFonts w:ascii="宋体" w:hAnsi="宋体" w:cs="宋体" w:eastAsia="宋体" w:hint="default"/>
        </w:rPr>
      </w:pPr>
      <w:r>
        <w:rPr/>
        <w:t>本集团的会计期间为公历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0"/>
        <w:jc w:val="left"/>
        <w:rPr>
          <w:rFonts w:ascii="宋体" w:hAnsi="宋体" w:cs="宋体" w:eastAsia="宋体" w:hint="default"/>
        </w:rPr>
      </w:pPr>
      <w:r>
        <w:rPr/>
        <w:t>本集团营业周期为</w:t>
      </w:r>
      <w:r>
        <w:rPr>
          <w:rFonts w:ascii="宋体" w:hAnsi="宋体" w:cs="宋体" w:eastAsia="宋体" w:hint="default"/>
        </w:rPr>
        <w:t>12</w:t>
      </w:r>
      <w:r>
        <w:rPr/>
        <w:t>个月。</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0"/>
        <w:jc w:val="left"/>
        <w:rPr>
          <w:rFonts w:ascii="宋体" w:hAnsi="宋体" w:cs="宋体" w:eastAsia="宋体" w:hint="default"/>
        </w:rPr>
      </w:pPr>
      <w:r>
        <w:rPr/>
        <w:t>本集团以人民币为记账本位币。</w:t>
      </w:r>
      <w:r>
        <w:rPr>
          <w:rFonts w:ascii="宋体" w:hAnsi="宋体" w:cs="宋体" w:eastAsia="宋体" w:hint="default"/>
        </w:rPr>
        <w:t> </w:t>
      </w:r>
    </w:p>
    <w:p>
      <w:pPr>
        <w:spacing w:line="688" w:lineRule="exact" w:before="32"/>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本集团作为合并方，在同一控制下企业合并中取得的资产和负债，在合并日按被合并方在最终控制方</w:t>
      </w:r>
    </w:p>
    <w:p>
      <w:pPr>
        <w:pStyle w:val="BodyText"/>
        <w:spacing w:line="408" w:lineRule="auto" w:before="85"/>
        <w:ind w:right="0"/>
        <w:jc w:val="left"/>
        <w:rPr>
          <w:rFonts w:ascii="宋体" w:hAnsi="宋体" w:cs="宋体" w:eastAsia="宋体" w:hint="default"/>
        </w:rPr>
      </w:pPr>
      <w:r>
        <w:rPr>
          <w:spacing w:val="-2"/>
        </w:rPr>
        <w:t>合并报表中的账面价值计量。取得的净资产账面价值与支付的合并对价账面价值的差额，调整资本公积；</w:t>
      </w:r>
      <w:r>
        <w:rPr>
          <w:spacing w:val="-21"/>
        </w:rPr>
        <w:t> </w:t>
      </w:r>
      <w:r>
        <w:rPr>
          <w:spacing w:val="-21"/>
        </w:rPr>
      </w:r>
      <w:r>
        <w:rPr/>
        <w:t>资本公积不足冲减的，调整留存收益。</w:t>
      </w:r>
      <w:r>
        <w:rPr>
          <w:rFonts w:ascii="宋体" w:hAnsi="宋体" w:cs="宋体" w:eastAsia="宋体" w:hint="default"/>
        </w:rPr>
        <w:t> </w:t>
      </w:r>
    </w:p>
    <w:p>
      <w:pPr>
        <w:pStyle w:val="BodyText"/>
        <w:spacing w:line="408" w:lineRule="auto"/>
        <w:ind w:right="0"/>
        <w:jc w:val="left"/>
        <w:rPr>
          <w:rFonts w:ascii="宋体" w:hAnsi="宋体" w:cs="宋体" w:eastAsia="宋体" w:hint="default"/>
        </w:rPr>
      </w:pPr>
      <w:r>
        <w:rPr>
          <w:rFonts w:ascii="宋体" w:hAnsi="宋体" w:cs="宋体" w:eastAsia="宋体" w:hint="default"/>
          <w:w w:val="100"/>
        </w:rPr>
        <w:t>    </w:t>
      </w:r>
      <w:r>
        <w:rPr/>
        <w:t>在非同一控制下企业合并中取得的被购买方可辨认资产、负债及或有负债在收购日以公允价值计量。</w:t>
      </w:r>
      <w:r>
        <w:rPr>
          <w:w w:val="100"/>
        </w:rPr>
        <w:t> </w:t>
      </w:r>
      <w:r>
        <w:rPr/>
        <w:t>合并成本为本集团在购买日为取得对被购买方的控制权而支付的现金或非现金资产、发行或承担的负债、</w:t>
      </w:r>
      <w:r>
        <w:rPr>
          <w:w w:val="100"/>
        </w:rPr>
        <w:t> </w:t>
      </w:r>
      <w:r>
        <w:rPr>
          <w:spacing w:val="-2"/>
        </w:rPr>
        <w:t>发行的权益性证券等的公允价值以及在企业合并中发生的各项直接相关费用之和（通过多次交易分步实现</w:t>
      </w:r>
      <w:r>
        <w:rPr>
          <w:spacing w:val="-43"/>
        </w:rPr>
        <w:t> </w:t>
      </w:r>
      <w:r>
        <w:rPr>
          <w:spacing w:val="-43"/>
        </w:rPr>
      </w:r>
      <w:r>
        <w:rPr>
          <w:spacing w:val="-2"/>
        </w:rPr>
        <w:t>的企业合并，其合并成本为每一单项交易的成本之和）。合并成本大于合并中取得的被购买方可辨认净资</w:t>
      </w:r>
      <w:r>
        <w:rPr>
          <w:spacing w:val="-43"/>
        </w:rPr>
        <w:t> </w:t>
      </w:r>
      <w:r>
        <w:rPr>
          <w:spacing w:val="-43"/>
        </w:rPr>
      </w:r>
      <w:r>
        <w:rPr>
          <w:spacing w:val="-5"/>
        </w:rPr>
        <w:t>产公允价值份额的差额，确认为商誉；合并成本小于合并中取得的被购买方可辨认净资产公允价值份额的，</w:t>
      </w:r>
      <w:r>
        <w:rPr>
          <w:spacing w:val="-4"/>
        </w:rPr>
        <w:t> </w:t>
      </w:r>
      <w:r>
        <w:rPr>
          <w:spacing w:val="-4"/>
        </w:rPr>
      </w:r>
      <w:r>
        <w:rPr>
          <w:spacing w:val="-2"/>
        </w:rPr>
        <w:t>首先对合并中取得的各项可辨认资产、负债及或有负债的公允价值、以及合并对价的非现金资产或发行的</w:t>
      </w:r>
      <w:r>
        <w:rPr>
          <w:spacing w:val="-44"/>
        </w:rPr>
        <w:t> </w:t>
      </w:r>
      <w:r>
        <w:rPr>
          <w:spacing w:val="-44"/>
        </w:rPr>
      </w:r>
      <w:r>
        <w:rPr>
          <w:spacing w:val="-2"/>
        </w:rPr>
        <w:t>权益性证券等的公允价值进行复核，经复核后，合并成本仍小于合并中取得的被购买方可辨认净资产公允</w:t>
      </w:r>
      <w:r>
        <w:rPr>
          <w:spacing w:val="-42"/>
        </w:rPr>
        <w:t> </w:t>
      </w:r>
      <w:r>
        <w:rPr>
          <w:spacing w:val="-42"/>
        </w:rPr>
      </w:r>
      <w:r>
        <w:rPr/>
        <w:t>价值份额的，将其差额计入合并当期营业外收入。</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0" w:footer="974" w:top="1100" w:bottom="1160" w:left="980" w:right="920"/>
        </w:sectPr>
      </w:pPr>
    </w:p>
    <w:p>
      <w:pPr>
        <w:spacing w:line="240" w:lineRule="auto" w:before="12"/>
        <w:rPr>
          <w:rFonts w:ascii="宋体" w:hAnsi="宋体" w:cs="宋体" w:eastAsia="宋体" w:hint="default"/>
          <w:sz w:val="20"/>
          <w:szCs w:val="20"/>
        </w:rPr>
      </w:pPr>
    </w:p>
    <w:p>
      <w:pPr>
        <w:pStyle w:val="Heading4"/>
        <w:spacing w:line="240" w:lineRule="auto" w:before="36"/>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92" w:right="0"/>
        <w:jc w:val="left"/>
      </w:pPr>
      <w:r>
        <w:rPr/>
        <w:t>本集团将所有控制的子公司及结构化主体纳入合并财务报表范围。</w:t>
      </w:r>
      <w:r>
        <w:rPr>
          <w:rFonts w:ascii="宋体" w:hAnsi="宋体" w:cs="宋体" w:eastAsia="宋体" w:hint="default"/>
          <w:w w:val="100"/>
        </w:rPr>
        <w:t> </w:t>
      </w:r>
      <w:r>
        <w:rPr>
          <w:spacing w:val="-3"/>
        </w:rPr>
        <w:t>在编制合并财务报表时，子公司与本公司采用的会计政策或会计期间不一致的，按照本公司的会计政</w:t>
      </w:r>
    </w:p>
    <w:p>
      <w:pPr>
        <w:pStyle w:val="BodyText"/>
        <w:spacing w:line="408" w:lineRule="auto"/>
        <w:ind w:left="592" w:right="0" w:hanging="440"/>
        <w:jc w:val="left"/>
      </w:pPr>
      <w:r>
        <w:rPr/>
        <w:t>策或会计期间对子公司财务报表进行必要的调整。</w:t>
      </w:r>
      <w:r>
        <w:rPr>
          <w:rFonts w:ascii="宋体" w:hAnsi="宋体" w:cs="宋体" w:eastAsia="宋体" w:hint="default"/>
          <w:w w:val="100"/>
        </w:rPr>
        <w:t> </w:t>
      </w:r>
      <w:r>
        <w:rPr>
          <w:spacing w:val="-3"/>
        </w:rPr>
        <w:t>合并范围内的所有重大内部交易、往来余额及未实现利润在合并报表编制时予以抵销。子公司的所有</w:t>
      </w:r>
    </w:p>
    <w:p>
      <w:pPr>
        <w:pStyle w:val="BodyText"/>
        <w:spacing w:line="408" w:lineRule="auto"/>
        <w:ind w:right="209"/>
        <w:jc w:val="both"/>
        <w:rPr>
          <w:rFonts w:ascii="宋体" w:hAnsi="宋体" w:cs="宋体" w:eastAsia="宋体" w:hint="default"/>
        </w:rPr>
      </w:pPr>
      <w:r>
        <w:rPr>
          <w:spacing w:val="2"/>
        </w:rPr>
        <w:t>者权益中不属于母公司的份额以及当期净损益、其他综合收益及综合收益总额中属于少数股东权益的份</w:t>
      </w:r>
      <w:r>
        <w:rPr>
          <w:spacing w:val="-30"/>
        </w:rPr>
        <w:t> </w:t>
      </w:r>
      <w:r>
        <w:rPr>
          <w:spacing w:val="-30"/>
        </w:rPr>
      </w:r>
      <w:r>
        <w:rPr>
          <w:spacing w:val="-2"/>
        </w:rPr>
        <w:t>额，分别在合并财务报表“少数股东权益、少数股东损益、归属于少数股东的其他综合收益及归属于少数</w:t>
      </w:r>
      <w:r>
        <w:rPr>
          <w:spacing w:val="-47"/>
        </w:rPr>
        <w:t> </w:t>
      </w:r>
      <w:r>
        <w:rPr>
          <w:spacing w:val="-47"/>
        </w:rPr>
      </w:r>
      <w:r>
        <w:rPr/>
        <w:t>股东的综合收益总额”项目列示。</w:t>
      </w:r>
      <w:r>
        <w:rPr>
          <w:rFonts w:ascii="宋体" w:hAnsi="宋体" w:cs="宋体" w:eastAsia="宋体" w:hint="default"/>
        </w:rPr>
        <w:t> </w:t>
      </w:r>
    </w:p>
    <w:p>
      <w:pPr>
        <w:pStyle w:val="BodyText"/>
        <w:spacing w:line="408" w:lineRule="auto"/>
        <w:ind w:right="163" w:firstLine="439"/>
        <w:jc w:val="both"/>
        <w:rPr>
          <w:rFonts w:ascii="宋体" w:hAnsi="宋体" w:cs="宋体" w:eastAsia="宋体" w:hint="default"/>
        </w:rPr>
      </w:pPr>
      <w:r>
        <w:rPr>
          <w:spacing w:val="-2"/>
        </w:rPr>
        <w:t>对于同一控制下企业合并取得的子公司，其经营成果和现金流量自合并当期期初纳入合并财务报表。</w:t>
      </w:r>
      <w:r>
        <w:rPr>
          <w:w w:val="100"/>
        </w:rPr>
        <w:t> </w:t>
      </w:r>
      <w:r>
        <w:rPr>
          <w:spacing w:val="-2"/>
        </w:rPr>
        <w:t>编制比较合并财务报表时，对上年财务报表的相关项目进行调整，视同合并后形成的报告主体自最终控制</w:t>
      </w:r>
      <w:r>
        <w:rPr>
          <w:spacing w:val="-43"/>
        </w:rPr>
        <w:t> </w:t>
      </w:r>
      <w:r>
        <w:rPr>
          <w:spacing w:val="-43"/>
        </w:rPr>
      </w:r>
      <w:r>
        <w:rPr/>
        <w:t>方开始控制时点起一直存在。</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通过多次交易分步取得同一控制下被投资单位的股权，最终形成企业合并，编制合并报表时，视同在</w:t>
      </w:r>
      <w:r>
        <w:rPr>
          <w:w w:val="100"/>
        </w:rPr>
        <w:t> </w:t>
      </w:r>
      <w:r>
        <w:rPr>
          <w:spacing w:val="-2"/>
        </w:rPr>
        <w:t>最终控制方开始控制时即以目前的状态存在进行调整，在编制比较报表时，以不早于本集团和被合并方同</w:t>
      </w:r>
      <w:r>
        <w:rPr>
          <w:spacing w:val="-43"/>
        </w:rPr>
        <w:t> </w:t>
      </w:r>
      <w:r>
        <w:rPr>
          <w:spacing w:val="-43"/>
        </w:rPr>
      </w:r>
      <w:r>
        <w:rPr>
          <w:spacing w:val="-2"/>
        </w:rPr>
        <w:t>处于最终控制方的控制之下的时点为限，将被合并方的有关资产、负债并入本集团合并财务报表的比较报</w:t>
      </w:r>
      <w:r>
        <w:rPr>
          <w:spacing w:val="-42"/>
        </w:rPr>
        <w:t> </w:t>
      </w:r>
      <w:r>
        <w:rPr>
          <w:spacing w:val="-42"/>
        </w:rPr>
      </w:r>
      <w:r>
        <w:rPr>
          <w:spacing w:val="-2"/>
        </w:rPr>
        <w:t>表中，并将合并而增加的净资产在比较报表中调整所有者权益项下的相关项目。为避免对被合并方净资产</w:t>
      </w:r>
      <w:r>
        <w:rPr>
          <w:spacing w:val="-43"/>
        </w:rPr>
        <w:t> </w:t>
      </w:r>
      <w:r>
        <w:rPr>
          <w:spacing w:val="-43"/>
        </w:rPr>
      </w:r>
      <w:r>
        <w:rPr>
          <w:spacing w:val="-2"/>
        </w:rPr>
        <w:t>的价值进行重复计算，本公司在达到合并之前持有的长期股权投资，在取得原股权之日与本集团和被合并</w:t>
      </w:r>
      <w:r>
        <w:rPr>
          <w:spacing w:val="-44"/>
        </w:rPr>
        <w:t> </w:t>
      </w:r>
      <w:r>
        <w:rPr>
          <w:spacing w:val="-44"/>
        </w:rPr>
      </w:r>
      <w:r>
        <w:rPr>
          <w:spacing w:val="-2"/>
        </w:rPr>
        <w:t>方处于同一方最终控制之日孰晚日起至合并日之间已确认有关损益、其他综合收益和其他净资产变动，应</w:t>
      </w:r>
      <w:r>
        <w:rPr>
          <w:spacing w:val="-44"/>
        </w:rPr>
        <w:t> </w:t>
      </w:r>
      <w:r>
        <w:rPr>
          <w:spacing w:val="-44"/>
        </w:rPr>
      </w:r>
      <w:r>
        <w:rPr/>
        <w:t>分别冲减比较报表期间的期初留存收益和当期损益。</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对于非同一控制下企业合并取得子公司，经营成果和现金流量自本集团取得控制权之日起纳入合并财</w:t>
      </w:r>
      <w:r>
        <w:rPr>
          <w:w w:val="100"/>
        </w:rPr>
        <w:t> </w:t>
      </w:r>
      <w:r>
        <w:rPr>
          <w:spacing w:val="-2"/>
        </w:rPr>
        <w:t>务报表。在编制合并财务报表时，以购买日确定的各项可辨认资产、负债及或有负债的公允价值为基础对</w:t>
      </w:r>
      <w:r>
        <w:rPr>
          <w:spacing w:val="-43"/>
        </w:rPr>
        <w:t> </w:t>
      </w:r>
      <w:r>
        <w:rPr>
          <w:spacing w:val="-43"/>
        </w:rPr>
      </w:r>
      <w:r>
        <w:rPr/>
        <w:t>子公司的财务报表进行调整。</w:t>
      </w:r>
      <w:r>
        <w:rPr>
          <w:rFonts w:ascii="宋体" w:hAnsi="宋体" w:cs="宋体" w:eastAsia="宋体" w:hint="default"/>
        </w:rPr>
        <w:t> </w:t>
      </w:r>
    </w:p>
    <w:p>
      <w:pPr>
        <w:pStyle w:val="BodyText"/>
        <w:spacing w:line="408" w:lineRule="auto"/>
        <w:ind w:right="0" w:firstLine="439"/>
        <w:jc w:val="left"/>
        <w:rPr>
          <w:rFonts w:ascii="宋体" w:hAnsi="宋体" w:cs="宋体" w:eastAsia="宋体" w:hint="default"/>
        </w:rPr>
      </w:pPr>
      <w:r>
        <w:rPr>
          <w:spacing w:val="-3"/>
        </w:rPr>
        <w:t>通过多次交易分步取得非同一控制下被投资单位的股权，最终形成企业合并，编制合并报表时，对于</w:t>
      </w:r>
      <w:r>
        <w:rPr>
          <w:w w:val="100"/>
        </w:rPr>
        <w:t> </w:t>
      </w:r>
      <w:r>
        <w:rPr>
          <w:spacing w:val="-2"/>
        </w:rPr>
        <w:t>购买日之前持有的被购买方的股权，按照该股权在购买日的公允价值进行重新计量，公允价值与其账面价</w:t>
      </w:r>
      <w:r>
        <w:rPr>
          <w:spacing w:val="-43"/>
        </w:rPr>
        <w:t> </w:t>
      </w:r>
      <w:r>
        <w:rPr>
          <w:spacing w:val="-43"/>
        </w:rPr>
      </w:r>
      <w:r>
        <w:rPr>
          <w:spacing w:val="-2"/>
        </w:rPr>
        <w:t>值的差额计入当期投资收益；与其相关的购买日之前持有的被购买方的股权涉及权益法核算下的其他综合</w:t>
      </w:r>
      <w:r>
        <w:rPr>
          <w:spacing w:val="-42"/>
        </w:rPr>
        <w:t> </w:t>
      </w:r>
      <w:r>
        <w:rPr>
          <w:spacing w:val="-42"/>
        </w:rPr>
      </w:r>
      <w:r>
        <w:rPr>
          <w:spacing w:val="-5"/>
        </w:rPr>
        <w:t>收益以及除净损益、其他综合收益和利润分配外的其他所有者权益变动，在购买日所属当期转为投资损益， </w:t>
      </w:r>
      <w:r>
        <w:rPr>
          <w:spacing w:val="-5"/>
        </w:rPr>
      </w:r>
      <w:r>
        <w:rPr/>
        <w:t>由于被投资方重新计量设定受益计划净负债或净资产变动而产生的其他综合收益除外。</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本集团在不丧失控制权的情况下部分处置对子公司的长期股权投资，在合并财务报表中，处置价款与</w:t>
      </w:r>
      <w:r>
        <w:rPr>
          <w:w w:val="100"/>
        </w:rPr>
        <w:t> </w:t>
      </w:r>
      <w:r>
        <w:rPr>
          <w:spacing w:val="-2"/>
        </w:rPr>
        <w:t>处置长期股权投资相对应享有子公司自购买日或合并日开始持续计算的净资产份额之间的差额，调整资本</w:t>
      </w:r>
      <w:r>
        <w:rPr>
          <w:spacing w:val="-43"/>
        </w:rPr>
        <w:t> </w:t>
      </w:r>
      <w:r>
        <w:rPr>
          <w:spacing w:val="-43"/>
        </w:rPr>
      </w:r>
      <w:r>
        <w:rPr/>
        <w:t>溢价或股本溢价，资本公积不足冲减的，调整留存收益。</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25" w:firstLine="439"/>
        <w:jc w:val="both"/>
        <w:rPr>
          <w:rFonts w:ascii="宋体" w:hAnsi="宋体" w:cs="宋体" w:eastAsia="宋体" w:hint="default"/>
        </w:rPr>
      </w:pPr>
      <w:r>
        <w:rPr>
          <w:spacing w:val="-3"/>
        </w:rPr>
        <w:t>本集团因处置部分股权投资等原因丧失了对被投资方的控制权的，在编制合并财务报表时，对于剩余</w:t>
      </w:r>
      <w:r>
        <w:rPr>
          <w:w w:val="100"/>
        </w:rPr>
        <w:t> </w:t>
      </w:r>
      <w:r>
        <w:rPr>
          <w:spacing w:val="-2"/>
        </w:rPr>
        <w:t>股权，按照其在丧失控制权日的公允价值进行重新计量。处置股权取得的对价与剩余股权公允价值之和，</w:t>
      </w:r>
      <w:r>
        <w:rPr>
          <w:spacing w:val="-21"/>
        </w:rPr>
        <w:t> </w:t>
      </w:r>
      <w:r>
        <w:rPr>
          <w:spacing w:val="-21"/>
        </w:rPr>
      </w:r>
      <w:r>
        <w:rPr>
          <w:spacing w:val="-2"/>
        </w:rPr>
        <w:t>减去按原持股比例计算应享有原有子公司自购买日或合并日开始持续计算的净资产的份额之间的差额，计</w:t>
      </w:r>
      <w:r>
        <w:rPr>
          <w:spacing w:val="-43"/>
        </w:rPr>
        <w:t> </w:t>
      </w:r>
      <w:r>
        <w:rPr>
          <w:spacing w:val="-43"/>
        </w:rPr>
      </w:r>
      <w:r>
        <w:rPr>
          <w:spacing w:val="-2"/>
        </w:rPr>
        <w:t>入丧失控制权当期的投资损益，同时冲减商誉。与原有子公司股权投资相关的其他综合收益等，在丧失控</w:t>
      </w:r>
      <w:r>
        <w:rPr>
          <w:spacing w:val="-43"/>
        </w:rPr>
        <w:t> </w:t>
      </w:r>
      <w:r>
        <w:rPr>
          <w:spacing w:val="-43"/>
        </w:rPr>
      </w:r>
      <w:r>
        <w:rPr/>
        <w:t>制权时转为当期投资损益</w:t>
      </w:r>
      <w:r>
        <w:rPr>
          <w:spacing w:val="-3"/>
        </w:rPr>
        <w:t> </w:t>
      </w:r>
      <w:r>
        <w:rPr>
          <w:rFonts w:ascii="宋体" w:hAnsi="宋体" w:cs="宋体" w:eastAsia="宋体" w:hint="default"/>
          <w:spacing w:val="-3"/>
        </w:rPr>
      </w:r>
      <w:r>
        <w:rPr/>
        <w:t>。</w:t>
      </w:r>
      <w:r>
        <w:rPr>
          <w:rFonts w:ascii="宋体" w:hAnsi="宋体" w:cs="宋体" w:eastAsia="宋体" w:hint="default"/>
        </w:rPr>
        <w:t> </w:t>
      </w:r>
    </w:p>
    <w:p>
      <w:pPr>
        <w:pStyle w:val="BodyText"/>
        <w:spacing w:line="408" w:lineRule="auto"/>
        <w:ind w:right="125" w:firstLine="420"/>
        <w:jc w:val="both"/>
        <w:rPr>
          <w:rFonts w:ascii="宋体" w:hAnsi="宋体" w:cs="宋体" w:eastAsia="宋体" w:hint="default"/>
        </w:rPr>
      </w:pPr>
      <w:r>
        <w:rPr>
          <w:spacing w:val="-2"/>
        </w:rPr>
        <w:t>本集团通过多次交易分步处置对子公司股权投资直至丧失控制权的，如果处置对子公司股权投资直至</w:t>
      </w:r>
      <w:r>
        <w:rPr>
          <w:w w:val="100"/>
        </w:rPr>
        <w:t> </w:t>
      </w:r>
      <w:r>
        <w:rPr>
          <w:spacing w:val="-2"/>
        </w:rPr>
        <w:t>丧失控制权的各项交易属于一揽子交易的，应当将各项交易作为一项处置子公司并丧失控制权的交易进行</w:t>
      </w:r>
      <w:r>
        <w:rPr>
          <w:spacing w:val="-43"/>
        </w:rPr>
        <w:t> </w:t>
      </w:r>
      <w:r>
        <w:rPr>
          <w:spacing w:val="-43"/>
        </w:rPr>
      </w:r>
      <w:r>
        <w:rPr>
          <w:spacing w:val="-2"/>
        </w:rPr>
        <w:t>会计处理；但是，在丧失控制权之前每一次处置价款与处置投资对应的享有该子公司净资产份额的差额，</w:t>
      </w:r>
      <w:r>
        <w:rPr>
          <w:spacing w:val="-21"/>
        </w:rPr>
        <w:t> </w:t>
      </w:r>
      <w:r>
        <w:rPr>
          <w:spacing w:val="-21"/>
        </w:rPr>
      </w:r>
      <w:r>
        <w:rPr/>
        <w:t>在合并财务报表中确认为其他综合收益，在丧失控制权时一并转入丧失控制权当期的投资损益。</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420"/>
        <w:jc w:val="both"/>
        <w:rPr>
          <w:rFonts w:ascii="宋体" w:hAnsi="宋体" w:cs="宋体" w:eastAsia="宋体" w:hint="default"/>
        </w:rPr>
      </w:pPr>
      <w:r>
        <w:rPr/>
        <w:t>本集团的合营安排包括共同经营和合营企业。对于共同经营项目</w:t>
      </w:r>
      <w:r>
        <w:rPr>
          <w:rFonts w:ascii="宋体" w:hAnsi="宋体" w:cs="宋体" w:eastAsia="宋体" w:hint="default"/>
        </w:rPr>
        <w:t>,</w:t>
      </w:r>
      <w:r>
        <w:rPr/>
        <w:t>本集团作为共同经营中的合营方确</w:t>
      </w:r>
      <w:r>
        <w:rPr>
          <w:w w:val="100"/>
        </w:rPr>
        <w:t> </w:t>
      </w:r>
      <w:r>
        <w:rPr>
          <w:spacing w:val="-2"/>
        </w:rPr>
        <w:t>认单独持有的资产和承担的负债，以及按份额确认持有的资产和承担的负债，根据相关约定单独或按份额</w:t>
      </w:r>
      <w:r>
        <w:rPr>
          <w:spacing w:val="-44"/>
        </w:rPr>
        <w:t> </w:t>
      </w:r>
      <w:r>
        <w:rPr>
          <w:spacing w:val="-44"/>
        </w:rPr>
      </w:r>
      <w:r>
        <w:rPr>
          <w:spacing w:val="-2"/>
        </w:rPr>
        <w:t>确认相关的收入和费用。与共同经营发生购买、销售不构成业务的资产交易的，仅确认因该交易产生的损</w:t>
      </w:r>
      <w:r>
        <w:rPr>
          <w:spacing w:val="-43"/>
        </w:rPr>
        <w:t> </w:t>
      </w:r>
      <w:r>
        <w:rPr>
          <w:spacing w:val="-43"/>
        </w:rPr>
      </w:r>
      <w:r>
        <w:rPr/>
        <w:t>益中归属于共同经营其他参与方的部分。</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6" w:firstLine="422"/>
        <w:jc w:val="both"/>
        <w:rPr>
          <w:rFonts w:ascii="宋体" w:hAnsi="宋体" w:cs="宋体" w:eastAsia="宋体" w:hint="default"/>
        </w:rPr>
      </w:pPr>
      <w:r>
        <w:rPr>
          <w:spacing w:val="-2"/>
          <w:sz w:val="20"/>
          <w:szCs w:val="20"/>
        </w:rPr>
        <w:t>本</w:t>
      </w:r>
      <w:r>
        <w:rPr>
          <w:spacing w:val="-2"/>
        </w:rPr>
        <w:t>集团现金流量表之现金指库存现金以及可以随时用于支付的存款。现金流量表之现金等价物指持有</w:t>
      </w:r>
      <w:r>
        <w:rPr>
          <w:w w:val="100"/>
        </w:rPr>
        <w:t> </w:t>
      </w:r>
      <w:r>
        <w:rPr/>
        <w:t>期限不超过</w:t>
      </w:r>
      <w:r>
        <w:rPr>
          <w:rFonts w:ascii="宋体" w:hAnsi="宋体" w:cs="宋体" w:eastAsia="宋体" w:hint="default"/>
        </w:rPr>
        <w:t>3</w:t>
      </w:r>
      <w:r>
        <w:rPr/>
        <w:t>个月、流动性强、易于转换为已知金额现金且价值变动风险很小的投资。</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25" w:firstLine="504"/>
        <w:jc w:val="both"/>
        <w:rPr>
          <w:rFonts w:ascii="宋体" w:hAnsi="宋体" w:cs="宋体" w:eastAsia="宋体" w:hint="default"/>
        </w:rPr>
      </w:pPr>
      <w:r>
        <w:rPr/>
        <w:t>本集团外币交易按交易发生日的即期汇率将外币金额折算为人民币金额。于资产负债表日，外币货</w:t>
      </w:r>
      <w:r>
        <w:rPr>
          <w:w w:val="100"/>
        </w:rPr>
        <w:t> </w:t>
      </w:r>
      <w:r>
        <w:rPr>
          <w:spacing w:val="-2"/>
        </w:rPr>
        <w:t>币性项目采用资产负债表日的即期汇率折算为人民币，所产生的折算差额除了为购建或生产符合资本化条</w:t>
      </w:r>
      <w:r>
        <w:rPr>
          <w:spacing w:val="-43"/>
        </w:rPr>
        <w:t> </w:t>
      </w:r>
      <w:r>
        <w:rPr>
          <w:spacing w:val="-43"/>
        </w:rPr>
      </w:r>
      <w:r>
        <w:rPr>
          <w:spacing w:val="-2"/>
        </w:rPr>
        <w:t>件的资产而借入的外币专门借款产生的汇兑差额按资本化的原则处理外，直接计入当期损益。以公允价值</w:t>
      </w:r>
      <w:r>
        <w:rPr>
          <w:spacing w:val="-43"/>
        </w:rPr>
        <w:t> </w:t>
      </w:r>
      <w:r>
        <w:rPr>
          <w:spacing w:val="-43"/>
        </w:rPr>
      </w:r>
      <w:r>
        <w:rPr>
          <w:spacing w:val="-2"/>
        </w:rPr>
        <w:t>计量的外币非货币性项目，采用公允价值确定日的即期汇率折算为人民币，所产生的折算差额，作为公允</w:t>
      </w:r>
      <w:r>
        <w:rPr>
          <w:spacing w:val="-43"/>
        </w:rPr>
        <w:t> </w:t>
      </w:r>
      <w:r>
        <w:rPr>
          <w:spacing w:val="-43"/>
        </w:rPr>
      </w:r>
      <w:r>
        <w:rPr>
          <w:spacing w:val="-2"/>
        </w:rPr>
        <w:t>价值变动直接计入当期损益。以历史成本计量的外币非货币性项目，仍采用交易发生日的即期汇率折算，</w:t>
      </w:r>
      <w:r>
        <w:rPr>
          <w:spacing w:val="-21"/>
        </w:rPr>
        <w:t> </w:t>
      </w:r>
      <w:r>
        <w:rPr>
          <w:spacing w:val="-21"/>
        </w:rPr>
      </w:r>
      <w:r>
        <w:rPr/>
        <w:t>不改变其人民币金额。</w:t>
      </w:r>
      <w:r>
        <w:rPr>
          <w:rFonts w:ascii="宋体" w:hAnsi="宋体" w:cs="宋体" w:eastAsia="宋体" w:hint="default"/>
        </w:rPr>
        <w:t> </w:t>
      </w:r>
    </w:p>
    <w:p>
      <w:pPr>
        <w:spacing w:line="240" w:lineRule="auto" w:before="8"/>
        <w:rPr>
          <w:rFonts w:ascii="宋体" w:hAnsi="宋体" w:cs="宋体" w:eastAsia="宋体" w:hint="default"/>
          <w:sz w:val="20"/>
          <w:szCs w:val="20"/>
        </w:rPr>
      </w:pPr>
    </w:p>
    <w:p>
      <w:pPr>
        <w:spacing w:line="568" w:lineRule="auto" w:before="0"/>
        <w:ind w:left="513" w:right="3294" w:hanging="36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z w:val="21"/>
          <w:szCs w:val="21"/>
        </w:rPr>
        <w:t>集团成为金融工具合同的一方时确认一项金融资产或金融负债。</w:t>
      </w:r>
      <w:r>
        <w:rPr>
          <w:rFonts w:ascii="宋体" w:hAnsi="宋体" w:cs="宋体" w:eastAsia="宋体" w:hint="default"/>
          <w:sz w:val="21"/>
          <w:szCs w:val="21"/>
        </w:rPr>
        <w:t> </w:t>
      </w:r>
    </w:p>
    <w:p>
      <w:pPr>
        <w:spacing w:after="0" w:line="568" w:lineRule="auto"/>
        <w:jc w:val="left"/>
        <w:rPr>
          <w:rFonts w:ascii="宋体" w:hAnsi="宋体" w:cs="宋体" w:eastAsia="宋体" w:hint="default"/>
          <w:sz w:val="21"/>
          <w:szCs w:val="21"/>
        </w:rPr>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573" w:right="0"/>
        <w:jc w:val="left"/>
        <w:rPr>
          <w:rFonts w:ascii="宋体" w:hAnsi="宋体" w:cs="宋体" w:eastAsia="宋体" w:hint="default"/>
        </w:rPr>
      </w:pPr>
      <w:r>
        <w:rPr/>
        <w:t>一</w:t>
      </w:r>
      <w:r>
        <w:rPr>
          <w:rFonts w:ascii="宋体" w:hAnsi="宋体" w:cs="宋体" w:eastAsia="宋体" w:hint="default"/>
        </w:rPr>
        <w:t>.</w:t>
      </w:r>
      <w:r>
        <w:rPr/>
        <w:t>金融资产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w w:val="100"/>
        </w:rPr>
        <w:t>   </w:t>
      </w:r>
      <w:r>
        <w:rPr/>
        <w:t>（一）金融资产分类、确认依据和计量方法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19" w:firstLine="420"/>
        <w:jc w:val="both"/>
        <w:rPr>
          <w:rFonts w:ascii="宋体" w:hAnsi="宋体" w:cs="宋体" w:eastAsia="宋体" w:hint="default"/>
        </w:rPr>
      </w:pPr>
      <w:r>
        <w:rPr>
          <w:spacing w:val="2"/>
        </w:rPr>
        <w:t>本集团按投资目的和经济实质对拥有的金融资产分类为以公允价值计量且其变动计入当期损益的金</w:t>
      </w:r>
      <w:r>
        <w:rPr>
          <w:w w:val="100"/>
        </w:rPr>
        <w:t> </w:t>
      </w:r>
      <w:r>
        <w:rPr/>
        <w:t>融资产、持有至到期投资、应收款项及可供出售金融资产。</w:t>
      </w:r>
      <w:r>
        <w:rPr>
          <w:rFonts w:ascii="宋体" w:hAnsi="宋体" w:cs="宋体" w:eastAsia="宋体" w:hint="default"/>
        </w:rPr>
        <w:t> </w:t>
      </w:r>
    </w:p>
    <w:p>
      <w:pPr>
        <w:pStyle w:val="BodyText"/>
        <w:spacing w:line="408" w:lineRule="auto"/>
        <w:ind w:right="185"/>
        <w:jc w:val="both"/>
        <w:rPr>
          <w:rFonts w:ascii="宋体" w:hAnsi="宋体" w:cs="宋体" w:eastAsia="宋体" w:hint="default"/>
        </w:rPr>
      </w:pPr>
      <w:r>
        <w:rPr>
          <w:rFonts w:ascii="宋体" w:hAnsi="宋体" w:cs="宋体" w:eastAsia="宋体" w:hint="default"/>
          <w:w w:val="100"/>
        </w:rPr>
        <w:t>    </w:t>
      </w:r>
      <w:r>
        <w:rPr>
          <w:spacing w:val="-2"/>
        </w:rPr>
        <w:t>以公允价值计量且其变动计入当期损益的金融资产，包括交易性金融资产和在初始确认时指定为以公</w:t>
      </w:r>
      <w:r>
        <w:rPr>
          <w:w w:val="100"/>
        </w:rPr>
        <w:t> </w:t>
      </w:r>
      <w:r>
        <w:rPr>
          <w:spacing w:val="-2"/>
        </w:rPr>
        <w:t>允价值计量且其变动计入当期损益的金融资产。本集团将满足下列条件之一的金融资产归类为交易性金融</w:t>
      </w:r>
      <w:r>
        <w:rPr>
          <w:spacing w:val="-42"/>
        </w:rPr>
        <w:t> </w:t>
      </w:r>
      <w:r>
        <w:rPr>
          <w:spacing w:val="-42"/>
        </w:rPr>
      </w:r>
      <w:r>
        <w:rPr>
          <w:spacing w:val="-2"/>
        </w:rPr>
        <w:t>资产：取得该金融资产的目的是为了在短期内出售；属于进行集中管理的可辨认金融工具组合的一部分，</w:t>
      </w:r>
      <w:r>
        <w:rPr>
          <w:spacing w:val="-21"/>
        </w:rPr>
        <w:t> </w:t>
      </w:r>
      <w:r>
        <w:rPr>
          <w:spacing w:val="-21"/>
        </w:rPr>
      </w:r>
      <w:r>
        <w:rPr>
          <w:spacing w:val="-2"/>
        </w:rPr>
        <w:t>且有客观证据表明公司近期采用短期获利方式对该组合进行管理；属于衍生工具，但是，被指定且为有效</w:t>
      </w:r>
      <w:r>
        <w:rPr>
          <w:spacing w:val="-44"/>
        </w:rPr>
        <w:t> </w:t>
      </w:r>
      <w:r>
        <w:rPr>
          <w:spacing w:val="-44"/>
        </w:rPr>
      </w:r>
      <w:r>
        <w:rPr>
          <w:spacing w:val="-2"/>
        </w:rPr>
        <w:t>套期工具的衍生工具、属于财务担保合同的衍生工具、与在活跃市场中没有报价且其公允价值不能可靠计</w:t>
      </w:r>
      <w:r>
        <w:rPr>
          <w:spacing w:val="-44"/>
        </w:rPr>
        <w:t> </w:t>
      </w:r>
      <w:r>
        <w:rPr>
          <w:spacing w:val="-44"/>
        </w:rPr>
      </w:r>
      <w:r>
        <w:rPr>
          <w:spacing w:val="-2"/>
        </w:rPr>
        <w:t>量的权益工具投资挂钩并须通过交付该权益工具结算的衍生工具除外。公允价值变动计入公允价值变动损</w:t>
      </w:r>
      <w:r>
        <w:rPr>
          <w:spacing w:val="-42"/>
        </w:rPr>
        <w:t> </w:t>
      </w:r>
      <w:r>
        <w:rPr>
          <w:spacing w:val="-42"/>
        </w:rPr>
      </w:r>
      <w:r>
        <w:rPr>
          <w:spacing w:val="-2"/>
        </w:rPr>
        <w:t>益；在资产持有期间所取得的利息或现金股利，确认为投资收益；处置时，其公允价值与初始入账金额之</w:t>
      </w:r>
      <w:r>
        <w:rPr>
          <w:spacing w:val="-47"/>
        </w:rPr>
        <w:t> </w:t>
      </w:r>
      <w:r>
        <w:rPr>
          <w:spacing w:val="-47"/>
        </w:rPr>
      </w:r>
      <w:r>
        <w:rPr/>
        <w:t>间的差额确认为投资损益，同时调整公允价值变动损益。</w:t>
      </w:r>
      <w:r>
        <w:rPr>
          <w:rFonts w:ascii="宋体" w:hAnsi="宋体" w:cs="宋体" w:eastAsia="宋体" w:hint="default"/>
        </w:rPr>
        <w:t> </w:t>
      </w:r>
    </w:p>
    <w:p>
      <w:pPr>
        <w:pStyle w:val="BodyText"/>
        <w:spacing w:line="408" w:lineRule="auto"/>
        <w:ind w:right="206" w:firstLine="420"/>
        <w:jc w:val="both"/>
        <w:rPr>
          <w:rFonts w:ascii="宋体" w:hAnsi="宋体" w:cs="宋体" w:eastAsia="宋体" w:hint="default"/>
        </w:rPr>
      </w:pPr>
      <w:r>
        <w:rPr>
          <w:spacing w:val="-2"/>
        </w:rPr>
        <w:t>持有至到期投资，是指到期日固定、回收金额固定或可确定，且本集团有明确意图和能力持有至到期</w:t>
      </w:r>
      <w:r>
        <w:rPr>
          <w:w w:val="100"/>
        </w:rPr>
        <w:t> </w:t>
      </w:r>
      <w:r>
        <w:rPr>
          <w:spacing w:val="-2"/>
        </w:rPr>
        <w:t>的非衍生金融资产。持有至到期投资采用实际利率法，按照摊余成本进行后续计量，其摊销或减值以及终</w:t>
      </w:r>
      <w:r>
        <w:rPr>
          <w:spacing w:val="-42"/>
        </w:rPr>
        <w:t> </w:t>
      </w:r>
      <w:r>
        <w:rPr>
          <w:spacing w:val="-42"/>
        </w:rPr>
      </w:r>
      <w:r>
        <w:rPr/>
        <w:t>止确认产生的利得或损失，均计入当期损益。</w:t>
      </w:r>
      <w:r>
        <w:rPr>
          <w:rFonts w:ascii="宋体" w:hAnsi="宋体" w:cs="宋体" w:eastAsia="宋体" w:hint="default"/>
        </w:rPr>
        <w:t> </w:t>
      </w:r>
    </w:p>
    <w:p>
      <w:pPr>
        <w:pStyle w:val="BodyText"/>
        <w:spacing w:line="408" w:lineRule="auto"/>
        <w:ind w:right="101"/>
        <w:jc w:val="both"/>
        <w:rPr>
          <w:rFonts w:ascii="宋体" w:hAnsi="宋体" w:cs="宋体" w:eastAsia="宋体" w:hint="default"/>
        </w:rPr>
      </w:pPr>
      <w:r>
        <w:rPr>
          <w:rFonts w:ascii="宋体" w:hAnsi="宋体" w:cs="宋体" w:eastAsia="宋体" w:hint="default"/>
          <w:w w:val="100"/>
        </w:rPr>
        <w:t>    </w:t>
      </w:r>
      <w:r>
        <w:rPr>
          <w:spacing w:val="-5"/>
        </w:rPr>
        <w:t>应收款项，是指在活跃市场中没有报价，回收金额固定或可确定的非衍生金融资产。采用实际利率法，</w:t>
      </w:r>
      <w:r>
        <w:rPr>
          <w:w w:val="100"/>
        </w:rPr>
        <w:t> </w:t>
      </w:r>
      <w:r>
        <w:rPr/>
        <w:t>按照摊余成本进行后续计量，其摊销或减值以及终止确认产生的利得或损失，均计入当期损益。</w:t>
      </w:r>
      <w:r>
        <w:rPr>
          <w:rFonts w:ascii="宋体" w:hAnsi="宋体" w:cs="宋体" w:eastAsia="宋体" w:hint="default"/>
        </w:rPr>
        <w:t> </w:t>
      </w:r>
    </w:p>
    <w:p>
      <w:pPr>
        <w:pStyle w:val="BodyText"/>
        <w:spacing w:line="408" w:lineRule="auto"/>
        <w:ind w:right="185"/>
        <w:jc w:val="both"/>
        <w:rPr>
          <w:rFonts w:ascii="宋体" w:hAnsi="宋体" w:cs="宋体" w:eastAsia="宋体" w:hint="default"/>
        </w:rPr>
      </w:pPr>
      <w:r>
        <w:rPr>
          <w:rFonts w:ascii="宋体" w:hAnsi="宋体" w:cs="宋体" w:eastAsia="宋体" w:hint="default"/>
          <w:w w:val="100"/>
        </w:rPr>
        <w:t>    </w:t>
      </w:r>
      <w:r>
        <w:rPr>
          <w:spacing w:val="-2"/>
        </w:rPr>
        <w:t>可供出售金融资产，是指初始确认时即被指定为可供出售的非衍生金融资产，以及未被划分为其他类</w:t>
      </w:r>
      <w:r>
        <w:rPr>
          <w:w w:val="100"/>
        </w:rPr>
        <w:t> </w:t>
      </w:r>
      <w:r>
        <w:rPr>
          <w:spacing w:val="-2"/>
        </w:rPr>
        <w:t>的金融资产。这类资产中，在活跃市场中没有报价且其公允价值不能可靠计量的权益工具投资以及与该权</w:t>
      </w:r>
      <w:r>
        <w:rPr>
          <w:spacing w:val="-44"/>
        </w:rPr>
        <w:t> </w:t>
      </w:r>
      <w:r>
        <w:rPr>
          <w:spacing w:val="-44"/>
        </w:rPr>
      </w:r>
      <w:r>
        <w:rPr>
          <w:spacing w:val="-2"/>
        </w:rPr>
        <w:t>益工具挂钩并须通过交付该权益工具结算的衍生金融资产，按成本进行后续计量；其他存在活跃市场报价</w:t>
      </w:r>
      <w:r>
        <w:rPr>
          <w:spacing w:val="-43"/>
        </w:rPr>
        <w:t> </w:t>
      </w:r>
      <w:r>
        <w:rPr>
          <w:spacing w:val="-43"/>
        </w:rPr>
      </w:r>
      <w:r>
        <w:rPr>
          <w:spacing w:val="-2"/>
        </w:rPr>
        <w:t>或虽没有活跃市场报价但公允价值能够可靠计量的，按公允价值计量，公允价值变动计入其他综合收益。</w:t>
      </w:r>
      <w:r>
        <w:rPr>
          <w:spacing w:val="-21"/>
        </w:rPr>
        <w:t> </w:t>
      </w:r>
      <w:r>
        <w:rPr>
          <w:spacing w:val="-21"/>
        </w:rPr>
      </w:r>
      <w:r>
        <w:rPr>
          <w:spacing w:val="-2"/>
        </w:rPr>
        <w:t>对于此类金融资产采用公允价值进行后续计量，除减值损失及外币货币性金融资产形成的汇兑损益外，可</w:t>
      </w:r>
      <w:r>
        <w:rPr>
          <w:spacing w:val="-44"/>
        </w:rPr>
        <w:t> </w:t>
      </w:r>
      <w:r>
        <w:rPr>
          <w:spacing w:val="-44"/>
        </w:rPr>
      </w:r>
      <w:r>
        <w:rPr>
          <w:spacing w:val="-2"/>
        </w:rPr>
        <w:t>供出售金融资产公允价值变动直接计入股东权益，待该金融资产终止确认时，原直接计入权益的公允价值</w:t>
      </w:r>
      <w:r>
        <w:rPr>
          <w:spacing w:val="-43"/>
        </w:rPr>
        <w:t> </w:t>
      </w:r>
      <w:r>
        <w:rPr>
          <w:spacing w:val="-43"/>
        </w:rPr>
      </w:r>
      <w:r>
        <w:rPr>
          <w:spacing w:val="-2"/>
        </w:rPr>
        <w:t>变动累计额转入当期损益。可供出售债务工具投资在持有期间按实际利率法计算的利息，以及被投资单位</w:t>
      </w:r>
      <w:r>
        <w:rPr>
          <w:spacing w:val="-44"/>
        </w:rPr>
        <w:t> </w:t>
      </w:r>
      <w:r>
        <w:rPr>
          <w:spacing w:val="-44"/>
        </w:rPr>
      </w:r>
      <w:r>
        <w:rPr>
          <w:spacing w:val="-2"/>
        </w:rPr>
        <w:t>宣告发放的与可供出售权益工具投资相关的现金股利，作为投资收益计入当期损益。对于在活跃市场中没</w:t>
      </w:r>
      <w:r>
        <w:rPr>
          <w:spacing w:val="-44"/>
        </w:rPr>
        <w:t> </w:t>
      </w:r>
      <w:r>
        <w:rPr>
          <w:spacing w:val="-44"/>
        </w:rPr>
      </w:r>
      <w:r>
        <w:rPr/>
        <w:t>有报价且其公允价值不能可靠计量的权益工具投资，按成本计量。</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t>（二）金融资产转移的确认依据和计量方法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rFonts w:ascii="宋体" w:hAnsi="宋体" w:cs="宋体" w:eastAsia="宋体" w:hint="default"/>
          <w:w w:val="100"/>
        </w:rPr>
        <w:t>    </w:t>
      </w:r>
      <w:r>
        <w:rPr>
          <w:rFonts w:ascii="宋体" w:hAnsi="宋体" w:cs="宋体" w:eastAsia="宋体" w:hint="default"/>
          <w:spacing w:val="-2"/>
          <w:w w:val="100"/>
        </w:rPr>
        <w:t> </w:t>
      </w:r>
      <w:r>
        <w:rPr/>
        <w:t>金融资产满足下列条件之一的，予以终止确认：①收取该金融资产现金流量的合同权利终止；②该</w:t>
      </w:r>
      <w:r>
        <w:rPr>
          <w:w w:val="100"/>
        </w:rPr>
        <w:t> </w:t>
      </w:r>
      <w:r>
        <w:rPr/>
        <w:t>金融资产已转移，且本公司将金融资产所有权上几乎所有的风险和报酬转移给转入方；</w:t>
      </w:r>
      <w:r>
        <w:rPr>
          <w:spacing w:val="77"/>
        </w:rPr>
        <w:t> </w:t>
      </w:r>
      <w:r>
        <w:rPr>
          <w:rFonts w:ascii="宋体" w:hAnsi="宋体" w:cs="宋体" w:eastAsia="宋体" w:hint="default"/>
          <w:spacing w:val="77"/>
        </w:rPr>
      </w:r>
      <w:r>
        <w:rPr/>
        <w:t>③该金融资产已</w:t>
      </w:r>
      <w:r>
        <w:rPr>
          <w:spacing w:val="-97"/>
        </w:rPr>
        <w:t> </w:t>
      </w:r>
      <w:r>
        <w:rPr>
          <w:spacing w:val="-97"/>
        </w:rPr>
      </w:r>
      <w:r>
        <w:rPr>
          <w:spacing w:val="-2"/>
        </w:rPr>
        <w:t>转移，虽然本公司既没有转移也没有保留金融资产所有权上几乎所有的风险和报酬，但是放弃了对该金融</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rPr>
          <w:rFonts w:ascii="宋体" w:hAnsi="宋体" w:cs="宋体" w:eastAsia="宋体" w:hint="default"/>
        </w:rPr>
      </w:pPr>
      <w:r>
        <w:rPr/>
        <w:t>资产控制。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62"/>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spacing w:val="2"/>
        </w:rPr>
        <w:t>企业既没有转移也没有保留金融资产所有权上几乎所有的风险和报酬，且未放弃对该金融资产控制</w:t>
      </w:r>
      <w:r>
        <w:rPr>
          <w:w w:val="100"/>
        </w:rPr>
        <w:t> </w:t>
      </w:r>
      <w:r>
        <w:rPr/>
        <w:t>的，则按照其继续涉入所转移金融资产的程度确认有关金融资产，并相应确认有关负债。</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金融资产整体转移满足终止确认条件的，将所转移金融资产的账面价值，与因转移而收到的对价及原</w:t>
      </w:r>
      <w:r>
        <w:rPr>
          <w:w w:val="100"/>
        </w:rPr>
        <w:t> </w:t>
      </w:r>
      <w:r>
        <w:rPr/>
        <w:t>计入其他综合收益的公允价值变动累计额之和的差额计入当期损益。</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金融资产部分转移满足终止确认条件的，将所转移金融资产整体的账面价值，在终止确认部分和未终</w:t>
      </w:r>
      <w:r>
        <w:rPr>
          <w:w w:val="100"/>
        </w:rPr>
        <w:t> </w:t>
      </w:r>
      <w:r>
        <w:rPr>
          <w:spacing w:val="-2"/>
        </w:rPr>
        <w:t>止确认部分之间，按照各自的相对公允价值进行分摊，并将因转移而收到的对价及应分摊至终止确认部分</w:t>
      </w:r>
      <w:r>
        <w:rPr>
          <w:spacing w:val="-44"/>
        </w:rPr>
        <w:t> </w:t>
      </w:r>
      <w:r>
        <w:rPr>
          <w:spacing w:val="-44"/>
        </w:rPr>
      </w:r>
      <w:r>
        <w:rPr/>
        <w:t>的原计入其他综合收益的公允价值变动累计额之和，与分摊的前述账面金额的差额计入当期损益。</w:t>
      </w:r>
      <w:r>
        <w:rPr>
          <w:rFonts w:ascii="宋体" w:hAnsi="宋体" w:cs="宋体" w:eastAsia="宋体" w:hint="default"/>
        </w:rPr>
        <w:t> </w:t>
      </w:r>
    </w:p>
    <w:p>
      <w:pPr>
        <w:pStyle w:val="BodyText"/>
        <w:spacing w:line="408" w:lineRule="auto"/>
        <w:ind w:right="153"/>
        <w:jc w:val="left"/>
        <w:rPr>
          <w:rFonts w:ascii="宋体" w:hAnsi="宋体" w:cs="宋体" w:eastAsia="宋体" w:hint="default"/>
        </w:rPr>
      </w:pPr>
      <w:r>
        <w:rPr>
          <w:rFonts w:ascii="宋体" w:hAnsi="宋体" w:cs="宋体" w:eastAsia="宋体" w:hint="default"/>
          <w:w w:val="100"/>
        </w:rPr>
        <w:t>    </w:t>
      </w:r>
      <w:r>
        <w:rPr/>
        <w:t>（三）金融资产减值的测试方法及会计处理方法</w:t>
      </w:r>
      <w:r>
        <w:rPr>
          <w:rFonts w:ascii="宋体" w:hAnsi="宋体" w:cs="宋体" w:eastAsia="宋体" w:hint="default"/>
          <w:w w:val="100"/>
        </w:rPr>
        <w:t> </w:t>
      </w:r>
      <w:r>
        <w:rPr>
          <w:spacing w:val="-2"/>
        </w:rPr>
        <w:t>除以公允价值计量且其变动计入当期损益的金融资产外，本集团于资产负债表日对其他金融资产的账面价</w:t>
      </w:r>
      <w:r>
        <w:rPr>
          <w:spacing w:val="-42"/>
        </w:rPr>
        <w:t> </w:t>
      </w:r>
      <w:r>
        <w:rPr>
          <w:spacing w:val="-42"/>
        </w:rPr>
      </w:r>
      <w:r>
        <w:rPr/>
        <w:t>值进行检查，如果有客观证据表明某项金融资产发生减值的，计提减值准备。</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以摊余成本计量的金融资产发生减值时，按预计未来现金流量</w:t>
      </w:r>
      <w:r>
        <w:rPr>
          <w:rFonts w:ascii="宋体" w:hAnsi="宋体" w:cs="宋体" w:eastAsia="宋体" w:hint="default"/>
        </w:rPr>
        <w:t>(</w:t>
      </w:r>
      <w:r>
        <w:rPr/>
        <w:t>不包括尚未发生的未来信用损失</w:t>
      </w:r>
      <w:r>
        <w:rPr>
          <w:rFonts w:ascii="宋体" w:hAnsi="宋体" w:cs="宋体" w:eastAsia="宋体" w:hint="default"/>
        </w:rPr>
        <w:t>)</w:t>
      </w:r>
      <w:r>
        <w:rPr/>
        <w:t>现</w:t>
      </w:r>
      <w:r>
        <w:rPr>
          <w:w w:val="100"/>
        </w:rPr>
        <w:t> </w:t>
      </w:r>
      <w:r>
        <w:rPr>
          <w:spacing w:val="-2"/>
        </w:rPr>
        <w:t>值低于账面价值的差额，计提减值准备。如果有客观证据表明该金融资产价值已恢复，且客观上与确认该</w:t>
      </w:r>
      <w:r>
        <w:rPr>
          <w:spacing w:val="-44"/>
        </w:rPr>
        <w:t> </w:t>
      </w:r>
      <w:r>
        <w:rPr>
          <w:spacing w:val="-44"/>
        </w:rPr>
      </w:r>
      <w:r>
        <w:rPr/>
        <w:t>损失后发生的事项有关，原确认的减值损失予以转回，计入当期损益。</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t>当可供出售金融资产发生减值，原直接计入所有者权益的因公允价值下降形成的累计损失予以转出</w:t>
      </w:r>
      <w:r>
        <w:rPr>
          <w:w w:val="100"/>
        </w:rPr>
        <w:t> </w:t>
      </w:r>
      <w:r>
        <w:rPr>
          <w:spacing w:val="-2"/>
        </w:rPr>
        <w:t>并计入减值损失。对已确认减值损失的可供出售债务工具投资，在期后公允价值上升且客观上与确认原减</w:t>
      </w:r>
      <w:r>
        <w:rPr>
          <w:spacing w:val="-44"/>
        </w:rPr>
        <w:t> </w:t>
      </w:r>
      <w:r>
        <w:rPr>
          <w:spacing w:val="-44"/>
        </w:rPr>
      </w:r>
      <w:r>
        <w:rPr>
          <w:spacing w:val="-2"/>
        </w:rPr>
        <w:t>值损失后发生的事项有关的，原确认的减值损失予以转回并计入当期损益。对已确认减值损失的可供出售</w:t>
      </w:r>
      <w:r>
        <w:rPr>
          <w:spacing w:val="-43"/>
        </w:rPr>
        <w:t> </w:t>
      </w:r>
      <w:r>
        <w:rPr>
          <w:spacing w:val="-43"/>
        </w:rPr>
      </w:r>
      <w:r>
        <w:rPr/>
        <w:t>权益工具投资，期后公允价值上升直接计入所有者权益。</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t>二</w:t>
      </w:r>
      <w:r>
        <w:rPr>
          <w:rFonts w:ascii="宋体" w:hAnsi="宋体" w:cs="宋体" w:eastAsia="宋体" w:hint="default"/>
        </w:rPr>
        <w:t>.</w:t>
      </w:r>
      <w:r>
        <w:rPr/>
        <w:t>金融负债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w w:val="100"/>
        </w:rPr>
        <w:t>   </w:t>
      </w:r>
      <w:r>
        <w:rPr/>
        <w:t>（一）金融负债分类、确认依据和计量方法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10" w:lineRule="auto" w:before="0"/>
        <w:ind w:right="162"/>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w w:val="100"/>
        </w:rPr>
        <w:t> </w:t>
      </w:r>
      <w:r>
        <w:rPr>
          <w:spacing w:val="2"/>
        </w:rPr>
        <w:t>本集团的金融负债于初始确认时分类为以公允价值计量且其变动计入当期损益的金融负债和其他金</w:t>
      </w:r>
      <w:r>
        <w:rPr>
          <w:w w:val="100"/>
        </w:rPr>
        <w:t> </w:t>
      </w:r>
      <w:r>
        <w:rPr/>
        <w:t>融负债。</w:t>
      </w:r>
      <w:r>
        <w:rPr>
          <w:rFonts w:ascii="宋体" w:hAnsi="宋体" w:cs="宋体" w:eastAsia="宋体" w:hint="default"/>
        </w:rPr>
        <w:t> </w:t>
      </w:r>
    </w:p>
    <w:p>
      <w:pPr>
        <w:pStyle w:val="BodyText"/>
        <w:spacing w:line="408" w:lineRule="auto" w:before="44"/>
        <w:ind w:right="146"/>
        <w:jc w:val="both"/>
        <w:rPr>
          <w:rFonts w:ascii="宋体" w:hAnsi="宋体" w:cs="宋体" w:eastAsia="宋体" w:hint="default"/>
        </w:rPr>
      </w:pPr>
      <w:r>
        <w:rPr>
          <w:rFonts w:ascii="宋体" w:hAnsi="宋体" w:cs="宋体" w:eastAsia="宋体" w:hint="default"/>
          <w:w w:val="100"/>
        </w:rPr>
        <w:t>    </w:t>
      </w:r>
      <w:r>
        <w:rPr>
          <w:spacing w:val="-2"/>
        </w:rPr>
        <w:t>以公允价值计量且其变动计入当期损益的金融负债，包括交易性金融负债和初始确认时指定为以公允</w:t>
      </w:r>
      <w:r>
        <w:rPr>
          <w:w w:val="100"/>
        </w:rPr>
        <w:t> </w:t>
      </w:r>
      <w:r>
        <w:rPr>
          <w:spacing w:val="-2"/>
        </w:rPr>
        <w:t>价值计量且其变动计入当期损益的金融负债。按照公允价值进行后续计量，公允价值变动形成的利得或损</w:t>
      </w:r>
      <w:r>
        <w:rPr>
          <w:spacing w:val="-42"/>
        </w:rPr>
        <w:t> </w:t>
      </w:r>
      <w:r>
        <w:rPr>
          <w:spacing w:val="-42"/>
        </w:rPr>
      </w:r>
      <w:r>
        <w:rPr/>
        <w:t>失以及与该金融负债相关的股利和利息支出计入当期损益。</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w w:val="100"/>
        </w:rPr>
        <w:t>    </w:t>
      </w:r>
      <w:r>
        <w:rPr/>
        <w:t>其他金融负债，采用实际利率法，按照摊余成本进行后续计量。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w w:val="100"/>
        </w:rPr>
        <w:t>    </w:t>
      </w:r>
      <w:r>
        <w:rPr/>
        <w:t>（二）金融负债终止确认条件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rFonts w:ascii="宋体" w:hAnsi="宋体" w:cs="宋体" w:eastAsia="宋体" w:hint="default"/>
          <w:w w:val="100"/>
        </w:rPr>
        <w:t>    </w:t>
      </w:r>
      <w:r>
        <w:rPr>
          <w:rFonts w:ascii="宋体" w:hAnsi="宋体" w:cs="宋体" w:eastAsia="宋体" w:hint="default"/>
          <w:spacing w:val="-2"/>
          <w:w w:val="100"/>
        </w:rPr>
        <w:t> </w:t>
      </w:r>
      <w:r>
        <w:rPr/>
        <w:t>当金融负债的现时义务全部或部分已经解除时，终止确认该金融负债或义务已解除的部分。公司与</w:t>
      </w:r>
      <w:r>
        <w:rPr>
          <w:w w:val="100"/>
        </w:rPr>
        <w:t> </w:t>
      </w:r>
      <w:r>
        <w:rPr>
          <w:spacing w:val="-2"/>
        </w:rPr>
        <w:t>债权人之间签订协议，以承担新金融负债方式替换现存金融负债，且新金融负债与现存金融负债的合同条</w:t>
      </w:r>
      <w:r>
        <w:rPr>
          <w:spacing w:val="-43"/>
        </w:rPr>
        <w:t> </w:t>
      </w:r>
      <w:r>
        <w:rPr>
          <w:spacing w:val="-43"/>
        </w:rPr>
      </w:r>
      <w:r>
        <w:rPr>
          <w:spacing w:val="-2"/>
        </w:rPr>
        <w:t>款实质上不同的，终止确认现存金融负债，并同时确认新金融负债。公司对现存金融负债全部或部分的合</w:t>
      </w:r>
    </w:p>
    <w:p>
      <w:pPr>
        <w:spacing w:after="0" w:line="408" w:lineRule="auto"/>
        <w:jc w:val="both"/>
        <w:sectPr>
          <w:footerReference w:type="default" r:id="rId24"/>
          <w:pgSz w:w="11910" w:h="16840"/>
          <w:pgMar w:footer="974" w:header="880" w:top="1100" w:bottom="1160" w:left="980" w:right="980"/>
          <w:pgNumType w:start="108"/>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spacing w:val="-2"/>
        </w:rPr>
        <w:t>同条款作出实质性修改的，终止确认现存金融负债或其一部分，同时将修改条款后的金融负债确认为一项</w:t>
      </w:r>
      <w:r>
        <w:rPr>
          <w:spacing w:val="-44"/>
        </w:rPr>
        <w:t> </w:t>
      </w:r>
      <w:r>
        <w:rPr>
          <w:spacing w:val="-44"/>
        </w:rPr>
      </w:r>
      <w:r>
        <w:rPr/>
        <w:t>新金融负债。终止确认部分的账面价值与支付的对价之间的差额，计入当期损益。</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t>三</w:t>
      </w:r>
      <w:r>
        <w:rPr>
          <w:rFonts w:ascii="宋体" w:hAnsi="宋体" w:cs="宋体" w:eastAsia="宋体" w:hint="default"/>
        </w:rPr>
        <w:t>.</w:t>
      </w:r>
      <w:r>
        <w:rPr/>
        <w:t>金融资产和金融负债的公允价值确定方法</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25"/>
        <w:jc w:val="both"/>
      </w:pPr>
      <w:r>
        <w:rPr>
          <w:rFonts w:ascii="宋体" w:hAnsi="宋体" w:cs="宋体" w:eastAsia="宋体" w:hint="default"/>
          <w:w w:val="100"/>
        </w:rPr>
        <w:t>    </w:t>
      </w:r>
      <w:r>
        <w:rPr>
          <w:spacing w:val="-2"/>
        </w:rPr>
        <w:t>本集团以主要市场的价格计量金融资产和金融负债的公允价值，不存在主要市场的，以最有利市场的</w:t>
      </w:r>
      <w:r>
        <w:rPr>
          <w:w w:val="100"/>
        </w:rPr>
        <w:t> </w:t>
      </w:r>
      <w:r>
        <w:rPr>
          <w:spacing w:val="-2"/>
        </w:rPr>
        <w:t>价格计量金融资产和金融负债的公允价值，并且采用当时适用并且有足够可利用数据和其他信息支持的估</w:t>
      </w:r>
      <w:r>
        <w:rPr>
          <w:spacing w:val="-43"/>
        </w:rPr>
        <w:t> </w:t>
      </w:r>
      <w:r>
        <w:rPr>
          <w:spacing w:val="-43"/>
        </w:rPr>
      </w:r>
      <w:r>
        <w:rPr>
          <w:spacing w:val="-2"/>
        </w:rPr>
        <w:t>值技术。公允价值计量所使用的输入值分为三个层次，即第一层次输入值是计量日能够取得的相同资产或</w:t>
      </w:r>
      <w:r>
        <w:rPr>
          <w:spacing w:val="-44"/>
        </w:rPr>
        <w:t> </w:t>
      </w:r>
      <w:r>
        <w:rPr>
          <w:spacing w:val="-44"/>
        </w:rPr>
      </w:r>
      <w:r>
        <w:rPr>
          <w:spacing w:val="-2"/>
        </w:rPr>
        <w:t>负债在活跃市场上未经调整的报价；第二层次输入值是除第一层次输入值外相关资产或负债直接或间接可</w:t>
      </w:r>
      <w:r>
        <w:rPr>
          <w:spacing w:val="-43"/>
        </w:rPr>
        <w:t> </w:t>
      </w:r>
      <w:r>
        <w:rPr>
          <w:spacing w:val="-43"/>
        </w:rPr>
      </w:r>
      <w:r>
        <w:rPr>
          <w:spacing w:val="-2"/>
        </w:rPr>
        <w:t>观察的输入值；第三层次输入值是相关资产或负债的不可观察输入值。本集团优先使用第一层次输入值，</w:t>
      </w:r>
      <w:r>
        <w:rPr>
          <w:spacing w:val="-21"/>
        </w:rPr>
        <w:t> </w:t>
      </w:r>
      <w:r>
        <w:rPr>
          <w:spacing w:val="-21"/>
        </w:rPr>
      </w:r>
      <w:r>
        <w:rPr>
          <w:spacing w:val="-2"/>
        </w:rPr>
        <w:t>最后再使用第三层次输入值，公允价值计量结果所属的层次，由对公允价值计量整体而言具有重大意义的</w:t>
      </w:r>
      <w:r>
        <w:rPr>
          <w:spacing w:val="-43"/>
        </w:rPr>
        <w:t> </w:t>
      </w:r>
      <w:r>
        <w:rPr>
          <w:spacing w:val="-43"/>
        </w:rPr>
      </w:r>
      <w:r>
        <w:rPr/>
        <w:t>输入值所属的最低层次决定。</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交易对象关系组合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款项性质组合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2"/>
        <w:ind w:left="152" w:right="15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交易对象关系组合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款项性质组合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3"/>
        <w:ind w:left="592" w:right="0"/>
        <w:jc w:val="left"/>
      </w:pPr>
      <w:r>
        <w:rPr/>
        <w:t>本集团存货主要包括原材料、低值易耗品、未完工合同成本等。</w:t>
      </w:r>
      <w:r>
        <w:rPr>
          <w:w w:val="100"/>
        </w:rPr>
        <w:t> </w:t>
      </w:r>
      <w:r>
        <w:rPr>
          <w:spacing w:val="-3"/>
        </w:rPr>
        <w:t>存货实行永续盘存制，存货在取得时按实际成本计价；领用或发出存货，采用加权平均法确定其实际</w:t>
      </w:r>
    </w:p>
    <w:p>
      <w:pPr>
        <w:pStyle w:val="BodyText"/>
        <w:spacing w:line="408" w:lineRule="auto"/>
        <w:ind w:left="592" w:right="0" w:hanging="440"/>
        <w:jc w:val="left"/>
      </w:pPr>
      <w:r>
        <w:rPr/>
        <w:t>成本。低值易耗品采用一次转销法进行摊销。</w:t>
      </w:r>
      <w:r>
        <w:rPr>
          <w:w w:val="100"/>
        </w:rPr>
        <w:t> </w:t>
      </w:r>
      <w:r>
        <w:rPr>
          <w:spacing w:val="-3"/>
        </w:rPr>
        <w:t>在资产负债表日，存货按成本与可变现净值孰低原则计价，当其可变现净值低于成本时，计提存货跌</w:t>
      </w:r>
    </w:p>
    <w:p>
      <w:pPr>
        <w:pStyle w:val="BodyText"/>
        <w:spacing w:line="240" w:lineRule="auto"/>
        <w:ind w:right="0"/>
        <w:jc w:val="left"/>
      </w:pPr>
      <w:r>
        <w:rPr/>
        <w:t>价准备。</w:t>
      </w:r>
    </w:p>
    <w:p>
      <w:pPr>
        <w:spacing w:line="240" w:lineRule="auto" w:before="10"/>
        <w:rPr>
          <w:rFonts w:ascii="宋体" w:hAnsi="宋体" w:cs="宋体" w:eastAsia="宋体" w:hint="default"/>
          <w:sz w:val="14"/>
          <w:szCs w:val="14"/>
        </w:rPr>
      </w:pPr>
    </w:p>
    <w:p>
      <w:pPr>
        <w:pStyle w:val="BodyText"/>
        <w:spacing w:line="408" w:lineRule="auto" w:before="0"/>
        <w:ind w:right="0" w:firstLine="439"/>
        <w:jc w:val="left"/>
      </w:pPr>
      <w:r>
        <w:rPr>
          <w:spacing w:val="-5"/>
        </w:rPr>
        <w:t>为信息化项目建设、提供技术服务、技术开发等而持有的以备项目建设或者提供服务过程中需要使用、</w:t>
      </w:r>
      <w:r>
        <w:rPr>
          <w:w w:val="100"/>
        </w:rPr>
        <w:t> </w:t>
      </w:r>
      <w:r>
        <w:rPr/>
        <w:t>消耗的存货，若已签订项目合同或者服务合同等，其可变现净值以合同价格为基础计算。</w:t>
      </w:r>
      <w:r>
        <w:rPr>
          <w:w w:val="100"/>
        </w:rPr>
        <w:t> </w:t>
      </w:r>
      <w:r>
        <w:rPr>
          <w:spacing w:val="-5"/>
        </w:rPr>
        <w:t>本集团于期末对未完工合同成本进行检查，如果合同项目预计总成本将超过合同总收入时，提取损失准备， </w:t>
      </w:r>
      <w:r>
        <w:rPr>
          <w:spacing w:val="-5"/>
        </w:rPr>
      </w:r>
      <w:r>
        <w:rPr/>
        <w:t>将预计损失确认为当期费用。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206" w:firstLine="442"/>
        <w:jc w:val="both"/>
      </w:pPr>
      <w:r>
        <w:rPr>
          <w:rFonts w:ascii="宋体" w:hAnsi="宋体" w:cs="宋体" w:eastAsia="宋体" w:hint="default"/>
        </w:rPr>
        <w:t>(1)</w:t>
      </w:r>
      <w:r>
        <w:rPr>
          <w:rFonts w:ascii="宋体" w:hAnsi="宋体" w:cs="宋体" w:eastAsia="宋体" w:hint="default"/>
          <w:spacing w:val="49"/>
        </w:rPr>
        <w:t> </w:t>
      </w:r>
      <w:r>
        <w:rPr/>
        <w:t>本集团将同时符合下列条件的非流动资产或处置组划分为持有待售：（</w:t>
      </w:r>
      <w:r>
        <w:rPr>
          <w:rFonts w:ascii="宋体" w:hAnsi="宋体" w:cs="宋体" w:eastAsia="宋体" w:hint="default"/>
        </w:rPr>
        <w:t>1</w:t>
      </w:r>
      <w:r>
        <w:rPr/>
        <w:t>）根据类似交易中出售</w:t>
      </w:r>
      <w:r>
        <w:rPr>
          <w:w w:val="100"/>
        </w:rPr>
        <w:t> </w:t>
      </w:r>
      <w:r>
        <w:rPr/>
        <w:t>此类资产或处置组的惯例，在当前状况下即可立即出售；（</w:t>
      </w:r>
      <w:r>
        <w:rPr>
          <w:rFonts w:ascii="宋体" w:hAnsi="宋体" w:cs="宋体" w:eastAsia="宋体" w:hint="default"/>
        </w:rPr>
        <w:t>2</w:t>
      </w:r>
      <w:r>
        <w:rPr/>
        <w:t>）出售极可能发生，即已经就一项出售计划</w:t>
      </w:r>
      <w:r>
        <w:rPr>
          <w:spacing w:val="-22"/>
        </w:rPr>
        <w:t> </w:t>
      </w:r>
      <w:r>
        <w:rPr>
          <w:spacing w:val="-22"/>
        </w:rPr>
      </w:r>
      <w:r>
        <w:rPr>
          <w:spacing w:val="-2"/>
        </w:rPr>
        <w:t>作出决议且获得确定的购买承诺，预计出售将在一年内完成。有关规定要求相关权力机构或者监管部门批</w:t>
      </w:r>
      <w:r>
        <w:rPr>
          <w:spacing w:val="-43"/>
        </w:rPr>
        <w:t> </w:t>
      </w:r>
      <w:r>
        <w:rPr>
          <w:spacing w:val="-43"/>
        </w:rPr>
      </w:r>
      <w:r>
        <w:rPr>
          <w:spacing w:val="-2"/>
        </w:rPr>
        <w:t>准后方可出售的需要获得相关批准。本集团将非流动资产或处置组首次划分为持有待售类别前，按照相关</w:t>
      </w:r>
    </w:p>
    <w:p>
      <w:pPr>
        <w:spacing w:after="0" w:line="408" w:lineRule="auto"/>
        <w:jc w:val="both"/>
        <w:sectPr>
          <w:footerReference w:type="default" r:id="rId25"/>
          <w:pgSz w:w="11910" w:h="16840"/>
          <w:pgMar w:footer="974" w:header="880" w:top="1100" w:bottom="1160" w:left="980" w:right="920"/>
          <w:pgNumType w:start="110"/>
        </w:sectPr>
      </w:pPr>
    </w:p>
    <w:p>
      <w:pPr>
        <w:spacing w:line="240" w:lineRule="auto" w:before="10"/>
        <w:rPr>
          <w:rFonts w:ascii="宋体" w:hAnsi="宋体" w:cs="宋体" w:eastAsia="宋体" w:hint="default"/>
          <w:sz w:val="26"/>
          <w:szCs w:val="26"/>
        </w:rPr>
      </w:pPr>
    </w:p>
    <w:p>
      <w:pPr>
        <w:pStyle w:val="BodyText"/>
        <w:spacing w:line="408" w:lineRule="auto" w:before="36"/>
        <w:ind w:right="206"/>
        <w:jc w:val="both"/>
        <w:rPr>
          <w:rFonts w:ascii="宋体" w:hAnsi="宋体" w:cs="宋体" w:eastAsia="宋体" w:hint="default"/>
        </w:rPr>
      </w:pPr>
      <w:r>
        <w:rPr>
          <w:spacing w:val="-2"/>
        </w:rPr>
        <w:t>会计准则规定计量非流动资产或处置组中各项资产和负债的账面价值。初始计量或在资产负债表日重新计</w:t>
      </w:r>
      <w:r>
        <w:rPr>
          <w:spacing w:val="-43"/>
        </w:rPr>
        <w:t> </w:t>
      </w:r>
      <w:r>
        <w:rPr>
          <w:spacing w:val="-43"/>
        </w:rPr>
      </w:r>
      <w:r>
        <w:rPr>
          <w:spacing w:val="-2"/>
        </w:rPr>
        <w:t>量持有待售的非流动资产或处置组时，其账面价值高于公允价值减去出售费用后的净额的，将账面价值减</w:t>
      </w:r>
      <w:r>
        <w:rPr>
          <w:spacing w:val="-43"/>
        </w:rPr>
        <w:t> </w:t>
      </w:r>
      <w:r>
        <w:rPr>
          <w:spacing w:val="-43"/>
        </w:rPr>
      </w:r>
      <w:r>
        <w:rPr>
          <w:spacing w:val="-2"/>
        </w:rPr>
        <w:t>记至公允价值减去出售费用后的净额，减记的金额确认为资产减值损失，计入当期损益，同时计提持有待</w:t>
      </w:r>
      <w:r>
        <w:rPr>
          <w:spacing w:val="-43"/>
        </w:rPr>
        <w:t> </w:t>
      </w:r>
      <w:r>
        <w:rPr>
          <w:spacing w:val="-43"/>
        </w:rPr>
      </w:r>
      <w:r>
        <w:rPr/>
        <w:t>售资产减值准备。</w:t>
      </w:r>
      <w:r>
        <w:rPr>
          <w:rFonts w:ascii="宋体" w:hAnsi="宋体" w:cs="宋体" w:eastAsia="宋体" w:hint="default"/>
        </w:rPr>
        <w:t> </w:t>
      </w:r>
    </w:p>
    <w:p>
      <w:pPr>
        <w:pStyle w:val="BodyText"/>
        <w:spacing w:line="408" w:lineRule="auto"/>
        <w:ind w:right="206" w:firstLine="442"/>
        <w:jc w:val="both"/>
        <w:rPr>
          <w:rFonts w:ascii="宋体" w:hAnsi="宋体" w:cs="宋体" w:eastAsia="宋体" w:hint="default"/>
        </w:rPr>
      </w:pPr>
      <w:r>
        <w:rPr>
          <w:rFonts w:ascii="宋体" w:hAnsi="宋体" w:cs="宋体" w:eastAsia="宋体" w:hint="default"/>
          <w:spacing w:val="-1"/>
        </w:rPr>
        <w:t>(2)</w:t>
      </w:r>
      <w:r>
        <w:rPr>
          <w:rFonts w:ascii="宋体" w:hAnsi="宋体" w:cs="宋体" w:eastAsia="宋体" w:hint="default"/>
          <w:spacing w:val="18"/>
        </w:rPr>
        <w:t> </w:t>
      </w:r>
      <w:r>
        <w:rPr>
          <w:spacing w:val="-2"/>
        </w:rPr>
        <w:t>本集团专为转售而取得的非流动资产或处置组，在取得日满足“预计出售将在一年内完成”的规</w:t>
      </w:r>
      <w:r>
        <w:rPr>
          <w:spacing w:val="-3"/>
          <w:w w:val="100"/>
        </w:rPr>
        <w:t> </w:t>
      </w:r>
      <w:r>
        <w:rPr/>
        <w:t>定条件，且短期（通常为</w:t>
      </w:r>
      <w:r>
        <w:rPr>
          <w:rFonts w:ascii="宋体" w:hAnsi="宋体" w:cs="宋体" w:eastAsia="宋体" w:hint="default"/>
        </w:rPr>
        <w:t>3</w:t>
      </w:r>
      <w:r>
        <w:rPr/>
        <w:t>个月）内很可能满足持有待售类别的其他划分条件的，在取得日将其划分为持</w:t>
      </w:r>
      <w:r>
        <w:rPr>
          <w:spacing w:val="-24"/>
        </w:rPr>
        <w:t> </w:t>
      </w:r>
      <w:r>
        <w:rPr>
          <w:spacing w:val="-24"/>
        </w:rPr>
      </w:r>
      <w:r>
        <w:rPr>
          <w:spacing w:val="-2"/>
        </w:rPr>
        <w:t>有待售类别。在初始计量时，比较假定其不划分为持有待售类别情况下的初始计量金额和公允价值减去出</w:t>
      </w:r>
      <w:r>
        <w:rPr>
          <w:spacing w:val="-44"/>
        </w:rPr>
        <w:t> </w:t>
      </w:r>
      <w:r>
        <w:rPr>
          <w:spacing w:val="-44"/>
        </w:rPr>
      </w:r>
      <w:r>
        <w:rPr>
          <w:spacing w:val="-2"/>
        </w:rPr>
        <w:t>售费用后的净额，以两者孰低计量。除企业合并中取得的非流动资产或处置组外，由非流动资产或处置组</w:t>
      </w:r>
      <w:r>
        <w:rPr>
          <w:spacing w:val="-45"/>
        </w:rPr>
        <w:t> </w:t>
      </w:r>
      <w:r>
        <w:rPr>
          <w:spacing w:val="-45"/>
        </w:rPr>
      </w:r>
      <w:r>
        <w:rPr/>
        <w:t>以公允价值减去出售费用后的净额作为初始计量金额而产生的差额，计入当期损益。</w:t>
      </w:r>
      <w:r>
        <w:rPr>
          <w:rFonts w:ascii="宋体" w:hAnsi="宋体" w:cs="宋体" w:eastAsia="宋体" w:hint="default"/>
        </w:rPr>
        <w:t> </w:t>
      </w:r>
    </w:p>
    <w:p>
      <w:pPr>
        <w:pStyle w:val="BodyText"/>
        <w:spacing w:line="408" w:lineRule="auto"/>
        <w:ind w:right="206" w:firstLine="442"/>
        <w:jc w:val="both"/>
        <w:rPr>
          <w:rFonts w:ascii="宋体" w:hAnsi="宋体" w:cs="宋体" w:eastAsia="宋体" w:hint="default"/>
        </w:rPr>
      </w:pPr>
      <w:r>
        <w:rPr>
          <w:rFonts w:ascii="宋体" w:hAnsi="宋体" w:cs="宋体" w:eastAsia="宋体" w:hint="default"/>
          <w:spacing w:val="-1"/>
        </w:rPr>
        <w:t>(3)</w:t>
      </w:r>
      <w:r>
        <w:rPr>
          <w:rFonts w:ascii="宋体" w:hAnsi="宋体" w:cs="宋体" w:eastAsia="宋体" w:hint="default"/>
          <w:spacing w:val="23"/>
        </w:rPr>
        <w:t> </w:t>
      </w:r>
      <w:r>
        <w:rPr>
          <w:spacing w:val="-2"/>
        </w:rPr>
        <w:t>本集团因出售对子公司的投资等原因导致丧失对子公司控制权的，无论出售后本集团是否保留部</w:t>
      </w:r>
      <w:r>
        <w:rPr>
          <w:w w:val="100"/>
        </w:rPr>
        <w:t> </w:t>
      </w:r>
      <w:r>
        <w:rPr>
          <w:spacing w:val="-2"/>
        </w:rPr>
        <w:t>分权益性投资，在拟出售的对子公司投资满足持有待售类别划分条件时，在母公司个别财务报表中将对子</w:t>
      </w:r>
      <w:r>
        <w:rPr>
          <w:spacing w:val="-43"/>
        </w:rPr>
        <w:t> </w:t>
      </w:r>
      <w:r>
        <w:rPr>
          <w:spacing w:val="-43"/>
        </w:rPr>
      </w:r>
      <w:r>
        <w:rPr/>
        <w:t>公司投资整体划分为持有待售类别，在合并财务报表中将子公司所有资产和负债划分为持有待售类别。</w:t>
      </w:r>
      <w:r>
        <w:rPr>
          <w:rFonts w:ascii="宋体" w:hAnsi="宋体" w:cs="宋体" w:eastAsia="宋体" w:hint="default"/>
        </w:rPr>
        <w:t> </w:t>
      </w:r>
    </w:p>
    <w:p>
      <w:pPr>
        <w:pStyle w:val="BodyText"/>
        <w:spacing w:line="408" w:lineRule="auto"/>
        <w:ind w:right="184" w:firstLine="442"/>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1"/>
        </w:rPr>
        <w:t> </w:t>
      </w:r>
      <w:r>
        <w:rPr/>
        <w:t>后续资产负债表日持有待售的非流动资产公允价值减去出售费用后的净额增加的，以前减记的金</w:t>
      </w:r>
      <w:r>
        <w:rPr>
          <w:w w:val="100"/>
        </w:rPr>
        <w:t> </w:t>
      </w:r>
      <w:r>
        <w:rPr>
          <w:spacing w:val="-2"/>
        </w:rPr>
        <w:t>额应当予以恢复，并在划分为持有待售类别后确认的资产减值损失金额内转回，转回金额计入当期损益。</w:t>
      </w:r>
      <w:r>
        <w:rPr>
          <w:spacing w:val="-20"/>
        </w:rPr>
        <w:t> </w:t>
      </w:r>
      <w:r>
        <w:rPr>
          <w:spacing w:val="-20"/>
        </w:rPr>
      </w:r>
      <w:r>
        <w:rPr/>
        <w:t>划分为持有待售类别前确认的资产减值损失不得转回。</w:t>
      </w:r>
      <w:r>
        <w:rPr>
          <w:rFonts w:ascii="宋体" w:hAnsi="宋体" w:cs="宋体" w:eastAsia="宋体" w:hint="default"/>
        </w:rPr>
        <w:t> </w:t>
      </w:r>
    </w:p>
    <w:p>
      <w:pPr>
        <w:pStyle w:val="BodyText"/>
        <w:spacing w:line="408" w:lineRule="auto"/>
        <w:ind w:right="206" w:firstLine="442"/>
        <w:jc w:val="both"/>
        <w:rPr>
          <w:rFonts w:ascii="宋体" w:hAnsi="宋体" w:cs="宋体" w:eastAsia="宋体" w:hint="default"/>
        </w:rPr>
      </w:pPr>
      <w:r>
        <w:rPr>
          <w:rFonts w:ascii="宋体" w:hAnsi="宋体" w:cs="宋体" w:eastAsia="宋体" w:hint="default"/>
          <w:spacing w:val="-1"/>
        </w:rPr>
        <w:t>(5)</w:t>
      </w:r>
      <w:r>
        <w:rPr>
          <w:rFonts w:ascii="宋体" w:hAnsi="宋体" w:cs="宋体" w:eastAsia="宋体" w:hint="default"/>
          <w:spacing w:val="24"/>
        </w:rPr>
        <w:t> </w:t>
      </w:r>
      <w:r>
        <w:rPr>
          <w:spacing w:val="-2"/>
        </w:rPr>
        <w:t>对于持有待售的处置组确认的资产减值损失金额，先抵减处置组中商誉的账面价值，再根据各项</w:t>
      </w:r>
      <w:r>
        <w:rPr>
          <w:w w:val="100"/>
        </w:rPr>
        <w:t> </w:t>
      </w:r>
      <w:r>
        <w:rPr/>
        <w:t>非流动资产账面价值所占比重，按比例抵减其账面价值。</w:t>
      </w:r>
      <w:r>
        <w:rPr>
          <w:rFonts w:ascii="宋体" w:hAnsi="宋体" w:cs="宋体" w:eastAsia="宋体" w:hint="default"/>
        </w:rPr>
        <w:t> </w:t>
      </w:r>
    </w:p>
    <w:p>
      <w:pPr>
        <w:pStyle w:val="BodyText"/>
        <w:spacing w:line="408" w:lineRule="auto"/>
        <w:ind w:right="206" w:firstLine="442"/>
        <w:jc w:val="both"/>
        <w:rPr>
          <w:rFonts w:ascii="宋体" w:hAnsi="宋体" w:cs="宋体" w:eastAsia="宋体" w:hint="default"/>
        </w:rPr>
      </w:pPr>
      <w:r>
        <w:rPr>
          <w:spacing w:val="-3"/>
        </w:rPr>
        <w:t>后续资产负债表日持有待售的处置组公允价值减去出售费用后的净额增加的，以前减记的金额应当予</w:t>
      </w:r>
      <w:r>
        <w:rPr>
          <w:w w:val="100"/>
        </w:rPr>
        <w:t> </w:t>
      </w:r>
      <w:r>
        <w:rPr>
          <w:spacing w:val="-2"/>
        </w:rPr>
        <w:t>以恢复，并在划分为持有待售类别后适用相关计量规定的非流动资产确认的资产减值损失金额内转回，转</w:t>
      </w:r>
      <w:r>
        <w:rPr>
          <w:spacing w:val="-44"/>
        </w:rPr>
        <w:t> </w:t>
      </w:r>
      <w:r>
        <w:rPr>
          <w:spacing w:val="-44"/>
        </w:rPr>
      </w:r>
      <w:r>
        <w:rPr>
          <w:spacing w:val="-2"/>
        </w:rPr>
        <w:t>回金额计入当期损益。已抵减的商誉账面价值，以及非流动资产在划分为持有待售类别前确认的资产减值</w:t>
      </w:r>
      <w:r>
        <w:rPr>
          <w:spacing w:val="-44"/>
        </w:rPr>
        <w:t> </w:t>
      </w:r>
      <w:r>
        <w:rPr>
          <w:spacing w:val="-44"/>
        </w:rPr>
      </w:r>
      <w:r>
        <w:rPr/>
        <w:t>损失不得转回。</w:t>
      </w:r>
      <w:r>
        <w:rPr>
          <w:rFonts w:ascii="宋体" w:hAnsi="宋体" w:cs="宋体" w:eastAsia="宋体" w:hint="default"/>
        </w:rPr>
        <w:t> </w:t>
      </w:r>
    </w:p>
    <w:p>
      <w:pPr>
        <w:pStyle w:val="BodyText"/>
        <w:spacing w:line="408" w:lineRule="auto"/>
        <w:ind w:right="209" w:firstLine="442"/>
        <w:jc w:val="both"/>
        <w:rPr>
          <w:rFonts w:ascii="宋体" w:hAnsi="宋体" w:cs="宋体" w:eastAsia="宋体" w:hint="default"/>
        </w:rPr>
      </w:pPr>
      <w:r>
        <w:rPr>
          <w:spacing w:val="-3"/>
        </w:rPr>
        <w:t>持有待售的处置组确认的资产减值损失后续转回金额，根据处置组中除商誉外，各项非流动资产账面</w:t>
      </w:r>
      <w:r>
        <w:rPr>
          <w:w w:val="100"/>
        </w:rPr>
        <w:t> </w:t>
      </w:r>
      <w:r>
        <w:rPr/>
        <w:t>价值所占比重，按比例增加其账面价值。</w:t>
      </w:r>
      <w:r>
        <w:rPr>
          <w:rFonts w:ascii="宋体" w:hAnsi="宋体" w:cs="宋体" w:eastAsia="宋体" w:hint="default"/>
        </w:rPr>
        <w:t> </w:t>
      </w:r>
    </w:p>
    <w:p>
      <w:pPr>
        <w:pStyle w:val="BodyText"/>
        <w:spacing w:line="408" w:lineRule="auto"/>
        <w:ind w:right="206" w:firstLine="442"/>
        <w:jc w:val="both"/>
        <w:rPr>
          <w:rFonts w:ascii="宋体" w:hAnsi="宋体" w:cs="宋体" w:eastAsia="宋体" w:hint="default"/>
        </w:rPr>
      </w:pPr>
      <w:r>
        <w:rPr>
          <w:rFonts w:ascii="宋体" w:hAnsi="宋体" w:cs="宋体" w:eastAsia="宋体" w:hint="default"/>
          <w:spacing w:val="-1"/>
        </w:rPr>
        <w:t>(6)</w:t>
      </w:r>
      <w:r>
        <w:rPr>
          <w:rFonts w:ascii="宋体" w:hAnsi="宋体" w:cs="宋体" w:eastAsia="宋体" w:hint="default"/>
          <w:spacing w:val="24"/>
        </w:rPr>
        <w:t> </w:t>
      </w:r>
      <w:r>
        <w:rPr>
          <w:spacing w:val="-2"/>
        </w:rPr>
        <w:t>持有待售的非流动资产或处置组中的非流动资产不计提折旧或摊销，持有待售的处置组中负债的</w:t>
      </w:r>
      <w:r>
        <w:rPr>
          <w:w w:val="100"/>
        </w:rPr>
        <w:t> </w:t>
      </w:r>
      <w:r>
        <w:rPr/>
        <w:t>利息和其他费用继续予以确认。</w:t>
      </w:r>
      <w:r>
        <w:rPr>
          <w:rFonts w:ascii="宋体" w:hAnsi="宋体" w:cs="宋体" w:eastAsia="宋体" w:hint="default"/>
        </w:rPr>
        <w:t> </w:t>
      </w:r>
    </w:p>
    <w:p>
      <w:pPr>
        <w:pStyle w:val="BodyText"/>
        <w:spacing w:line="408" w:lineRule="auto"/>
        <w:ind w:right="0" w:firstLine="442"/>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34"/>
        </w:rPr>
        <w:t> </w:t>
      </w:r>
      <w:r>
        <w:rPr/>
        <w:t>持有待售的非流动资产或处置组因不再满足持有待售类别的划分条件，而不再继续划分为持有待</w:t>
      </w:r>
      <w:r>
        <w:rPr>
          <w:w w:val="100"/>
        </w:rPr>
        <w:t> </w:t>
      </w:r>
      <w:r>
        <w:rPr>
          <w:spacing w:val="-2"/>
        </w:rPr>
        <w:t>售类别或非流动资产从持有待售的处置组中移除时，按照以下两者孰低计量：①划分为持有待售类别前的</w:t>
      </w:r>
      <w:r>
        <w:rPr>
          <w:spacing w:val="-43"/>
        </w:rPr>
        <w:t> </w:t>
      </w:r>
      <w:r>
        <w:rPr>
          <w:spacing w:val="-43"/>
        </w:rPr>
      </w:r>
      <w:r>
        <w:rPr>
          <w:spacing w:val="-2"/>
        </w:rPr>
        <w:t>账面价值，按照假定不划分为持有待售类别情况下本应确认的折旧、摊销或减值等进行调整后的金额；②</w:t>
      </w:r>
      <w:r>
        <w:rPr>
          <w:spacing w:val="-48"/>
        </w:rPr>
        <w:t> </w:t>
      </w:r>
      <w:r>
        <w:rPr>
          <w:rFonts w:ascii="宋体" w:hAnsi="宋体" w:cs="宋体" w:eastAsia="宋体" w:hint="default"/>
          <w:spacing w:val="-48"/>
        </w:rPr>
      </w:r>
      <w:r>
        <w:rPr/>
        <w:t>可收回金额。</w:t>
      </w:r>
      <w:r>
        <w:rPr>
          <w:rFonts w:ascii="宋体" w:hAnsi="宋体" w:cs="宋体" w:eastAsia="宋体" w:hint="default"/>
        </w:rPr>
        <w:t> </w:t>
      </w:r>
    </w:p>
    <w:p>
      <w:pPr>
        <w:pStyle w:val="BodyText"/>
        <w:spacing w:line="240" w:lineRule="auto"/>
        <w:ind w:left="594" w:right="0"/>
        <w:jc w:val="left"/>
      </w:pPr>
      <w:r>
        <w:rPr>
          <w:rFonts w:ascii="宋体" w:hAnsi="宋体" w:cs="宋体" w:eastAsia="宋体" w:hint="default"/>
        </w:rPr>
        <w:t>(8)</w:t>
      </w:r>
      <w:r>
        <w:rPr>
          <w:rFonts w:ascii="宋体" w:hAnsi="宋体" w:cs="宋体" w:eastAsia="宋体" w:hint="default"/>
          <w:spacing w:val="-25"/>
        </w:rPr>
        <w:t> </w:t>
      </w:r>
      <w:r>
        <w:rPr/>
        <w:t>终止确认持有待售的非流动资产或处置组时，将尚未确认的利得或损失计入当期损益。</w:t>
      </w:r>
    </w:p>
    <w:p>
      <w:pPr>
        <w:spacing w:after="0" w:line="240" w:lineRule="auto"/>
        <w:jc w:val="left"/>
        <w:sectPr>
          <w:pgSz w:w="11910" w:h="16840"/>
          <w:pgMar w:header="880" w:footer="974" w:top="1100" w:bottom="1160" w:left="980" w:right="92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92" w:right="0"/>
        <w:jc w:val="left"/>
      </w:pPr>
      <w:r>
        <w:rPr/>
        <w:t>本集团长期股权投资主要是对子公司的投资、对联营企业的投资和对合营企业的投资。</w:t>
      </w:r>
      <w:r>
        <w:rPr>
          <w:rFonts w:ascii="宋体" w:hAnsi="宋体" w:cs="宋体" w:eastAsia="宋体" w:hint="default"/>
          <w:w w:val="100"/>
        </w:rPr>
        <w:t> </w:t>
      </w:r>
      <w:r>
        <w:rPr>
          <w:spacing w:val="-3"/>
        </w:rPr>
        <w:t>本集团对共同控制的判断依据是所有参与方或参与方组合集体控制该安排，并且该安排相关活动的政</w:t>
      </w:r>
    </w:p>
    <w:p>
      <w:pPr>
        <w:pStyle w:val="BodyText"/>
        <w:spacing w:line="408" w:lineRule="auto"/>
        <w:ind w:left="592" w:right="0" w:hanging="440"/>
        <w:jc w:val="left"/>
      </w:pPr>
      <w:r>
        <w:rPr/>
        <w:t>策必须经过这些集体控制该安排的参与方一致同意。</w:t>
      </w:r>
      <w:r>
        <w:rPr>
          <w:rFonts w:ascii="宋体" w:hAnsi="宋体" w:cs="宋体" w:eastAsia="宋体" w:hint="default"/>
          <w:w w:val="100"/>
        </w:rPr>
        <w:t> </w:t>
      </w:r>
      <w:r>
        <w:rPr>
          <w:spacing w:val="-3"/>
        </w:rPr>
        <w:t>本集团直接或通过子公司间接拥有被投资单位</w:t>
      </w:r>
      <w:r>
        <w:rPr>
          <w:rFonts w:ascii="宋体" w:hAnsi="宋体" w:cs="宋体" w:eastAsia="宋体" w:hint="default"/>
          <w:spacing w:val="-3"/>
        </w:rPr>
        <w:t>20</w:t>
      </w:r>
      <w:r>
        <w:rPr>
          <w:spacing w:val="-3"/>
        </w:rPr>
        <w:t>％（含）以上但低于</w:t>
      </w:r>
      <w:r>
        <w:rPr>
          <w:rFonts w:ascii="宋体" w:hAnsi="宋体" w:cs="宋体" w:eastAsia="宋体" w:hint="default"/>
          <w:spacing w:val="-3"/>
        </w:rPr>
        <w:t>50</w:t>
      </w:r>
      <w:r>
        <w:rPr>
          <w:spacing w:val="-3"/>
        </w:rPr>
        <w:t>％的表决权时，通常认为对被</w:t>
      </w:r>
    </w:p>
    <w:p>
      <w:pPr>
        <w:pStyle w:val="BodyText"/>
        <w:spacing w:line="408" w:lineRule="auto"/>
        <w:ind w:right="0"/>
        <w:jc w:val="left"/>
        <w:rPr>
          <w:rFonts w:ascii="宋体" w:hAnsi="宋体" w:cs="宋体" w:eastAsia="宋体" w:hint="default"/>
        </w:rPr>
      </w:pPr>
      <w:r>
        <w:rPr/>
        <w:t>投资单位具有重大影响。持有被投资单位</w:t>
      </w:r>
      <w:r>
        <w:rPr>
          <w:rFonts w:ascii="宋体" w:hAnsi="宋体" w:cs="宋体" w:eastAsia="宋体" w:hint="default"/>
        </w:rPr>
        <w:t>20%</w:t>
      </w:r>
      <w:r>
        <w:rPr/>
        <w:t>以下表决权的，还需要综合考虑在被投资单位的董事会或类</w:t>
      </w:r>
      <w:r>
        <w:rPr>
          <w:spacing w:val="-26"/>
        </w:rPr>
        <w:t> </w:t>
      </w:r>
      <w:r>
        <w:rPr>
          <w:spacing w:val="-26"/>
        </w:rPr>
      </w:r>
      <w:r>
        <w:rPr>
          <w:spacing w:val="-5"/>
        </w:rPr>
        <w:t>似权力机构中派有代表、或参与被投资单位财务和经营政策制定过程、或与被投资单位之间发生重要交易、 </w:t>
      </w:r>
      <w:r>
        <w:rPr>
          <w:spacing w:val="-5"/>
        </w:rPr>
      </w:r>
      <w:r>
        <w:rPr>
          <w:spacing w:val="-2"/>
        </w:rPr>
        <w:t>或向被投资单位派出管理人员、或向被投资单位提供关键技术资料等事实和情况判断对被投资单位具有重</w:t>
      </w:r>
      <w:r>
        <w:rPr>
          <w:spacing w:val="-43"/>
        </w:rPr>
        <w:t> </w:t>
      </w:r>
      <w:r>
        <w:rPr>
          <w:spacing w:val="-43"/>
        </w:rPr>
      </w:r>
      <w:r>
        <w:rPr/>
        <w:t>大影响。</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对被投资单位形成控制的，为本集团的子公司。通过同一控制下的企业合并取得的长期股权投资，在</w:t>
      </w:r>
      <w:r>
        <w:rPr>
          <w:w w:val="100"/>
        </w:rPr>
        <w:t> </w:t>
      </w:r>
      <w:r>
        <w:rPr>
          <w:spacing w:val="2"/>
        </w:rPr>
        <w:t>合并日按照取得被合并方在最终控制方合并报表中净资产的账面价值的份额作为长期股权投资的初始投</w:t>
      </w:r>
      <w:r>
        <w:rPr>
          <w:spacing w:val="-30"/>
        </w:rPr>
        <w:t> </w:t>
      </w:r>
      <w:r>
        <w:rPr>
          <w:spacing w:val="-30"/>
        </w:rPr>
      </w:r>
      <w:r>
        <w:rPr/>
        <w:t>资成本。被合并方在合并日的净资产账面价值为负数的，长期股权投资成本按零确定。</w:t>
      </w:r>
      <w:r>
        <w:rPr>
          <w:rFonts w:ascii="宋体" w:hAnsi="宋体" w:cs="宋体" w:eastAsia="宋体" w:hint="default"/>
        </w:rPr>
        <w:t> </w:t>
      </w:r>
    </w:p>
    <w:p>
      <w:pPr>
        <w:pStyle w:val="BodyText"/>
        <w:spacing w:line="408" w:lineRule="auto"/>
        <w:ind w:left="592" w:right="0"/>
        <w:jc w:val="left"/>
      </w:pPr>
      <w:r>
        <w:rPr/>
        <w:t>通过非同一控制下的企业合并取得的长期股权投资，以合并成本作为初始投资成本。</w:t>
      </w:r>
      <w:r>
        <w:rPr>
          <w:rFonts w:ascii="宋体" w:hAnsi="宋体" w:cs="宋体" w:eastAsia="宋体" w:hint="default"/>
          <w:w w:val="100"/>
        </w:rPr>
        <w:t> </w:t>
      </w:r>
      <w:r>
        <w:rPr>
          <w:spacing w:val="-3"/>
        </w:rPr>
        <w:t>除上述通过企业合并取得的长期股权投资外，以支付现金取得的长期股权投资，按照实际支付的购买</w:t>
      </w:r>
    </w:p>
    <w:p>
      <w:pPr>
        <w:pStyle w:val="BodyText"/>
        <w:spacing w:line="408" w:lineRule="auto"/>
        <w:ind w:right="0"/>
        <w:jc w:val="left"/>
        <w:rPr>
          <w:rFonts w:ascii="宋体" w:hAnsi="宋体" w:cs="宋体" w:eastAsia="宋体" w:hint="default"/>
        </w:rPr>
      </w:pPr>
      <w:r>
        <w:rPr>
          <w:spacing w:val="-2"/>
        </w:rPr>
        <w:t>价款作为投资成本；以发行权益性证券取得的长期股权投资，按照发行权益性证券的公允价值作为投资成</w:t>
      </w:r>
      <w:r>
        <w:rPr>
          <w:spacing w:val="-42"/>
        </w:rPr>
        <w:t> </w:t>
      </w:r>
      <w:r>
        <w:rPr>
          <w:spacing w:val="-42"/>
        </w:rPr>
      </w:r>
      <w:r>
        <w:rPr/>
        <w:t>本；投资者投入的长期股权投资，按照投资合同或协议约定的价值作为投资成本。</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43"/>
        <w:ind w:left="592" w:right="0"/>
        <w:jc w:val="left"/>
      </w:pPr>
      <w:r>
        <w:rPr/>
        <w:t>本集团对子公司投资采用成本法核算；对合营企业及联营企业投资采用权益法核算。</w:t>
      </w:r>
      <w:r>
        <w:rPr>
          <w:rFonts w:ascii="宋体" w:hAnsi="宋体" w:cs="宋体" w:eastAsia="宋体" w:hint="default"/>
          <w:w w:val="100"/>
        </w:rPr>
        <w:t> </w:t>
      </w:r>
      <w:r>
        <w:rPr>
          <w:spacing w:val="-3"/>
        </w:rPr>
        <w:t>后续计量采用成本法核算的长期股权投资，追加或收回投资时调整长期股权投资的账面价值。被投资</w:t>
      </w:r>
    </w:p>
    <w:p>
      <w:pPr>
        <w:pStyle w:val="BodyText"/>
        <w:spacing w:line="408" w:lineRule="auto"/>
        <w:ind w:left="592" w:right="0" w:hanging="440"/>
        <w:jc w:val="left"/>
      </w:pPr>
      <w:r>
        <w:rPr/>
        <w:t>单位宣告分派的现金股利或利润，按照应享有的金额确认为当期投资收益。</w:t>
      </w:r>
      <w:r>
        <w:rPr>
          <w:rFonts w:ascii="宋体" w:hAnsi="宋体" w:cs="宋体" w:eastAsia="宋体" w:hint="default"/>
          <w:w w:val="100"/>
        </w:rPr>
        <w:t> </w:t>
      </w:r>
      <w:r>
        <w:rPr>
          <w:spacing w:val="-3"/>
        </w:rPr>
        <w:t>后续计量采用权益法核算的长期股权投资，随着被他投资单位所有者权益的变动相应调整增加或减少</w:t>
      </w:r>
    </w:p>
    <w:p>
      <w:pPr>
        <w:pStyle w:val="BodyText"/>
        <w:spacing w:line="408" w:lineRule="auto"/>
        <w:ind w:right="105"/>
        <w:jc w:val="both"/>
        <w:rPr>
          <w:rFonts w:ascii="宋体" w:hAnsi="宋体" w:cs="宋体" w:eastAsia="宋体" w:hint="default"/>
        </w:rPr>
      </w:pPr>
      <w:r>
        <w:rPr>
          <w:spacing w:val="-2"/>
        </w:rPr>
        <w:t>长期股权投资的账面价值。其中在确认应享有被投资单位净损益的份额时，以取得投资时被投资单位各项</w:t>
      </w:r>
      <w:r>
        <w:rPr>
          <w:spacing w:val="-43"/>
        </w:rPr>
        <w:t> </w:t>
      </w:r>
      <w:r>
        <w:rPr>
          <w:spacing w:val="-43"/>
        </w:rPr>
      </w:r>
      <w:r>
        <w:rPr>
          <w:spacing w:val="-2"/>
        </w:rPr>
        <w:t>可辨认资产等的公允价值为基础，按照本集团的会计政策及会计期间，并抵销与联营企业及合营企业之间</w:t>
      </w:r>
      <w:r>
        <w:rPr>
          <w:spacing w:val="-43"/>
        </w:rPr>
        <w:t> </w:t>
      </w:r>
      <w:r>
        <w:rPr>
          <w:spacing w:val="-43"/>
        </w:rPr>
      </w:r>
      <w:r>
        <w:rPr>
          <w:spacing w:val="-2"/>
        </w:rPr>
        <w:t>发生的内部交易损益按照持股比例计算归属于投资企业的部分，对被投资单位的净利润进行调整后确认。</w:t>
      </w:r>
      <w:r>
        <w:rPr>
          <w:rFonts w:ascii="宋体" w:hAnsi="宋体" w:cs="宋体" w:eastAsia="宋体" w:hint="default"/>
        </w:rPr>
        <w:t> </w:t>
      </w:r>
    </w:p>
    <w:p>
      <w:pPr>
        <w:pStyle w:val="BodyText"/>
        <w:spacing w:line="408" w:lineRule="auto"/>
        <w:ind w:right="206" w:firstLine="439"/>
        <w:jc w:val="both"/>
        <w:rPr>
          <w:rFonts w:ascii="宋体" w:hAnsi="宋体" w:cs="宋体" w:eastAsia="宋体" w:hint="default"/>
        </w:rPr>
      </w:pPr>
      <w:r>
        <w:rPr>
          <w:spacing w:val="-3"/>
        </w:rPr>
        <w:t>处置长期股权投资，其账面价值与实际取得价款的差额，计入当期投资收益。采用权益法核算的长期</w:t>
      </w:r>
      <w:r>
        <w:rPr>
          <w:w w:val="100"/>
        </w:rPr>
        <w:t> </w:t>
      </w:r>
      <w:r>
        <w:rPr>
          <w:spacing w:val="-2"/>
        </w:rPr>
        <w:t>股权投资，因被投资单位除净损益以外所有者权益的其他变动而计入所有者权益的，处置该项投资时将原</w:t>
      </w:r>
      <w:r>
        <w:rPr>
          <w:spacing w:val="-42"/>
        </w:rPr>
        <w:t> </w:t>
      </w:r>
      <w:r>
        <w:rPr>
          <w:spacing w:val="-42"/>
        </w:rPr>
      </w:r>
      <w:r>
        <w:rPr/>
        <w:t>计入所有者权益的部分按相应比例转入当期投资损益。</w:t>
      </w:r>
      <w:r>
        <w:rPr>
          <w:rFonts w:ascii="宋体" w:hAnsi="宋体" w:cs="宋体" w:eastAsia="宋体" w:hint="default"/>
        </w:rPr>
        <w:t> </w:t>
      </w:r>
    </w:p>
    <w:p>
      <w:pPr>
        <w:pStyle w:val="BodyText"/>
        <w:spacing w:line="408" w:lineRule="auto"/>
        <w:ind w:right="206" w:firstLine="439"/>
        <w:jc w:val="both"/>
      </w:pPr>
      <w:r>
        <w:rPr>
          <w:spacing w:val="-3"/>
        </w:rPr>
        <w:t>因处置部分股权投资等原因丧失了对被投资单位的共同控制或重大影响的，处置后的剩余股权改按可</w:t>
      </w:r>
      <w:r>
        <w:rPr>
          <w:w w:val="100"/>
        </w:rPr>
        <w:t> </w:t>
      </w:r>
      <w:r>
        <w:rPr>
          <w:spacing w:val="-2"/>
        </w:rPr>
        <w:t>供出售金融资产核算，剩余股权在丧失共同控制或重大影响之日的公允价值与账面价值之间的差额计入当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p>
    <w:p>
      <w:pPr>
        <w:spacing w:after="0" w:line="408" w:lineRule="auto"/>
        <w:jc w:val="both"/>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rPr>
          <w:rFonts w:ascii="宋体" w:hAnsi="宋体" w:cs="宋体" w:eastAsia="宋体" w:hint="default"/>
        </w:rPr>
      </w:pPr>
      <w:r>
        <w:rPr/>
        <w:t>位直接处置相关资产或负债相同的基础进行会计处理。</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6"/>
        <w:jc w:val="both"/>
        <w:rPr>
          <w:rFonts w:ascii="宋体" w:hAnsi="宋体" w:cs="宋体" w:eastAsia="宋体" w:hint="default"/>
        </w:rPr>
      </w:pPr>
      <w:r>
        <w:rPr>
          <w:rFonts w:ascii="宋体" w:hAnsi="宋体" w:cs="宋体" w:eastAsia="宋体" w:hint="default"/>
          <w:w w:val="100"/>
        </w:rPr>
        <w:t>    </w:t>
      </w:r>
      <w:r>
        <w:rPr>
          <w:spacing w:val="-2"/>
        </w:rPr>
        <w:t>因处置部分长期股权投资丧失了对被投资单位控制的，处置后的剩余股权能够对被投资单位实施共同</w:t>
      </w:r>
      <w:r>
        <w:rPr>
          <w:w w:val="100"/>
        </w:rPr>
        <w:t> </w:t>
      </w:r>
      <w:r>
        <w:rPr>
          <w:spacing w:val="-2"/>
        </w:rPr>
        <w:t>控制或施加重大影响的，改按权益法核算，处置股权账面价值和处置对价的差额计入投资收益，并对该剩</w:t>
      </w:r>
      <w:r>
        <w:rPr>
          <w:spacing w:val="-43"/>
        </w:rPr>
        <w:t> </w:t>
      </w:r>
      <w:r>
        <w:rPr>
          <w:spacing w:val="-43"/>
        </w:rPr>
      </w:r>
      <w:r>
        <w:rPr>
          <w:spacing w:val="-2"/>
        </w:rPr>
        <w:t>余股权视同自取得时即采用权益法核算进行调整；处置后的剩余股权不能对被投资单位实施共同控制或施</w:t>
      </w:r>
      <w:r>
        <w:rPr>
          <w:spacing w:val="-43"/>
        </w:rPr>
        <w:t> </w:t>
      </w:r>
      <w:r>
        <w:rPr>
          <w:spacing w:val="-43"/>
        </w:rPr>
      </w:r>
      <w:r>
        <w:rPr>
          <w:spacing w:val="-2"/>
        </w:rPr>
        <w:t>加重大影响的，改按可供出售金融资产的有关规定进行会计处理，处置股权账面价值和处置对价的差额计</w:t>
      </w:r>
      <w:r>
        <w:rPr>
          <w:spacing w:val="-42"/>
        </w:rPr>
        <w:t> </w:t>
      </w:r>
      <w:r>
        <w:rPr>
          <w:spacing w:val="-42"/>
        </w:rPr>
      </w:r>
      <w:r>
        <w:rPr/>
        <w:t>入投资收益，剩余股权在丧失控制之日的公允价值与账面价值间的差额计入当期投资损益。</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6" w:firstLine="451"/>
        <w:jc w:val="both"/>
        <w:rPr>
          <w:rFonts w:ascii="宋体" w:hAnsi="宋体" w:cs="宋体" w:eastAsia="宋体" w:hint="default"/>
        </w:rPr>
      </w:pPr>
      <w:r>
        <w:rPr>
          <w:spacing w:val="-3"/>
        </w:rPr>
        <w:t>本集团固定资产是指同时具有以下特征，即为生产商品、提供劳务、出租或经营管理而持有的，使用</w:t>
      </w:r>
      <w:r>
        <w:rPr>
          <w:w w:val="100"/>
        </w:rPr>
        <w:t> </w:t>
      </w:r>
      <w:r>
        <w:rPr/>
        <w:t>年限超过一年，单位价值超过 </w:t>
      </w:r>
      <w:r>
        <w:rPr>
          <w:rFonts w:ascii="宋体" w:hAnsi="宋体" w:cs="宋体" w:eastAsia="宋体" w:hint="default"/>
        </w:rPr>
        <w:t>2000</w:t>
      </w:r>
      <w:r>
        <w:rPr>
          <w:rFonts w:ascii="宋体" w:hAnsi="宋体" w:cs="宋体" w:eastAsia="宋体" w:hint="default"/>
          <w:spacing w:val="-29"/>
        </w:rPr>
        <w:t> </w:t>
      </w:r>
      <w:r>
        <w:rPr/>
        <w:t>元的有形资产。固定资产在与其有关的经济利益很可能流入本集团、</w:t>
      </w:r>
      <w:r>
        <w:rPr>
          <w:w w:val="100"/>
        </w:rPr>
        <w:t> </w:t>
      </w:r>
      <w:r>
        <w:rPr>
          <w:spacing w:val="-2"/>
        </w:rPr>
        <w:t>且其成本能够可靠计量时予以确认。本公司固定资产包括房屋及建筑物、设备、运输工具和其他，按其取</w:t>
      </w:r>
      <w:r>
        <w:rPr>
          <w:spacing w:val="-47"/>
        </w:rPr>
        <w:t> </w:t>
      </w:r>
      <w:r>
        <w:rPr>
          <w:spacing w:val="-47"/>
        </w:rPr>
      </w:r>
      <w:r>
        <w:rPr>
          <w:spacing w:val="-2"/>
        </w:rPr>
        <w:t>得时的成本作为入账的价值，其中，外购的固定资产成本包括买价和进口关税等相关税费，以及为使固定</w:t>
      </w:r>
      <w:r>
        <w:rPr>
          <w:spacing w:val="-44"/>
        </w:rPr>
        <w:t> </w:t>
      </w:r>
      <w:r>
        <w:rPr>
          <w:spacing w:val="-44"/>
        </w:rPr>
      </w:r>
      <w:r>
        <w:rPr>
          <w:spacing w:val="-2"/>
        </w:rPr>
        <w:t>资产达到预定可使用状态前所发生的可直接归属于该资产的其他支出；自行建造固定资产的成本，由建造</w:t>
      </w:r>
      <w:r>
        <w:rPr>
          <w:spacing w:val="-43"/>
        </w:rPr>
        <w:t> </w:t>
      </w:r>
      <w:r>
        <w:rPr>
          <w:spacing w:val="-43"/>
        </w:rPr>
      </w:r>
      <w:r>
        <w:rPr>
          <w:spacing w:val="-2"/>
        </w:rPr>
        <w:t>该项资产达到预定可使用状态前所发生的必要支出构成；投资者投入的固定资产，按投资合同或协议约定</w:t>
      </w:r>
      <w:r>
        <w:rPr>
          <w:spacing w:val="-42"/>
        </w:rPr>
        <w:t> </w:t>
      </w:r>
      <w:r>
        <w:rPr>
          <w:spacing w:val="-42"/>
        </w:rPr>
      </w:r>
      <w:r>
        <w:rPr>
          <w:spacing w:val="-2"/>
        </w:rPr>
        <w:t>的价值作为入账价值，但合同或协议约定价值不公允的按公允价值入账；融资租赁租入的固定资产，按租</w:t>
      </w:r>
      <w:r>
        <w:rPr>
          <w:spacing w:val="-44"/>
        </w:rPr>
        <w:t> </w:t>
      </w:r>
      <w:r>
        <w:rPr>
          <w:spacing w:val="-44"/>
        </w:rPr>
      </w:r>
      <w:r>
        <w:rPr>
          <w:spacing w:val="-2"/>
        </w:rPr>
        <w:t>赁开始日租赁资产公允价值与最低租赁付款额现值两者中较低者作为入账价值。除已提足折旧仍继续使用</w:t>
      </w:r>
      <w:r>
        <w:rPr>
          <w:spacing w:val="-43"/>
        </w:rPr>
        <w:t> </w:t>
      </w:r>
      <w:r>
        <w:rPr>
          <w:spacing w:val="-43"/>
        </w:rPr>
      </w:r>
      <w:r>
        <w:rPr>
          <w:spacing w:val="-2"/>
        </w:rPr>
        <w:t>的固定资产和单独计价入账的土地外，本集团对所有固定资产计提折旧。计提折旧时采用平均年限法，并</w:t>
      </w:r>
      <w:r>
        <w:rPr>
          <w:spacing w:val="-43"/>
        </w:rPr>
        <w:t> </w:t>
      </w:r>
      <w:r>
        <w:rPr>
          <w:spacing w:val="-43"/>
        </w:rPr>
      </w:r>
      <w:r>
        <w:rPr>
          <w:spacing w:val="-2"/>
        </w:rPr>
        <w:t>根据用途分别计入相关资产的成本或当期费用。本集团于每年年度终了，对固定资产的预计使用寿命、预</w:t>
      </w:r>
      <w:r>
        <w:rPr>
          <w:spacing w:val="-44"/>
        </w:rPr>
        <w:t> </w:t>
      </w:r>
      <w:r>
        <w:rPr>
          <w:spacing w:val="-44"/>
        </w:rPr>
      </w:r>
      <w:r>
        <w:rPr/>
        <w:t>计净残值和折旧方法进行复核，如发生改变，则作为会计估计变更处理。</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2.38%-4.75%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57"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206" w:firstLine="439"/>
        <w:jc w:val="both"/>
      </w:pPr>
      <w:r>
        <w:rPr>
          <w:spacing w:val="-3"/>
        </w:rPr>
        <w:t>在建工程按实际发生的成本计量。自营建筑工程按直接材料、直接工资、直接施工费等计量；出包建</w:t>
      </w:r>
      <w:r>
        <w:rPr>
          <w:w w:val="100"/>
        </w:rPr>
        <w:t> </w:t>
      </w:r>
      <w:r>
        <w:rPr>
          <w:spacing w:val="-2"/>
        </w:rPr>
        <w:t>筑工程按应支付的工程价款等计量；设备安装工程按所安装设备的价值、安装费用、工程试运转等所发生</w:t>
      </w:r>
      <w:r>
        <w:rPr>
          <w:spacing w:val="-44"/>
        </w:rPr>
        <w:t> </w:t>
      </w:r>
      <w:r>
        <w:rPr>
          <w:spacing w:val="-44"/>
        </w:rPr>
      </w:r>
      <w:r>
        <w:rPr/>
        <w:t>的支出等确定工程成本。在建工程成本还包括应当资本化的借款费用和汇兑损益。</w:t>
      </w:r>
    </w:p>
    <w:p>
      <w:pPr>
        <w:pStyle w:val="BodyText"/>
        <w:spacing w:line="408" w:lineRule="auto"/>
        <w:ind w:right="206" w:firstLine="439"/>
        <w:jc w:val="both"/>
      </w:pPr>
      <w:r>
        <w:rPr>
          <w:spacing w:val="-3"/>
        </w:rPr>
        <w:t>在建工程在达到预定可使用状态之日起，根据工程预算、造价或工程实际成本等，按估计的价值结转</w:t>
      </w:r>
      <w:r>
        <w:rPr>
          <w:w w:val="100"/>
        </w:rPr>
        <w:t> </w:t>
      </w:r>
      <w:r>
        <w:rPr/>
        <w:t>固定资产，次月起开始计提折旧，待办理了竣工决算手续后再对固定资产原值差异进行调整。</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2"/>
        <w:rPr>
          <w:rFonts w:ascii="宋体" w:hAnsi="宋体" w:cs="宋体" w:eastAsia="宋体" w:hint="default"/>
          <w:b/>
          <w:bCs/>
          <w:sz w:val="30"/>
          <w:szCs w:val="30"/>
        </w:rPr>
      </w:pPr>
    </w:p>
    <w:p>
      <w:pPr>
        <w:pStyle w:val="BodyText"/>
        <w:spacing w:line="405" w:lineRule="auto" w:before="0"/>
        <w:ind w:right="105" w:firstLine="439"/>
        <w:jc w:val="both"/>
        <w:rPr>
          <w:rFonts w:ascii="宋体" w:hAnsi="宋体" w:cs="宋体" w:eastAsia="宋体" w:hint="default"/>
        </w:rPr>
      </w:pPr>
      <w:r>
        <w:rPr>
          <w:spacing w:val="-3"/>
          <w:sz w:val="22"/>
          <w:szCs w:val="22"/>
        </w:rPr>
        <w:t>借</w:t>
      </w:r>
      <w:r>
        <w:rPr>
          <w:spacing w:val="-3"/>
        </w:rPr>
        <w:t>款费用包括借款利息、折价或溢价的摊销、辅助费用以及因外币借款而发生的汇兑差额等。可直接</w:t>
      </w:r>
      <w:r>
        <w:rPr>
          <w:w w:val="100"/>
        </w:rPr>
        <w:t> </w:t>
      </w:r>
      <w:r>
        <w:rPr>
          <w:spacing w:val="-2"/>
        </w:rPr>
        <w:t>归属于符合资本化条件的资产的购建或者生产的借款费用，在资产支出已经发生、借款费用已经发生、为</w:t>
      </w:r>
      <w:r>
        <w:rPr>
          <w:spacing w:val="-43"/>
        </w:rPr>
        <w:t> </w:t>
      </w:r>
      <w:r>
        <w:rPr>
          <w:spacing w:val="-43"/>
        </w:rPr>
      </w:r>
      <w:r>
        <w:rPr>
          <w:spacing w:val="-2"/>
        </w:rPr>
        <w:t>使资产达到预定可使用或可销售状态所必要的购建或生产活动已经开始时，开始资本化；当购建或生产符</w:t>
      </w:r>
      <w:r>
        <w:rPr>
          <w:spacing w:val="-43"/>
        </w:rPr>
        <w:t> </w:t>
      </w:r>
      <w:r>
        <w:rPr>
          <w:spacing w:val="-43"/>
        </w:rPr>
      </w:r>
      <w:r>
        <w:rPr>
          <w:spacing w:val="-7"/>
          <w:w w:val="100"/>
        </w:rPr>
        <w:t>合资本化条件的资产达到预定可使用或可销售状态时，停止资本化。其余借款费用在发生当期确认为费用。</w:t>
      </w:r>
      <w:r>
        <w:rPr>
          <w:rFonts w:ascii="宋体" w:hAnsi="宋体" w:cs="宋体" w:eastAsia="宋体" w:hint="default"/>
          <w:w w:val="100"/>
        </w:rPr>
        <w:t> </w:t>
      </w:r>
    </w:p>
    <w:p>
      <w:pPr>
        <w:pStyle w:val="BodyText"/>
        <w:spacing w:line="408" w:lineRule="auto" w:before="48"/>
        <w:ind w:right="105" w:firstLine="439"/>
        <w:jc w:val="both"/>
        <w:rPr>
          <w:rFonts w:ascii="宋体" w:hAnsi="宋体" w:cs="宋体" w:eastAsia="宋体" w:hint="default"/>
        </w:rPr>
      </w:pPr>
      <w:r>
        <w:rPr>
          <w:spacing w:val="-3"/>
        </w:rPr>
        <w:t>专门借款当期实际发生的利息费用，扣除尚未动用的借款资金存入银行取得的利息收入或进行暂时性</w:t>
      </w:r>
      <w:r>
        <w:rPr>
          <w:w w:val="100"/>
        </w:rPr>
        <w:t> </w:t>
      </w:r>
      <w:r>
        <w:rPr>
          <w:spacing w:val="-2"/>
        </w:rPr>
        <w:t>投资取得的投资收益后的金额予以资本化；一般借款根据累计资产支出超过专门借款部分的资产支出加权</w:t>
      </w:r>
      <w:r>
        <w:rPr>
          <w:spacing w:val="-43"/>
        </w:rPr>
        <w:t> </w:t>
      </w:r>
      <w:r>
        <w:rPr>
          <w:spacing w:val="-43"/>
        </w:rPr>
      </w:r>
      <w:r>
        <w:rPr>
          <w:spacing w:val="-7"/>
          <w:w w:val="100"/>
        </w:rPr>
        <w:t>平均数乘以所占用一般借款的资本化率，确定资本化金额。资本化率根据一般借款加权平均利率计算确定。</w:t>
      </w:r>
      <w:r>
        <w:rPr>
          <w:rFonts w:ascii="宋体" w:hAnsi="宋体" w:cs="宋体" w:eastAsia="宋体" w:hint="default"/>
          <w:w w:val="100"/>
        </w:rPr>
        <w:t> </w:t>
      </w:r>
    </w:p>
    <w:p>
      <w:pPr>
        <w:pStyle w:val="BodyText"/>
        <w:spacing w:line="408" w:lineRule="auto"/>
        <w:ind w:right="0" w:firstLine="439"/>
        <w:jc w:val="left"/>
        <w:rPr>
          <w:rFonts w:ascii="宋体" w:hAnsi="宋体" w:cs="宋体" w:eastAsia="宋体" w:hint="default"/>
        </w:rPr>
      </w:pPr>
      <w:r>
        <w:rPr/>
        <w:t>符合资本化条件的资产，是指需要经过相当长时间（通常指</w:t>
      </w:r>
      <w:r>
        <w:rPr>
          <w:rFonts w:ascii="宋体" w:hAnsi="宋体" w:cs="宋体" w:eastAsia="宋体" w:hint="default"/>
        </w:rPr>
        <w:t>1</w:t>
      </w:r>
      <w:r>
        <w:rPr/>
        <w:t>年以上）的购建或者生产活动才能达到</w:t>
      </w:r>
      <w:r>
        <w:rPr>
          <w:w w:val="100"/>
        </w:rPr>
        <w:t> </w:t>
      </w:r>
      <w:r>
        <w:rPr/>
        <w:t>预定可使用或者可销售状态的固定资产、投资性房地产和存货等资产。</w:t>
      </w:r>
      <w:r>
        <w:rPr>
          <w:rFonts w:ascii="宋体" w:hAnsi="宋体" w:cs="宋体" w:eastAsia="宋体" w:hint="default"/>
          <w:w w:val="100"/>
        </w:rPr>
        <w:t> </w:t>
      </w:r>
      <w:r>
        <w:rPr/>
        <w:t>如果符合资本化条件的资产在购建或者生产过程中发生非正常中断、且中断时间连续超过</w:t>
      </w:r>
      <w:r>
        <w:rPr>
          <w:rFonts w:ascii="宋体" w:hAnsi="宋体" w:cs="宋体" w:eastAsia="宋体" w:hint="default"/>
        </w:rPr>
        <w:t>3</w:t>
      </w:r>
      <w:r>
        <w:rPr/>
        <w:t>个月，暂停借</w:t>
      </w:r>
      <w:r>
        <w:rPr>
          <w:spacing w:val="-20"/>
        </w:rPr>
        <w:t> </w:t>
      </w:r>
      <w:r>
        <w:rPr>
          <w:spacing w:val="-20"/>
        </w:rPr>
      </w:r>
      <w:r>
        <w:rPr/>
        <w:t>款费用的资本化，直至资产的购建或生产活动重新开始。</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3"/>
        <w:ind w:right="206" w:firstLine="439"/>
        <w:jc w:val="both"/>
        <w:rPr>
          <w:rFonts w:ascii="宋体" w:hAnsi="宋体" w:cs="宋体" w:eastAsia="宋体" w:hint="default"/>
        </w:rPr>
      </w:pPr>
      <w:r>
        <w:rPr>
          <w:spacing w:val="-3"/>
        </w:rPr>
        <w:t>本集团无形资产包括土地使用权、专利技术、非专利技术等，按取得时的实际成本计量，其中，购入</w:t>
      </w:r>
      <w:r>
        <w:rPr>
          <w:w w:val="100"/>
        </w:rPr>
        <w:t> </w:t>
      </w:r>
      <w:r>
        <w:rPr>
          <w:spacing w:val="-2"/>
        </w:rPr>
        <w:t>的无形资产，按实际支付的价款和相关的其他支出作为实际成本；投资者投入的无形资产，按投资合同或</w:t>
      </w:r>
      <w:r>
        <w:rPr>
          <w:spacing w:val="-44"/>
        </w:rPr>
        <w:t> </w:t>
      </w:r>
      <w:r>
        <w:rPr>
          <w:spacing w:val="-44"/>
        </w:rPr>
      </w:r>
      <w:r>
        <w:rPr/>
        <w:t>协议约定的价值确定实际成本，但合同或协议约定价值不公允的，按公允价值确定实际成本。</w:t>
      </w:r>
      <w:r>
        <w:rPr>
          <w:rFonts w:ascii="宋体" w:hAnsi="宋体" w:cs="宋体" w:eastAsia="宋体" w:hint="default"/>
        </w:rPr>
        <w:t> </w:t>
      </w:r>
    </w:p>
    <w:p>
      <w:pPr>
        <w:pStyle w:val="BodyText"/>
        <w:spacing w:line="408" w:lineRule="auto"/>
        <w:ind w:right="206"/>
        <w:jc w:val="both"/>
        <w:rPr>
          <w:rFonts w:ascii="宋体" w:hAnsi="宋体" w:cs="宋体" w:eastAsia="宋体" w:hint="default"/>
        </w:rPr>
      </w:pPr>
      <w:r>
        <w:rPr>
          <w:rFonts w:ascii="宋体" w:hAnsi="宋体" w:cs="宋体" w:eastAsia="宋体" w:hint="default"/>
          <w:w w:val="100"/>
        </w:rPr>
        <w:t>    </w:t>
      </w:r>
      <w:r>
        <w:rPr>
          <w:spacing w:val="-2"/>
        </w:rPr>
        <w:t>土地使用权从出让起始日起，按其出让年限平均摊销；专利技术、非专利技术和其他无形资产按预计</w:t>
      </w:r>
      <w:r>
        <w:rPr>
          <w:w w:val="100"/>
        </w:rPr>
        <w:t> </w:t>
      </w:r>
      <w:r>
        <w:rPr>
          <w:spacing w:val="-2"/>
        </w:rPr>
        <w:t>使用年限、合同规定的受益年限和法律规定的有效年限三者中最短者分期平均摊销，摊销金额按其受益对</w:t>
      </w:r>
      <w:r>
        <w:rPr>
          <w:spacing w:val="-43"/>
        </w:rPr>
        <w:t> </w:t>
      </w:r>
      <w:r>
        <w:rPr>
          <w:spacing w:val="-43"/>
        </w:rPr>
      </w:r>
      <w:r>
        <w:rPr/>
        <w:t>象计入相关资产成本和当期损益。</w:t>
      </w:r>
      <w:r>
        <w:rPr>
          <w:rFonts w:ascii="宋体" w:hAnsi="宋体" w:cs="宋体" w:eastAsia="宋体" w:hint="default"/>
        </w:rPr>
        <w:t> </w:t>
      </w:r>
    </w:p>
    <w:p>
      <w:pPr>
        <w:pStyle w:val="BodyText"/>
        <w:spacing w:line="240" w:lineRule="auto"/>
        <w:ind w:right="0"/>
        <w:jc w:val="both"/>
      </w:pPr>
      <w:r>
        <w:rPr>
          <w:rFonts w:ascii="宋体" w:hAnsi="宋体" w:cs="宋体" w:eastAsia="宋体" w:hint="default"/>
          <w:w w:val="100"/>
        </w:rPr>
        <w:t>    </w:t>
      </w:r>
      <w:r>
        <w:rPr/>
        <w:t>对使用寿命有限的无形资产的预计使用寿命及摊销方法于每年年度终了进行复核，如发生改变，则作</w:t>
      </w:r>
    </w:p>
    <w:p>
      <w:pPr>
        <w:spacing w:after="0" w:line="240" w:lineRule="auto"/>
        <w:jc w:val="both"/>
        <w:sectPr>
          <w:footerReference w:type="default" r:id="rId26"/>
          <w:pgSz w:w="11910" w:h="16840"/>
          <w:pgMar w:footer="974" w:header="880" w:top="1100" w:bottom="1160" w:left="980" w:right="920"/>
          <w:pgNumType w:start="114"/>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spacing w:val="-2"/>
        </w:rPr>
        <w:t>为会计估计变更处理。在每个会计期间对使用寿命不确定的无形资产的预计使用寿命进行复核，如有证据</w:t>
      </w:r>
      <w:r>
        <w:rPr>
          <w:spacing w:val="-43"/>
        </w:rPr>
        <w:t> </w:t>
      </w:r>
      <w:r>
        <w:rPr>
          <w:spacing w:val="-43"/>
        </w:rPr>
      </w:r>
      <w:r>
        <w:rPr/>
        <w:t>表明无形资产的使用寿命是有限的，则估计其使用寿命并在预计使用寿命内摊销。</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439"/>
        <w:jc w:val="both"/>
        <w:rPr>
          <w:rFonts w:ascii="宋体" w:hAnsi="宋体" w:cs="宋体" w:eastAsia="宋体" w:hint="default"/>
        </w:rPr>
      </w:pPr>
      <w:r>
        <w:rPr>
          <w:spacing w:val="-3"/>
        </w:rPr>
        <w:t>本集团的研究开发支出根据其性质以及研发活动最终形成无形资产是否具有较大不确定性，分为研究</w:t>
      </w:r>
      <w:r>
        <w:rPr>
          <w:w w:val="100"/>
        </w:rPr>
        <w:t> </w:t>
      </w:r>
      <w:r>
        <w:rPr>
          <w:spacing w:val="-2"/>
        </w:rPr>
        <w:t>阶段支出和开发阶段支出。研究阶段的支出，于发生时计入当期损益；开发阶段的支出，同时满足下列条</w:t>
      </w:r>
      <w:r>
        <w:rPr>
          <w:spacing w:val="-47"/>
        </w:rPr>
        <w:t> </w:t>
      </w:r>
      <w:r>
        <w:rPr>
          <w:spacing w:val="-47"/>
        </w:rPr>
      </w:r>
      <w:r>
        <w:rPr/>
        <w:t>件的，确认为无形资产：</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t>①完成该无形资产以使其能够使用或出售在技术上具有可行性；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92" w:right="153"/>
        <w:jc w:val="left"/>
        <w:rPr>
          <w:rFonts w:ascii="宋体" w:hAnsi="宋体" w:cs="宋体" w:eastAsia="宋体" w:hint="default"/>
        </w:rPr>
      </w:pPr>
      <w:r>
        <w:rPr/>
        <w:t>②具有完成该无形资产并使用或出售的意图；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92" w:right="153"/>
        <w:jc w:val="left"/>
        <w:rPr>
          <w:rFonts w:ascii="宋体" w:hAnsi="宋体" w:cs="宋体" w:eastAsia="宋体" w:hint="default"/>
        </w:rPr>
      </w:pPr>
      <w:r>
        <w:rPr/>
        <w:t>③运用该无形资产生产的产品存在市场或无形资产自身存在市场；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46" w:firstLine="439"/>
        <w:jc w:val="both"/>
        <w:rPr>
          <w:rFonts w:ascii="宋体" w:hAnsi="宋体" w:cs="宋体" w:eastAsia="宋体" w:hint="default"/>
        </w:rPr>
      </w:pPr>
      <w:r>
        <w:rPr>
          <w:spacing w:val="-3"/>
        </w:rPr>
        <w:t>④有足够的技术、财务资源和其他资源支持，以完成该无形资产的开发，并有能力使用或出售该无形</w:t>
      </w:r>
      <w:r>
        <w:rPr>
          <w:w w:val="100"/>
        </w:rPr>
        <w:t> </w:t>
      </w:r>
      <w:r>
        <w:rPr/>
        <w:t>资产；</w:t>
      </w:r>
      <w:r>
        <w:rPr>
          <w:rFonts w:ascii="宋体" w:hAnsi="宋体" w:cs="宋体" w:eastAsia="宋体" w:hint="default"/>
        </w:rPr>
        <w:t> </w:t>
      </w:r>
    </w:p>
    <w:p>
      <w:pPr>
        <w:pStyle w:val="BodyText"/>
        <w:spacing w:line="408" w:lineRule="auto"/>
        <w:ind w:left="592" w:right="153"/>
        <w:jc w:val="left"/>
      </w:pPr>
      <w:r>
        <w:rPr/>
        <w:t>⑤归属于该无形资产开发阶段的支出能够可靠地计量。</w:t>
      </w:r>
      <w:r>
        <w:rPr>
          <w:rFonts w:ascii="宋体" w:hAnsi="宋体" w:cs="宋体" w:eastAsia="宋体" w:hint="default"/>
          <w:w w:val="100"/>
        </w:rPr>
        <w:t> </w:t>
      </w:r>
      <w:r>
        <w:rPr>
          <w:spacing w:val="-3"/>
        </w:rPr>
        <w:t>不满足上述条件的开发阶段的支出，于发生时计入当期损益。前期已计入损益的开发支出在以后期间</w:t>
      </w:r>
    </w:p>
    <w:p>
      <w:pPr>
        <w:pStyle w:val="BodyText"/>
        <w:spacing w:line="408" w:lineRule="auto"/>
        <w:ind w:right="146"/>
        <w:jc w:val="both"/>
        <w:rPr>
          <w:rFonts w:ascii="宋体" w:hAnsi="宋体" w:cs="宋体" w:eastAsia="宋体" w:hint="default"/>
        </w:rPr>
      </w:pPr>
      <w:r>
        <w:rPr>
          <w:spacing w:val="-2"/>
        </w:rPr>
        <w:t>不再确认为资产。已资本化的开发阶段的支出在资产负债表上列示为开发支出，自该项目达到预定可使用</w:t>
      </w:r>
      <w:r>
        <w:rPr>
          <w:spacing w:val="-44"/>
        </w:rPr>
        <w:t> </w:t>
      </w:r>
      <w:r>
        <w:rPr>
          <w:spacing w:val="-44"/>
        </w:rPr>
      </w:r>
      <w:r>
        <w:rPr/>
        <w:t>状态之日起转为无形资产列报。</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t>本集团报告期内不存在研究开发支出资本化的情形。</w:t>
      </w:r>
      <w:r>
        <w:rPr>
          <w:rFonts w:ascii="宋体" w:hAnsi="宋体" w:cs="宋体" w:eastAsia="宋体" w:hint="default"/>
        </w:rPr>
        <w:t> </w:t>
      </w:r>
    </w:p>
    <w:p>
      <w:pPr>
        <w:pStyle w:val="BodyText"/>
        <w:spacing w:line="670" w:lineRule="atLeast" w:before="34"/>
        <w:ind w:left="573" w:right="153" w:hanging="421"/>
        <w:jc w:val="left"/>
      </w:pPr>
      <w:r>
        <w:rPr>
          <w:rFonts w:ascii="Times New Roman" w:hAnsi="Times New Roman" w:cs="Times New Roman" w:eastAsia="Times New Roman" w:hint="default"/>
          <w:b/>
          <w:bCs/>
        </w:rPr>
        <w:t>19</w:t>
      </w:r>
      <w:r>
        <w:rPr>
          <w:rFonts w:ascii="宋体" w:hAnsi="宋体" w:cs="宋体" w:eastAsia="宋体" w:hint="default"/>
          <w:b/>
          <w:bCs/>
        </w:rPr>
        <w:t>、长期资产减值</w:t>
      </w:r>
      <w:r>
        <w:rPr>
          <w:rFonts w:ascii="宋体" w:hAnsi="宋体" w:cs="宋体" w:eastAsia="宋体" w:hint="default"/>
          <w:b/>
          <w:bCs/>
          <w:w w:val="100"/>
        </w:rPr>
        <w:t> </w:t>
      </w:r>
      <w:r>
        <w:rPr>
          <w:spacing w:val="-2"/>
        </w:rPr>
        <w:t>本集团于每一资产负债表日对长期股权投资、固定资产、在建工程、使用寿命有限的无形资产等项目</w:t>
      </w:r>
    </w:p>
    <w:p>
      <w:pPr>
        <w:spacing w:line="240" w:lineRule="auto" w:before="10"/>
        <w:rPr>
          <w:rFonts w:ascii="宋体" w:hAnsi="宋体" w:cs="宋体" w:eastAsia="宋体" w:hint="default"/>
          <w:sz w:val="14"/>
          <w:szCs w:val="14"/>
        </w:rPr>
      </w:pPr>
    </w:p>
    <w:p>
      <w:pPr>
        <w:pStyle w:val="BodyText"/>
        <w:spacing w:line="408" w:lineRule="auto" w:before="0"/>
        <w:ind w:right="146"/>
        <w:jc w:val="both"/>
        <w:rPr>
          <w:rFonts w:ascii="宋体" w:hAnsi="宋体" w:cs="宋体" w:eastAsia="宋体" w:hint="default"/>
        </w:rPr>
      </w:pPr>
      <w:r>
        <w:rPr>
          <w:spacing w:val="-2"/>
        </w:rPr>
        <w:t>进行检查，当存在下列迹象时，表明资产可能发生了减值，本集团将进行减值测试。对商誉和使用寿命不</w:t>
      </w:r>
      <w:r>
        <w:rPr>
          <w:spacing w:val="-50"/>
        </w:rPr>
        <w:t> </w:t>
      </w:r>
      <w:r>
        <w:rPr>
          <w:spacing w:val="-50"/>
        </w:rPr>
      </w:r>
      <w:r>
        <w:rPr>
          <w:spacing w:val="-2"/>
        </w:rPr>
        <w:t>确定的无形资产，无论是否存在减值迹象，每期末均进行减值测试。难以对单项资产的可收回金额进行测</w:t>
      </w:r>
      <w:r>
        <w:rPr>
          <w:spacing w:val="-45"/>
        </w:rPr>
        <w:t> </w:t>
      </w:r>
      <w:r>
        <w:rPr>
          <w:spacing w:val="-45"/>
        </w:rPr>
      </w:r>
      <w:r>
        <w:rPr/>
        <w:t>试的，以该资产所属的资产组或资产组组合为基础测试。</w:t>
      </w:r>
      <w:r>
        <w:rPr>
          <w:rFonts w:ascii="宋体" w:hAnsi="宋体" w:cs="宋体" w:eastAsia="宋体" w:hint="default"/>
        </w:rPr>
        <w:t> </w:t>
      </w:r>
    </w:p>
    <w:p>
      <w:pPr>
        <w:pStyle w:val="BodyText"/>
        <w:spacing w:line="408" w:lineRule="auto"/>
        <w:ind w:right="146" w:firstLine="439"/>
        <w:jc w:val="both"/>
        <w:rPr>
          <w:rFonts w:ascii="宋体" w:hAnsi="宋体" w:cs="宋体" w:eastAsia="宋体" w:hint="default"/>
        </w:rPr>
      </w:pPr>
      <w:r>
        <w:rPr>
          <w:spacing w:val="-3"/>
        </w:rPr>
        <w:t>减值测试后，若该资产的账面价值超过其可收回金额，其差额确认为减值损失，上述资产的减值损失</w:t>
      </w:r>
      <w:r>
        <w:rPr>
          <w:w w:val="100"/>
        </w:rPr>
        <w:t> </w:t>
      </w:r>
      <w:r>
        <w:rPr>
          <w:spacing w:val="-2"/>
        </w:rPr>
        <w:t>一经确认，在以后会计期间不予转回。资产的可收回金额是指资产的公允价值减去处置费用后的净额与资</w:t>
      </w:r>
      <w:r>
        <w:rPr>
          <w:spacing w:val="-43"/>
        </w:rPr>
        <w:t> </w:t>
      </w:r>
      <w:r>
        <w:rPr>
          <w:spacing w:val="-43"/>
        </w:rPr>
      </w:r>
      <w:r>
        <w:rPr/>
        <w:t>产预计未来现金流量的现值两者之间的较高者。</w:t>
      </w:r>
      <w:r>
        <w:rPr>
          <w:rFonts w:ascii="宋体" w:hAnsi="宋体" w:cs="宋体" w:eastAsia="宋体" w:hint="default"/>
        </w:rPr>
        <w:t> </w:t>
      </w:r>
    </w:p>
    <w:p>
      <w:pPr>
        <w:pStyle w:val="BodyText"/>
        <w:spacing w:line="240" w:lineRule="auto"/>
        <w:ind w:left="592" w:right="153"/>
        <w:jc w:val="left"/>
        <w:rPr>
          <w:rFonts w:ascii="宋体" w:hAnsi="宋体" w:cs="宋体" w:eastAsia="宋体" w:hint="default"/>
        </w:rPr>
      </w:pPr>
      <w:r>
        <w:rPr/>
        <w:t>出现减值的迹象如下：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92" w:right="153"/>
        <w:jc w:val="left"/>
        <w:rPr>
          <w:rFonts w:ascii="宋体" w:hAnsi="宋体" w:cs="宋体" w:eastAsia="宋体" w:hint="default"/>
        </w:rPr>
      </w:pPr>
      <w:r>
        <w:rPr/>
        <w:t>（</w:t>
      </w:r>
      <w:r>
        <w:rPr>
          <w:rFonts w:ascii="宋体" w:hAnsi="宋体" w:cs="宋体" w:eastAsia="宋体" w:hint="default"/>
        </w:rPr>
        <w:t>1</w:t>
      </w:r>
      <w:r>
        <w:rPr/>
        <w:t>）资产的市价当期大幅度下跌，其跌幅明显高于因时间的推移或者正常使用而预计的下跌；</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51" w:firstLine="439"/>
        <w:jc w:val="both"/>
        <w:rPr>
          <w:rFonts w:ascii="宋体" w:hAnsi="宋体" w:cs="宋体" w:eastAsia="宋体" w:hint="default"/>
        </w:rPr>
      </w:pPr>
      <w:r>
        <w:rPr/>
        <w:t>（</w:t>
      </w:r>
      <w:r>
        <w:rPr>
          <w:rFonts w:ascii="宋体" w:hAnsi="宋体" w:cs="宋体" w:eastAsia="宋体" w:hint="default"/>
        </w:rPr>
        <w:t>2</w:t>
      </w:r>
      <w:r>
        <w:rPr/>
        <w:t>）企业经营所处的经济、技术或者法律等环境以及资产所处的市场在当期或者将在近期发生重大</w:t>
      </w:r>
      <w:r>
        <w:rPr>
          <w:w w:val="100"/>
        </w:rPr>
        <w:t> </w:t>
      </w:r>
      <w:r>
        <w:rPr/>
        <w:t>变化，从而对企业产生不利影响；</w:t>
      </w:r>
      <w:r>
        <w:rPr>
          <w:rFonts w:ascii="宋体" w:hAnsi="宋体" w:cs="宋体" w:eastAsia="宋体" w:hint="default"/>
        </w:rPr>
        <w:t> </w:t>
      </w:r>
    </w:p>
    <w:p>
      <w:pPr>
        <w:spacing w:after="0" w:line="408" w:lineRule="auto"/>
        <w:jc w:val="both"/>
        <w:rPr>
          <w:rFonts w:ascii="宋体" w:hAnsi="宋体" w:cs="宋体" w:eastAsia="宋体" w:hint="default"/>
        </w:rPr>
        <w:sectPr>
          <w:footerReference w:type="default" r:id="rId27"/>
          <w:pgSz w:w="11910" w:h="16840"/>
          <w:pgMar w:footer="974" w:header="880" w:top="1100" w:bottom="1160" w:left="980" w:right="980"/>
          <w:pgNumType w:start="115"/>
        </w:sectPr>
      </w:pPr>
    </w:p>
    <w:p>
      <w:pPr>
        <w:spacing w:line="240" w:lineRule="auto" w:before="10"/>
        <w:rPr>
          <w:rFonts w:ascii="宋体" w:hAnsi="宋体" w:cs="宋体" w:eastAsia="宋体" w:hint="default"/>
          <w:sz w:val="26"/>
          <w:szCs w:val="26"/>
        </w:rPr>
      </w:pPr>
    </w:p>
    <w:p>
      <w:pPr>
        <w:pStyle w:val="BodyText"/>
        <w:spacing w:line="408" w:lineRule="auto" w:before="36"/>
        <w:ind w:right="151" w:firstLine="439"/>
        <w:jc w:val="both"/>
        <w:rPr>
          <w:rFonts w:ascii="宋体" w:hAnsi="宋体" w:cs="宋体" w:eastAsia="宋体" w:hint="default"/>
        </w:rPr>
      </w:pPr>
      <w:r>
        <w:rPr/>
        <w:t>（</w:t>
      </w:r>
      <w:r>
        <w:rPr>
          <w:rFonts w:ascii="宋体" w:hAnsi="宋体" w:cs="宋体" w:eastAsia="宋体" w:hint="default"/>
        </w:rPr>
        <w:t>3</w:t>
      </w:r>
      <w:r>
        <w:rPr/>
        <w:t>）市场利率或者其他市场投资报酬率在当期已经提高，从而影响企业计算资产预计未来现金流量</w:t>
      </w:r>
      <w:r>
        <w:rPr>
          <w:w w:val="100"/>
        </w:rPr>
        <w:t> </w:t>
      </w:r>
      <w:r>
        <w:rPr/>
        <w:t>现值的折现率，导致资产可收回金额大幅度降低；</w:t>
      </w:r>
      <w:r>
        <w:rPr>
          <w:rFonts w:ascii="宋体" w:hAnsi="宋体" w:cs="宋体" w:eastAsia="宋体" w:hint="default"/>
        </w:rPr>
        <w:t> </w:t>
      </w:r>
    </w:p>
    <w:p>
      <w:pPr>
        <w:pStyle w:val="BodyText"/>
        <w:spacing w:line="240" w:lineRule="auto"/>
        <w:ind w:left="592" w:right="153"/>
        <w:jc w:val="left"/>
        <w:rPr>
          <w:rFonts w:ascii="宋体" w:hAnsi="宋体" w:cs="宋体" w:eastAsia="宋体" w:hint="default"/>
        </w:rPr>
      </w:pPr>
      <w:r>
        <w:rPr/>
        <w:t>（</w:t>
      </w:r>
      <w:r>
        <w:rPr>
          <w:rFonts w:ascii="宋体" w:hAnsi="宋体" w:cs="宋体" w:eastAsia="宋体" w:hint="default"/>
        </w:rPr>
        <w:t>4</w:t>
      </w:r>
      <w:r>
        <w:rPr/>
        <w:t>）有证据表明资产已经陈旧过时或者其实体已经损坏；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92" w:right="153"/>
        <w:jc w:val="left"/>
        <w:rPr>
          <w:rFonts w:ascii="宋体" w:hAnsi="宋体" w:cs="宋体" w:eastAsia="宋体" w:hint="default"/>
        </w:rPr>
      </w:pPr>
      <w:r>
        <w:rPr/>
        <w:t>（</w:t>
      </w:r>
      <w:r>
        <w:rPr>
          <w:rFonts w:ascii="宋体" w:hAnsi="宋体" w:cs="宋体" w:eastAsia="宋体" w:hint="default"/>
        </w:rPr>
        <w:t>5</w:t>
      </w:r>
      <w:r>
        <w:rPr/>
        <w:t>）资产已经或者将被闲置、终止使用或者计划提前处置；</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151" w:firstLine="439"/>
        <w:jc w:val="both"/>
        <w:rPr>
          <w:rFonts w:ascii="宋体" w:hAnsi="宋体" w:cs="宋体" w:eastAsia="宋体" w:hint="default"/>
        </w:rPr>
      </w:pPr>
      <w:r>
        <w:rPr/>
        <w:t>（</w:t>
      </w:r>
      <w:r>
        <w:rPr>
          <w:rFonts w:ascii="宋体" w:hAnsi="宋体" w:cs="宋体" w:eastAsia="宋体" w:hint="default"/>
        </w:rPr>
        <w:t>6</w:t>
      </w:r>
      <w:r>
        <w:rPr/>
        <w:t>）企业内部报告的证据表明资产的经济绩效已经低于或者将低于预期，如资产所创造的净现金流</w:t>
      </w:r>
      <w:r>
        <w:rPr>
          <w:w w:val="100"/>
        </w:rPr>
        <w:t> </w:t>
      </w:r>
      <w:r>
        <w:rPr/>
        <w:t>量或者实现的营业利润（或者亏损）远远低于（或者高于）预计金额等；</w:t>
      </w:r>
      <w:r>
        <w:rPr>
          <w:rFonts w:ascii="宋体" w:hAnsi="宋体" w:cs="宋体" w:eastAsia="宋体" w:hint="default"/>
        </w:rPr>
        <w:t> </w:t>
      </w:r>
    </w:p>
    <w:p>
      <w:pPr>
        <w:pStyle w:val="BodyText"/>
        <w:spacing w:line="240" w:lineRule="auto"/>
        <w:ind w:right="153"/>
        <w:jc w:val="left"/>
        <w:rPr>
          <w:rFonts w:ascii="宋体" w:hAnsi="宋体" w:cs="宋体" w:eastAsia="宋体" w:hint="default"/>
        </w:rPr>
      </w:pPr>
      <w:r>
        <w:rPr>
          <w:rFonts w:ascii="宋体" w:hAnsi="宋体" w:cs="宋体" w:eastAsia="宋体" w:hint="default"/>
          <w:w w:val="100"/>
        </w:rPr>
        <w:t>    </w:t>
      </w:r>
      <w:r>
        <w:rPr/>
        <w:t>（</w:t>
      </w:r>
      <w:r>
        <w:rPr>
          <w:rFonts w:ascii="宋体" w:hAnsi="宋体" w:cs="宋体" w:eastAsia="宋体" w:hint="default"/>
        </w:rPr>
        <w:t>7</w:t>
      </w:r>
      <w:r>
        <w:rPr/>
        <w:t>）其他表明资产可能已经发生减值的迹象。</w:t>
      </w:r>
      <w:r>
        <w:rPr>
          <w:rFonts w:ascii="宋体" w:hAnsi="宋体" w:cs="宋体" w:eastAsia="宋体" w:hint="default"/>
        </w:rPr>
        <w:t> </w:t>
      </w:r>
    </w:p>
    <w:p>
      <w:pPr>
        <w:pStyle w:val="BodyText"/>
        <w:spacing w:line="670" w:lineRule="atLeast" w:before="37"/>
        <w:ind w:left="508" w:right="153" w:hanging="356"/>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1"/>
        </w:rPr>
        <w:t>本集团的长期待摊费用是指已经支出，但应由当期及以后各期承担的摊销期限在</w:t>
      </w:r>
      <w:r>
        <w:rPr>
          <w:rFonts w:ascii="宋体" w:hAnsi="宋体" w:cs="宋体" w:eastAsia="宋体" w:hint="default"/>
          <w:spacing w:val="-1"/>
        </w:rPr>
        <w:t>1</w:t>
      </w:r>
      <w:r>
        <w:rPr>
          <w:spacing w:val="-1"/>
        </w:rPr>
        <w:t>年以上（不含</w:t>
      </w:r>
      <w:r>
        <w:rPr>
          <w:rFonts w:ascii="宋体" w:hAnsi="宋体" w:cs="宋体" w:eastAsia="宋体" w:hint="default"/>
          <w:spacing w:val="-1"/>
        </w:rPr>
        <w:t>1</w:t>
      </w:r>
      <w:r>
        <w:rPr>
          <w:spacing w:val="-1"/>
        </w:rPr>
        <w:t>年）</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的费用，该等费用在受益期内平均摊销。如果长期待摊费用项目不能使以后会计期间受益，则将尚未摊销</w:t>
      </w:r>
      <w:r>
        <w:rPr>
          <w:spacing w:val="-44"/>
        </w:rPr>
        <w:t> </w:t>
      </w:r>
      <w:r>
        <w:rPr>
          <w:spacing w:val="-44"/>
        </w:rPr>
      </w:r>
      <w:r>
        <w:rPr/>
        <w:t>的该项目的摊余价值全部转入当期损益。</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21</w:t>
      </w:r>
      <w:r>
        <w:rPr/>
        <w:t>、职工薪酬</w:t>
      </w:r>
      <w:r>
        <w:rPr>
          <w:b w:val="0"/>
          <w:bCs w:val="0"/>
        </w:rPr>
      </w:r>
    </w:p>
    <w:p>
      <w:pPr>
        <w:spacing w:line="692" w:lineRule="exact" w:before="13"/>
        <w:ind w:left="508" w:right="153" w:hanging="35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1"/>
          <w:sz w:val="21"/>
          <w:szCs w:val="21"/>
        </w:rPr>
        <w:t>短期薪酬主要包括职工工资、奖金、职工福利费、医疗保险费、住房公积金等，在职工提供服务的会</w:t>
      </w:r>
    </w:p>
    <w:p>
      <w:pPr>
        <w:pStyle w:val="BodyText"/>
        <w:spacing w:line="240" w:lineRule="auto" w:before="77"/>
        <w:ind w:right="153"/>
        <w:jc w:val="left"/>
        <w:rPr>
          <w:sz w:val="22"/>
          <w:szCs w:val="22"/>
        </w:rPr>
      </w:pPr>
      <w:r>
        <w:rPr/>
        <w:t>计期间，将实际发生的短期薪酬确认为负债，并按照受益对象计入当期损益或相</w:t>
      </w:r>
      <w:r>
        <w:rPr>
          <w:sz w:val="22"/>
          <w:szCs w:val="22"/>
        </w:rPr>
        <w:t>关资产成本。</w:t>
      </w:r>
    </w:p>
    <w:p>
      <w:pPr>
        <w:spacing w:line="670" w:lineRule="atLeast" w:before="31"/>
        <w:ind w:left="594" w:right="153" w:hanging="44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离职后福利主要包括基本养老保险费、失业保险费等，按照公司承担的风险和义务，分类为设定提存</w:t>
      </w:r>
    </w:p>
    <w:p>
      <w:pPr>
        <w:spacing w:line="240" w:lineRule="auto" w:before="10"/>
        <w:rPr>
          <w:rFonts w:ascii="宋体" w:hAnsi="宋体" w:cs="宋体" w:eastAsia="宋体" w:hint="default"/>
          <w:sz w:val="14"/>
          <w:szCs w:val="14"/>
        </w:rPr>
      </w:pPr>
    </w:p>
    <w:p>
      <w:pPr>
        <w:pStyle w:val="BodyText"/>
        <w:spacing w:line="408" w:lineRule="auto" w:before="0"/>
        <w:ind w:right="146"/>
        <w:jc w:val="both"/>
        <w:rPr>
          <w:rFonts w:ascii="宋体" w:hAnsi="宋体" w:cs="宋体" w:eastAsia="宋体" w:hint="default"/>
        </w:rPr>
      </w:pPr>
      <w:r>
        <w:rPr>
          <w:spacing w:val="-2"/>
        </w:rPr>
        <w:t>计划、设定受益计划。对于设定提存计划在根据在资产负债表日为换取职工在会计期间提供的服务而向单</w:t>
      </w:r>
      <w:r>
        <w:rPr>
          <w:spacing w:val="-41"/>
        </w:rPr>
        <w:t> </w:t>
      </w:r>
      <w:r>
        <w:rPr>
          <w:spacing w:val="-41"/>
        </w:rPr>
      </w:r>
      <w:r>
        <w:rPr>
          <w:spacing w:val="-2"/>
        </w:rPr>
        <w:t>独主体缴存的提存金确认为负债，并按照受益对象计入当期损益或相关资产成本。本集团不存在设定受益</w:t>
      </w:r>
      <w:r>
        <w:rPr>
          <w:spacing w:val="-43"/>
        </w:rPr>
        <w:t> </w:t>
      </w:r>
      <w:r>
        <w:rPr>
          <w:spacing w:val="-43"/>
        </w:rPr>
      </w:r>
      <w:r>
        <w:rPr/>
        <w:t>计划。</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355"/>
        <w:jc w:val="both"/>
      </w:pPr>
      <w:r>
        <w:rPr>
          <w:spacing w:val="-1"/>
        </w:rPr>
        <w:t>如在职工劳动合同到期之前决定解除与职工的劳动关系，或为鼓励职工自愿接受裁减而提出给予补偿</w:t>
      </w:r>
      <w:r>
        <w:rPr>
          <w:w w:val="100"/>
        </w:rPr>
        <w:t> </w:t>
      </w:r>
      <w:r>
        <w:rPr>
          <w:spacing w:val="-2"/>
        </w:rPr>
        <w:t>的建议，如果本集团已经制定正式的解除劳动关系计划或提出自愿裁减建议，并即将实施，同时本公司不</w:t>
      </w:r>
      <w:r>
        <w:rPr>
          <w:spacing w:val="-44"/>
        </w:rPr>
        <w:t> </w:t>
      </w:r>
      <w:r>
        <w:rPr>
          <w:spacing w:val="-44"/>
        </w:rPr>
      </w:r>
      <w:r>
        <w:rPr>
          <w:spacing w:val="-2"/>
        </w:rPr>
        <w:t>能单方面撤回解除劳动关系计划或裁减建议的，确认因解除与职工劳动关系给予补偿产生的负债，计入当</w:t>
      </w:r>
      <w:r>
        <w:rPr>
          <w:spacing w:val="-44"/>
        </w:rPr>
        <w:t> </w:t>
      </w:r>
      <w:r>
        <w:rPr>
          <w:spacing w:val="-44"/>
        </w:rPr>
      </w:r>
      <w:r>
        <w:rPr/>
        <w:t>期损益。本集团辞退福利是由于职工内部离退休产生。</w:t>
      </w:r>
    </w:p>
    <w:p>
      <w:pPr>
        <w:spacing w:after="0" w:line="408" w:lineRule="auto"/>
        <w:jc w:val="both"/>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46" w:firstLine="439"/>
        <w:jc w:val="both"/>
      </w:pPr>
      <w:r>
        <w:rPr>
          <w:spacing w:val="-3"/>
        </w:rPr>
        <w:t>当与对外担保、商业承兑汇票贴现、未决诉讼或仲裁、产品质量保证等或有事项相关的业务同时符合</w:t>
      </w:r>
      <w:r>
        <w:rPr>
          <w:w w:val="100"/>
        </w:rPr>
        <w:t> </w:t>
      </w:r>
      <w:r>
        <w:rPr>
          <w:spacing w:val="-2"/>
        </w:rPr>
        <w:t>以下条件时，本集团将其确认为负债：该义务是本集团承担的现时义务；该义务的履行很可能导致经济利</w:t>
      </w:r>
      <w:r>
        <w:rPr>
          <w:spacing w:val="-43"/>
        </w:rPr>
        <w:t> </w:t>
      </w:r>
      <w:r>
        <w:rPr>
          <w:spacing w:val="-43"/>
        </w:rPr>
      </w:r>
      <w:r>
        <w:rPr/>
        <w:t>益流出企业；该义务的金额能够可靠地计量。</w:t>
      </w:r>
    </w:p>
    <w:p>
      <w:pPr>
        <w:pStyle w:val="BodyText"/>
        <w:spacing w:line="408" w:lineRule="auto"/>
        <w:ind w:right="146" w:firstLine="442"/>
        <w:jc w:val="both"/>
      </w:pPr>
      <w:r>
        <w:rPr>
          <w:spacing w:val="-3"/>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45"/>
        </w:rPr>
        <w:t> </w:t>
      </w:r>
      <w:r>
        <w:rPr>
          <w:spacing w:val="-45"/>
        </w:rPr>
      </w:r>
      <w:r>
        <w:rPr>
          <w:spacing w:val="-2"/>
        </w:rPr>
        <w:t>确定最佳估计数。每个资产负债表日对预计负债的账面价值进行复核，如有改变则对账面价值进行调整以</w:t>
      </w:r>
      <w:r>
        <w:rPr>
          <w:spacing w:val="-43"/>
        </w:rPr>
        <w:t> </w:t>
      </w:r>
      <w:r>
        <w:rPr>
          <w:spacing w:val="-43"/>
        </w:rPr>
      </w:r>
      <w:r>
        <w:rPr/>
        <w:t>反映当前最佳估计数。</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61" w:firstLine="439"/>
        <w:jc w:val="both"/>
        <w:rPr>
          <w:rFonts w:ascii="宋体" w:hAnsi="宋体" w:cs="宋体" w:eastAsia="宋体" w:hint="default"/>
        </w:rPr>
      </w:pPr>
      <w:r>
        <w:rPr>
          <w:spacing w:val="2"/>
        </w:rPr>
        <w:t>股份支付是指为了获取职工或其他方提供服务而授予权益工具或者承担以权益工具为基础确定的负</w:t>
      </w:r>
      <w:r>
        <w:rPr>
          <w:w w:val="100"/>
        </w:rPr>
        <w:t> </w:t>
      </w:r>
      <w:r>
        <w:rPr/>
        <w:t>债的交易。股份支付分为以权益结算的股份支付和以现金结算的股份支付。</w:t>
      </w:r>
      <w:r>
        <w:rPr>
          <w:rFonts w:ascii="宋体" w:hAnsi="宋体" w:cs="宋体" w:eastAsia="宋体" w:hint="default"/>
        </w:rPr>
        <w:t> </w:t>
      </w:r>
    </w:p>
    <w:p>
      <w:pPr>
        <w:pStyle w:val="BodyText"/>
        <w:spacing w:line="408" w:lineRule="auto"/>
        <w:ind w:right="146" w:firstLine="439"/>
        <w:jc w:val="both"/>
        <w:rPr>
          <w:rFonts w:ascii="宋体" w:hAnsi="宋体" w:cs="宋体" w:eastAsia="宋体" w:hint="default"/>
        </w:rPr>
      </w:pPr>
      <w:r>
        <w:rPr>
          <w:spacing w:val="-3"/>
        </w:rPr>
        <w:t>用以换取职工提供服务的以权益结算的股份支付，以授予职工权益工具在授予日的公允价值计量。该</w:t>
      </w:r>
      <w:r>
        <w:rPr>
          <w:w w:val="100"/>
        </w:rPr>
        <w:t> </w:t>
      </w:r>
      <w:r>
        <w:rPr>
          <w:spacing w:val="-2"/>
        </w:rPr>
        <w:t>公允价值的金额在完成等待期内的服务或达到规定业绩条件才可行权的情况下，在等待期内以对可行权权</w:t>
      </w:r>
      <w:r>
        <w:rPr>
          <w:spacing w:val="-43"/>
        </w:rPr>
        <w:t> </w:t>
      </w:r>
      <w:r>
        <w:rPr>
          <w:spacing w:val="-43"/>
        </w:rPr>
      </w:r>
      <w:r>
        <w:rPr/>
        <w:t>益工具数量的最佳估计为基础，按直线法计算计入相关成本或费用，相应增加资本公积。</w:t>
      </w:r>
      <w:r>
        <w:rPr>
          <w:rFonts w:ascii="宋体" w:hAnsi="宋体" w:cs="宋体" w:eastAsia="宋体" w:hint="default"/>
        </w:rPr>
        <w:t> </w:t>
      </w:r>
    </w:p>
    <w:p>
      <w:pPr>
        <w:pStyle w:val="BodyText"/>
        <w:spacing w:line="408" w:lineRule="auto"/>
        <w:ind w:right="146" w:firstLine="439"/>
        <w:jc w:val="both"/>
        <w:rPr>
          <w:rFonts w:ascii="宋体" w:hAnsi="宋体" w:cs="宋体" w:eastAsia="宋体" w:hint="default"/>
        </w:rPr>
      </w:pPr>
      <w:r>
        <w:rPr>
          <w:spacing w:val="2"/>
        </w:rPr>
        <w:t>以现金结算的股份支付，按照本集团承担的以股份或其他权益工具为基础确定的负债的公允价值计</w:t>
      </w:r>
      <w:r>
        <w:rPr>
          <w:w w:val="100"/>
        </w:rPr>
        <w:t> </w:t>
      </w:r>
      <w:r>
        <w:rPr>
          <w:spacing w:val="-2"/>
        </w:rPr>
        <w:t>量。如授予后立即可行权，在授予日以承担负债的公允价值计入相关成本或费用，相应增加负债；如需完</w:t>
      </w:r>
      <w:r>
        <w:rPr>
          <w:spacing w:val="-47"/>
        </w:rPr>
        <w:t> </w:t>
      </w:r>
      <w:r>
        <w:rPr>
          <w:spacing w:val="-47"/>
        </w:rPr>
      </w:r>
      <w:r>
        <w:rPr>
          <w:spacing w:val="-2"/>
        </w:rPr>
        <w:t>成等待期内的服务或达到规定业绩条件以后才可行权，在等待期的每个资产负债表日，以对可行权情况的</w:t>
      </w:r>
      <w:r>
        <w:rPr>
          <w:spacing w:val="-43"/>
        </w:rPr>
        <w:t> </w:t>
      </w:r>
      <w:r>
        <w:rPr>
          <w:spacing w:val="-43"/>
        </w:rPr>
      </w:r>
      <w:r>
        <w:rPr>
          <w:spacing w:val="-2"/>
        </w:rPr>
        <w:t>最佳估计为基础，按照本集团承担负债的公允价值金额，将当期取得的服务计入成本或费用，相应调整负</w:t>
      </w:r>
      <w:r>
        <w:rPr>
          <w:spacing w:val="-45"/>
        </w:rPr>
        <w:t> </w:t>
      </w:r>
      <w:r>
        <w:rPr>
          <w:spacing w:val="-45"/>
        </w:rPr>
      </w:r>
      <w:r>
        <w:rPr/>
        <w:t>债。</w:t>
      </w:r>
      <w:r>
        <w:rPr>
          <w:rFonts w:ascii="宋体" w:hAnsi="宋体" w:cs="宋体" w:eastAsia="宋体" w:hint="default"/>
        </w:rPr>
        <w:t> </w:t>
      </w:r>
    </w:p>
    <w:p>
      <w:pPr>
        <w:pStyle w:val="BodyText"/>
        <w:spacing w:line="410" w:lineRule="auto"/>
        <w:ind w:right="146" w:firstLine="420"/>
        <w:jc w:val="both"/>
        <w:rPr>
          <w:rFonts w:ascii="宋体" w:hAnsi="宋体" w:cs="宋体" w:eastAsia="宋体" w:hint="default"/>
        </w:rPr>
      </w:pPr>
      <w:r>
        <w:rPr>
          <w:spacing w:val="-2"/>
        </w:rPr>
        <w:t>在相关负债结算前的每个资产负债表日以及结算日，对负债的公允价值重新计量，其变动计入当期损</w:t>
      </w:r>
      <w:r>
        <w:rPr>
          <w:w w:val="100"/>
        </w:rPr>
        <w:t> </w:t>
      </w:r>
      <w:r>
        <w:rPr/>
        <w:t>益。</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3"/>
        <w:ind w:right="148" w:firstLine="439"/>
        <w:jc w:val="both"/>
        <w:rPr>
          <w:rFonts w:ascii="宋体" w:hAnsi="宋体" w:cs="宋体" w:eastAsia="宋体" w:hint="default"/>
        </w:rPr>
      </w:pPr>
      <w:r>
        <w:rPr>
          <w:spacing w:val="-3"/>
        </w:rPr>
        <w:t>本集团的营业收入主要包括信息化解决方案、软件开发收入、服务收入、销售商品收入、让渡资产使</w:t>
      </w:r>
      <w:r>
        <w:rPr>
          <w:w w:val="100"/>
        </w:rPr>
        <w:t> </w:t>
      </w:r>
      <w:r>
        <w:rPr/>
        <w:t>用权收入，收入确认原则和方法如下：</w:t>
      </w:r>
      <w:r>
        <w:rPr>
          <w:rFonts w:ascii="宋体" w:hAnsi="宋体" w:cs="宋体" w:eastAsia="宋体" w:hint="default"/>
        </w:rPr>
        <w:t> </w:t>
      </w:r>
    </w:p>
    <w:p>
      <w:pPr>
        <w:pStyle w:val="BodyText"/>
        <w:spacing w:line="408" w:lineRule="auto"/>
        <w:ind w:right="146" w:firstLine="439"/>
        <w:jc w:val="both"/>
      </w:pPr>
      <w:r>
        <w:rPr>
          <w:spacing w:val="-3"/>
        </w:rPr>
        <w:t>收入确认的原则：本集团在已将商品所有权上的主要风险和报酬转移给购货方、本集团既没有保留通</w:t>
      </w:r>
      <w:r>
        <w:rPr>
          <w:w w:val="100"/>
        </w:rPr>
        <w:t> </w:t>
      </w:r>
      <w:r>
        <w:rPr>
          <w:spacing w:val="-2"/>
        </w:rPr>
        <w:t>常与所有权相联系的继续管理权、也没有对已售出的商品实施有效控制、收入的金额能够可靠地计量、相</w:t>
      </w:r>
    </w:p>
    <w:p>
      <w:pPr>
        <w:spacing w:after="0" w:line="408" w:lineRule="auto"/>
        <w:jc w:val="both"/>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0"/>
        <w:jc w:val="left"/>
        <w:rPr>
          <w:rFonts w:ascii="宋体" w:hAnsi="宋体" w:cs="宋体" w:eastAsia="宋体" w:hint="default"/>
        </w:rPr>
      </w:pPr>
      <w:r>
        <w:rPr>
          <w:spacing w:val="-2"/>
        </w:rPr>
        <w:t>关的经济利益很可能流入企业、相关的已发生或将发生的成本能够可靠地计量时，确认销售商品收入的实</w:t>
      </w:r>
      <w:r>
        <w:rPr>
          <w:spacing w:val="-42"/>
        </w:rPr>
        <w:t> </w:t>
      </w:r>
      <w:r>
        <w:rPr>
          <w:spacing w:val="-42"/>
        </w:rPr>
      </w:r>
      <w:r>
        <w:rPr/>
        <w:t>现。</w:t>
      </w:r>
      <w:r>
        <w:rPr>
          <w:rFonts w:ascii="宋体" w:hAnsi="宋体" w:cs="宋体" w:eastAsia="宋体" w:hint="default"/>
        </w:rPr>
        <w:t> </w:t>
      </w:r>
    </w:p>
    <w:p>
      <w:pPr>
        <w:pStyle w:val="BodyText"/>
        <w:spacing w:line="240" w:lineRule="auto"/>
        <w:ind w:left="592" w:right="0"/>
        <w:jc w:val="left"/>
        <w:rPr>
          <w:rFonts w:ascii="宋体" w:hAnsi="宋体" w:cs="宋体" w:eastAsia="宋体" w:hint="default"/>
        </w:rPr>
      </w:pPr>
      <w:r>
        <w:rPr/>
        <w:t>具体确认方法如下：</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5" w:lineRule="auto" w:before="0"/>
        <w:ind w:right="206" w:firstLine="439"/>
        <w:jc w:val="both"/>
        <w:rPr>
          <w:rFonts w:ascii="宋体" w:hAnsi="宋体" w:cs="宋体" w:eastAsia="宋体" w:hint="default"/>
        </w:rPr>
      </w:pPr>
      <w:r>
        <w:rPr/>
        <w:t>（</w:t>
      </w:r>
      <w:r>
        <w:rPr>
          <w:rFonts w:ascii="宋体" w:hAnsi="宋体" w:cs="宋体" w:eastAsia="宋体" w:hint="default"/>
        </w:rPr>
        <w:t>1</w:t>
      </w:r>
      <w:r>
        <w:rPr/>
        <w:t>）信息化解决方案：本</w:t>
      </w:r>
      <w:r>
        <w:rPr>
          <w:sz w:val="22"/>
          <w:szCs w:val="22"/>
        </w:rPr>
        <w:t>集团</w:t>
      </w:r>
      <w:r>
        <w:rPr/>
        <w:t>信息化解决方案合同一般包括工艺设计、设备采购、系统集成及安装</w:t>
      </w:r>
      <w:r>
        <w:rPr>
          <w:w w:val="100"/>
        </w:rPr>
        <w:t> </w:t>
      </w:r>
      <w:r>
        <w:rPr>
          <w:spacing w:val="-2"/>
        </w:rPr>
        <w:t>调试等一系列业务。对信息化解决方案，若合同规定需经客户或其他第三方验收的，本集团在系统交付客</w:t>
      </w:r>
      <w:r>
        <w:rPr>
          <w:spacing w:val="-43"/>
        </w:rPr>
        <w:t> </w:t>
      </w:r>
      <w:r>
        <w:rPr>
          <w:spacing w:val="-43"/>
        </w:rPr>
      </w:r>
      <w:r>
        <w:rPr>
          <w:spacing w:val="-2"/>
        </w:rPr>
        <w:t>户运行并取得客户或其他第三方签署的验收文件后一次性确认收入的实现；若合同未规定需经客户或其他</w:t>
      </w:r>
      <w:r>
        <w:rPr>
          <w:spacing w:val="-43"/>
        </w:rPr>
        <w:t> </w:t>
      </w:r>
      <w:r>
        <w:rPr>
          <w:spacing w:val="-43"/>
        </w:rPr>
      </w:r>
      <w:r>
        <w:rPr/>
        <w:t>第三方验收的，本集团在项目完工并移交客户使用时确认收入的实现。</w:t>
      </w:r>
      <w:r>
        <w:rPr>
          <w:rFonts w:ascii="宋体" w:hAnsi="宋体" w:cs="宋体" w:eastAsia="宋体" w:hint="default"/>
        </w:rPr>
        <w:t> </w:t>
      </w:r>
    </w:p>
    <w:p>
      <w:pPr>
        <w:pStyle w:val="BodyText"/>
        <w:spacing w:line="403" w:lineRule="auto" w:before="49"/>
        <w:ind w:right="206" w:firstLine="439"/>
        <w:jc w:val="both"/>
        <w:rPr>
          <w:rFonts w:ascii="宋体" w:hAnsi="宋体" w:cs="宋体" w:eastAsia="宋体" w:hint="default"/>
        </w:rPr>
      </w:pPr>
      <w:r>
        <w:rPr/>
        <w:t>（</w:t>
      </w:r>
      <w:r>
        <w:rPr>
          <w:rFonts w:ascii="宋体" w:hAnsi="宋体" w:cs="宋体" w:eastAsia="宋体" w:hint="default"/>
        </w:rPr>
        <w:t>2</w:t>
      </w:r>
      <w:r>
        <w:rPr/>
        <w:t>）软件开发收入：本集团软件开发合同主要为客户定制开发的软件产品。对软件开发收入，若合</w:t>
      </w:r>
      <w:r>
        <w:rPr>
          <w:w w:val="100"/>
        </w:rPr>
        <w:t> </w:t>
      </w:r>
      <w:r>
        <w:rPr>
          <w:spacing w:val="-3"/>
        </w:rPr>
        <w:t>同规定需经客户验收的，本</w:t>
      </w:r>
      <w:r>
        <w:rPr>
          <w:spacing w:val="-3"/>
          <w:sz w:val="22"/>
          <w:szCs w:val="22"/>
        </w:rPr>
        <w:t>集团</w:t>
      </w:r>
      <w:r>
        <w:rPr>
          <w:spacing w:val="-3"/>
        </w:rPr>
        <w:t>在软件交付客户运行并取得客户或第三方签署的验收文件后一次性确认收</w:t>
      </w:r>
      <w:r>
        <w:rPr>
          <w:spacing w:val="-15"/>
        </w:rPr>
        <w:t> </w:t>
      </w:r>
      <w:r>
        <w:rPr>
          <w:spacing w:val="-15"/>
        </w:rPr>
      </w:r>
      <w:r>
        <w:rPr>
          <w:spacing w:val="-2"/>
        </w:rPr>
        <w:t>入的实现；若合同未规定需经客户或其他第三方验收的，本集团在项目完成并将开发的软件移交客户后确</w:t>
      </w:r>
      <w:r>
        <w:rPr>
          <w:spacing w:val="-42"/>
        </w:rPr>
        <w:t> </w:t>
      </w:r>
      <w:r>
        <w:rPr>
          <w:spacing w:val="-42"/>
        </w:rPr>
      </w:r>
      <w:r>
        <w:rPr/>
        <w:t>认收入的实现。</w:t>
      </w:r>
      <w:r>
        <w:rPr>
          <w:rFonts w:ascii="宋体" w:hAnsi="宋体" w:cs="宋体" w:eastAsia="宋体" w:hint="default"/>
        </w:rPr>
        <w:t> </w:t>
      </w:r>
    </w:p>
    <w:p>
      <w:pPr>
        <w:pStyle w:val="BodyText"/>
        <w:spacing w:line="403" w:lineRule="auto" w:before="50"/>
        <w:ind w:right="206" w:firstLine="439"/>
        <w:jc w:val="both"/>
        <w:rPr>
          <w:rFonts w:ascii="宋体" w:hAnsi="宋体" w:cs="宋体" w:eastAsia="宋体" w:hint="default"/>
        </w:rPr>
      </w:pPr>
      <w:r>
        <w:rPr/>
        <w:t>（</w:t>
      </w:r>
      <w:r>
        <w:rPr>
          <w:rFonts w:ascii="宋体" w:hAnsi="宋体" w:cs="宋体" w:eastAsia="宋体" w:hint="default"/>
        </w:rPr>
        <w:t>3</w:t>
      </w:r>
      <w:r>
        <w:rPr/>
        <w:t>）服务收入：服务收入主要分为烟草信息化服务业务和会议服务业务两类，包括系统的日常维护</w:t>
      </w:r>
      <w:r>
        <w:rPr>
          <w:w w:val="100"/>
        </w:rPr>
        <w:t> </w:t>
      </w:r>
      <w:r>
        <w:rPr>
          <w:spacing w:val="-2"/>
        </w:rPr>
        <w:t>保养、技术支持、系统升级等，还包括公司会议设备的租赁服务等。对服务收入，针对烟草客户信息化服</w:t>
      </w:r>
      <w:r>
        <w:rPr>
          <w:spacing w:val="-43"/>
        </w:rPr>
        <w:t> </w:t>
      </w:r>
      <w:r>
        <w:rPr>
          <w:spacing w:val="-43"/>
        </w:rPr>
      </w:r>
      <w:r>
        <w:rPr>
          <w:spacing w:val="-3"/>
        </w:rPr>
        <w:t>务业务，本集团在服务完成且取得客户签署的验收文件时一次性确认收入；针对会议服务项目，本</w:t>
      </w:r>
      <w:r>
        <w:rPr>
          <w:spacing w:val="-3"/>
          <w:sz w:val="22"/>
          <w:szCs w:val="22"/>
        </w:rPr>
        <w:t>集团</w:t>
      </w:r>
      <w:r>
        <w:rPr>
          <w:spacing w:val="-3"/>
        </w:rPr>
        <w:t>在</w:t>
      </w:r>
      <w:r>
        <w:rPr>
          <w:spacing w:val="-16"/>
        </w:rPr>
        <w:t> </w:t>
      </w:r>
      <w:r>
        <w:rPr>
          <w:spacing w:val="-16"/>
        </w:rPr>
      </w:r>
      <w:r>
        <w:rPr/>
        <w:t>会议服务完成且成果获得客户确认时一次性确认收入。</w:t>
      </w:r>
      <w:r>
        <w:rPr>
          <w:rFonts w:ascii="宋体" w:hAnsi="宋体" w:cs="宋体" w:eastAsia="宋体" w:hint="default"/>
        </w:rPr>
        <w:t> </w:t>
      </w:r>
    </w:p>
    <w:p>
      <w:pPr>
        <w:pStyle w:val="BodyText"/>
        <w:spacing w:line="408" w:lineRule="auto" w:before="50"/>
        <w:ind w:right="206" w:firstLine="439"/>
        <w:jc w:val="both"/>
        <w:rPr>
          <w:rFonts w:ascii="宋体" w:hAnsi="宋体" w:cs="宋体" w:eastAsia="宋体" w:hint="default"/>
        </w:rPr>
      </w:pPr>
      <w:r>
        <w:rPr/>
        <w:t>（</w:t>
      </w:r>
      <w:r>
        <w:rPr>
          <w:rFonts w:ascii="宋体" w:hAnsi="宋体" w:cs="宋体" w:eastAsia="宋体" w:hint="default"/>
        </w:rPr>
        <w:t>4</w:t>
      </w:r>
      <w:r>
        <w:rPr/>
        <w:t>）销售商品收入：本集团对客户销售商品可分为两类，一类为纯粹的商品销售（主要是信息化硬</w:t>
      </w:r>
      <w:r>
        <w:rPr>
          <w:w w:val="100"/>
        </w:rPr>
        <w:t> </w:t>
      </w:r>
      <w:r>
        <w:rPr>
          <w:spacing w:val="-2"/>
        </w:rPr>
        <w:t>件产品），本集团在商品交付客户验收后确认销售商品收入的实现；一类对信息化解决方案项目中包括的</w:t>
      </w:r>
      <w:r>
        <w:rPr>
          <w:spacing w:val="-44"/>
        </w:rPr>
        <w:t> </w:t>
      </w:r>
      <w:r>
        <w:rPr>
          <w:spacing w:val="-44"/>
        </w:rPr>
      </w:r>
      <w:r>
        <w:rPr>
          <w:spacing w:val="-2"/>
        </w:rPr>
        <w:t>商品销售，本集团将其作为信息化解决方案项目一体，在信息化解决方案项目达到收入确认条件时，确认</w:t>
      </w:r>
      <w:r>
        <w:rPr>
          <w:spacing w:val="-43"/>
        </w:rPr>
        <w:t> </w:t>
      </w:r>
      <w:r>
        <w:rPr>
          <w:spacing w:val="-43"/>
        </w:rPr>
      </w:r>
      <w:r>
        <w:rPr/>
        <w:t>收入的实现。</w:t>
      </w:r>
      <w:r>
        <w:rPr>
          <w:rFonts w:ascii="宋体" w:hAnsi="宋体" w:cs="宋体" w:eastAsia="宋体" w:hint="default"/>
        </w:rPr>
        <w:t> </w:t>
      </w:r>
    </w:p>
    <w:p>
      <w:pPr>
        <w:pStyle w:val="BodyText"/>
        <w:spacing w:line="403" w:lineRule="auto"/>
        <w:ind w:right="206" w:firstLine="439"/>
        <w:jc w:val="left"/>
        <w:rPr>
          <w:rFonts w:ascii="宋体" w:hAnsi="宋体" w:cs="宋体" w:eastAsia="宋体" w:hint="default"/>
        </w:rPr>
      </w:pPr>
      <w:r>
        <w:rPr/>
        <w:t>（</w:t>
      </w:r>
      <w:r>
        <w:rPr>
          <w:rFonts w:ascii="宋体" w:hAnsi="宋体" w:cs="宋体" w:eastAsia="宋体" w:hint="default"/>
        </w:rPr>
        <w:t>5</w:t>
      </w:r>
      <w:r>
        <w:rPr/>
        <w:t>）让渡资产使用权收入：与交易相关的经济利益很可能流入本集团、收入的金额能够可靠地计量</w:t>
      </w:r>
      <w:r>
        <w:rPr>
          <w:w w:val="100"/>
        </w:rPr>
        <w:t> </w:t>
      </w:r>
      <w:r>
        <w:rPr>
          <w:spacing w:val="-3"/>
        </w:rPr>
        <w:t>时，确认让渡资产使用权收入的实现。本</w:t>
      </w:r>
      <w:r>
        <w:rPr>
          <w:spacing w:val="-3"/>
          <w:sz w:val="22"/>
          <w:szCs w:val="22"/>
        </w:rPr>
        <w:t>集团</w:t>
      </w:r>
      <w:r>
        <w:rPr>
          <w:spacing w:val="-3"/>
        </w:rPr>
        <w:t>让渡资产使用权收入以房租收入为主，本集团对经营租赁中</w:t>
      </w:r>
      <w:r>
        <w:rPr>
          <w:spacing w:val="-17"/>
        </w:rPr>
        <w:t> </w:t>
      </w:r>
      <w:r>
        <w:rPr>
          <w:spacing w:val="-17"/>
        </w:rPr>
      </w:r>
      <w:r>
        <w:rPr/>
        <w:t>的租金在租赁期内各个期间按照直线法（按月）确认收入。</w:t>
      </w:r>
      <w:r>
        <w:rPr>
          <w:rFonts w:ascii="宋体" w:hAnsi="宋体" w:cs="宋体" w:eastAsia="宋体" w:hint="default"/>
          <w:w w:val="100"/>
        </w:rPr>
        <w:t> </w:t>
      </w:r>
      <w:r>
        <w:rPr/>
        <w:t>本集团没有采用完工百分比法进行收入确认。</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692" w:lineRule="exact" w:before="13"/>
        <w:ind w:left="616" w:right="0" w:hanging="46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与资产相关的政府补助，是指本集团取得的、用于购建或以其他方式形成长期资产的政府补助；与收</w:t>
      </w:r>
    </w:p>
    <w:p>
      <w:pPr>
        <w:pStyle w:val="BodyText"/>
        <w:spacing w:line="408" w:lineRule="auto" w:before="84"/>
        <w:ind w:right="0"/>
        <w:jc w:val="left"/>
        <w:rPr>
          <w:rFonts w:ascii="宋体" w:hAnsi="宋体" w:cs="宋体" w:eastAsia="宋体" w:hint="default"/>
        </w:rPr>
      </w:pPr>
      <w:r>
        <w:rPr>
          <w:spacing w:val="-5"/>
        </w:rPr>
        <w:t>益相关的政府补助，是指除与资产相关的政府补助之外的政府补助。如果政府文件中未明确规定补助对象， </w:t>
      </w:r>
      <w:r>
        <w:rPr/>
        <w:t>本集团按照上述区分原则进行判断，难以区分的，整体归类为与收益相关的政府补助。</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46" w:firstLine="420"/>
        <w:jc w:val="both"/>
        <w:rPr>
          <w:rFonts w:ascii="宋体" w:hAnsi="宋体" w:cs="宋体" w:eastAsia="宋体" w:hint="default"/>
        </w:rPr>
      </w:pPr>
      <w:r>
        <w:rPr>
          <w:spacing w:val="-2"/>
        </w:rPr>
        <w:t>政府补助为货币性资产的，按照实际收到的金额计量，对于按照固定的定额标准拨付的补助，或对年</w:t>
      </w:r>
      <w:r>
        <w:rPr>
          <w:w w:val="100"/>
        </w:rPr>
        <w:t> </w:t>
      </w:r>
      <w:r>
        <w:rPr>
          <w:spacing w:val="-2"/>
        </w:rPr>
        <w:t>末有确凿证据表明能够符合财政扶持政策规定的相关条件且预计能够收到财政扶持资金时，按照应收的金</w:t>
      </w:r>
      <w:r>
        <w:rPr>
          <w:spacing w:val="-43"/>
        </w:rPr>
        <w:t> </w:t>
      </w:r>
      <w:r>
        <w:rPr>
          <w:spacing w:val="-43"/>
        </w:rPr>
      </w:r>
      <w:r>
        <w:rPr/>
        <w:t>额计量；政府补助为非货币性资产的，按照公允价值计量，公允价值不能可靠取得的，按照名义金额（</w:t>
      </w:r>
      <w:r>
        <w:rPr>
          <w:rFonts w:ascii="宋体" w:hAnsi="宋体" w:cs="宋体" w:eastAsia="宋体" w:hint="default"/>
        </w:rPr>
        <w:t>1</w:t>
      </w:r>
      <w:r>
        <w:rPr>
          <w:rFonts w:ascii="宋体" w:hAnsi="宋体" w:cs="宋体" w:eastAsia="宋体" w:hint="default"/>
          <w:spacing w:val="-20"/>
        </w:rPr>
        <w:t> </w:t>
      </w:r>
      <w:r>
        <w:rPr/>
        <w:t>元）计量。</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408" w:lineRule="auto"/>
        <w:ind w:left="573" w:right="153"/>
        <w:jc w:val="left"/>
      </w:pPr>
      <w:r>
        <w:rPr/>
        <w:t>与资产相关的政府补助确认为递延收益，并在相关资产使用寿命内平均分配计入当期损益。</w:t>
      </w:r>
      <w:r>
        <w:rPr>
          <w:rFonts w:ascii="宋体" w:hAnsi="宋体" w:cs="宋体" w:eastAsia="宋体" w:hint="default"/>
          <w:w w:val="100"/>
        </w:rPr>
        <w:t> </w:t>
      </w:r>
      <w:r>
        <w:rPr>
          <w:spacing w:val="-2"/>
        </w:rPr>
        <w:t>相关资产在使用寿命结束前被出售、转让、报废或发生毁损的，将尚未分配的相关递延收益余额转入</w:t>
      </w:r>
    </w:p>
    <w:p>
      <w:pPr>
        <w:pStyle w:val="BodyText"/>
        <w:spacing w:line="240" w:lineRule="auto"/>
        <w:ind w:right="153"/>
        <w:jc w:val="left"/>
        <w:rPr>
          <w:rFonts w:ascii="宋体" w:hAnsi="宋体" w:cs="宋体" w:eastAsia="宋体" w:hint="default"/>
        </w:rPr>
      </w:pPr>
      <w:r>
        <w:rPr/>
        <w:t>资产处置当期的损益。</w:t>
      </w:r>
      <w:r>
        <w:rPr>
          <w:rFonts w:ascii="宋体" w:hAnsi="宋体" w:cs="宋体" w:eastAsia="宋体" w:hint="default"/>
        </w:rPr>
        <w:t> </w:t>
      </w:r>
    </w:p>
    <w:p>
      <w:pPr>
        <w:spacing w:line="670" w:lineRule="atLeast" w:before="37"/>
        <w:ind w:left="616" w:right="153" w:hanging="46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与收益相关的政府补助，用于补偿以后期间的相关费用或损失的，确认为递延收益，并在确认相关费</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用的期间计入当期损益；用于补偿已发生的相关费用或损失的，直接计入当期损益。与日常活动相关的政</w:t>
      </w:r>
      <w:r>
        <w:rPr>
          <w:spacing w:val="-42"/>
        </w:rPr>
        <w:t> </w:t>
      </w:r>
      <w:r>
        <w:rPr>
          <w:spacing w:val="-42"/>
        </w:rPr>
      </w:r>
      <w:r>
        <w:rPr/>
        <w:t>府补助，按照经济业务实质，计入其他收益。与日常活动无关的政府补助，计入营业外收支。</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6" w:firstLine="439"/>
        <w:jc w:val="both"/>
        <w:rPr>
          <w:rFonts w:ascii="宋体" w:hAnsi="宋体" w:cs="宋体" w:eastAsia="宋体" w:hint="default"/>
        </w:rPr>
      </w:pPr>
      <w:r>
        <w:rPr/>
        <w:t>本集团递延所得税资产和递延所得税负债根据资产和负债的计税基础与其账面价值的差额</w:t>
      </w:r>
      <w:r>
        <w:rPr>
          <w:rFonts w:ascii="宋体" w:hAnsi="宋体" w:cs="宋体" w:eastAsia="宋体" w:hint="default"/>
        </w:rPr>
        <w:t>(</w:t>
      </w:r>
      <w:r>
        <w:rPr/>
        <w:t>暂时性差</w:t>
      </w:r>
      <w:r>
        <w:rPr>
          <w:w w:val="100"/>
        </w:rPr>
        <w:t> </w:t>
      </w:r>
      <w:r>
        <w:rPr/>
        <w:t>异</w:t>
      </w:r>
      <w:r>
        <w:rPr>
          <w:rFonts w:ascii="宋体" w:hAnsi="宋体" w:cs="宋体" w:eastAsia="宋体" w:hint="default"/>
        </w:rPr>
        <w:t>)</w:t>
      </w:r>
      <w:r>
        <w:rPr/>
        <w:t>计算确认。对于按照税法规定能够于以后年度抵减应纳税所得额的可抵扣亏损和税款抵减，视同暂时</w:t>
      </w:r>
      <w:r>
        <w:rPr>
          <w:spacing w:val="-25"/>
        </w:rPr>
        <w:t> </w:t>
      </w:r>
      <w:r>
        <w:rPr>
          <w:spacing w:val="-25"/>
        </w:rPr>
      </w:r>
      <w:r>
        <w:rPr>
          <w:spacing w:val="-2"/>
        </w:rPr>
        <w:t>性差异确认相应的递延所得税资产。于资产负债表日，递延所得税资产和递延所得税负债，按照预期收回</w:t>
      </w:r>
      <w:r>
        <w:rPr>
          <w:spacing w:val="-44"/>
        </w:rPr>
        <w:t> </w:t>
      </w:r>
      <w:r>
        <w:rPr>
          <w:spacing w:val="-44"/>
        </w:rPr>
      </w:r>
      <w:r>
        <w:rPr/>
        <w:t>该资产或清偿该负债期间的适用税率计量。</w:t>
      </w:r>
      <w:r>
        <w:rPr>
          <w:rFonts w:ascii="宋体" w:hAnsi="宋体" w:cs="宋体" w:eastAsia="宋体" w:hint="default"/>
        </w:rPr>
        <w:t> </w:t>
      </w:r>
    </w:p>
    <w:p>
      <w:pPr>
        <w:pStyle w:val="BodyText"/>
        <w:spacing w:line="408" w:lineRule="auto"/>
        <w:ind w:right="146"/>
        <w:jc w:val="both"/>
        <w:rPr>
          <w:rFonts w:ascii="宋体" w:hAnsi="宋体" w:cs="宋体" w:eastAsia="宋体" w:hint="default"/>
        </w:rPr>
      </w:pPr>
      <w:r>
        <w:rPr>
          <w:rFonts w:ascii="宋体" w:hAnsi="宋体" w:cs="宋体" w:eastAsia="宋体" w:hint="default"/>
          <w:w w:val="100"/>
        </w:rPr>
        <w:t>    </w:t>
      </w:r>
      <w:r>
        <w:rPr>
          <w:spacing w:val="-2"/>
        </w:rPr>
        <w:t>本集团以很可能取得用来抵扣可抵扣暂时性差异的应纳税所得额为限，确认由可抵扣暂时性差异产生</w:t>
      </w:r>
      <w:r>
        <w:rPr>
          <w:w w:val="100"/>
        </w:rPr>
        <w:t> </w:t>
      </w:r>
      <w:r>
        <w:rPr>
          <w:spacing w:val="-2"/>
        </w:rPr>
        <w:t>的递延所得税资产。对已确认的递延所得税资产，当预计到未来期间很可能无法获得足够的应纳税所得额</w:t>
      </w:r>
      <w:r>
        <w:rPr>
          <w:spacing w:val="-42"/>
        </w:rPr>
        <w:t> </w:t>
      </w:r>
      <w:r>
        <w:rPr>
          <w:spacing w:val="-42"/>
        </w:rPr>
      </w:r>
      <w:r>
        <w:rPr>
          <w:spacing w:val="-2"/>
        </w:rPr>
        <w:t>用以抵扣递延所得税资产时，减记递延所得税资产的账面价值。在很可能获得足够的应纳税所得额时，减</w:t>
      </w:r>
      <w:r>
        <w:rPr>
          <w:spacing w:val="-42"/>
        </w:rPr>
        <w:t> </w:t>
      </w:r>
      <w:r>
        <w:rPr>
          <w:spacing w:val="-42"/>
        </w:rPr>
      </w:r>
      <w:r>
        <w:rPr/>
        <w:t>记的金额予以转回。</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27</w:t>
      </w:r>
      <w:r>
        <w:rPr/>
        <w:t>、租赁</w:t>
      </w:r>
      <w:r>
        <w:rPr>
          <w:b w:val="0"/>
          <w:bCs w:val="0"/>
        </w:rPr>
      </w:r>
    </w:p>
    <w:p>
      <w:pPr>
        <w:spacing w:line="688" w:lineRule="exact" w:before="18"/>
        <w:ind w:left="592" w:right="153" w:hanging="44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经营租赁是指除融资租赁以外的其他租赁。本集团作为承租方的租金在租赁期内的各个期间按直线法</w:t>
      </w:r>
    </w:p>
    <w:p>
      <w:pPr>
        <w:pStyle w:val="BodyText"/>
        <w:spacing w:line="240" w:lineRule="auto" w:before="85"/>
        <w:ind w:right="153"/>
        <w:jc w:val="left"/>
        <w:rPr>
          <w:rFonts w:ascii="宋体" w:hAnsi="宋体" w:cs="宋体" w:eastAsia="宋体" w:hint="default"/>
        </w:rPr>
      </w:pPr>
      <w:r>
        <w:rPr/>
        <w:t>计入相关资产成本或当期损益，本集团作为出租方的租金在租赁期内的各个期间按直线法确认为收入。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r>
        <w:rPr/>
        <w:pict>
          <v:group style="position:absolute;margin-left:216.529999pt;margin-top:586.779968pt;width:159.050pt;height:140.4pt;mso-position-horizontal-relative:page;mso-position-vertical-relative:page;z-index:-725704" coordorigin="4331,11736" coordsize="3181,2808">
            <v:shape style="position:absolute;left:4331;top:11736;width:3181;height:2808" coordorigin="4331,11736" coordsize="3181,2808" path="m4331,14544l7511,14544,7511,11736,4331,11736,4331,14544xe" filled="true" fillcolor="#ffffff" stroked="false">
              <v:path arrowok="t"/>
              <v:fill type="solid"/>
            </v:shape>
            <w10:wrap type="none"/>
          </v:group>
        </w:pict>
      </w: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5" w:firstLine="463"/>
        <w:jc w:val="both"/>
        <w:rPr>
          <w:rFonts w:ascii="宋体" w:hAnsi="宋体" w:cs="宋体" w:eastAsia="宋体" w:hint="default"/>
        </w:rPr>
      </w:pPr>
      <w:r>
        <w:rPr>
          <w:spacing w:val="-3"/>
        </w:rPr>
        <w:t>融资租赁是指实质上转移了与资产所有权有关的全部风险和报酬的租赁。本集团作为承租方时，在租</w:t>
      </w:r>
      <w:r>
        <w:rPr>
          <w:w w:val="100"/>
        </w:rPr>
        <w:t> </w:t>
      </w:r>
      <w:r>
        <w:rPr>
          <w:spacing w:val="-2"/>
        </w:rPr>
        <w:t>赁开始日，按租赁开始日租赁资产的公允价值与最低租赁付款额的现值两者中较低者，作为融资租入固定</w:t>
      </w:r>
      <w:r>
        <w:rPr>
          <w:spacing w:val="-42"/>
        </w:rPr>
        <w:t> </w:t>
      </w:r>
      <w:r>
        <w:rPr>
          <w:spacing w:val="-42"/>
        </w:rPr>
      </w:r>
      <w:r>
        <w:rPr>
          <w:spacing w:val="-2"/>
        </w:rPr>
        <w:t>资产的入账价值，将最低租赁付款额作为长期应付款的入账价值，将两者的差额记录为未确认融资费用。</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208" w:firstLine="442"/>
        <w:jc w:val="both"/>
        <w:rPr>
          <w:rFonts w:ascii="宋体" w:hAnsi="宋体" w:cs="宋体" w:eastAsia="宋体" w:hint="default"/>
        </w:rPr>
      </w:pPr>
      <w:r>
        <w:rPr>
          <w:spacing w:val="-3"/>
        </w:rPr>
        <w:t>终止经营，是指本集团满足下列条件之一的、能够单独区分的组成部分，且该组成部分已经处置或划</w:t>
      </w:r>
      <w:r>
        <w:rPr>
          <w:w w:val="100"/>
        </w:rPr>
        <w:t> </w:t>
      </w:r>
      <w:r>
        <w:rPr>
          <w:spacing w:val="-2"/>
        </w:rPr>
        <w:t>分为持有待售类别：（</w:t>
      </w:r>
      <w:r>
        <w:rPr>
          <w:rFonts w:ascii="宋体" w:hAnsi="宋体" w:cs="宋体" w:eastAsia="宋体" w:hint="default"/>
          <w:spacing w:val="-2"/>
        </w:rPr>
        <w:t>1</w:t>
      </w:r>
      <w:r>
        <w:rPr>
          <w:spacing w:val="-2"/>
        </w:rPr>
        <w:t>）该组成部分代表一项独立的主要业务或一个单独的主要经营地区；（</w:t>
      </w:r>
      <w:r>
        <w:rPr>
          <w:rFonts w:ascii="宋体" w:hAnsi="宋体" w:cs="宋体" w:eastAsia="宋体" w:hint="default"/>
          <w:spacing w:val="-2"/>
        </w:rPr>
        <w:t>2</w:t>
      </w:r>
      <w:r>
        <w:rPr>
          <w:spacing w:val="-2"/>
        </w:rPr>
        <w:t>）该组成</w:t>
      </w:r>
      <w:r>
        <w:rPr>
          <w:spacing w:val="-42"/>
        </w:rPr>
        <w:t> </w:t>
      </w:r>
      <w:r>
        <w:rPr>
          <w:spacing w:val="-42"/>
        </w:rPr>
      </w:r>
      <w:r>
        <w:rPr/>
        <w:t>部分是拟对一项独立的主要业务或一个单独的主要经营地区进行处置的一项相关联计划的一部分；（</w:t>
      </w:r>
      <w:r>
        <w:rPr>
          <w:rFonts w:ascii="宋体" w:hAnsi="宋体" w:cs="宋体" w:eastAsia="宋体" w:hint="default"/>
        </w:rPr>
        <w:t>3</w:t>
      </w:r>
      <w:r>
        <w:rPr/>
        <w:t>）</w:t>
      </w:r>
      <w:r>
        <w:rPr>
          <w:spacing w:val="-20"/>
        </w:rPr>
        <w:t> </w:t>
      </w:r>
      <w:r>
        <w:rPr/>
        <w:t>该组成部分是专为转售而取得的子公司。</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group style="position:absolute;margin-left:216.529999pt;margin-top:37.661732pt;width:159.050pt;height:140.4pt;mso-position-horizontal-relative:page;mso-position-vertical-relative:paragraph;z-index:-725728" coordorigin="4331,753" coordsize="3181,2808">
            <v:shape style="position:absolute;left:4331;top:753;width:3181;height:2808" coordorigin="4331,753" coordsize="3181,2808" path="m4331,3561l7511,3561,7511,753,4331,753,4331,3561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02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布的修订</w:t>
            </w:r>
            <w:r>
              <w:rPr>
                <w:rFonts w:ascii="宋体" w:hAnsi="宋体" w:cs="宋体" w:eastAsia="宋体" w:hint="default"/>
                <w:spacing w:val="-75"/>
                <w:sz w:val="18"/>
                <w:szCs w:val="18"/>
              </w:rPr>
              <w:t>的</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补助</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准则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w:t>
            </w:r>
            <w:r>
              <w:rPr>
                <w:rFonts w:ascii="Times New Roman" w:hAnsi="Times New Roman" w:cs="Times New Roman" w:eastAsia="Times New Roman" w:hint="default"/>
                <w:w w:val="100"/>
                <w:sz w:val="18"/>
                <w:szCs w:val="18"/>
              </w:rPr>
              <w:t>”</w:t>
            </w:r>
          </w:p>
          <w:p>
            <w:pPr>
              <w:pStyle w:val="TableParagraph"/>
              <w:spacing w:line="309" w:lineRule="auto" w:before="63"/>
              <w:ind w:left="24"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的规定，对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 补助进行了重新梳理。与企业日常活动 相关的政府补助应当按照经济业务实 质，计入其他收益；与企业日常活动无 关的政府补助，计入营业外收支；企业 应当在</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 </w:t>
            </w:r>
            <w:r>
              <w:rPr>
                <w:rFonts w:ascii="宋体" w:hAnsi="宋体" w:cs="宋体" w:eastAsia="宋体" w:hint="default"/>
                <w:spacing w:val="-5"/>
                <w:w w:val="100"/>
                <w:sz w:val="18"/>
                <w:szCs w:val="18"/>
              </w:rPr>
              <w:t>上单独列表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其他收益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项目，反映计入其</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他收益的政府补助。本集团根据准则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307" w:lineRule="auto" w:before="5"/>
              <w:ind w:left="24" w:right="20"/>
              <w:jc w:val="left"/>
              <w:rPr>
                <w:rFonts w:ascii="宋体" w:hAnsi="宋体" w:cs="宋体" w:eastAsia="宋体" w:hint="default"/>
                <w:sz w:val="18"/>
                <w:szCs w:val="18"/>
              </w:rPr>
            </w:pP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2017</w:t>
            </w:r>
            <w:r>
              <w:rPr>
                <w:rFonts w:ascii="宋体" w:hAnsi="宋体" w:cs="宋体" w:eastAsia="宋体" w:hint="default"/>
                <w:spacing w:val="-11"/>
                <w:sz w:val="18"/>
                <w:szCs w:val="18"/>
              </w:rPr>
              <w:t>），对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w:t>
            </w:r>
            <w:r>
              <w:rPr>
                <w:rFonts w:ascii="宋体" w:hAnsi="宋体" w:cs="宋体" w:eastAsia="宋体" w:hint="default"/>
                <w:spacing w:val="-88"/>
                <w:sz w:val="18"/>
                <w:szCs w:val="18"/>
              </w:rPr>
              <w:t> </w:t>
            </w:r>
            <w:r>
              <w:rPr>
                <w:rFonts w:ascii="宋体" w:hAnsi="宋体" w:cs="宋体" w:eastAsia="宋体" w:hint="default"/>
                <w:sz w:val="18"/>
                <w:szCs w:val="18"/>
              </w:rPr>
              <w:t>政府补助进行了重新梳理。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日之后区分对与公司日常活动相关的 政府补助等，由原计入营业外收入改为 计入其他收益或冲减借款费用。对与公 司日常活动无关的政府补助，仍计入营 业外收入。根据准则</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2017</w:t>
            </w:r>
            <w:r>
              <w:rPr>
                <w:rFonts w:ascii="宋体" w:hAnsi="宋体" w:cs="宋体" w:eastAsia="宋体" w:hint="default"/>
                <w:sz w:val="18"/>
                <w:szCs w:val="18"/>
              </w:rPr>
              <w:t>）的规 定，上述变更采用未来适用法。</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2" w:lineRule="auto"/>
              <w:ind w:left="23" w:right="22"/>
              <w:jc w:val="left"/>
              <w:rPr>
                <w:rFonts w:ascii="宋体" w:hAnsi="宋体" w:cs="宋体" w:eastAsia="宋体" w:hint="default"/>
                <w:sz w:val="18"/>
                <w:szCs w:val="18"/>
              </w:rPr>
            </w:pPr>
            <w:r>
              <w:rPr>
                <w:rFonts w:ascii="宋体" w:hAnsi="宋体" w:cs="宋体" w:eastAsia="宋体" w:hint="default"/>
                <w:sz w:val="18"/>
                <w:szCs w:val="18"/>
              </w:rPr>
              <w:t>上述会计政策变更已经董事会审批，对 公司财务报表无实质性影响，不会对公 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年度的财务状况、经营成果和现 金流量产生影响。</w:t>
            </w:r>
          </w:p>
        </w:tc>
      </w:tr>
      <w:tr>
        <w:trPr>
          <w:trHeight w:val="6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本公司根据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日财政部发 布的《关于修订印发一般企业财务报表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上述会计政策变更已经董事会审批，对 公司财务报表无实质性影响，不会对公</w:t>
            </w:r>
          </w:p>
        </w:tc>
      </w:tr>
    </w:tbl>
    <w:p>
      <w:pPr>
        <w:spacing w:after="0" w:line="316" w:lineRule="auto"/>
        <w:jc w:val="left"/>
        <w:rPr>
          <w:rFonts w:ascii="宋体" w:hAnsi="宋体" w:cs="宋体" w:eastAsia="宋体" w:hint="default"/>
          <w:sz w:val="18"/>
          <w:szCs w:val="18"/>
        </w:rPr>
        <w:sectPr>
          <w:footerReference w:type="default" r:id="rId28"/>
          <w:pgSz w:w="11910" w:h="16840"/>
          <w:pgMar w:footer="974" w:header="880" w:top="1100" w:bottom="1160" w:left="980" w:right="920"/>
          <w:pgNumType w:start="12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72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4" w:right="21"/>
              <w:jc w:val="left"/>
              <w:rPr>
                <w:rFonts w:ascii="宋体" w:hAnsi="宋体" w:cs="宋体" w:eastAsia="宋体" w:hint="default"/>
                <w:sz w:val="18"/>
                <w:szCs w:val="18"/>
              </w:rPr>
            </w:pP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号），以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及会计司发布的《关于一般企业财务报 </w:t>
            </w:r>
            <w:r>
              <w:rPr>
                <w:rFonts w:ascii="宋体" w:hAnsi="宋体" w:cs="宋体" w:eastAsia="宋体" w:hint="default"/>
                <w:spacing w:val="-6"/>
                <w:sz w:val="18"/>
                <w:szCs w:val="18"/>
              </w:rPr>
              <w:t>表格式有关问题的解读》，本公司财务报</w:t>
            </w:r>
            <w:r>
              <w:rPr>
                <w:rFonts w:ascii="宋体" w:hAnsi="宋体" w:cs="宋体" w:eastAsia="宋体" w:hint="default"/>
                <w:sz w:val="18"/>
                <w:szCs w:val="18"/>
              </w:rPr>
              <w:t> 表中资产负债表新增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w:t>
            </w:r>
            <w:r>
              <w:rPr>
                <w:rFonts w:ascii="宋体" w:hAnsi="宋体" w:cs="宋体" w:eastAsia="宋体" w:hint="default"/>
                <w:sz w:val="18"/>
                <w:szCs w:val="18"/>
              </w:rPr>
              <w:t>行 项目，反映资产负债表日划分为持有待 售类别的非流动资产及划分为持有待售 类别的处置组中的流动资产和非流动资 </w:t>
            </w:r>
            <w:r>
              <w:rPr>
                <w:rFonts w:ascii="宋体" w:hAnsi="宋体" w:cs="宋体" w:eastAsia="宋体" w:hint="default"/>
                <w:spacing w:val="-5"/>
                <w:w w:val="100"/>
                <w:sz w:val="18"/>
                <w:szCs w:val="18"/>
              </w:rPr>
              <w:t>产的期末账面价值，新增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持有待售负债</w:t>
            </w:r>
            <w:r>
              <w:rPr>
                <w:rFonts w:ascii="Times New Roman" w:hAnsi="Times New Roman" w:cs="Times New Roman" w:eastAsia="Times New Roman" w:hint="default"/>
                <w:spacing w:val="-5"/>
                <w:w w:val="100"/>
                <w:sz w:val="18"/>
                <w:szCs w:val="18"/>
              </w:rPr>
              <w:t>”</w:t>
            </w:r>
            <w:r>
              <w:rPr>
                <w:rFonts w:ascii="Times New Roman" w:hAnsi="Times New Roman" w:cs="Times New Roman" w:eastAsia="Times New Roman" w:hint="default"/>
                <w:spacing w:val="-37"/>
                <w:w w:val="100"/>
                <w:sz w:val="18"/>
                <w:szCs w:val="18"/>
              </w:rPr>
              <w:t> </w:t>
            </w:r>
            <w:r>
              <w:rPr>
                <w:rFonts w:ascii="宋体" w:hAnsi="宋体" w:cs="宋体" w:eastAsia="宋体" w:hint="default"/>
                <w:sz w:val="18"/>
                <w:szCs w:val="18"/>
              </w:rPr>
              <w:t>行项目，反映资产负债表日处置组中与 划分为持有待售类别的资产直接相关的 负债的期末账面价值；利润表新增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 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行项目，反映企业出售划分为 持有待售的非流动资产（金融工具、长 期股权投资和投资性房地产除外）或处 置组时确认的处置利得或损失，以及处 置未划分为持有待售的固定资产、在建 工程及无形资产等而产生的处置利得或 损失，债务重组中因处置非流动资产产 生的利得或损失和非货币性资产交换产 生的利得或损失也包括在本项目内。对 于利润表新增的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 本公司对可比期间的比较数据进行调整 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年度的财务状况、经营成果和现 金流量产生影响。</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53"/>
        <w:jc w:val="left"/>
        <w:rPr>
          <w:b w:val="0"/>
          <w:bCs w:val="0"/>
        </w:rPr>
      </w:pPr>
      <w:r>
        <w:rPr/>
        <w:pict>
          <v:group style="position:absolute;margin-left:216.529999pt;margin-top:-389.566345pt;width:159.050pt;height:360.95pt;mso-position-horizontal-relative:page;mso-position-vertical-relative:paragraph;z-index:-725680" coordorigin="4331,-7791" coordsize="3181,7219">
            <v:shape style="position:absolute;left:4331;top:-7791;width:3181;height:7219" coordorigin="4331,-7791" coordsize="3181,7219" path="m4331,-573l7511,-573,7511,-7791,4331,-7791,4331,-573xe" filled="true" fillcolor="#ffffff" stroked="false">
              <v:path arrowok="t"/>
              <v:fill type="solid"/>
            </v:shape>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以应交增值税、营业税额为计税依据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以应纳税所得额为计税依据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以应交增值税、营业税额为计税依据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以应交增值税、营业税额为计税依据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410" w:lineRule="auto" w:before="0"/>
        <w:ind w:left="592" w:right="0"/>
        <w:jc w:val="left"/>
      </w:pPr>
      <w:r>
        <w:rPr/>
        <w:t>（</w:t>
      </w:r>
      <w:r>
        <w:rPr>
          <w:rFonts w:ascii="宋体" w:hAnsi="宋体" w:cs="宋体" w:eastAsia="宋体" w:hint="default"/>
        </w:rPr>
        <w:t>1</w:t>
      </w:r>
      <w:r>
        <w:rPr/>
        <w:t>）高新技术企业税收优惠</w:t>
      </w:r>
      <w:r>
        <w:rPr>
          <w:rFonts w:ascii="宋体" w:hAnsi="宋体" w:cs="宋体" w:eastAsia="宋体" w:hint="default"/>
          <w:w w:val="100"/>
        </w:rPr>
        <w:t> </w:t>
      </w:r>
      <w:r>
        <w:rPr>
          <w:rFonts w:ascii="宋体" w:hAnsi="宋体" w:cs="宋体" w:eastAsia="宋体" w:hint="default"/>
          <w:spacing w:val="-3"/>
        </w:rPr>
        <w:t>2014</w:t>
      </w:r>
      <w:r>
        <w:rPr>
          <w:spacing w:val="-3"/>
        </w:rPr>
        <w:t>年本公司通过高新技术企业认证，取得四川省科学技术厅、四川省财政厅、四川省国家税务局和</w:t>
      </w:r>
    </w:p>
    <w:p>
      <w:pPr>
        <w:pStyle w:val="BodyText"/>
        <w:spacing w:line="408" w:lineRule="auto" w:before="44"/>
        <w:ind w:right="206"/>
        <w:jc w:val="both"/>
        <w:rPr>
          <w:rFonts w:ascii="宋体" w:hAnsi="宋体" w:cs="宋体" w:eastAsia="宋体" w:hint="default"/>
        </w:rPr>
      </w:pPr>
      <w:r>
        <w:rPr>
          <w:spacing w:val="-2"/>
        </w:rPr>
        <w:t>四川省地方税务局联合颁发的《高新技术企业证书》，证书编号为</w:t>
      </w:r>
      <w:r>
        <w:rPr>
          <w:rFonts w:ascii="宋体" w:hAnsi="宋体" w:cs="宋体" w:eastAsia="宋体" w:hint="default"/>
          <w:spacing w:val="-2"/>
        </w:rPr>
        <w:t>GR201451000087</w:t>
      </w:r>
      <w:r>
        <w:rPr>
          <w:spacing w:val="-2"/>
        </w:rPr>
        <w:t>，有效期三年；</w:t>
      </w:r>
      <w:r>
        <w:rPr>
          <w:rFonts w:ascii="宋体" w:hAnsi="宋体" w:cs="宋体" w:eastAsia="宋体" w:hint="default"/>
          <w:spacing w:val="-2"/>
        </w:rPr>
        <w:t>2017</w:t>
      </w:r>
      <w:r>
        <w:rPr>
          <w:spacing w:val="-2"/>
        </w:rPr>
        <w:t>年</w:t>
      </w:r>
      <w:r>
        <w:rPr>
          <w:spacing w:val="-26"/>
        </w:rPr>
        <w:t> </w:t>
      </w:r>
      <w:r>
        <w:rPr>
          <w:spacing w:val="-2"/>
        </w:rPr>
        <w:t>本公司再次通过高新技术企业认证，取得四川省科学技术厅、四川省财政厅、四川省国家税务局和四川省</w:t>
      </w:r>
      <w:r>
        <w:rPr>
          <w:spacing w:val="-45"/>
        </w:rPr>
        <w:t> </w:t>
      </w:r>
      <w:r>
        <w:rPr>
          <w:spacing w:val="-45"/>
        </w:rPr>
      </w:r>
      <w:r>
        <w:rPr>
          <w:spacing w:val="-2"/>
        </w:rPr>
        <w:t>地方税务局联合颁发的《高新技术企业证书》，证书编号为</w:t>
      </w:r>
      <w:r>
        <w:rPr>
          <w:rFonts w:ascii="宋体" w:hAnsi="宋体" w:cs="宋体" w:eastAsia="宋体" w:hint="default"/>
          <w:spacing w:val="-2"/>
        </w:rPr>
        <w:t>GR201751001344</w:t>
      </w:r>
      <w:r>
        <w:rPr>
          <w:spacing w:val="-2"/>
        </w:rPr>
        <w:t>，有效期三年。根据《中华人</w:t>
      </w:r>
      <w:r>
        <w:rPr>
          <w:spacing w:val="-28"/>
        </w:rPr>
        <w:t> </w:t>
      </w:r>
      <w:r>
        <w:rPr>
          <w:spacing w:val="-28"/>
        </w:rPr>
      </w:r>
      <w:r>
        <w:rPr/>
        <w:t>民共和国企业所得税法》第二十八条规定，国家需要重点扶持的高新技术企业，减按</w:t>
      </w:r>
      <w:r>
        <w:rPr>
          <w:rFonts w:ascii="宋体" w:hAnsi="宋体" w:cs="宋体" w:eastAsia="宋体" w:hint="default"/>
        </w:rPr>
        <w:t>15%</w:t>
      </w:r>
      <w:r>
        <w:rPr/>
        <w:t>的税率征收企业</w:t>
      </w:r>
      <w:r>
        <w:rPr>
          <w:spacing w:val="-23"/>
        </w:rPr>
        <w:t> </w:t>
      </w:r>
      <w:r>
        <w:rPr>
          <w:spacing w:val="-23"/>
        </w:rPr>
      </w:r>
      <w:r>
        <w:rPr/>
        <w:t>所得税。</w:t>
      </w:r>
      <w:r>
        <w:rPr>
          <w:rFonts w:ascii="宋体" w:hAnsi="宋体" w:cs="宋体" w:eastAsia="宋体" w:hint="default"/>
        </w:rPr>
        <w:t> </w:t>
      </w:r>
    </w:p>
    <w:p>
      <w:pPr>
        <w:pStyle w:val="BodyText"/>
        <w:spacing w:line="240" w:lineRule="auto"/>
        <w:ind w:left="592" w:right="0"/>
        <w:jc w:val="left"/>
        <w:rPr>
          <w:rFonts w:ascii="宋体" w:hAnsi="宋体" w:cs="宋体" w:eastAsia="宋体" w:hint="default"/>
        </w:rPr>
      </w:pPr>
      <w:r>
        <w:rPr/>
        <w:t>（</w:t>
      </w:r>
      <w:r>
        <w:rPr>
          <w:rFonts w:ascii="宋体" w:hAnsi="宋体" w:cs="宋体" w:eastAsia="宋体" w:hint="default"/>
        </w:rPr>
        <w:t>2</w:t>
      </w:r>
      <w:r>
        <w:rPr/>
        <w:t>）研究开发费用企业所得税优惠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0" w:firstLine="439"/>
        <w:jc w:val="left"/>
        <w:rPr>
          <w:rFonts w:ascii="宋体" w:hAnsi="宋体" w:cs="宋体" w:eastAsia="宋体" w:hint="default"/>
        </w:rPr>
      </w:pPr>
      <w:r>
        <w:rPr>
          <w:spacing w:val="-12"/>
          <w:w w:val="100"/>
        </w:rPr>
        <w:t>根据《财政部</w:t>
      </w:r>
      <w:r>
        <w:rPr>
          <w:spacing w:val="-1"/>
          <w:w w:val="100"/>
        </w:rPr>
        <w:t> </w:t>
      </w:r>
      <w:r>
        <w:rPr>
          <w:rFonts w:ascii="宋体" w:hAnsi="宋体" w:cs="宋体" w:eastAsia="宋体" w:hint="default"/>
          <w:spacing w:val="-1"/>
          <w:w w:val="100"/>
        </w:rPr>
      </w:r>
      <w:r>
        <w:rPr>
          <w:spacing w:val="-2"/>
          <w:w w:val="100"/>
        </w:rPr>
        <w:t>国家税务总局</w:t>
      </w:r>
      <w:r>
        <w:rPr>
          <w:w w:val="100"/>
        </w:rPr>
        <w:t> </w:t>
      </w:r>
      <w:r>
        <w:rPr>
          <w:rFonts w:ascii="宋体" w:hAnsi="宋体" w:cs="宋体" w:eastAsia="宋体" w:hint="default"/>
          <w:w w:val="100"/>
        </w:rPr>
      </w:r>
      <w:r>
        <w:rPr>
          <w:spacing w:val="-7"/>
          <w:w w:val="100"/>
        </w:rPr>
        <w:t>科技部关于完善研究开发费用税前加计扣除政策的通知》（</w:t>
      </w:r>
      <w:r>
        <w:rPr>
          <w:spacing w:val="20"/>
          <w:w w:val="100"/>
        </w:rPr>
        <w:t> </w:t>
      </w:r>
      <w:r>
        <w:rPr>
          <w:rFonts w:ascii="宋体" w:hAnsi="宋体" w:cs="宋体" w:eastAsia="宋体" w:hint="default"/>
          <w:spacing w:val="20"/>
          <w:w w:val="100"/>
        </w:rPr>
      </w:r>
      <w:r>
        <w:rPr>
          <w:spacing w:val="-9"/>
          <w:w w:val="100"/>
        </w:rPr>
        <w:t>财税〔</w:t>
      </w:r>
      <w:r>
        <w:rPr>
          <w:rFonts w:ascii="宋体" w:hAnsi="宋体" w:cs="宋体" w:eastAsia="宋体" w:hint="default"/>
          <w:spacing w:val="-9"/>
          <w:w w:val="100"/>
        </w:rPr>
        <w:t>2015</w:t>
      </w:r>
      <w:r>
        <w:rPr>
          <w:spacing w:val="-9"/>
          <w:w w:val="100"/>
        </w:rPr>
        <w:t>〕</w:t>
      </w:r>
      <w:r>
        <w:rPr>
          <w:w w:val="100"/>
        </w:rPr>
        <w:t> </w:t>
      </w:r>
      <w:r>
        <w:rPr>
          <w:rFonts w:ascii="宋体" w:hAnsi="宋体" w:cs="宋体" w:eastAsia="宋体" w:hint="default"/>
        </w:rPr>
        <w:t>119</w:t>
      </w:r>
      <w:r>
        <w:rPr/>
        <w:t>号），企业开展研发活动中实际发生的研发费用，未形成无形资产计入当期损益的，在按规定据实扣</w:t>
      </w:r>
      <w:r>
        <w:rPr>
          <w:spacing w:val="-27"/>
        </w:rPr>
        <w:t> </w:t>
      </w:r>
      <w:r>
        <w:rPr>
          <w:spacing w:val="-27"/>
        </w:rPr>
      </w:r>
      <w:r>
        <w:rPr/>
        <w:t>除的基础上，按照当年度实际发生额的</w:t>
      </w:r>
      <w:r>
        <w:rPr>
          <w:rFonts w:ascii="宋体" w:hAnsi="宋体" w:cs="宋体" w:eastAsia="宋体" w:hint="default"/>
        </w:rPr>
        <w:t>50%</w:t>
      </w:r>
      <w:r>
        <w:rPr/>
        <w:t>，从当年度应纳税所得额中扣除；形成无形资产的，按照无形</w:t>
      </w:r>
      <w:r>
        <w:rPr>
          <w:spacing w:val="-27"/>
        </w:rPr>
        <w:t> </w:t>
      </w:r>
      <w:r>
        <w:rPr>
          <w:spacing w:val="-27"/>
        </w:rPr>
      </w:r>
      <w:r>
        <w:rPr/>
        <w:t>资产成本的</w:t>
      </w:r>
      <w:r>
        <w:rPr>
          <w:rFonts w:ascii="宋体" w:hAnsi="宋体" w:cs="宋体" w:eastAsia="宋体" w:hint="default"/>
        </w:rPr>
        <w:t>150%</w:t>
      </w:r>
      <w:r>
        <w:rPr/>
        <w:t>在税前摊销。</w:t>
      </w:r>
      <w:r>
        <w:rPr>
          <w:rFonts w:ascii="宋体" w:hAnsi="宋体" w:cs="宋体" w:eastAsia="宋体" w:hint="default"/>
        </w:rPr>
        <w:t> </w:t>
      </w:r>
    </w:p>
    <w:p>
      <w:pPr>
        <w:pStyle w:val="BodyText"/>
        <w:spacing w:line="408" w:lineRule="auto"/>
        <w:ind w:left="592" w:right="0"/>
        <w:jc w:val="left"/>
        <w:rPr>
          <w:rFonts w:ascii="宋体" w:hAnsi="宋体" w:cs="宋体" w:eastAsia="宋体" w:hint="default"/>
        </w:rPr>
      </w:pPr>
      <w:r>
        <w:rPr/>
        <w:t>（</w:t>
      </w:r>
      <w:r>
        <w:rPr>
          <w:rFonts w:ascii="宋体" w:hAnsi="宋体" w:cs="宋体" w:eastAsia="宋体" w:hint="default"/>
        </w:rPr>
        <w:t>3</w:t>
      </w:r>
      <w:r>
        <w:rPr/>
        <w:t>）安置残疾人员就业税务优惠</w:t>
      </w:r>
      <w:r>
        <w:rPr>
          <w:rFonts w:ascii="宋体" w:hAnsi="宋体" w:cs="宋体" w:eastAsia="宋体" w:hint="default"/>
          <w:w w:val="100"/>
        </w:rPr>
        <w:t> </w:t>
      </w:r>
      <w:r>
        <w:rPr>
          <w:spacing w:val="-3"/>
        </w:rPr>
        <w:t>根据财政部国家税务总局《关于安置残疾人员就业有关企业所得税优惠政策的通知》（财税</w:t>
      </w:r>
      <w:r>
        <w:rPr>
          <w:rFonts w:ascii="宋体" w:hAnsi="宋体" w:cs="宋体" w:eastAsia="宋体" w:hint="default"/>
          <w:spacing w:val="-3"/>
        </w:rPr>
        <w:t>[2009]70</w:t>
      </w:r>
    </w:p>
    <w:p>
      <w:pPr>
        <w:pStyle w:val="BodyText"/>
        <w:spacing w:line="410" w:lineRule="auto"/>
        <w:ind w:right="209"/>
        <w:jc w:val="both"/>
        <w:rPr>
          <w:rFonts w:ascii="宋体" w:hAnsi="宋体" w:cs="宋体" w:eastAsia="宋体" w:hint="default"/>
        </w:rPr>
      </w:pPr>
      <w:r>
        <w:rPr>
          <w:spacing w:val="-2"/>
        </w:rPr>
        <w:t>号），本公司安置残疾人员就业支付给残疾职工工资，在据实扣除的基础上，可以在计算应纳税所得额时</w:t>
      </w:r>
      <w:r>
        <w:rPr>
          <w:spacing w:val="-47"/>
        </w:rPr>
        <w:t> </w:t>
      </w:r>
      <w:r>
        <w:rPr>
          <w:spacing w:val="-47"/>
        </w:rPr>
      </w:r>
      <w:r>
        <w:rPr/>
        <w:t>按照支付给残疾职工工资的</w:t>
      </w:r>
      <w:r>
        <w:rPr>
          <w:rFonts w:ascii="宋体" w:hAnsi="宋体" w:cs="宋体" w:eastAsia="宋体" w:hint="default"/>
        </w:rPr>
        <w:t>100%</w:t>
      </w:r>
      <w:r>
        <w:rPr/>
        <w:t>加计扣除。</w:t>
      </w:r>
      <w:r>
        <w:rPr>
          <w:rFonts w:ascii="宋体" w:hAnsi="宋体" w:cs="宋体" w:eastAsia="宋体" w:hint="default"/>
        </w:rPr>
        <w:t> </w:t>
      </w:r>
    </w:p>
    <w:p>
      <w:pPr>
        <w:pStyle w:val="BodyText"/>
        <w:spacing w:line="408" w:lineRule="auto" w:before="44"/>
        <w:ind w:right="0" w:firstLine="439"/>
        <w:jc w:val="left"/>
      </w:pPr>
      <w:r>
        <w:rPr/>
        <w:t>（</w:t>
      </w:r>
      <w:r>
        <w:rPr>
          <w:rFonts w:ascii="宋体" w:hAnsi="宋体" w:cs="宋体" w:eastAsia="宋体" w:hint="default"/>
        </w:rPr>
        <w:t>4</w:t>
      </w:r>
      <w:r>
        <w:rPr/>
        <w:t>）技术开发、技术服务税收优惠</w:t>
      </w:r>
      <w:r>
        <w:rPr>
          <w:rFonts w:ascii="宋体" w:hAnsi="宋体" w:cs="宋体" w:eastAsia="宋体" w:hint="default"/>
          <w:w w:val="100"/>
        </w:rPr>
        <w:t> </w:t>
      </w:r>
      <w:r>
        <w:rPr/>
        <w:t>根据财税字</w:t>
      </w:r>
      <w:r>
        <w:rPr>
          <w:rFonts w:ascii="宋体" w:hAnsi="宋体" w:cs="宋体" w:eastAsia="宋体" w:hint="default"/>
        </w:rPr>
        <w:t>[1999]273</w:t>
      </w:r>
      <w:r>
        <w:rPr/>
        <w:t>号文件《关于贯彻落实中共中央国务院关于加强技术创新，发展科技，实现产业化</w:t>
      </w:r>
      <w:r>
        <w:rPr>
          <w:spacing w:val="-27"/>
        </w:rPr>
        <w:t> </w:t>
      </w:r>
      <w:r>
        <w:rPr>
          <w:spacing w:val="-27"/>
        </w:rPr>
      </w:r>
      <w:r>
        <w:rPr>
          <w:spacing w:val="-2"/>
        </w:rPr>
        <w:t>的决定有关税收问题的通知》，“对单位和个人从事技术转让、技术开发业务和与之相关的技术咨询、技</w:t>
      </w:r>
      <w:r>
        <w:rPr>
          <w:spacing w:val="-42"/>
        </w:rPr>
        <w:t> </w:t>
      </w:r>
      <w:r>
        <w:rPr>
          <w:spacing w:val="-42"/>
        </w:rPr>
      </w:r>
      <w:r>
        <w:rPr>
          <w:spacing w:val="-2"/>
        </w:rPr>
        <w:t>术服务业务取得的收入，免征营业税”，本公司从事技术开发业务取得的收入免征营业税。根据《交通运</w:t>
      </w:r>
      <w:r>
        <w:rPr>
          <w:spacing w:val="-42"/>
        </w:rPr>
        <w:t> </w:t>
      </w:r>
      <w:r>
        <w:rPr>
          <w:spacing w:val="-42"/>
        </w:rPr>
      </w:r>
      <w:r>
        <w:rPr>
          <w:spacing w:val="-2"/>
        </w:rPr>
        <w:t>输业和部分现代服务业营业税改征增值税试点过渡政策的规定》，从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日起，本公司提供技术开</w:t>
      </w:r>
      <w:r>
        <w:rPr>
          <w:spacing w:val="-40"/>
        </w:rPr>
        <w:t> </w:t>
      </w:r>
      <w:r>
        <w:rPr>
          <w:spacing w:val="-40"/>
        </w:rPr>
      </w:r>
      <w:r>
        <w:rPr/>
        <w:t>发业务免征增值税。</w:t>
      </w:r>
    </w:p>
    <w:p>
      <w:pPr>
        <w:spacing w:after="0" w:line="408" w:lineRule="auto"/>
        <w:jc w:val="left"/>
        <w:sectPr>
          <w:pgSz w:w="11910" w:h="16840"/>
          <w:pgMar w:header="880" w:footer="974" w:top="1100" w:bottom="1160" w:left="980" w:right="920"/>
        </w:sectPr>
      </w:pPr>
    </w:p>
    <w:p>
      <w:pPr>
        <w:spacing w:line="240" w:lineRule="auto" w:before="12"/>
        <w:rPr>
          <w:rFonts w:ascii="宋体" w:hAnsi="宋体" w:cs="宋体" w:eastAsia="宋体" w:hint="default"/>
          <w:sz w:val="19"/>
          <w:szCs w:val="19"/>
        </w:rPr>
      </w:pPr>
    </w:p>
    <w:p>
      <w:pPr>
        <w:pStyle w:val="Heading2"/>
        <w:spacing w:line="240" w:lineRule="auto" w:before="26"/>
        <w:ind w:right="153"/>
        <w:jc w:val="left"/>
        <w:rPr>
          <w:b w:val="0"/>
          <w:bCs w:val="0"/>
        </w:rPr>
      </w:pPr>
      <w:r>
        <w:rPr/>
        <w:t>七、财务报表项目注释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268,861,055.06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106,790,151.95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6,666,478.44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5,401,419.05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275,527,533.50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112,192,349.00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1"/>
          <w:szCs w:val="21"/>
        </w:rPr>
      </w:pPr>
    </w:p>
    <w:p>
      <w:pPr>
        <w:pStyle w:val="Heading3"/>
        <w:spacing w:line="434" w:lineRule="auto"/>
        <w:ind w:left="592" w:right="153"/>
        <w:jc w:val="left"/>
      </w:pPr>
      <w:r>
        <w:rPr>
          <w:spacing w:val="-1"/>
        </w:rPr>
        <w:t>注</w:t>
      </w:r>
      <w:r>
        <w:rPr>
          <w:rFonts w:ascii="Times New Roman" w:hAnsi="Times New Roman" w:cs="Times New Roman" w:eastAsia="Times New Roman" w:hint="default"/>
          <w:spacing w:val="-1"/>
        </w:rPr>
        <w:t>1</w:t>
      </w:r>
      <w:r>
        <w:rPr>
          <w:spacing w:val="-1"/>
        </w:rPr>
        <w:t>：年末余额中其他货币资金系履约保证金存款</w:t>
      </w:r>
      <w:r>
        <w:rPr>
          <w:rFonts w:ascii="Times New Roman" w:hAnsi="Times New Roman" w:cs="Times New Roman" w:eastAsia="Times New Roman" w:hint="default"/>
          <w:spacing w:val="-1"/>
        </w:rPr>
        <w:t>6,665,083.23</w:t>
      </w:r>
      <w:r>
        <w:rPr>
          <w:spacing w:val="-1"/>
        </w:rPr>
        <w:t>元，其使用受到限制。</w:t>
      </w:r>
      <w:r>
        <w:rPr>
          <w:spacing w:val="-69"/>
        </w:rPr>
        <w:t> </w:t>
      </w:r>
      <w:r>
        <w:rPr>
          <w:spacing w:val="-69"/>
        </w:rPr>
      </w:r>
      <w:r>
        <w:rPr/>
        <w:t>注</w:t>
      </w:r>
      <w:r>
        <w:rPr>
          <w:rFonts w:ascii="Times New Roman" w:hAnsi="Times New Roman" w:cs="Times New Roman" w:eastAsia="Times New Roman" w:hint="default"/>
        </w:rPr>
        <w:t>2</w:t>
      </w:r>
      <w:r>
        <w:rPr/>
        <w:t>：年末银行存款中包括定期银行存款</w:t>
      </w:r>
      <w:r>
        <w:rPr>
          <w:rFonts w:ascii="Times New Roman" w:hAnsi="Times New Roman" w:cs="Times New Roman" w:eastAsia="Times New Roman" w:hint="default"/>
        </w:rPr>
        <w:t>145,000,000.00</w:t>
      </w:r>
      <w:r>
        <w:rPr/>
        <w:t>元。</w:t>
      </w:r>
    </w:p>
    <w:p>
      <w:pPr>
        <w:pStyle w:val="Heading4"/>
        <w:spacing w:line="240" w:lineRule="auto" w:before="119"/>
        <w:ind w:right="153"/>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9,633,470.69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4,001,343.52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10,133,470.69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10,511,343.52</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Times New Roman" w:hAnsi="Times New Roman" w:cs="Times New Roman" w:eastAsia="Times New Roman" w:hint="default"/>
                <w:sz w:val="18"/>
                <w:szCs w:val="18"/>
              </w:rPr>
            </w:pPr>
            <w:r>
              <w:rPr>
                <w:rFonts w:ascii="Times New Roman"/>
                <w:sz w:val="18"/>
              </w:rPr>
              <w:t>205,348,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409.65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36,226,4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169,121,9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78.63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128,224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,862.24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25,628,89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19.99%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102,595,97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1.80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205,348,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409.65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36,226,4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169,121,9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78.63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128,224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,862.24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25,628,89</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19.99%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102,595,97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1.80</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980"/>
        </w:sectPr>
      </w:pPr>
    </w:p>
    <w:p>
      <w:pPr>
        <w:spacing w:before="51"/>
        <w:ind w:left="15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294" w:space="4535"/>
            <w:col w:w="112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143,201,283.86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7,160,064.20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143,201,283.86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7,160,064.20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32,554,738.40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6,510,947.68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14,073,936.50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7,036,968.25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15,518,450.89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15,518,450.89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205,348,409.65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36,226,431.02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280" w:left="980" w:right="980"/>
        </w:sectPr>
      </w:pPr>
    </w:p>
    <w:p>
      <w:pPr>
        <w:spacing w:line="340" w:lineRule="auto" w:before="44"/>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10,597,540.58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6548" w:space="2281"/>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71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3"/>
        <w:ind w:right="153" w:firstLine="420"/>
        <w:jc w:val="left"/>
        <w:rPr>
          <w:rFonts w:ascii="宋体" w:hAnsi="宋体" w:cs="宋体" w:eastAsia="宋体" w:hint="default"/>
        </w:rPr>
      </w:pPr>
      <w:r>
        <w:rPr>
          <w:spacing w:val="-2"/>
        </w:rPr>
        <w:t>本集团按欠款方归集的年末余额前五名应收账款汇总金额</w:t>
      </w:r>
      <w:r>
        <w:rPr>
          <w:rFonts w:ascii="宋体" w:hAnsi="宋体" w:cs="宋体" w:eastAsia="宋体" w:hint="default"/>
          <w:spacing w:val="-2"/>
        </w:rPr>
        <w:t>103,130,960.74</w:t>
      </w:r>
      <w:r>
        <w:rPr>
          <w:spacing w:val="-2"/>
        </w:rPr>
        <w:t>元，占应收账款余额合计数</w:t>
      </w:r>
      <w:r>
        <w:rPr>
          <w:w w:val="100"/>
        </w:rPr>
        <w:t> </w:t>
      </w:r>
      <w:r>
        <w:rPr/>
        <w:t>的比例为</w:t>
      </w:r>
      <w:r>
        <w:rPr>
          <w:rFonts w:ascii="宋体" w:hAnsi="宋体" w:cs="宋体" w:eastAsia="宋体" w:hint="default"/>
        </w:rPr>
        <w:t>50.22%</w:t>
      </w:r>
      <w:r>
        <w:rPr/>
        <w:t>，相应计提的坏账准备汇总金额</w:t>
      </w:r>
      <w:r>
        <w:rPr>
          <w:rFonts w:ascii="宋体" w:hAnsi="宋体" w:cs="宋体" w:eastAsia="宋体" w:hint="default"/>
        </w:rPr>
        <w:t>9,407,757.53</w:t>
      </w:r>
      <w:r>
        <w:rPr/>
        <w:t>元。</w:t>
      </w:r>
      <w:r>
        <w:rPr>
          <w:rFonts w:ascii="宋体" w:hAnsi="宋体" w:cs="宋体" w:eastAsia="宋体" w:hint="default"/>
        </w:rPr>
        <w:t> </w:t>
      </w:r>
    </w:p>
    <w:p>
      <w:pPr>
        <w:spacing w:after="0" w:line="408" w:lineRule="auto"/>
        <w:jc w:val="left"/>
        <w:rPr>
          <w:rFonts w:ascii="宋体" w:hAnsi="宋体" w:cs="宋体" w:eastAsia="宋体" w:hint="default"/>
        </w:rPr>
        <w:sectPr>
          <w:type w:val="continuous"/>
          <w:pgSz w:w="11910" w:h="16840"/>
          <w:pgMar w:top="1060" w:bottom="28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5,345,784.00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4,265,237.15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181,788.00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2,824,160.00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6,156,732.00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7,164,397.15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7"/>
        <w:ind w:right="153"/>
        <w:jc w:val="left"/>
        <w:rPr>
          <w:rFonts w:ascii="宋体" w:hAnsi="宋体" w:cs="宋体" w:eastAsia="宋体" w:hint="default"/>
        </w:rPr>
      </w:pPr>
      <w:r>
        <w:rPr/>
        <w:t>公司项目周期较长，未与供应商进行结算。</w:t>
      </w:r>
      <w:r>
        <w:rPr>
          <w:rFonts w:ascii="宋体" w:hAnsi="宋体" w:cs="宋体" w:eastAsia="宋体" w:hint="default"/>
        </w:rPr>
        <w:t> </w:t>
      </w:r>
    </w:p>
    <w:p>
      <w:pPr>
        <w:spacing w:line="680" w:lineRule="atLeast" w:before="27"/>
        <w:ind w:left="573" w:right="15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3"/>
          <w:sz w:val="21"/>
          <w:szCs w:val="21"/>
        </w:rPr>
        <w:t>本</w:t>
      </w:r>
      <w:r>
        <w:rPr>
          <w:rFonts w:ascii="宋体" w:hAnsi="宋体" w:cs="宋体" w:eastAsia="宋体" w:hint="default"/>
          <w:spacing w:val="-3"/>
          <w:sz w:val="22"/>
          <w:szCs w:val="22"/>
        </w:rPr>
        <w:t>集团</w:t>
      </w:r>
      <w:r>
        <w:rPr>
          <w:rFonts w:ascii="宋体" w:hAnsi="宋体" w:cs="宋体" w:eastAsia="宋体" w:hint="default"/>
          <w:spacing w:val="-3"/>
          <w:sz w:val="21"/>
          <w:szCs w:val="21"/>
        </w:rPr>
        <w:t>按预付对象归集的年末余额前五名预付款项汇总金额</w:t>
      </w:r>
      <w:r>
        <w:rPr>
          <w:rFonts w:ascii="宋体" w:hAnsi="宋体" w:cs="宋体" w:eastAsia="宋体" w:hint="default"/>
          <w:spacing w:val="-3"/>
          <w:sz w:val="21"/>
          <w:szCs w:val="21"/>
        </w:rPr>
        <w:t>3,761,909.40</w:t>
      </w:r>
      <w:r>
        <w:rPr>
          <w:rFonts w:ascii="宋体" w:hAnsi="宋体" w:cs="宋体" w:eastAsia="宋体" w:hint="default"/>
          <w:spacing w:val="-3"/>
          <w:sz w:val="21"/>
          <w:szCs w:val="21"/>
        </w:rPr>
        <w:t>元，占预付账款余额合计数</w:t>
      </w:r>
    </w:p>
    <w:p>
      <w:pPr>
        <w:pStyle w:val="BodyText"/>
        <w:spacing w:line="240" w:lineRule="auto" w:before="187"/>
        <w:ind w:right="153"/>
        <w:jc w:val="left"/>
        <w:rPr>
          <w:rFonts w:ascii="宋体" w:hAnsi="宋体" w:cs="宋体" w:eastAsia="宋体" w:hint="default"/>
        </w:rPr>
      </w:pPr>
      <w:r>
        <w:rPr/>
        <w:t>的比例</w:t>
      </w:r>
      <w:r>
        <w:rPr>
          <w:rFonts w:ascii="宋体" w:hAnsi="宋体" w:cs="宋体" w:eastAsia="宋体" w:hint="default"/>
        </w:rPr>
        <w:t>61.10%</w:t>
      </w:r>
      <w:r>
        <w:rPr/>
        <w:t>。</w:t>
      </w:r>
      <w:r>
        <w:rPr>
          <w:rFonts w:ascii="宋体" w:hAnsi="宋体" w:cs="宋体" w:eastAsia="宋体" w:hint="default"/>
        </w:rPr>
        <w:t> </w:t>
      </w:r>
    </w:p>
    <w:p>
      <w:pPr>
        <w:spacing w:line="240" w:lineRule="auto" w:before="10"/>
        <w:rPr>
          <w:rFonts w:ascii="宋体" w:hAnsi="宋体" w:cs="宋体" w:eastAsia="宋体" w:hint="default"/>
          <w:sz w:val="13"/>
          <w:szCs w:val="13"/>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1,186,208.33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663,312.45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1,186,208.33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663,312.45</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33,863,3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6,158,82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27,704,51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32,175,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549.30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4,778,779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27,396,769.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33,863,3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33.36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6,158,82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27,704,51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32,175,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549.30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4,778,779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27,396,769.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473" w:space="435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12,541,284.56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627,064.23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12,541,284.56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627,064.23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9,244,211.70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1,848,842.34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2,740,381.89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1,370,190.95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1,943,001.40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1,943,001.40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26,468,879.55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5,789,098.92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573" w:right="153"/>
        <w:jc w:val="left"/>
      </w:pPr>
      <w:r>
        <w:rPr/>
        <w:t>按照款项性质未逾期大额保证金确认该组合，系单个客户</w:t>
      </w:r>
      <w:r>
        <w:rPr>
          <w:rFonts w:ascii="宋体" w:hAnsi="宋体" w:cs="宋体" w:eastAsia="宋体" w:hint="default"/>
        </w:rPr>
        <w:t>100</w:t>
      </w:r>
      <w:r>
        <w:rPr/>
        <w:t>万以上的未逾期大额保证金。期末余额</w:t>
      </w:r>
    </w:p>
    <w:p>
      <w:pPr>
        <w:spacing w:line="240" w:lineRule="auto" w:before="11"/>
        <w:rPr>
          <w:rFonts w:ascii="宋体" w:hAnsi="宋体" w:cs="宋体" w:eastAsia="宋体" w:hint="default"/>
          <w:sz w:val="14"/>
          <w:szCs w:val="14"/>
        </w:rPr>
      </w:pPr>
    </w:p>
    <w:p>
      <w:pPr>
        <w:pStyle w:val="BodyText"/>
        <w:spacing w:line="240" w:lineRule="auto" w:before="0"/>
        <w:ind w:right="153"/>
        <w:jc w:val="left"/>
        <w:rPr>
          <w:rFonts w:ascii="宋体" w:hAnsi="宋体" w:cs="宋体" w:eastAsia="宋体" w:hint="default"/>
        </w:rPr>
      </w:pPr>
      <w:r>
        <w:rPr>
          <w:rFonts w:ascii="宋体" w:hAnsi="宋体" w:cs="宋体" w:eastAsia="宋体" w:hint="default"/>
        </w:rPr>
        <w:t>7,394,453.81</w:t>
      </w:r>
      <w:r>
        <w:rPr/>
        <w:t>元，坏账准备</w:t>
      </w:r>
      <w:r>
        <w:rPr>
          <w:rFonts w:ascii="宋体" w:hAnsi="宋体" w:cs="宋体" w:eastAsia="宋体" w:hint="default"/>
        </w:rPr>
        <w:t>369,722.69</w:t>
      </w:r>
      <w:r>
        <w:rPr/>
        <w:t>元，计提比例为</w:t>
      </w:r>
      <w:r>
        <w:rPr>
          <w:rFonts w:ascii="宋体" w:hAnsi="宋体" w:cs="宋体" w:eastAsia="宋体" w:hint="default"/>
        </w:rPr>
        <w:t>5%</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280" w:left="980" w:right="980"/>
        </w:sectPr>
      </w:pPr>
    </w:p>
    <w:p>
      <w:pPr>
        <w:spacing w:line="340" w:lineRule="auto"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1,380,041.85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6460" w:space="237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2" w:right="15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060" w:bottom="28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27,099,168.74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26,525,486.05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6,117,065.53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4,874,689.95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404,327.73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553,070.61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242,771.36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222,302.69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33,863,333.36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32,175,549.30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四川省内江监狱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3,047,527.25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152,376.36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河南中烟工业有限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2,840,306.00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217,524.55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成都市教育技术装 备管理所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1,227,642.56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61,382.13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广安市前锋区财政 国库支付中心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1,192,158.00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59,607.90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中华人民共和国成 都海关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813,605.00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425,986.50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9,121,238.81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916,877.44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3"/>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未完工合同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64,261,200.18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38,379.63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64,222,820.55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63,434,914.84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228,534.45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63,206,380.39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64,261,200.18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38,379.63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64,222,820.55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63,434,914.84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228,534.45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63,206,380.39</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338" w:lineRule="auto" w:before="117"/>
        <w:ind w:left="152" w:right="59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3"/>
        <w:ind w:left="152" w:right="77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1"/>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未完工合同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228,534.45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38,379.63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228,534.45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38,379.63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228,534.45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38,379.63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228,534.45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38,379.63</w:t>
            </w:r>
          </w:p>
        </w:tc>
      </w:tr>
    </w:tbl>
    <w:p>
      <w:pPr>
        <w:pStyle w:val="BodyText"/>
        <w:spacing w:line="408" w:lineRule="auto" w:before="64"/>
        <w:ind w:right="153" w:firstLine="420"/>
        <w:jc w:val="left"/>
      </w:pPr>
      <w:r>
        <w:rPr>
          <w:spacing w:val="-2"/>
        </w:rPr>
        <w:t>可变现净值根据预计合同成本大于合同收入确认，存货跌价准备本年转销系结转完工项目计提的存货</w:t>
      </w:r>
      <w:r>
        <w:rPr>
          <w:w w:val="100"/>
        </w:rPr>
        <w:t> </w:t>
      </w:r>
      <w:r>
        <w:rPr/>
        <w:t>跌价准备。</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未抵扣及未认证增值税进项税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150,709.33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150,709.33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贵州六合 烟草自动 化工程有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15.38%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560"/>
        <w:gridCol w:w="1558"/>
        <w:gridCol w:w="1561"/>
        <w:gridCol w:w="1483"/>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5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25,426,092.13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4,784,805.95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2,936,281.60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258,221.81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33,405,401.49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1,791,337.61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149,299.15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26,344.78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1,966,981.54</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1,791,337.61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149,299.15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26,344.78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1,966,981.54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54,274.00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254,274.00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54,274.00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54,274.00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）出售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25,426,092.13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6,376,143.56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3,031,306.75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284,566.59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35,118,109.03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7,850,139.60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3,197,775.43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1,687,651.81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182,748.78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12,918,315.62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610,226.28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526,950.50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234,169.72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29,259.33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1,400,605.83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610,226.28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526,950.50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234,169.72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29,259.33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1,400,605.83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51,560.30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149,520.30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51,560.30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51,560.30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）出售</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8,460,365.88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3,626,765.93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1,870,261.23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212,008.11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14,169,401.15</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1419"/>
        <w:gridCol w:w="1560"/>
        <w:gridCol w:w="1558"/>
        <w:gridCol w:w="1561"/>
        <w:gridCol w:w="1483"/>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16,965,726.25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2,749,377.63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1,161,045.52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72,558.48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20,948,707.88</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17,575,952.53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1,587,030.52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1,248,629.79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75,473.03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20,487,085.87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3,192,305.75</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416"/>
        <w:gridCol w:w="1419"/>
        <w:gridCol w:w="1561"/>
        <w:gridCol w:w="1483"/>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9,506,369.00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1,823,491.93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11,329,860.93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290,320.09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290,320.09</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290,320.09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290,320.09</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9,506,369.00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2,113,812.02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11,620,181.02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2,962,818.65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444,413.79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3,407,232.44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190,127.40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385,196.08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575,323.48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190,127.40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385,196.08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575,323.48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416"/>
        <w:gridCol w:w="1419"/>
        <w:gridCol w:w="1561"/>
        <w:gridCol w:w="1483"/>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3,152,946.05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829,609.87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3,982,555.92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6,353,422.95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1,284,202.15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7,637,625.10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6,543,550.35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1,379,078.14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7,922,628.49</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42,523,732.26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6,407,906.80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30,736,304.65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4,628,815.05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4,866,406.09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855,604.94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1,089,113.50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163,367.03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47,390,138.35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7,263,511.74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31,825,418.15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4,792,182.08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1,294,135.74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2,444,786.11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1,294,135.74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2,444,786.11</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1,267,073.74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1,267,073.74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27,062.00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1,177,712.37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1,294,135.74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2,444,786.11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56,430,647.10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35,687,020.04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56,430,647.10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35,687,020.04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四川德成佳际实业有限公司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四川达西数字科技有限公司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凉山州友邦电子有限责任公司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成都华宇威视科技有限公司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成都西通纬业科技有限公司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416,200.00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3,579,500.00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53" w:firstLine="420"/>
        <w:jc w:val="left"/>
        <w:rPr>
          <w:rFonts w:ascii="宋体" w:hAnsi="宋体" w:cs="宋体" w:eastAsia="宋体" w:hint="default"/>
        </w:rPr>
      </w:pPr>
      <w:r>
        <w:rPr/>
        <w:t>应付账款年末较年初增加</w:t>
      </w:r>
      <w:r>
        <w:rPr>
          <w:rFonts w:ascii="宋体" w:hAnsi="宋体" w:cs="宋体" w:eastAsia="宋体" w:hint="default"/>
        </w:rPr>
        <w:t>20,743,627.06</w:t>
      </w:r>
      <w:r>
        <w:rPr/>
        <w:t>元，增加</w:t>
      </w:r>
      <w:r>
        <w:rPr>
          <w:rFonts w:ascii="宋体" w:hAnsi="宋体" w:cs="宋体" w:eastAsia="宋体" w:hint="default"/>
        </w:rPr>
        <w:t>58.13%</w:t>
      </w:r>
      <w:r>
        <w:rPr/>
        <w:t>，主要系本年客户项目款回款时间延长，因</w:t>
      </w:r>
      <w:r>
        <w:rPr>
          <w:w w:val="100"/>
        </w:rPr>
        <w:t> </w:t>
      </w:r>
      <w:r>
        <w:rPr/>
        <w:t>此本公司延迟对供应商货款的支付所致。</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16</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未完工项目预付款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41,537,998.23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26,499,099.63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41,537,998.23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26,499,099.63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河南省烟草公司南阳市公司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内江市效率源信息安全技术有限责任公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160,683.76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263,683.76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6,404,940.92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47,905,098.38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47,839,151.33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6,470,887.97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2,788,616.94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2,788,616.94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924,804.81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747,114.33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193,098.48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7,329,745.73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50,709,123.32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51,374,882.60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6,663,986.45</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6,235,673.10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37,272,727.07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37,132,975.22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6,375,424.95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36,557.00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1,274,893.22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1,274,893.22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1,164,503.23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1,164,503.23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21,921.52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88,468.47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88,468.47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2,255,916.00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2,255,916.00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155,889.82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878,962.40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939,389.20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95,463.02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6,186,042.69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6,199,420.69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8" w:right="0"/>
              <w:jc w:val="left"/>
              <w:rPr>
                <w:rFonts w:ascii="Times New Roman" w:hAnsi="Times New Roman" w:cs="Times New Roman" w:eastAsia="Times New Roman" w:hint="default"/>
                <w:sz w:val="18"/>
                <w:szCs w:val="18"/>
              </w:rPr>
            </w:pPr>
            <w:r>
              <w:rPr>
                <w:rFonts w:ascii="Times New Roman"/>
                <w:sz w:val="18"/>
              </w:rPr>
              <w:t>6,404,940.92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47,905,098.38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47,839,151.33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6" w:right="0"/>
              <w:jc w:val="left"/>
              <w:rPr>
                <w:rFonts w:ascii="Times New Roman" w:hAnsi="Times New Roman" w:cs="Times New Roman" w:eastAsia="Times New Roman" w:hint="default"/>
                <w:sz w:val="18"/>
                <w:szCs w:val="18"/>
              </w:rPr>
            </w:pPr>
            <w:r>
              <w:rPr>
                <w:rFonts w:ascii="Times New Roman"/>
                <w:sz w:val="18"/>
              </w:rPr>
              <w:t>6,470,887.97</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2,695,495.07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2,695,495.07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93,121.87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93,121.87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2,788,616.94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2,788,616.94</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2"/>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3" w:right="153"/>
        <w:jc w:val="left"/>
      </w:pPr>
      <w:r>
        <w:rPr/>
        <w:t>辞退福利系预计的内部退休职工费用。</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19,765,324.02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16,243,999.05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6,670,736.81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4,727,556.57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399,279.63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581,847.55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349,194.39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303,982.18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1,279,818.42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1,287,897.99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103,796.65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85,797.49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28,686,121.81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23,334,877.48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应付专项款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7,443,253.65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7,443,253.65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13,776,266.78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15,379,178.02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712,036.05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966,671.85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2,530,687.42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1,352,442.22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1,597,370.16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25,814,686.12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25,586,473.68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pict>
          <v:shape style="position:absolute;margin-left:56.400002pt;margin-top:-21.008293pt;width:479.3pt;height:210.3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留存国有股红利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4,933,635.32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94"/>
                          <w:jc w:val="both"/>
                          <w:rPr>
                            <w:rFonts w:ascii="宋体" w:hAnsi="宋体" w:cs="宋体" w:eastAsia="宋体" w:hint="default"/>
                            <w:sz w:val="18"/>
                            <w:szCs w:val="18"/>
                          </w:rPr>
                        </w:pPr>
                        <w:r>
                          <w:rPr>
                            <w:rFonts w:ascii="宋体" w:hAnsi="宋体" w:cs="宋体" w:eastAsia="宋体" w:hint="default"/>
                            <w:sz w:val="18"/>
                            <w:szCs w:val="18"/>
                          </w:rPr>
                          <w:t>留存国有股红利系</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年期间 本公司扣除现金分红外的可供分配利润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转入。</w:t>
                        </w:r>
                      </w:p>
                    </w:tc>
                  </w:tr>
                  <w:tr>
                    <w:trPr>
                      <w:trHeight w:val="164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年企业所得税减免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2,509,618.33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年企业所得税减免资金， 根据财政部、国家税务总局《关于延长 转制科研机构有关税收政策执行期限的 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2005</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，留待解决 转制涉及的人员离岗退养等。</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养老金及补贴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养老金及补贴系中国科学院拨付的国有 留利转入的养老金及补贴款。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9,264,453.65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3" w:right="153"/>
        <w:jc w:val="left"/>
      </w:pPr>
      <w:r>
        <w:rPr/>
        <w:t>代收代垫款主要系代收代付中国科学院拨付的离退休人员工资及其他经费。</w:t>
      </w:r>
    </w:p>
    <w:p>
      <w:pPr>
        <w:spacing w:line="240" w:lineRule="auto" w:before="0"/>
        <w:rPr>
          <w:rFonts w:ascii="宋体" w:hAnsi="宋体" w:cs="宋体" w:eastAsia="宋体" w:hint="default"/>
          <w:sz w:val="20"/>
          <w:szCs w:val="20"/>
        </w:rPr>
      </w:pPr>
    </w:p>
    <w:p>
      <w:pPr>
        <w:pStyle w:val="Heading4"/>
        <w:spacing w:line="240" w:lineRule="auto" w:before="155"/>
        <w:ind w:right="153"/>
        <w:jc w:val="left"/>
        <w:rPr>
          <w:b w:val="0"/>
          <w:bCs w:val="0"/>
        </w:rPr>
      </w:pPr>
      <w:r>
        <w:rPr>
          <w:rFonts w:ascii="Times New Roman" w:hAnsi="Times New Roman" w:cs="Times New Roman" w:eastAsia="Times New Roman" w:hint="default"/>
        </w:rPr>
        <w:t>20</w:t>
      </w:r>
      <w:r>
        <w:rPr/>
        <w:t>、长期应付款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财政厅专项借款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320,000.00</w:t>
            </w:r>
          </w:p>
        </w:tc>
      </w:tr>
    </w:tbl>
    <w:p>
      <w:pPr>
        <w:spacing w:before="52"/>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21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1,089,113.50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12,088,087.91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8,310,795.32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4,866,406.09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1,089,113.50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12,088,087.91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8,310,795.32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4,866,406.09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本期计入其</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本期冲减成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36" w:right="74" w:hanging="360"/>
              <w:jc w:val="left"/>
              <w:rPr>
                <w:rFonts w:ascii="宋体" w:hAnsi="宋体" w:cs="宋体" w:eastAsia="宋体" w:hint="default"/>
                <w:sz w:val="18"/>
                <w:szCs w:val="18"/>
              </w:rPr>
            </w:pPr>
            <w:r>
              <w:rPr>
                <w:rFonts w:ascii="宋体" w:hAnsi="宋体" w:cs="宋体" w:eastAsia="宋体" w:hint="default"/>
                <w:sz w:val="18"/>
                <w:szCs w:val="18"/>
              </w:rPr>
              <w:t>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 w:right="0"/>
              <w:jc w:val="left"/>
              <w:rPr>
                <w:rFonts w:ascii="宋体" w:hAnsi="宋体" w:cs="宋体" w:eastAsia="宋体" w:hint="default"/>
                <w:sz w:val="18"/>
                <w:szCs w:val="18"/>
              </w:rPr>
            </w:pPr>
            <w:r>
              <w:rPr>
                <w:rFonts w:ascii="宋体" w:hAnsi="宋体" w:cs="宋体" w:eastAsia="宋体" w:hint="default"/>
                <w:sz w:val="18"/>
                <w:szCs w:val="18"/>
              </w:rPr>
              <w:t>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4"/>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新型电子选 举系统和电 子表决系统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海量视频内 容快速自动 识别与存储 装备关键技 术研发项目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499,950.48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499,950.48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sz w:val="18"/>
                <w:szCs w:val="18"/>
              </w:rPr>
              <w:t>面向移动互 联网应用的 智能软件云 端开发平台 及示范应用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55,716.01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55,716.01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数据存储信 息安全关键 技术及其新 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533,447.01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111,452.56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421,994.45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多模态小型 化超声监测 设备研发与 产业化推广</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415,610.51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1,084,389.49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常见农业病 虫害快速鉴 定系统研发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经济型电子 计票系统产 </w:t>
            </w:r>
            <w:r>
              <w:rPr>
                <w:rFonts w:ascii="宋体" w:hAnsi="宋体" w:cs="宋体" w:eastAsia="宋体" w:hint="default"/>
                <w:spacing w:val="-12"/>
                <w:sz w:val="18"/>
                <w:szCs w:val="18"/>
              </w:rPr>
              <w:t>业化推广（省</w:t>
            </w:r>
            <w:r>
              <w:rPr>
                <w:rFonts w:ascii="宋体" w:hAnsi="宋体" w:cs="宋体" w:eastAsia="宋体" w:hint="default"/>
                <w:sz w:val="18"/>
                <w:szCs w:val="18"/>
              </w:rPr>
              <w:t> 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998,436.13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1,563.87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基于病例大 数据的智能 诊疗决策关 键技术研究 与应用</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493,038.24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6,961.76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高寒高海拔 地区太阳能 代供暖系统 监控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电子选举计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398,659.82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101,340.18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票机</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高分辨率航 空伽马能谱 测量及机载 成像光谱测 量技术</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大数据智能 处理关键技 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金华中科研 究中心资产</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1,350,087.91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93,647.58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1,256,440.33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1,089,113.50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12,088,087.9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3,310,795.32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4,866,406.09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94" w:right="0"/>
        <w:jc w:val="left"/>
      </w:pPr>
      <w:r>
        <w:rPr>
          <w:spacing w:val="12"/>
        </w:rPr>
        <w:t>注</w:t>
      </w:r>
      <w:r>
        <w:rPr>
          <w:rFonts w:ascii="宋体" w:hAnsi="宋体" w:cs="宋体" w:eastAsia="宋体" w:hint="default"/>
          <w:spacing w:val="12"/>
        </w:rPr>
        <w:t>1</w:t>
      </w:r>
      <w:r>
        <w:rPr>
          <w:spacing w:val="12"/>
        </w:rPr>
        <w:t>：</w:t>
      </w:r>
      <w:r>
        <w:rPr>
          <w:spacing w:val="118"/>
        </w:rPr>
        <w:t> </w:t>
      </w:r>
      <w:r>
        <w:rPr>
          <w:rFonts w:ascii="宋体" w:hAnsi="宋体" w:cs="宋体" w:eastAsia="宋体" w:hint="default"/>
          <w:spacing w:val="118"/>
        </w:rPr>
      </w:r>
      <w:r>
        <w:rPr>
          <w:spacing w:val="11"/>
        </w:rPr>
        <w:t>本公司本年度收到中国科学院拨付的“面向国家重大任务的计算机会议系统”项目资金</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rFonts w:ascii="宋体" w:hAnsi="宋体" w:cs="宋体" w:eastAsia="宋体" w:hint="default"/>
        </w:rPr>
        <w:t>6,000,000.00</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right="212" w:firstLine="442"/>
        <w:jc w:val="both"/>
        <w:rPr>
          <w:rFonts w:ascii="宋体" w:hAnsi="宋体" w:cs="宋体" w:eastAsia="宋体" w:hint="default"/>
        </w:rPr>
      </w:pPr>
      <w:r>
        <w:rPr/>
        <w:t>注</w:t>
      </w:r>
      <w:r>
        <w:rPr>
          <w:rFonts w:ascii="宋体" w:hAnsi="宋体" w:cs="宋体" w:eastAsia="宋体" w:hint="default"/>
        </w:rPr>
        <w:t>2</w:t>
      </w:r>
      <w:r>
        <w:rPr/>
        <w:t>：本公司收到的成都高新技术产业开发区经贸发展局“海量视频内容快速自动识别与存储装备关</w:t>
      </w:r>
      <w:r>
        <w:rPr>
          <w:w w:val="100"/>
        </w:rPr>
        <w:t> </w:t>
      </w:r>
      <w:r>
        <w:rPr/>
        <w:t>键技术研发项目”资金。</w:t>
      </w:r>
      <w:r>
        <w:rPr>
          <w:rFonts w:ascii="宋体" w:hAnsi="宋体" w:cs="宋体" w:eastAsia="宋体" w:hint="default"/>
        </w:rPr>
        <w:t> </w:t>
      </w:r>
    </w:p>
    <w:p>
      <w:pPr>
        <w:pStyle w:val="BodyText"/>
        <w:spacing w:line="408" w:lineRule="auto"/>
        <w:ind w:right="212" w:firstLine="442"/>
        <w:jc w:val="both"/>
        <w:rPr>
          <w:rFonts w:ascii="宋体" w:hAnsi="宋体" w:cs="宋体" w:eastAsia="宋体" w:hint="default"/>
        </w:rPr>
      </w:pPr>
      <w:r>
        <w:rPr/>
        <w:t>注</w:t>
      </w:r>
      <w:r>
        <w:rPr>
          <w:rFonts w:ascii="宋体" w:hAnsi="宋体" w:cs="宋体" w:eastAsia="宋体" w:hint="default"/>
        </w:rPr>
        <w:t>3</w:t>
      </w:r>
      <w:r>
        <w:rPr/>
        <w:t>：本公司收到中国科学院成都分院分别拨付的本公司承担的“面向移动互联网应用的智能软件云</w:t>
      </w:r>
      <w:r>
        <w:rPr>
          <w:w w:val="100"/>
        </w:rPr>
        <w:t> </w:t>
      </w:r>
      <w:r>
        <w:rPr/>
        <w:t>端开发平台及示范应用”、</w:t>
      </w:r>
      <w:r>
        <w:rPr>
          <w:spacing w:val="-9"/>
        </w:rPr>
        <w:t> </w:t>
      </w:r>
      <w:r>
        <w:rPr>
          <w:rFonts w:ascii="宋体" w:hAnsi="宋体" w:cs="宋体" w:eastAsia="宋体" w:hint="default"/>
          <w:spacing w:val="-9"/>
        </w:rPr>
      </w:r>
      <w:r>
        <w:rPr/>
        <w:t>“数据储存信息安全关键技术及其新型</w:t>
      </w:r>
      <w:r>
        <w:rPr>
          <w:rFonts w:ascii="宋体" w:hAnsi="宋体" w:cs="宋体" w:eastAsia="宋体" w:hint="default"/>
        </w:rPr>
        <w:t>RAID</w:t>
      </w:r>
      <w:r>
        <w:rPr/>
        <w:t>系统研发”项目资金。</w:t>
      </w:r>
      <w:r>
        <w:rPr>
          <w:rFonts w:ascii="宋体" w:hAnsi="宋体" w:cs="宋体" w:eastAsia="宋体" w:hint="default"/>
        </w:rPr>
        <w:t> </w:t>
      </w:r>
    </w:p>
    <w:p>
      <w:pPr>
        <w:pStyle w:val="BodyText"/>
        <w:spacing w:line="408" w:lineRule="auto"/>
        <w:ind w:right="207" w:firstLine="442"/>
        <w:jc w:val="both"/>
        <w:rPr>
          <w:rFonts w:ascii="宋体" w:hAnsi="宋体" w:cs="宋体" w:eastAsia="宋体" w:hint="default"/>
        </w:rPr>
      </w:pPr>
      <w:r>
        <w:rPr/>
        <w:t>注</w:t>
      </w:r>
      <w:r>
        <w:rPr>
          <w:rFonts w:ascii="宋体" w:hAnsi="宋体" w:cs="宋体" w:eastAsia="宋体" w:hint="default"/>
        </w:rPr>
        <w:t>4</w:t>
      </w:r>
      <w:r>
        <w:rPr/>
        <w:t>：根据四川省财政厅、四川省科学技术厅《关于下达</w:t>
      </w:r>
      <w:r>
        <w:rPr>
          <w:rFonts w:ascii="宋体" w:hAnsi="宋体" w:cs="宋体" w:eastAsia="宋体" w:hint="default"/>
        </w:rPr>
        <w:t>2017</w:t>
      </w:r>
      <w:r>
        <w:rPr/>
        <w:t>年第一批省级科研计划项目资金预算的</w:t>
      </w:r>
      <w:r>
        <w:rPr>
          <w:w w:val="100"/>
        </w:rPr>
        <w:t> </w:t>
      </w:r>
      <w:r>
        <w:rPr>
          <w:spacing w:val="-2"/>
        </w:rPr>
        <w:t>通知》（川财教</w:t>
      </w:r>
      <w:r>
        <w:rPr>
          <w:rFonts w:ascii="宋体" w:hAnsi="宋体" w:cs="宋体" w:eastAsia="宋体" w:hint="default"/>
          <w:spacing w:val="-2"/>
        </w:rPr>
        <w:t>[2017]34</w:t>
      </w:r>
      <w:r>
        <w:rPr>
          <w:spacing w:val="-2"/>
        </w:rPr>
        <w:t>号）本公司收到中国科学院成都分院拨付的本公司承担的“多模态小型化超声监</w:t>
      </w:r>
      <w:r>
        <w:rPr>
          <w:spacing w:val="-38"/>
        </w:rPr>
        <w:t> </w:t>
      </w:r>
      <w:r>
        <w:rPr>
          <w:spacing w:val="-38"/>
        </w:rPr>
      </w:r>
      <w:r>
        <w:rPr/>
        <w:t>测设备研发与产业化推广”项目资金</w:t>
      </w:r>
      <w:r>
        <w:rPr>
          <w:rFonts w:ascii="宋体" w:hAnsi="宋体" w:cs="宋体" w:eastAsia="宋体" w:hint="default"/>
        </w:rPr>
        <w:t>1,500,000.00</w:t>
      </w:r>
      <w:r>
        <w:rPr/>
        <w:t>元；“常见农业病虫害快速鉴定系统研发”</w:t>
      </w:r>
      <w:r>
        <w:rPr>
          <w:spacing w:val="70"/>
        </w:rPr>
        <w:t> </w:t>
      </w:r>
      <w:r>
        <w:rPr>
          <w:rFonts w:ascii="宋体" w:hAnsi="宋体" w:cs="宋体" w:eastAsia="宋体" w:hint="default"/>
          <w:spacing w:val="70"/>
        </w:rPr>
      </w:r>
      <w:r>
        <w:rPr/>
        <w:t>项目资金</w:t>
      </w:r>
      <w:r>
        <w:rPr>
          <w:spacing w:val="-95"/>
        </w:rPr>
        <w:t> </w:t>
      </w:r>
      <w:r>
        <w:rPr>
          <w:spacing w:val="-95"/>
        </w:rPr>
      </w:r>
      <w:r>
        <w:rPr>
          <w:rFonts w:ascii="宋体" w:hAnsi="宋体" w:cs="宋体" w:eastAsia="宋体" w:hint="default"/>
        </w:rPr>
        <w:t>300,000.00</w:t>
      </w:r>
      <w:r>
        <w:rPr/>
        <w:t>元。</w:t>
      </w:r>
      <w:r>
        <w:rPr>
          <w:rFonts w:ascii="宋体" w:hAnsi="宋体" w:cs="宋体" w:eastAsia="宋体" w:hint="default"/>
        </w:rPr>
        <w:t> </w:t>
      </w:r>
    </w:p>
    <w:p>
      <w:pPr>
        <w:pStyle w:val="BodyText"/>
        <w:spacing w:line="240" w:lineRule="auto"/>
        <w:ind w:left="594" w:right="0"/>
        <w:jc w:val="left"/>
      </w:pPr>
      <w:r>
        <w:rPr>
          <w:spacing w:val="-3"/>
        </w:rPr>
        <w:t>注</w:t>
      </w:r>
      <w:r>
        <w:rPr>
          <w:rFonts w:ascii="宋体" w:hAnsi="宋体" w:cs="宋体" w:eastAsia="宋体" w:hint="default"/>
          <w:spacing w:val="-3"/>
        </w:rPr>
        <w:t>5</w:t>
      </w:r>
      <w:r>
        <w:rPr>
          <w:spacing w:val="-3"/>
        </w:rPr>
        <w:t>：根据四川省财政厅、四川省科学技术厅《关于下达</w:t>
      </w:r>
      <w:r>
        <w:rPr>
          <w:rFonts w:ascii="宋体" w:hAnsi="宋体" w:cs="宋体" w:eastAsia="宋体" w:hint="default"/>
          <w:spacing w:val="-3"/>
        </w:rPr>
        <w:t>2016</w:t>
      </w:r>
      <w:r>
        <w:rPr>
          <w:spacing w:val="-3"/>
        </w:rPr>
        <w:t>年第二批科研计划项目资金预算的通知》</w:t>
      </w:r>
    </w:p>
    <w:p>
      <w:pPr>
        <w:spacing w:line="240" w:lineRule="auto" w:before="11"/>
        <w:rPr>
          <w:rFonts w:ascii="宋体" w:hAnsi="宋体" w:cs="宋体" w:eastAsia="宋体" w:hint="default"/>
          <w:sz w:val="14"/>
          <w:szCs w:val="14"/>
        </w:rPr>
      </w:pPr>
    </w:p>
    <w:p>
      <w:pPr>
        <w:pStyle w:val="BodyText"/>
        <w:spacing w:line="408" w:lineRule="auto" w:before="0"/>
        <w:ind w:right="209"/>
        <w:jc w:val="both"/>
        <w:rPr>
          <w:rFonts w:ascii="宋体" w:hAnsi="宋体" w:cs="宋体" w:eastAsia="宋体" w:hint="default"/>
        </w:rPr>
      </w:pPr>
      <w:r>
        <w:rPr/>
        <w:t>（川财教</w:t>
      </w:r>
      <w:r>
        <w:rPr>
          <w:rFonts w:ascii="宋体" w:hAnsi="宋体" w:cs="宋体" w:eastAsia="宋体" w:hint="default"/>
        </w:rPr>
        <w:t>[2016]190</w:t>
      </w:r>
      <w:r>
        <w:rPr/>
        <w:t>号）本公司收到中国科学院成都分院拨付的本公司承担的“经济型电子计票系统产业</w:t>
      </w:r>
      <w:r>
        <w:rPr>
          <w:spacing w:val="-24"/>
        </w:rPr>
        <w:t> </w:t>
      </w:r>
      <w:r>
        <w:rPr>
          <w:spacing w:val="-24"/>
        </w:rPr>
      </w:r>
      <w:r>
        <w:rPr/>
        <w:t>化推广”项目资金</w:t>
      </w:r>
      <w:r>
        <w:rPr>
          <w:rFonts w:ascii="宋体" w:hAnsi="宋体" w:cs="宋体" w:eastAsia="宋体" w:hint="default"/>
        </w:rPr>
        <w:t>1,000,000.00</w:t>
      </w:r>
      <w:r>
        <w:rPr/>
        <w:t>元、“基于病例大数据的智能诊疗决策关键技术研究与应用”</w:t>
      </w:r>
      <w:r>
        <w:rPr>
          <w:spacing w:val="71"/>
        </w:rPr>
        <w:t> </w:t>
      </w:r>
      <w:r>
        <w:rPr>
          <w:rFonts w:ascii="宋体" w:hAnsi="宋体" w:cs="宋体" w:eastAsia="宋体" w:hint="default"/>
          <w:spacing w:val="71"/>
        </w:rPr>
      </w:r>
      <w:r>
        <w:rPr/>
        <w:t>项目资金</w:t>
      </w:r>
      <w:r>
        <w:rPr>
          <w:spacing w:val="-97"/>
        </w:rPr>
        <w:t> </w:t>
      </w:r>
      <w:r>
        <w:rPr>
          <w:spacing w:val="-97"/>
        </w:rPr>
      </w:r>
      <w:r>
        <w:rPr>
          <w:rFonts w:ascii="宋体" w:hAnsi="宋体" w:cs="宋体" w:eastAsia="宋体" w:hint="default"/>
        </w:rPr>
        <w:t>500,000.00</w:t>
      </w:r>
      <w:r>
        <w:rPr/>
        <w:t>元。</w:t>
      </w:r>
      <w:r>
        <w:rPr>
          <w:rFonts w:ascii="宋体" w:hAnsi="宋体" w:cs="宋体" w:eastAsia="宋体" w:hint="default"/>
        </w:rPr>
        <w:t> </w:t>
      </w:r>
    </w:p>
    <w:p>
      <w:pPr>
        <w:pStyle w:val="BodyText"/>
        <w:spacing w:line="408" w:lineRule="auto"/>
        <w:ind w:right="208" w:firstLine="442"/>
        <w:jc w:val="both"/>
        <w:rPr>
          <w:rFonts w:ascii="宋体" w:hAnsi="宋体" w:cs="宋体" w:eastAsia="宋体" w:hint="default"/>
        </w:rPr>
      </w:pPr>
      <w:r>
        <w:rPr/>
        <w:t>注</w:t>
      </w:r>
      <w:r>
        <w:rPr>
          <w:rFonts w:ascii="宋体" w:hAnsi="宋体" w:cs="宋体" w:eastAsia="宋体" w:hint="default"/>
        </w:rPr>
        <w:t>6</w:t>
      </w:r>
      <w:r>
        <w:rPr/>
        <w:t>：本公司收到中国科学院拨付的“高寒高海拔地区太阳能代供暖系统监控”专项资金</w:t>
      </w:r>
      <w:r>
        <w:rPr>
          <w:rFonts w:ascii="宋体" w:hAnsi="宋体" w:cs="宋体" w:eastAsia="宋体" w:hint="default"/>
        </w:rPr>
        <w:t>608,000.00</w:t>
      </w:r>
      <w:r>
        <w:rPr>
          <w:rFonts w:ascii="宋体" w:hAnsi="宋体" w:cs="宋体" w:eastAsia="宋体" w:hint="default"/>
          <w:w w:val="100"/>
        </w:rPr>
        <w:t> </w:t>
      </w:r>
      <w:r>
        <w:rPr/>
        <w:t>元。</w:t>
      </w:r>
      <w:r>
        <w:rPr>
          <w:rFonts w:ascii="宋体" w:hAnsi="宋体" w:cs="宋体" w:eastAsia="宋体" w:hint="default"/>
        </w:rPr>
        <w:t> </w:t>
      </w:r>
    </w:p>
    <w:p>
      <w:pPr>
        <w:pStyle w:val="BodyText"/>
        <w:spacing w:line="408" w:lineRule="auto"/>
        <w:ind w:right="207" w:firstLine="442"/>
        <w:jc w:val="both"/>
        <w:rPr>
          <w:rFonts w:ascii="宋体" w:hAnsi="宋体" w:cs="宋体" w:eastAsia="宋体" w:hint="default"/>
        </w:rPr>
      </w:pPr>
      <w:r>
        <w:rPr/>
        <w:t>注</w:t>
      </w:r>
      <w:r>
        <w:rPr>
          <w:rFonts w:ascii="宋体" w:hAnsi="宋体" w:cs="宋体" w:eastAsia="宋体" w:hint="default"/>
        </w:rPr>
        <w:t>7</w:t>
      </w:r>
      <w:r>
        <w:rPr/>
        <w:t>：根据</w:t>
      </w:r>
      <w:r>
        <w:rPr>
          <w:rFonts w:ascii="宋体" w:hAnsi="宋体" w:cs="宋体" w:eastAsia="宋体" w:hint="default"/>
        </w:rPr>
        <w:t>2017</w:t>
      </w:r>
      <w:r>
        <w:rPr/>
        <w:t>年成都市第二批科技项目立项公告（成科计</w:t>
      </w:r>
      <w:r>
        <w:rPr>
          <w:rFonts w:ascii="宋体" w:hAnsi="宋体" w:cs="宋体" w:eastAsia="宋体" w:hint="default"/>
        </w:rPr>
        <w:t>[2017]20</w:t>
      </w:r>
      <w:r>
        <w:rPr/>
        <w:t>号），本公司收到成都高新技术</w:t>
      </w:r>
      <w:r>
        <w:rPr>
          <w:w w:val="100"/>
        </w:rPr>
        <w:t> </w:t>
      </w:r>
      <w:r>
        <w:rPr/>
        <w:t>产业开发区科技与新经济发展局拨付的</w:t>
      </w:r>
      <w:r>
        <w:rPr>
          <w:spacing w:val="-13"/>
        </w:rPr>
        <w:t> </w:t>
      </w:r>
      <w:r>
        <w:rPr>
          <w:rFonts w:ascii="宋体" w:hAnsi="宋体" w:cs="宋体" w:eastAsia="宋体" w:hint="default"/>
          <w:spacing w:val="-13"/>
        </w:rPr>
      </w:r>
      <w:r>
        <w:rPr/>
        <w:t>“电子选举计票机”项目资金</w:t>
      </w:r>
      <w:r>
        <w:rPr>
          <w:rFonts w:ascii="宋体" w:hAnsi="宋体" w:cs="宋体" w:eastAsia="宋体" w:hint="default"/>
        </w:rPr>
        <w:t>500,000.00</w:t>
      </w:r>
      <w:r>
        <w:rPr/>
        <w:t>元。</w:t>
      </w:r>
      <w:r>
        <w:rPr>
          <w:rFonts w:ascii="宋体" w:hAnsi="宋体" w:cs="宋体" w:eastAsia="宋体" w:hint="default"/>
        </w:rPr>
        <w:t> </w:t>
      </w:r>
    </w:p>
    <w:p>
      <w:pPr>
        <w:pStyle w:val="BodyText"/>
        <w:spacing w:line="240" w:lineRule="auto"/>
        <w:ind w:left="594" w:right="0"/>
        <w:jc w:val="left"/>
      </w:pPr>
      <w:r>
        <w:rPr/>
        <w:t>注</w:t>
      </w:r>
      <w:r>
        <w:rPr>
          <w:rFonts w:ascii="宋体" w:hAnsi="宋体" w:cs="宋体" w:eastAsia="宋体" w:hint="default"/>
        </w:rPr>
        <w:t>8</w:t>
      </w:r>
      <w:r>
        <w:rPr/>
        <w:t>：本公司收到成都理工大学转拨的，成都理工大学承担本公司参加的“高分辨率航空伽马能谱测</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594" w:right="153" w:hanging="443"/>
        <w:jc w:val="left"/>
      </w:pPr>
      <w:r>
        <w:rPr/>
        <w:t>量及机载成像光谱测量技术”项目资金</w:t>
      </w:r>
      <w:r>
        <w:rPr>
          <w:rFonts w:ascii="宋体" w:hAnsi="宋体" w:cs="宋体" w:eastAsia="宋体" w:hint="default"/>
        </w:rPr>
        <w:t>300,000.00</w:t>
      </w:r>
      <w:r>
        <w:rPr/>
        <w:t>元。</w:t>
      </w:r>
      <w:r>
        <w:rPr>
          <w:rFonts w:ascii="宋体" w:hAnsi="宋体" w:cs="宋体" w:eastAsia="宋体" w:hint="default"/>
          <w:w w:val="100"/>
        </w:rPr>
        <w:t> </w:t>
      </w:r>
      <w:r>
        <w:rPr>
          <w:spacing w:val="-3"/>
        </w:rPr>
        <w:t>注</w:t>
      </w:r>
      <w:r>
        <w:rPr>
          <w:rFonts w:ascii="宋体" w:hAnsi="宋体" w:cs="宋体" w:eastAsia="宋体" w:hint="default"/>
          <w:spacing w:val="-3"/>
        </w:rPr>
        <w:t>:9</w:t>
      </w:r>
      <w:r>
        <w:rPr>
          <w:spacing w:val="-3"/>
        </w:rPr>
        <w:t>：根据本公司与金华市金义都市新区管理委员会签订的“投资协议书”，子公司金华中科收到浙</w:t>
      </w:r>
    </w:p>
    <w:p>
      <w:pPr>
        <w:pStyle w:val="BodyText"/>
        <w:spacing w:line="408" w:lineRule="auto"/>
        <w:ind w:right="153"/>
        <w:jc w:val="left"/>
        <w:rPr>
          <w:rFonts w:ascii="宋体" w:hAnsi="宋体" w:cs="宋体" w:eastAsia="宋体" w:hint="default"/>
        </w:rPr>
      </w:pPr>
      <w:r>
        <w:rPr>
          <w:spacing w:val="-2"/>
        </w:rPr>
        <w:t>江金义都市经济开发区财政集中支付中心等拨付的科研专项资金支持资金，对使用该专项资金形成固定资</w:t>
      </w:r>
      <w:r>
        <w:rPr>
          <w:spacing w:val="-43"/>
        </w:rPr>
        <w:t> </w:t>
      </w:r>
      <w:r>
        <w:rPr>
          <w:spacing w:val="-43"/>
        </w:rPr>
      </w:r>
      <w:r>
        <w:rPr/>
        <w:t>产的部分，本集团作为与资产相关的政府补助，在资产使用期限内按直线法进行分摊。</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4"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100,000,000.00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46" w:firstLine="463"/>
        <w:jc w:val="both"/>
      </w:pPr>
      <w:r>
        <w:rPr>
          <w:spacing w:val="-3"/>
        </w:rPr>
        <w:t>根据本公司</w:t>
      </w:r>
      <w:r>
        <w:rPr>
          <w:rFonts w:ascii="宋体" w:hAnsi="宋体" w:cs="宋体" w:eastAsia="宋体" w:hint="default"/>
          <w:spacing w:val="-3"/>
        </w:rPr>
        <w:t>2014</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15</w:t>
      </w:r>
      <w:r>
        <w:rPr>
          <w:spacing w:val="-3"/>
        </w:rPr>
        <w:t>日召开的</w:t>
      </w:r>
      <w:r>
        <w:rPr>
          <w:rFonts w:ascii="宋体" w:hAnsi="宋体" w:cs="宋体" w:eastAsia="宋体" w:hint="default"/>
          <w:spacing w:val="-3"/>
        </w:rPr>
        <w:t>2014</w:t>
      </w:r>
      <w:r>
        <w:rPr>
          <w:spacing w:val="-3"/>
        </w:rPr>
        <w:t>年第一次临时股东大会、</w:t>
      </w:r>
      <w:r>
        <w:rPr>
          <w:rFonts w:ascii="宋体" w:hAnsi="宋体" w:cs="宋体" w:eastAsia="宋体" w:hint="default"/>
          <w:spacing w:val="-3"/>
        </w:rPr>
        <w:t>2016</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31</w:t>
      </w:r>
      <w:r>
        <w:rPr>
          <w:spacing w:val="-3"/>
        </w:rPr>
        <w:t>日召开的</w:t>
      </w:r>
      <w:r>
        <w:rPr>
          <w:rFonts w:ascii="宋体" w:hAnsi="宋体" w:cs="宋体" w:eastAsia="宋体" w:hint="default"/>
          <w:spacing w:val="-3"/>
        </w:rPr>
        <w:t>2016</w:t>
      </w:r>
      <w:r>
        <w:rPr>
          <w:spacing w:val="-3"/>
        </w:rPr>
        <w:t>年第三次临</w:t>
      </w:r>
      <w:r>
        <w:rPr>
          <w:w w:val="100"/>
        </w:rPr>
        <w:t> </w:t>
      </w:r>
      <w:r>
        <w:rPr>
          <w:spacing w:val="-2"/>
        </w:rPr>
        <w:t>时股东大会决议和《中国证券监督管理委员会关于核准中科院成都信息技术股份有限公司首次公开发行股</w:t>
      </w:r>
      <w:r>
        <w:rPr>
          <w:spacing w:val="-43"/>
        </w:rPr>
        <w:t> </w:t>
      </w:r>
      <w:r>
        <w:rPr>
          <w:spacing w:val="-43"/>
        </w:rPr>
      </w:r>
      <w:r>
        <w:rPr/>
        <w:t>票的批复》（证监许可〔</w:t>
      </w:r>
      <w:r>
        <w:rPr>
          <w:rFonts w:ascii="宋体" w:hAnsi="宋体" w:cs="宋体" w:eastAsia="宋体" w:hint="default"/>
        </w:rPr>
        <w:t>2017</w:t>
      </w:r>
      <w:r>
        <w:rPr/>
        <w:t>〕</w:t>
      </w:r>
      <w:r>
        <w:rPr>
          <w:rFonts w:ascii="宋体" w:hAnsi="宋体" w:cs="宋体" w:eastAsia="宋体" w:hint="default"/>
        </w:rPr>
        <w:t>949</w:t>
      </w:r>
      <w:r>
        <w:rPr/>
        <w:t>号）文核准，本公司以每股发行价格人民币</w:t>
      </w:r>
      <w:r>
        <w:rPr>
          <w:rFonts w:ascii="宋体" w:hAnsi="宋体" w:cs="宋体" w:eastAsia="宋体" w:hint="default"/>
        </w:rPr>
        <w:t>7.85</w:t>
      </w:r>
      <w:r>
        <w:rPr/>
        <w:t>元向社会公开发行人</w:t>
      </w:r>
      <w:r>
        <w:rPr>
          <w:spacing w:val="-26"/>
        </w:rPr>
        <w:t> </w:t>
      </w:r>
      <w:r>
        <w:rPr>
          <w:spacing w:val="-26"/>
        </w:rPr>
      </w:r>
      <w:r>
        <w:rPr/>
        <w:t>民币普通股</w:t>
      </w:r>
      <w:r>
        <w:rPr>
          <w:rFonts w:ascii="宋体" w:hAnsi="宋体" w:cs="宋体" w:eastAsia="宋体" w:hint="default"/>
        </w:rPr>
        <w:t>2,500</w:t>
      </w:r>
      <w:r>
        <w:rPr/>
        <w:t>万股，募集资金合计</w:t>
      </w:r>
      <w:r>
        <w:rPr>
          <w:rFonts w:ascii="宋体" w:hAnsi="宋体" w:cs="宋体" w:eastAsia="宋体" w:hint="default"/>
        </w:rPr>
        <w:t>196,250,000.00</w:t>
      </w:r>
      <w:r>
        <w:rPr/>
        <w:t>元。上述募集资金扣除承销费用、保荐费用以及本</w:t>
      </w:r>
      <w:r>
        <w:rPr>
          <w:spacing w:val="-26"/>
        </w:rPr>
        <w:t> </w:t>
      </w:r>
      <w:r>
        <w:rPr>
          <w:spacing w:val="-26"/>
        </w:rPr>
      </w:r>
      <w:r>
        <w:rPr/>
        <w:t>公司累计发生的其他相关发行费用后，募集资金净额人民币</w:t>
      </w:r>
      <w:r>
        <w:rPr>
          <w:rFonts w:ascii="宋体" w:hAnsi="宋体" w:cs="宋体" w:eastAsia="宋体" w:hint="default"/>
        </w:rPr>
        <w:t>157,550,000.00</w:t>
      </w:r>
      <w:r>
        <w:rPr/>
        <w:t>元，其中增加注册资本股本</w:t>
      </w:r>
      <w:r>
        <w:rPr>
          <w:spacing w:val="64"/>
        </w:rPr>
        <w:t> </w:t>
      </w:r>
      <w:r>
        <w:rPr>
          <w:spacing w:val="64"/>
        </w:rPr>
      </w:r>
      <w:r>
        <w:rPr>
          <w:rFonts w:ascii="宋体" w:hAnsi="宋体" w:cs="宋体" w:eastAsia="宋体" w:hint="default"/>
        </w:rPr>
        <w:t>25,000,000.00</w:t>
      </w:r>
      <w:r>
        <w:rPr/>
        <w:t>元，增加资本公积</w:t>
      </w:r>
      <w:r>
        <w:rPr>
          <w:rFonts w:ascii="宋体" w:hAnsi="宋体" w:cs="宋体" w:eastAsia="宋体" w:hint="default"/>
        </w:rPr>
        <w:t>132,550,000.00</w:t>
      </w:r>
      <w:r>
        <w:rPr/>
        <w:t>元。</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125,817,745.82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258,367,745.82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125,817,745.82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132,550,000.00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258,367,745.82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0" w:lineRule="auto" w:before="0"/>
        <w:ind w:left="573" w:right="153"/>
        <w:jc w:val="left"/>
        <w:rPr>
          <w:rFonts w:ascii="宋体" w:hAnsi="宋体" w:cs="宋体" w:eastAsia="宋体" w:hint="default"/>
        </w:rPr>
      </w:pPr>
      <w:r>
        <w:rPr/>
        <w:t>本年度资本溢价增加系见上“股本”注释。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16,824,585.56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3,386,554.71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20,211,140.27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5,668,771.42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1,853,814.51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7,522,585.93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22,493,356.98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5,240,369.22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27,733,726.20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0"/>
        <w:rPr>
          <w:rFonts w:ascii="宋体" w:hAnsi="宋体" w:cs="宋体" w:eastAsia="宋体" w:hint="default"/>
          <w:sz w:val="22"/>
          <w:szCs w:val="22"/>
        </w:rPr>
      </w:pPr>
    </w:p>
    <w:p>
      <w:pPr>
        <w:spacing w:line="410" w:lineRule="auto" w:before="44"/>
        <w:ind w:left="573" w:right="153" w:hanging="421"/>
        <w:jc w:val="left"/>
        <w:rPr>
          <w:rFonts w:ascii="宋体" w:hAnsi="宋体" w:cs="宋体" w:eastAsia="宋体" w:hint="default"/>
          <w:sz w:val="21"/>
          <w:szCs w:val="21"/>
        </w:rPr>
      </w:pPr>
      <w:r>
        <w:rPr>
          <w:rFonts w:ascii="宋体" w:hAnsi="宋体" w:cs="宋体" w:eastAsia="宋体" w:hint="default"/>
          <w:sz w:val="18"/>
          <w:szCs w:val="18"/>
        </w:rPr>
        <w:t>盈余公积说明，包括本期增减变动情况、变动原因说明： </w:t>
      </w: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：法定盈余公积增加系按净利润的</w:t>
      </w:r>
      <w:r>
        <w:rPr>
          <w:rFonts w:ascii="宋体" w:hAnsi="宋体" w:cs="宋体" w:eastAsia="宋体" w:hint="default"/>
          <w:sz w:val="21"/>
          <w:szCs w:val="21"/>
        </w:rPr>
        <w:t>10%</w:t>
      </w:r>
      <w:r>
        <w:rPr>
          <w:rFonts w:ascii="宋体" w:hAnsi="宋体" w:cs="宋体" w:eastAsia="宋体" w:hint="default"/>
          <w:sz w:val="21"/>
          <w:szCs w:val="21"/>
        </w:rPr>
        <w:t>提取法定盈余公积。</w:t>
      </w:r>
      <w:r>
        <w:rPr>
          <w:rFonts w:ascii="宋体" w:hAnsi="宋体" w:cs="宋体" w:eastAsia="宋体" w:hint="default"/>
          <w:w w:val="100"/>
          <w:sz w:val="21"/>
          <w:szCs w:val="21"/>
        </w:rPr>
        <w:t> </w:t>
      </w:r>
      <w:r>
        <w:rPr>
          <w:rFonts w:ascii="宋体" w:hAnsi="宋体" w:cs="宋体" w:eastAsia="宋体" w:hint="default"/>
          <w:spacing w:val="-2"/>
          <w:sz w:val="21"/>
          <w:szCs w:val="21"/>
        </w:rPr>
        <w:t>注</w:t>
      </w:r>
      <w:r>
        <w:rPr>
          <w:rFonts w:ascii="宋体" w:hAnsi="宋体" w:cs="宋体" w:eastAsia="宋体" w:hint="default"/>
          <w:spacing w:val="-2"/>
          <w:sz w:val="21"/>
          <w:szCs w:val="21"/>
        </w:rPr>
        <w:t>2</w:t>
      </w:r>
      <w:r>
        <w:rPr>
          <w:rFonts w:ascii="宋体" w:hAnsi="宋体" w:cs="宋体" w:eastAsia="宋体" w:hint="default"/>
          <w:spacing w:val="-2"/>
          <w:sz w:val="21"/>
          <w:szCs w:val="21"/>
        </w:rPr>
        <w:t>：根据本公司</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10</w:t>
      </w:r>
      <w:r>
        <w:rPr>
          <w:rFonts w:ascii="宋体" w:hAnsi="宋体" w:cs="宋体" w:eastAsia="宋体" w:hint="default"/>
          <w:spacing w:val="-2"/>
          <w:sz w:val="21"/>
          <w:szCs w:val="21"/>
        </w:rPr>
        <w:t>日召开的</w:t>
      </w:r>
      <w:r>
        <w:rPr>
          <w:rFonts w:ascii="宋体" w:hAnsi="宋体" w:cs="宋体" w:eastAsia="宋体" w:hint="default"/>
          <w:spacing w:val="-2"/>
          <w:sz w:val="21"/>
          <w:szCs w:val="21"/>
        </w:rPr>
        <w:t>2016</w:t>
      </w:r>
      <w:r>
        <w:rPr>
          <w:rFonts w:ascii="宋体" w:hAnsi="宋体" w:cs="宋体" w:eastAsia="宋体" w:hint="default"/>
          <w:spacing w:val="-2"/>
          <w:sz w:val="21"/>
          <w:szCs w:val="21"/>
        </w:rPr>
        <w:t>年度股东大会审议通过的《</w:t>
      </w:r>
      <w:r>
        <w:rPr>
          <w:rFonts w:ascii="宋体" w:hAnsi="宋体" w:cs="宋体" w:eastAsia="宋体" w:hint="default"/>
          <w:spacing w:val="-2"/>
          <w:sz w:val="21"/>
          <w:szCs w:val="21"/>
        </w:rPr>
        <w:t>2016</w:t>
      </w:r>
      <w:r>
        <w:rPr>
          <w:rFonts w:ascii="宋体" w:hAnsi="宋体" w:cs="宋体" w:eastAsia="宋体" w:hint="default"/>
          <w:spacing w:val="-2"/>
          <w:sz w:val="21"/>
          <w:szCs w:val="21"/>
        </w:rPr>
        <w:t>年度净利润分配方案》，</w:t>
      </w:r>
    </w:p>
    <w:p>
      <w:pPr>
        <w:pStyle w:val="BodyText"/>
        <w:spacing w:line="408" w:lineRule="auto" w:before="44"/>
        <w:ind w:right="153"/>
        <w:jc w:val="left"/>
        <w:rPr>
          <w:rFonts w:ascii="宋体" w:hAnsi="宋体" w:cs="宋体" w:eastAsia="宋体" w:hint="default"/>
        </w:rPr>
      </w:pPr>
      <w:r>
        <w:rPr>
          <w:spacing w:val="-2"/>
        </w:rPr>
        <w:t>本公司按</w:t>
      </w:r>
      <w:r>
        <w:rPr>
          <w:rFonts w:ascii="宋体" w:hAnsi="宋体" w:cs="宋体" w:eastAsia="宋体" w:hint="default"/>
          <w:spacing w:val="-2"/>
        </w:rPr>
        <w:t>2016</w:t>
      </w:r>
      <w:r>
        <w:rPr>
          <w:spacing w:val="-2"/>
        </w:rPr>
        <w:t>年度净利润的</w:t>
      </w:r>
      <w:r>
        <w:rPr>
          <w:rFonts w:ascii="宋体" w:hAnsi="宋体" w:cs="宋体" w:eastAsia="宋体" w:hint="default"/>
          <w:spacing w:val="-2"/>
        </w:rPr>
        <w:t>5%</w:t>
      </w:r>
      <w:r>
        <w:rPr>
          <w:spacing w:val="-2"/>
        </w:rPr>
        <w:t>提取任意盈余公积</w:t>
      </w:r>
      <w:r>
        <w:rPr>
          <w:rFonts w:ascii="宋体" w:hAnsi="宋体" w:cs="宋体" w:eastAsia="宋体" w:hint="default"/>
          <w:spacing w:val="-2"/>
        </w:rPr>
        <w:t>1,853,814.51</w:t>
      </w:r>
      <w:r>
        <w:rPr>
          <w:spacing w:val="-2"/>
        </w:rPr>
        <w:t>元，并以</w:t>
      </w:r>
      <w:r>
        <w:rPr>
          <w:rFonts w:ascii="宋体" w:hAnsi="宋体" w:cs="宋体" w:eastAsia="宋体" w:hint="default"/>
          <w:spacing w:val="-2"/>
        </w:rPr>
        <w:t>2016</w:t>
      </w:r>
      <w:r>
        <w:rPr>
          <w:spacing w:val="-2"/>
        </w:rPr>
        <w:t>年底在册股东，每股派发现金</w:t>
      </w:r>
      <w:r>
        <w:rPr>
          <w:spacing w:val="-30"/>
        </w:rPr>
        <w:t> </w:t>
      </w:r>
      <w:r>
        <w:rPr>
          <w:spacing w:val="-30"/>
        </w:rPr>
      </w:r>
      <w:r>
        <w:rPr/>
        <w:t>股利</w:t>
      </w:r>
      <w:r>
        <w:rPr>
          <w:rFonts w:ascii="宋体" w:hAnsi="宋体" w:cs="宋体" w:eastAsia="宋体" w:hint="default"/>
        </w:rPr>
        <w:t>0.125</w:t>
      </w:r>
      <w:r>
        <w:rPr/>
        <w:t>元（含税），合计分配现金股利</w:t>
      </w:r>
      <w:r>
        <w:rPr>
          <w:rFonts w:ascii="宋体" w:hAnsi="宋体" w:cs="宋体" w:eastAsia="宋体" w:hint="default"/>
        </w:rPr>
        <w:t>9,375,000.00</w:t>
      </w:r>
      <w:r>
        <w:rPr/>
        <w:t>元。</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110,816,534.97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87,032,138.28</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42,536,330.87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38,761,009.22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3,386,554.71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3,707,629.02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1,853,814.51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1,893,983.51</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9,375,000.00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9,375,000.00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138,737,496.62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110,816,534.97</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rFonts w:ascii="Times New Roman" w:hAnsi="Times New Roman" w:cs="Times New Roman" w:eastAsia="Times New Roman" w:hint="default"/>
        </w:rPr>
        <w:t>26</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286,867,282.25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188,779,769.59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240,187,059.65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167,415,564.21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3,827,043.78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362,897.24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3,894,129.47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549,563.82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290,694,326.03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189,142,666.83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244,081,189.12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167,965,128.03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27</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617,025.70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500,014.12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269,560.99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229,381.68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234,972.10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234,972.10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147,389.00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28,902.54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11,537.50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179,707.36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109,771.25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1,460,192.65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1,250,530.87</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458,075.69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417,783.88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12,761,547.59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12,597,383.18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2,205,030.10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1,925,170.43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运输及车辆费用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3,623,827.92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2,167,157.17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1,578,755.17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1,476,260.73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项目间接费用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6,006,190.63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3,007,433.21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133,943.61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52,674.41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26,767,370.71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21,643,863.01</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before="0"/>
        <w:ind w:right="146" w:firstLine="420"/>
        <w:jc w:val="both"/>
        <w:rPr>
          <w:rFonts w:ascii="宋体" w:hAnsi="宋体" w:cs="宋体" w:eastAsia="宋体" w:hint="default"/>
        </w:rPr>
      </w:pPr>
      <w:r>
        <w:rPr>
          <w:spacing w:val="-2"/>
        </w:rPr>
        <w:t>本年销售费用较上年增加</w:t>
      </w:r>
      <w:r>
        <w:rPr>
          <w:rFonts w:ascii="宋体" w:hAnsi="宋体" w:cs="宋体" w:eastAsia="宋体" w:hint="default"/>
          <w:spacing w:val="-2"/>
        </w:rPr>
        <w:t>5,123,507.70</w:t>
      </w:r>
      <w:r>
        <w:rPr>
          <w:spacing w:val="-2"/>
        </w:rPr>
        <w:t>元，增加</w:t>
      </w:r>
      <w:r>
        <w:rPr>
          <w:rFonts w:ascii="宋体" w:hAnsi="宋体" w:cs="宋体" w:eastAsia="宋体" w:hint="default"/>
          <w:spacing w:val="-2"/>
        </w:rPr>
        <w:t>23.67%</w:t>
      </w:r>
      <w:r>
        <w:rPr>
          <w:spacing w:val="-2"/>
        </w:rPr>
        <w:t>，主要系本公司本年实施的项目数量较上年增</w:t>
      </w:r>
      <w:r>
        <w:rPr>
          <w:w w:val="100"/>
        </w:rPr>
        <w:t> </w:t>
      </w:r>
      <w:r>
        <w:rPr>
          <w:spacing w:val="-2"/>
        </w:rPr>
        <w:t>加，项目实施地距离较远的项目也较上年增多，导致运输费及项目间接费的房租费、中标服务费等费用增</w:t>
      </w:r>
      <w:r>
        <w:rPr>
          <w:spacing w:val="-43"/>
        </w:rPr>
        <w:t> </w:t>
      </w:r>
      <w:r>
        <w:rPr>
          <w:spacing w:val="-43"/>
        </w:rPr>
      </w:r>
      <w:r>
        <w:rPr/>
        <w:t>加。</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11,324,641.66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8,945,049.62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12,946,436.26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8,187,295.80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中介及顾问咨询费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2,682,644.08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2,119,493.31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1,500,933.82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1,351,047.81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2,436,425.08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1,563,001.38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1,695,384.27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773,166.37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628,007.82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231,085.47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257,578.86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93,724.00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249,582.41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51,886.66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33,721,634.26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23,315,750.42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53" w:firstLine="420"/>
        <w:jc w:val="left"/>
        <w:rPr>
          <w:rFonts w:ascii="宋体" w:hAnsi="宋体" w:cs="宋体" w:eastAsia="宋体" w:hint="default"/>
        </w:rPr>
      </w:pPr>
      <w:r>
        <w:rPr>
          <w:spacing w:val="-2"/>
        </w:rPr>
        <w:t>管理费用本年较上年增加</w:t>
      </w:r>
      <w:r>
        <w:rPr>
          <w:rFonts w:ascii="宋体" w:hAnsi="宋体" w:cs="宋体" w:eastAsia="宋体" w:hint="default"/>
          <w:spacing w:val="-2"/>
        </w:rPr>
        <w:t>10,424,931.46</w:t>
      </w:r>
      <w:r>
        <w:rPr>
          <w:spacing w:val="-2"/>
        </w:rPr>
        <w:t>元、增加</w:t>
      </w:r>
      <w:r>
        <w:rPr>
          <w:rFonts w:ascii="宋体" w:hAnsi="宋体" w:cs="宋体" w:eastAsia="宋体" w:hint="default"/>
          <w:spacing w:val="-2"/>
        </w:rPr>
        <w:t>44.71%,</w:t>
      </w:r>
      <w:r>
        <w:rPr>
          <w:spacing w:val="-2"/>
        </w:rPr>
        <w:t>主要系本公司研发投入增加，以及本公司投</w:t>
      </w:r>
      <w:r>
        <w:rPr>
          <w:w w:val="100"/>
        </w:rPr>
        <w:t> </w:t>
      </w:r>
      <w:r>
        <w:rPr/>
        <w:t>资设立的子公司增加，导致管理机构及人员费用增加。</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7"/>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183,485.40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1,710,355.84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1,391,545.32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37,636.44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-1,680,146.88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-1,170,423.48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31</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11,977,582.43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7,438,341.87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579,229.89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12,015,962.06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8,017,571.76</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5,939,489.83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5,939,489.83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14,572,633.35</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53" w:firstLine="463"/>
        <w:jc w:val="left"/>
      </w:pPr>
      <w:r>
        <w:rPr>
          <w:spacing w:val="-3"/>
        </w:rPr>
        <w:t>投资收益本年较上年减少</w:t>
      </w:r>
      <w:r>
        <w:rPr>
          <w:rFonts w:ascii="宋体" w:hAnsi="宋体" w:cs="宋体" w:eastAsia="宋体" w:hint="default"/>
          <w:spacing w:val="-3"/>
        </w:rPr>
        <w:t>8,633,143.52</w:t>
      </w:r>
      <w:r>
        <w:rPr>
          <w:spacing w:val="-3"/>
        </w:rPr>
        <w:t>元，减少</w:t>
      </w:r>
      <w:r>
        <w:rPr>
          <w:rFonts w:ascii="宋体" w:hAnsi="宋体" w:cs="宋体" w:eastAsia="宋体" w:hint="default"/>
          <w:spacing w:val="-3"/>
        </w:rPr>
        <w:t>59.24%</w:t>
      </w:r>
      <w:r>
        <w:rPr>
          <w:spacing w:val="-3"/>
        </w:rPr>
        <w:t>，主要系随着电子支付的广泛应用，人民币印</w:t>
      </w:r>
      <w:r>
        <w:rPr>
          <w:w w:val="100"/>
        </w:rPr>
        <w:t> </w:t>
      </w:r>
      <w:r>
        <w:rPr>
          <w:spacing w:val="-2"/>
        </w:rPr>
        <w:t>刷检测业务量减少，使联营企业深圳中钞营业收入下滑，经营利润减少，从而导致本公司按持股比例权益</w:t>
      </w:r>
    </w:p>
    <w:p>
      <w:pPr>
        <w:spacing w:after="0" w:line="408" w:lineRule="auto"/>
        <w:jc w:val="left"/>
        <w:sectPr>
          <w:pgSz w:w="11910" w:h="16840"/>
          <w:pgMar w:header="880" w:footer="974" w:top="1100" w:bottom="1160" w:left="980" w:right="980"/>
        </w:sectPr>
      </w:pPr>
    </w:p>
    <w:p>
      <w:pPr>
        <w:spacing w:line="240" w:lineRule="auto" w:before="10"/>
        <w:rPr>
          <w:rFonts w:ascii="宋体" w:hAnsi="宋体" w:cs="宋体" w:eastAsia="宋体" w:hint="default"/>
          <w:sz w:val="26"/>
          <w:szCs w:val="26"/>
        </w:rPr>
      </w:pPr>
      <w:r>
        <w:rPr/>
        <w:pict>
          <v:group style="position:absolute;margin-left:269.690002pt;margin-top:670.415955pt;width:52.75pt;height:66.4pt;mso-position-horizontal-relative:page;mso-position-vertical-relative:page;z-index:-725608" coordorigin="5394,13408" coordsize="1055,1328">
            <v:group style="position:absolute;left:5394;top:13408;width:1055;height:1328" coordorigin="5394,13408" coordsize="1055,1328">
              <v:shape style="position:absolute;left:5394;top:13408;width:1055;height:1328" coordorigin="5394,13408" coordsize="1055,1328" path="m5394,14736l6448,14736,6448,13408,5394,13408,5394,14736xe" filled="true" fillcolor="#ffffff" stroked="false">
                <v:path arrowok="t"/>
                <v:fill type="solid"/>
              </v:shape>
            </v:group>
            <v:group style="position:absolute;left:5418;top:13876;width:1007;height:392" coordorigin="5418,13876" coordsize="1007,392">
              <v:shape style="position:absolute;left:5418;top:13876;width:1007;height:392" coordorigin="5418,13876" coordsize="1007,392" path="m5418,14268l6424,14268,6424,13876,5418,13876,5418,14268xe" filled="true" fillcolor="#ffffff" stroked="false">
                <v:path arrowok="t"/>
                <v:fill type="solid"/>
              </v:shape>
            </v:group>
            <w10:wrap type="none"/>
          </v:group>
        </w:pict>
      </w:r>
    </w:p>
    <w:p>
      <w:pPr>
        <w:pStyle w:val="BodyText"/>
        <w:spacing w:line="240" w:lineRule="auto" w:before="36"/>
        <w:ind w:right="153"/>
        <w:jc w:val="left"/>
        <w:rPr>
          <w:rFonts w:ascii="宋体" w:hAnsi="宋体" w:cs="宋体" w:eastAsia="宋体" w:hint="default"/>
        </w:rPr>
      </w:pPr>
      <w:r>
        <w:rPr/>
        <w:t>法核算的投资收益减少。</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33</w:t>
      </w:r>
      <w:r>
        <w:rPr/>
        <w:t>、资产处置收益</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处置未划分为持有待售的固定资产产生 的处置损失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34</w:t>
      </w:r>
      <w:r>
        <w:rPr/>
        <w:t>、其他收益</w:t>
      </w:r>
      <w:r>
        <w:rPr>
          <w:b w:val="0"/>
          <w:bCs w:val="0"/>
        </w:rPr>
      </w:r>
    </w:p>
    <w:p>
      <w:pPr>
        <w:spacing w:line="240" w:lineRule="auto" w:before="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35</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9,636,150.28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4,527,797.70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9,636,150.28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9,696,950.28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4,588,597.70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9,696,950.28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51" w:firstLine="0"/>
        <w:jc w:val="right"/>
        <w:rPr>
          <w:rFonts w:ascii="宋体" w:hAnsi="宋体" w:cs="宋体" w:eastAsia="宋体" w:hint="default"/>
          <w:sz w:val="18"/>
          <w:szCs w:val="18"/>
        </w:rPr>
      </w:pPr>
      <w:r>
        <w:rPr/>
        <w:pict>
          <v:group style="position:absolute;margin-left:269.690002pt;margin-top:59.107727pt;width:52.75pt;height:66.4pt;mso-position-horizontal-relative:page;mso-position-vertical-relative:paragraph;z-index:-725632" coordorigin="5394,1182" coordsize="1055,1328">
            <v:group style="position:absolute;left:5394;top:1182;width:1055;height:1328" coordorigin="5394,1182" coordsize="1055,1328">
              <v:shape style="position:absolute;left:5394;top:1182;width:1055;height:1328" coordorigin="5394,1182" coordsize="1055,1328" path="m5394,2510l6448,2510,6448,1182,5394,1182,5394,2510xe" filled="true" fillcolor="#ffffff" stroked="false">
                <v:path arrowok="t"/>
                <v:fill type="solid"/>
              </v:shape>
            </v:group>
            <v:group style="position:absolute;left:5418;top:1651;width:1007;height:392" coordorigin="5418,1651" coordsize="1007,392">
              <v:shape style="position:absolute;left:5418;top:1651;width:1007;height:392" coordorigin="5418,1651" coordsize="1007,392" path="m5418,2042l6424,2042,6424,1651,5418,1651,5418,2042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研究中心科 研专项资金 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3"/>
              <w:ind w:left="23" w:right="127"/>
              <w:jc w:val="left"/>
              <w:rPr>
                <w:rFonts w:ascii="宋体" w:hAnsi="宋体" w:cs="宋体" w:eastAsia="宋体" w:hint="default"/>
                <w:sz w:val="18"/>
                <w:szCs w:val="18"/>
              </w:rPr>
            </w:pPr>
            <w:r>
              <w:rPr>
                <w:rFonts w:ascii="宋体" w:hAnsi="宋体" w:cs="宋体" w:eastAsia="宋体" w:hint="default"/>
                <w:sz w:val="18"/>
                <w:szCs w:val="18"/>
              </w:rPr>
              <w:t>浙江省金义 都市新区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4,649,912.09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上市挂牌奖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成都市高新 区财政金融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45"/>
              <w:jc w:val="righ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油气站场安 全生产智能 控制管理平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7"/>
              <w:jc w:val="left"/>
              <w:rPr>
                <w:rFonts w:ascii="宋体" w:hAnsi="宋体" w:cs="宋体" w:eastAsia="宋体" w:hint="default"/>
                <w:sz w:val="18"/>
                <w:szCs w:val="18"/>
              </w:rPr>
            </w:pPr>
            <w:r>
              <w:rPr>
                <w:rFonts w:ascii="宋体" w:hAnsi="宋体" w:cs="宋体" w:eastAsia="宋体" w:hint="default"/>
                <w:sz w:val="18"/>
                <w:szCs w:val="18"/>
              </w:rPr>
              <w:t>成都市科技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0"/>
              <w:jc w:val="right"/>
              <w:rPr>
                <w:rFonts w:ascii="宋体" w:hAnsi="宋体" w:cs="宋体" w:eastAsia="宋体" w:hint="default"/>
                <w:sz w:val="18"/>
                <w:szCs w:val="18"/>
              </w:rPr>
            </w:pPr>
            <w:r>
              <w:rPr>
                <w:rFonts w:ascii="宋体" w:hAnsi="宋体" w:cs="宋体" w:eastAsia="宋体" w:hint="default"/>
                <w:sz w:val="18"/>
                <w:szCs w:val="18"/>
              </w:rPr>
              <w:t>面向电子政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27"/>
              <w:jc w:val="right"/>
              <w:rPr>
                <w:rFonts w:ascii="宋体" w:hAnsi="宋体" w:cs="宋体" w:eastAsia="宋体" w:hint="default"/>
                <w:sz w:val="18"/>
                <w:szCs w:val="18"/>
              </w:rPr>
            </w:pPr>
            <w:r>
              <w:rPr>
                <w:rFonts w:ascii="宋体" w:hAnsi="宋体" w:cs="宋体" w:eastAsia="宋体" w:hint="default"/>
                <w:sz w:val="18"/>
                <w:szCs w:val="18"/>
              </w:rPr>
              <w:t>浙江省金义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3"/>
              <w:ind w:right="115"/>
              <w:jc w:val="righ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51"/>
              <w:ind w:left="-152" w:right="838"/>
              <w:jc w:val="right"/>
              <w:rPr>
                <w:rFonts w:ascii="宋体" w:hAnsi="宋体" w:cs="宋体" w:eastAsia="宋体" w:hint="default"/>
                <w:sz w:val="18"/>
                <w:szCs w:val="18"/>
              </w:rPr>
            </w:pPr>
            <w:r>
              <w:rPr>
                <w:rFonts w:ascii="宋体" w:hAnsi="宋体" w:cs="宋体" w:eastAsia="宋体" w:hint="default"/>
                <w:spacing w:val="-9"/>
                <w:position w:val="-1"/>
                <w:sz w:val="18"/>
                <w:szCs w:val="18"/>
              </w:rPr>
              <w:t>、</w:t>
            </w:r>
            <w:r>
              <w:rPr>
                <w:rFonts w:ascii="宋体" w:hAnsi="宋体" w:cs="宋体" w:eastAsia="宋体" w:hint="default"/>
                <w:spacing w:val="-9"/>
                <w:sz w:val="18"/>
                <w:szCs w:val="18"/>
              </w:rPr>
              <w:t>是</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974" w:top="1100" w:bottom="1160" w:left="980" w:right="980"/>
        </w:sectPr>
      </w:pPr>
    </w:p>
    <w:p>
      <w:pPr>
        <w:spacing w:line="316" w:lineRule="auto" w:before="44"/>
        <w:ind w:left="181" w:right="0" w:firstLine="0"/>
        <w:jc w:val="both"/>
        <w:rPr>
          <w:rFonts w:ascii="宋体" w:hAnsi="宋体" w:cs="宋体" w:eastAsia="宋体" w:hint="default"/>
          <w:sz w:val="18"/>
          <w:szCs w:val="18"/>
        </w:rPr>
      </w:pPr>
      <w:r>
        <w:rPr/>
        <w:pict>
          <v:group style="position:absolute;margin-left:56.400002pt;margin-top:.931719pt;width:479.05pt;height:632.4pt;mso-position-horizontal-relative:page;mso-position-vertical-relative:paragraph;z-index:-725584" coordorigin="1128,19" coordsize="9581,12648">
            <v:group style="position:absolute;left:1138;top:28;width:1057;height:2" coordorigin="1138,28" coordsize="1057,2">
              <v:shape style="position:absolute;left:1138;top:28;width:1057;height:2" coordorigin="1138,28" coordsize="1057,0" path="m1138,28l2194,28e" filled="false" stroked="true" strokeweight=".48pt" strokecolor="#000000">
                <v:path arrowok="t"/>
              </v:shape>
            </v:group>
            <v:group style="position:absolute;left:2204;top:28;width:1054;height:2" coordorigin="2204,28" coordsize="1054,2">
              <v:shape style="position:absolute;left:2204;top:28;width:1054;height:2" coordorigin="2204,28" coordsize="1054,0" path="m2204,28l3257,28e" filled="false" stroked="true" strokeweight=".48pt" strokecolor="#000000">
                <v:path arrowok="t"/>
              </v:shape>
            </v:group>
            <v:group style="position:absolute;left:3267;top:28;width:1055;height:2" coordorigin="3267,28" coordsize="1055,2">
              <v:shape style="position:absolute;left:3267;top:28;width:1055;height:2" coordorigin="3267,28" coordsize="1055,0" path="m3267,28l4321,28e" filled="false" stroked="true" strokeweight=".48pt" strokecolor="#000000">
                <v:path arrowok="t"/>
              </v:shape>
            </v:group>
            <v:group style="position:absolute;left:4331;top:28;width:1054;height:2" coordorigin="4331,28" coordsize="1054,2">
              <v:shape style="position:absolute;left:4331;top:28;width:1054;height:2" coordorigin="4331,28" coordsize="1054,0" path="m4331,28l5384,28e" filled="false" stroked="true" strokeweight=".48pt" strokecolor="#000000">
                <v:path arrowok="t"/>
              </v:shape>
            </v:group>
            <v:group style="position:absolute;left:5394;top:28;width:1052;height:2" coordorigin="5394,28" coordsize="1052,2">
              <v:shape style="position:absolute;left:5394;top:28;width:1052;height:2" coordorigin="5394,28" coordsize="1052,0" path="m5394,28l6445,28e" filled="false" stroked="true" strokeweight=".48pt" strokecolor="#000000">
                <v:path arrowok="t"/>
              </v:shape>
            </v:group>
            <v:group style="position:absolute;left:6455;top:28;width:1054;height:2" coordorigin="6455,28" coordsize="1054,2">
              <v:shape style="position:absolute;left:6455;top:28;width:1054;height:2" coordorigin="6455,28" coordsize="1054,0" path="m6455,28l7509,28e" filled="false" stroked="true" strokeweight=".48pt" strokecolor="#000000">
                <v:path arrowok="t"/>
              </v:shape>
            </v:group>
            <v:group style="position:absolute;left:7518;top:28;width:1054;height:2" coordorigin="7518,28" coordsize="1054,2">
              <v:shape style="position:absolute;left:7518;top:28;width:1054;height:2" coordorigin="7518,28" coordsize="1054,0" path="m7518,28l8572,28e" filled="false" stroked="true" strokeweight=".48pt" strokecolor="#000000">
                <v:path arrowok="t"/>
              </v:shape>
            </v:group>
            <v:group style="position:absolute;left:8581;top:28;width:1055;height:2" coordorigin="8581,28" coordsize="1055,2">
              <v:shape style="position:absolute;left:8581;top:28;width:1055;height:2" coordorigin="8581,28" coordsize="1055,0" path="m8581,28l9635,28e" filled="false" stroked="true" strokeweight=".48pt" strokecolor="#000000">
                <v:path arrowok="t"/>
              </v:shape>
            </v:group>
            <v:group style="position:absolute;left:9645;top:28;width:1054;height:2" coordorigin="9645,28" coordsize="1054,2">
              <v:shape style="position:absolute;left:9645;top:28;width:1054;height:2" coordorigin="9645,28" coordsize="1054,0" path="m9645,28l10699,28e" filled="false" stroked="true" strokeweight=".48pt" strokecolor="#000000">
                <v:path arrowok="t"/>
              </v:shape>
            </v:group>
            <v:group style="position:absolute;left:5394;top:1020;width:1055;height:1328" coordorigin="5394,1020" coordsize="1055,1328">
              <v:shape style="position:absolute;left:5394;top:1020;width:1055;height:1328" coordorigin="5394,1020" coordsize="1055,1328" path="m5394,2347l6448,2347,6448,1020,5394,1020,5394,2347xe" filled="true" fillcolor="#ffffff" stroked="false">
                <v:path arrowok="t"/>
                <v:fill type="solid"/>
              </v:shape>
            </v:group>
            <v:group style="position:absolute;left:5418;top:1488;width:1007;height:392" coordorigin="5418,1488" coordsize="1007,392">
              <v:shape style="position:absolute;left:5418;top:1488;width:1007;height:392" coordorigin="5418,1488" coordsize="1007,392" path="m5418,1879l6424,1879,6424,1488,5418,1488,5418,1879xe" filled="true" fillcolor="#ffffff" stroked="false">
                <v:path arrowok="t"/>
                <v:fill type="solid"/>
              </v:shape>
            </v:group>
            <v:group style="position:absolute;left:1138;top:1015;width:1057;height:2" coordorigin="1138,1015" coordsize="1057,2">
              <v:shape style="position:absolute;left:1138;top:1015;width:1057;height:2" coordorigin="1138,1015" coordsize="1057,0" path="m1138,1015l2194,1015e" filled="false" stroked="true" strokeweight=".48pt" strokecolor="#000000">
                <v:path arrowok="t"/>
              </v:shape>
            </v:group>
            <v:group style="position:absolute;left:2204;top:1015;width:1054;height:2" coordorigin="2204,1015" coordsize="1054,2">
              <v:shape style="position:absolute;left:2204;top:1015;width:1054;height:2" coordorigin="2204,1015" coordsize="1054,0" path="m2204,1015l3257,1015e" filled="false" stroked="true" strokeweight=".48pt" strokecolor="#000000">
                <v:path arrowok="t"/>
              </v:shape>
            </v:group>
            <v:group style="position:absolute;left:3267;top:1015;width:1055;height:2" coordorigin="3267,1015" coordsize="1055,2">
              <v:shape style="position:absolute;left:3267;top:1015;width:1055;height:2" coordorigin="3267,1015" coordsize="1055,0" path="m3267,1015l4321,1015e" filled="false" stroked="true" strokeweight=".48pt" strokecolor="#000000">
                <v:path arrowok="t"/>
              </v:shape>
            </v:group>
            <v:group style="position:absolute;left:4331;top:1015;width:1054;height:2" coordorigin="4331,1015" coordsize="1054,2">
              <v:shape style="position:absolute;left:4331;top:1015;width:1054;height:2" coordorigin="4331,1015" coordsize="1054,0" path="m4331,1015l5384,1015e" filled="false" stroked="true" strokeweight=".48pt" strokecolor="#000000">
                <v:path arrowok="t"/>
              </v:shape>
            </v:group>
            <v:group style="position:absolute;left:5394;top:1015;width:1052;height:2" coordorigin="5394,1015" coordsize="1052,2">
              <v:shape style="position:absolute;left:5394;top:1015;width:1052;height:2" coordorigin="5394,1015" coordsize="1052,0" path="m5394,1015l6445,1015e" filled="false" stroked="true" strokeweight=".48pt" strokecolor="#000000">
                <v:path arrowok="t"/>
              </v:shape>
            </v:group>
            <v:group style="position:absolute;left:6455;top:1015;width:1054;height:2" coordorigin="6455,1015" coordsize="1054,2">
              <v:shape style="position:absolute;left:6455;top:1015;width:1054;height:2" coordorigin="6455,1015" coordsize="1054,0" path="m6455,1015l7509,1015e" filled="false" stroked="true" strokeweight=".48pt" strokecolor="#000000">
                <v:path arrowok="t"/>
              </v:shape>
            </v:group>
            <v:group style="position:absolute;left:7518;top:1015;width:1054;height:2" coordorigin="7518,1015" coordsize="1054,2">
              <v:shape style="position:absolute;left:7518;top:1015;width:1054;height:2" coordorigin="7518,1015" coordsize="1054,0" path="m7518,1015l8572,1015e" filled="false" stroked="true" strokeweight=".48pt" strokecolor="#000000">
                <v:path arrowok="t"/>
              </v:shape>
            </v:group>
            <v:group style="position:absolute;left:8581;top:1015;width:1055;height:2" coordorigin="8581,1015" coordsize="1055,2">
              <v:shape style="position:absolute;left:8581;top:1015;width:1055;height:2" coordorigin="8581,1015" coordsize="1055,0" path="m8581,1015l9635,1015e" filled="false" stroked="true" strokeweight=".48pt" strokecolor="#000000">
                <v:path arrowok="t"/>
              </v:shape>
            </v:group>
            <v:group style="position:absolute;left:9645;top:1015;width:1054;height:2" coordorigin="9645,1015" coordsize="1054,2">
              <v:shape style="position:absolute;left:9645;top:1015;width:1054;height:2" coordorigin="9645,1015" coordsize="1054,0" path="m9645,1015l10699,1015e" filled="false" stroked="true" strokeweight=".48pt" strokecolor="#000000">
                <v:path arrowok="t"/>
              </v:shape>
            </v:group>
            <v:group style="position:absolute;left:1138;top:2352;width:1057;height:2" coordorigin="1138,2352" coordsize="1057,2">
              <v:shape style="position:absolute;left:1138;top:2352;width:1057;height:2" coordorigin="1138,2352" coordsize="1057,0" path="m1138,2352l2194,2352e" filled="false" stroked="true" strokeweight=".48pt" strokecolor="#000000">
                <v:path arrowok="t"/>
              </v:shape>
            </v:group>
            <v:group style="position:absolute;left:2204;top:2352;width:1054;height:2" coordorigin="2204,2352" coordsize="1054,2">
              <v:shape style="position:absolute;left:2204;top:2352;width:1054;height:2" coordorigin="2204,2352" coordsize="1054,0" path="m2204,2352l3257,2352e" filled="false" stroked="true" strokeweight=".48pt" strokecolor="#000000">
                <v:path arrowok="t"/>
              </v:shape>
            </v:group>
            <v:group style="position:absolute;left:3267;top:2352;width:1055;height:2" coordorigin="3267,2352" coordsize="1055,2">
              <v:shape style="position:absolute;left:3267;top:2352;width:1055;height:2" coordorigin="3267,2352" coordsize="1055,0" path="m3267,2352l4321,2352e" filled="false" stroked="true" strokeweight=".48pt" strokecolor="#000000">
                <v:path arrowok="t"/>
              </v:shape>
            </v:group>
            <v:group style="position:absolute;left:4331;top:2352;width:1054;height:2" coordorigin="4331,2352" coordsize="1054,2">
              <v:shape style="position:absolute;left:4331;top:2352;width:1054;height:2" coordorigin="4331,2352" coordsize="1054,0" path="m4331,2352l5384,2352e" filled="false" stroked="true" strokeweight=".48pt" strokecolor="#000000">
                <v:path arrowok="t"/>
              </v:shape>
            </v:group>
            <v:group style="position:absolute;left:5394;top:2352;width:1052;height:2" coordorigin="5394,2352" coordsize="1052,2">
              <v:shape style="position:absolute;left:5394;top:2352;width:1052;height:2" coordorigin="5394,2352" coordsize="1052,0" path="m5394,2352l6445,2352e" filled="false" stroked="true" strokeweight=".48pt" strokecolor="#000000">
                <v:path arrowok="t"/>
              </v:shape>
            </v:group>
            <v:group style="position:absolute;left:6455;top:2352;width:1054;height:2" coordorigin="6455,2352" coordsize="1054,2">
              <v:shape style="position:absolute;left:6455;top:2352;width:1054;height:2" coordorigin="6455,2352" coordsize="1054,0" path="m6455,2352l7509,2352e" filled="false" stroked="true" strokeweight=".48pt" strokecolor="#000000">
                <v:path arrowok="t"/>
              </v:shape>
            </v:group>
            <v:group style="position:absolute;left:7518;top:2352;width:1054;height:2" coordorigin="7518,2352" coordsize="1054,2">
              <v:shape style="position:absolute;left:7518;top:2352;width:1054;height:2" coordorigin="7518,2352" coordsize="1054,0" path="m7518,2352l8572,2352e" filled="false" stroked="true" strokeweight=".48pt" strokecolor="#000000">
                <v:path arrowok="t"/>
              </v:shape>
            </v:group>
            <v:group style="position:absolute;left:8581;top:2352;width:1055;height:2" coordorigin="8581,2352" coordsize="1055,2">
              <v:shape style="position:absolute;left:8581;top:2352;width:1055;height:2" coordorigin="8581,2352" coordsize="1055,0" path="m8581,2352l9635,2352e" filled="false" stroked="true" strokeweight=".48pt" strokecolor="#000000">
                <v:path arrowok="t"/>
              </v:shape>
            </v:group>
            <v:group style="position:absolute;left:9645;top:2352;width:1054;height:2" coordorigin="9645,2352" coordsize="1054,2">
              <v:shape style="position:absolute;left:9645;top:2352;width:1054;height:2" coordorigin="9645,2352" coordsize="1054,0" path="m9645,2352l10699,2352e" filled="false" stroked="true" strokeweight=".48pt" strokecolor="#000000">
                <v:path arrowok="t"/>
              </v:shape>
            </v:group>
            <v:group style="position:absolute;left:5394;top:4632;width:1055;height:1328" coordorigin="5394,4632" coordsize="1055,1328">
              <v:shape style="position:absolute;left:5394;top:4632;width:1055;height:1328" coordorigin="5394,4632" coordsize="1055,1328" path="m5394,5960l6448,5960,6448,4632,5394,4632,5394,5960xe" filled="true" fillcolor="#ffffff" stroked="false">
                <v:path arrowok="t"/>
                <v:fill type="solid"/>
              </v:shape>
            </v:group>
            <v:group style="position:absolute;left:5418;top:5100;width:1007;height:392" coordorigin="5418,5100" coordsize="1007,392">
              <v:shape style="position:absolute;left:5418;top:5100;width:1007;height:392" coordorigin="5418,5100" coordsize="1007,392" path="m5418,5492l6424,5492,6424,5100,5418,5100,5418,5492xe" filled="true" fillcolor="#ffffff" stroked="false">
                <v:path arrowok="t"/>
                <v:fill type="solid"/>
              </v:shape>
            </v:group>
            <v:group style="position:absolute;left:1138;top:4628;width:1057;height:2" coordorigin="1138,4628" coordsize="1057,2">
              <v:shape style="position:absolute;left:1138;top:4628;width:1057;height:2" coordorigin="1138,4628" coordsize="1057,0" path="m1138,4628l2194,4628e" filled="false" stroked="true" strokeweight=".47998pt" strokecolor="#000000">
                <v:path arrowok="t"/>
              </v:shape>
            </v:group>
            <v:group style="position:absolute;left:2204;top:4628;width:1054;height:2" coordorigin="2204,4628" coordsize="1054,2">
              <v:shape style="position:absolute;left:2204;top:4628;width:1054;height:2" coordorigin="2204,4628" coordsize="1054,0" path="m2204,4628l3257,4628e" filled="false" stroked="true" strokeweight=".47998pt" strokecolor="#000000">
                <v:path arrowok="t"/>
              </v:shape>
            </v:group>
            <v:group style="position:absolute;left:3267;top:4628;width:1055;height:2" coordorigin="3267,4628" coordsize="1055,2">
              <v:shape style="position:absolute;left:3267;top:4628;width:1055;height:2" coordorigin="3267,4628" coordsize="1055,0" path="m3267,4628l4321,4628e" filled="false" stroked="true" strokeweight=".47998pt" strokecolor="#000000">
                <v:path arrowok="t"/>
              </v:shape>
            </v:group>
            <v:group style="position:absolute;left:4331;top:4628;width:1054;height:2" coordorigin="4331,4628" coordsize="1054,2">
              <v:shape style="position:absolute;left:4331;top:4628;width:1054;height:2" coordorigin="4331,4628" coordsize="1054,0" path="m4331,4628l5384,4628e" filled="false" stroked="true" strokeweight=".47998pt" strokecolor="#000000">
                <v:path arrowok="t"/>
              </v:shape>
            </v:group>
            <v:group style="position:absolute;left:5394;top:4628;width:1052;height:2" coordorigin="5394,4628" coordsize="1052,2">
              <v:shape style="position:absolute;left:5394;top:4628;width:1052;height:2" coordorigin="5394,4628" coordsize="1052,0" path="m5394,4628l6445,4628e" filled="false" stroked="true" strokeweight=".47998pt" strokecolor="#000000">
                <v:path arrowok="t"/>
              </v:shape>
            </v:group>
            <v:group style="position:absolute;left:6455;top:4628;width:1054;height:2" coordorigin="6455,4628" coordsize="1054,2">
              <v:shape style="position:absolute;left:6455;top:4628;width:1054;height:2" coordorigin="6455,4628" coordsize="1054,0" path="m6455,4628l7509,4628e" filled="false" stroked="true" strokeweight=".47998pt" strokecolor="#000000">
                <v:path arrowok="t"/>
              </v:shape>
            </v:group>
            <v:group style="position:absolute;left:7518;top:4628;width:1054;height:2" coordorigin="7518,4628" coordsize="1054,2">
              <v:shape style="position:absolute;left:7518;top:4628;width:1054;height:2" coordorigin="7518,4628" coordsize="1054,0" path="m7518,4628l8572,4628e" filled="false" stroked="true" strokeweight=".47998pt" strokecolor="#000000">
                <v:path arrowok="t"/>
              </v:shape>
            </v:group>
            <v:group style="position:absolute;left:8581;top:4628;width:1055;height:2" coordorigin="8581,4628" coordsize="1055,2">
              <v:shape style="position:absolute;left:8581;top:4628;width:1055;height:2" coordorigin="8581,4628" coordsize="1055,0" path="m8581,4628l9635,4628e" filled="false" stroked="true" strokeweight=".47998pt" strokecolor="#000000">
                <v:path arrowok="t"/>
              </v:shape>
            </v:group>
            <v:group style="position:absolute;left:9645;top:4628;width:1054;height:2" coordorigin="9645,4628" coordsize="1054,2">
              <v:shape style="position:absolute;left:9645;top:4628;width:1054;height:2" coordorigin="9645,4628" coordsize="1054,0" path="m9645,4628l10699,4628e" filled="false" stroked="true" strokeweight=".47998pt" strokecolor="#000000">
                <v:path arrowok="t"/>
              </v:shape>
            </v:group>
            <v:group style="position:absolute;left:5394;top:5969;width:1055;height:1331" coordorigin="5394,5969" coordsize="1055,1331">
              <v:shape style="position:absolute;left:5394;top:5969;width:1055;height:1331" coordorigin="5394,5969" coordsize="1055,1331" path="m5394,7299l6448,7299,6448,5969,5394,5969,5394,7299xe" filled="true" fillcolor="#ffffff" stroked="false">
                <v:path arrowok="t"/>
                <v:fill type="solid"/>
              </v:shape>
            </v:group>
            <v:group style="position:absolute;left:5418;top:6437;width:1007;height:395" coordorigin="5418,6437" coordsize="1007,395">
              <v:shape style="position:absolute;left:5418;top:6437;width:1007;height:395" coordorigin="5418,6437" coordsize="1007,395" path="m5418,6831l6424,6831,6424,6437,5418,6437,5418,6831xe" filled="true" fillcolor="#ffffff" stroked="false">
                <v:path arrowok="t"/>
                <v:fill type="solid"/>
              </v:shape>
            </v:group>
            <v:group style="position:absolute;left:1138;top:5964;width:1057;height:2" coordorigin="1138,5964" coordsize="1057,2">
              <v:shape style="position:absolute;left:1138;top:5964;width:1057;height:2" coordorigin="1138,5964" coordsize="1057,0" path="m1138,5964l2194,5964e" filled="false" stroked="true" strokeweight=".47998pt" strokecolor="#000000">
                <v:path arrowok="t"/>
              </v:shape>
            </v:group>
            <v:group style="position:absolute;left:2204;top:5964;width:1054;height:2" coordorigin="2204,5964" coordsize="1054,2">
              <v:shape style="position:absolute;left:2204;top:5964;width:1054;height:2" coordorigin="2204,5964" coordsize="1054,0" path="m2204,5964l3257,5964e" filled="false" stroked="true" strokeweight=".47998pt" strokecolor="#000000">
                <v:path arrowok="t"/>
              </v:shape>
            </v:group>
            <v:group style="position:absolute;left:3267;top:5964;width:1055;height:2" coordorigin="3267,5964" coordsize="1055,2">
              <v:shape style="position:absolute;left:3267;top:5964;width:1055;height:2" coordorigin="3267,5964" coordsize="1055,0" path="m3267,5964l4321,5964e" filled="false" stroked="true" strokeweight=".47998pt" strokecolor="#000000">
                <v:path arrowok="t"/>
              </v:shape>
            </v:group>
            <v:group style="position:absolute;left:4331;top:5964;width:1054;height:2" coordorigin="4331,5964" coordsize="1054,2">
              <v:shape style="position:absolute;left:4331;top:5964;width:1054;height:2" coordorigin="4331,5964" coordsize="1054,0" path="m4331,5964l5384,5964e" filled="false" stroked="true" strokeweight=".47998pt" strokecolor="#000000">
                <v:path arrowok="t"/>
              </v:shape>
            </v:group>
            <v:group style="position:absolute;left:5394;top:5964;width:1052;height:2" coordorigin="5394,5964" coordsize="1052,2">
              <v:shape style="position:absolute;left:5394;top:5964;width:1052;height:2" coordorigin="5394,5964" coordsize="1052,0" path="m5394,5964l6445,5964e" filled="false" stroked="true" strokeweight=".47998pt" strokecolor="#000000">
                <v:path arrowok="t"/>
              </v:shape>
            </v:group>
            <v:group style="position:absolute;left:6455;top:5964;width:1054;height:2" coordorigin="6455,5964" coordsize="1054,2">
              <v:shape style="position:absolute;left:6455;top:5964;width:1054;height:2" coordorigin="6455,5964" coordsize="1054,0" path="m6455,5964l7509,5964e" filled="false" stroked="true" strokeweight=".47998pt" strokecolor="#000000">
                <v:path arrowok="t"/>
              </v:shape>
            </v:group>
            <v:group style="position:absolute;left:7518;top:5964;width:1054;height:2" coordorigin="7518,5964" coordsize="1054,2">
              <v:shape style="position:absolute;left:7518;top:5964;width:1054;height:2" coordorigin="7518,5964" coordsize="1054,0" path="m7518,5964l8572,5964e" filled="false" stroked="true" strokeweight=".47998pt" strokecolor="#000000">
                <v:path arrowok="t"/>
              </v:shape>
            </v:group>
            <v:group style="position:absolute;left:8581;top:5964;width:1055;height:2" coordorigin="8581,5964" coordsize="1055,2">
              <v:shape style="position:absolute;left:8581;top:5964;width:1055;height:2" coordorigin="8581,5964" coordsize="1055,0" path="m8581,5964l9635,5964e" filled="false" stroked="true" strokeweight=".47998pt" strokecolor="#000000">
                <v:path arrowok="t"/>
              </v:shape>
            </v:group>
            <v:group style="position:absolute;left:9645;top:5964;width:1054;height:2" coordorigin="9645,5964" coordsize="1054,2">
              <v:shape style="position:absolute;left:9645;top:5964;width:1054;height:2" coordorigin="9645,5964" coordsize="1054,0" path="m9645,5964l10699,5964e" filled="false" stroked="true" strokeweight=".47998pt" strokecolor="#000000">
                <v:path arrowok="t"/>
              </v:shape>
            </v:group>
            <v:group style="position:absolute;left:1138;top:7304;width:1057;height:2" coordorigin="1138,7304" coordsize="1057,2">
              <v:shape style="position:absolute;left:1138;top:7304;width:1057;height:2" coordorigin="1138,7304" coordsize="1057,0" path="m1138,7304l2194,7304e" filled="false" stroked="true" strokeweight=".48001pt" strokecolor="#000000">
                <v:path arrowok="t"/>
              </v:shape>
            </v:group>
            <v:group style="position:absolute;left:2204;top:7304;width:1054;height:2" coordorigin="2204,7304" coordsize="1054,2">
              <v:shape style="position:absolute;left:2204;top:7304;width:1054;height:2" coordorigin="2204,7304" coordsize="1054,0" path="m2204,7304l3257,7304e" filled="false" stroked="true" strokeweight=".48001pt" strokecolor="#000000">
                <v:path arrowok="t"/>
              </v:shape>
            </v:group>
            <v:group style="position:absolute;left:3267;top:7304;width:1055;height:2" coordorigin="3267,7304" coordsize="1055,2">
              <v:shape style="position:absolute;left:3267;top:7304;width:1055;height:2" coordorigin="3267,7304" coordsize="1055,0" path="m3267,7304l4321,7304e" filled="false" stroked="true" strokeweight=".48001pt" strokecolor="#000000">
                <v:path arrowok="t"/>
              </v:shape>
            </v:group>
            <v:group style="position:absolute;left:4331;top:7304;width:1054;height:2" coordorigin="4331,7304" coordsize="1054,2">
              <v:shape style="position:absolute;left:4331;top:7304;width:1054;height:2" coordorigin="4331,7304" coordsize="1054,0" path="m4331,7304l5384,7304e" filled="false" stroked="true" strokeweight=".48001pt" strokecolor="#000000">
                <v:path arrowok="t"/>
              </v:shape>
            </v:group>
            <v:group style="position:absolute;left:5394;top:7304;width:1052;height:2" coordorigin="5394,7304" coordsize="1052,2">
              <v:shape style="position:absolute;left:5394;top:7304;width:1052;height:2" coordorigin="5394,7304" coordsize="1052,0" path="m5394,7304l6445,7304e" filled="false" stroked="true" strokeweight=".48001pt" strokecolor="#000000">
                <v:path arrowok="t"/>
              </v:shape>
            </v:group>
            <v:group style="position:absolute;left:6455;top:7304;width:1054;height:2" coordorigin="6455,7304" coordsize="1054,2">
              <v:shape style="position:absolute;left:6455;top:7304;width:1054;height:2" coordorigin="6455,7304" coordsize="1054,0" path="m6455,7304l7509,7304e" filled="false" stroked="true" strokeweight=".48001pt" strokecolor="#000000">
                <v:path arrowok="t"/>
              </v:shape>
            </v:group>
            <v:group style="position:absolute;left:7518;top:7304;width:1054;height:2" coordorigin="7518,7304" coordsize="1054,2">
              <v:shape style="position:absolute;left:7518;top:7304;width:1054;height:2" coordorigin="7518,7304" coordsize="1054,0" path="m7518,7304l8572,7304e" filled="false" stroked="true" strokeweight=".48001pt" strokecolor="#000000">
                <v:path arrowok="t"/>
              </v:shape>
            </v:group>
            <v:group style="position:absolute;left:8581;top:7304;width:1055;height:2" coordorigin="8581,7304" coordsize="1055,2">
              <v:shape style="position:absolute;left:8581;top:7304;width:1055;height:2" coordorigin="8581,7304" coordsize="1055,0" path="m8581,7304l9635,7304e" filled="false" stroked="true" strokeweight=".48001pt" strokecolor="#000000">
                <v:path arrowok="t"/>
              </v:shape>
            </v:group>
            <v:group style="position:absolute;left:9645;top:7304;width:1054;height:2" coordorigin="9645,7304" coordsize="1054,2">
              <v:shape style="position:absolute;left:9645;top:7304;width:1054;height:2" coordorigin="9645,7304" coordsize="1054,0" path="m9645,7304l10699,7304e" filled="false" stroked="true" strokeweight=".48001pt" strokecolor="#000000">
                <v:path arrowok="t"/>
              </v:shape>
            </v:group>
            <v:group style="position:absolute;left:5394;top:9582;width:1055;height:1331" coordorigin="5394,9582" coordsize="1055,1331">
              <v:shape style="position:absolute;left:5394;top:9582;width:1055;height:1331" coordorigin="5394,9582" coordsize="1055,1331" path="m5394,10912l6448,10912,6448,9582,5394,9582,5394,10912xe" filled="true" fillcolor="#ffffff" stroked="false">
                <v:path arrowok="t"/>
                <v:fill type="solid"/>
              </v:shape>
            </v:group>
            <v:group style="position:absolute;left:5418;top:10050;width:1007;height:394" coordorigin="5418,10050" coordsize="1007,394">
              <v:shape style="position:absolute;left:5418;top:10050;width:1007;height:394" coordorigin="5418,10050" coordsize="1007,394" path="m5418,10444l6424,10444,6424,10050,5418,10050,5418,10444xe" filled="true" fillcolor="#ffffff" stroked="false">
                <v:path arrowok="t"/>
                <v:fill type="solid"/>
              </v:shape>
            </v:group>
            <v:group style="position:absolute;left:1138;top:9577;width:1057;height:2" coordorigin="1138,9577" coordsize="1057,2">
              <v:shape style="position:absolute;left:1138;top:9577;width:1057;height:2" coordorigin="1138,9577" coordsize="1057,0" path="m1138,9577l2194,9577e" filled="false" stroked="true" strokeweight=".47998pt" strokecolor="#000000">
                <v:path arrowok="t"/>
              </v:shape>
            </v:group>
            <v:group style="position:absolute;left:2204;top:9577;width:1054;height:2" coordorigin="2204,9577" coordsize="1054,2">
              <v:shape style="position:absolute;left:2204;top:9577;width:1054;height:2" coordorigin="2204,9577" coordsize="1054,0" path="m2204,9577l3257,9577e" filled="false" stroked="true" strokeweight=".47998pt" strokecolor="#000000">
                <v:path arrowok="t"/>
              </v:shape>
            </v:group>
            <v:group style="position:absolute;left:3267;top:9577;width:1055;height:2" coordorigin="3267,9577" coordsize="1055,2">
              <v:shape style="position:absolute;left:3267;top:9577;width:1055;height:2" coordorigin="3267,9577" coordsize="1055,0" path="m3267,9577l4321,9577e" filled="false" stroked="true" strokeweight=".47998pt" strokecolor="#000000">
                <v:path arrowok="t"/>
              </v:shape>
            </v:group>
            <v:group style="position:absolute;left:4331;top:9577;width:1054;height:2" coordorigin="4331,9577" coordsize="1054,2">
              <v:shape style="position:absolute;left:4331;top:9577;width:1054;height:2" coordorigin="4331,9577" coordsize="1054,0" path="m4331,9577l5384,9577e" filled="false" stroked="true" strokeweight=".47998pt" strokecolor="#000000">
                <v:path arrowok="t"/>
              </v:shape>
            </v:group>
            <v:group style="position:absolute;left:5394;top:9577;width:1052;height:2" coordorigin="5394,9577" coordsize="1052,2">
              <v:shape style="position:absolute;left:5394;top:9577;width:1052;height:2" coordorigin="5394,9577" coordsize="1052,0" path="m5394,9577l6445,9577e" filled="false" stroked="true" strokeweight=".47998pt" strokecolor="#000000">
                <v:path arrowok="t"/>
              </v:shape>
            </v:group>
            <v:group style="position:absolute;left:6455;top:9577;width:1054;height:2" coordorigin="6455,9577" coordsize="1054,2">
              <v:shape style="position:absolute;left:6455;top:9577;width:1054;height:2" coordorigin="6455,9577" coordsize="1054,0" path="m6455,9577l7509,9577e" filled="false" stroked="true" strokeweight=".47998pt" strokecolor="#000000">
                <v:path arrowok="t"/>
              </v:shape>
            </v:group>
            <v:group style="position:absolute;left:7518;top:9577;width:1054;height:2" coordorigin="7518,9577" coordsize="1054,2">
              <v:shape style="position:absolute;left:7518;top:9577;width:1054;height:2" coordorigin="7518,9577" coordsize="1054,0" path="m7518,9577l8572,9577e" filled="false" stroked="true" strokeweight=".47998pt" strokecolor="#000000">
                <v:path arrowok="t"/>
              </v:shape>
            </v:group>
            <v:group style="position:absolute;left:8581;top:9577;width:1055;height:2" coordorigin="8581,9577" coordsize="1055,2">
              <v:shape style="position:absolute;left:8581;top:9577;width:1055;height:2" coordorigin="8581,9577" coordsize="1055,0" path="m8581,9577l9635,9577e" filled="false" stroked="true" strokeweight=".47998pt" strokecolor="#000000">
                <v:path arrowok="t"/>
              </v:shape>
            </v:group>
            <v:group style="position:absolute;left:9645;top:9577;width:1054;height:2" coordorigin="9645,9577" coordsize="1054,2">
              <v:shape style="position:absolute;left:9645;top:9577;width:1054;height:2" coordorigin="9645,9577" coordsize="1054,0" path="m9645,9577l10699,9577e" filled="false" stroked="true" strokeweight=".47998pt" strokecolor="#000000">
                <v:path arrowok="t"/>
              </v:shape>
            </v:group>
            <v:group style="position:absolute;left:5394;top:10921;width:1055;height:1328" coordorigin="5394,10921" coordsize="1055,1328">
              <v:shape style="position:absolute;left:5394;top:10921;width:1055;height:1328" coordorigin="5394,10921" coordsize="1055,1328" path="m5394,12249l6448,12249,6448,10921,5394,10921,5394,12249xe" filled="true" fillcolor="#ffffff" stroked="false">
                <v:path arrowok="t"/>
                <v:fill type="solid"/>
              </v:shape>
            </v:group>
            <v:group style="position:absolute;left:5418;top:11389;width:1007;height:392" coordorigin="5418,11389" coordsize="1007,392">
              <v:shape style="position:absolute;left:5418;top:11389;width:1007;height:392" coordorigin="5418,11389" coordsize="1007,392" path="m5418,11781l6424,11781,6424,11389,5418,11389,5418,11781xe" filled="true" fillcolor="#ffffff" stroked="false">
                <v:path arrowok="t"/>
                <v:fill type="solid"/>
              </v:shape>
            </v:group>
            <v:group style="position:absolute;left:1138;top:10917;width:1057;height:2" coordorigin="1138,10917" coordsize="1057,2">
              <v:shape style="position:absolute;left:1138;top:10917;width:1057;height:2" coordorigin="1138,10917" coordsize="1057,0" path="m1138,10917l2194,10917e" filled="false" stroked="true" strokeweight=".47998pt" strokecolor="#000000">
                <v:path arrowok="t"/>
              </v:shape>
            </v:group>
            <v:group style="position:absolute;left:2204;top:10917;width:1054;height:2" coordorigin="2204,10917" coordsize="1054,2">
              <v:shape style="position:absolute;left:2204;top:10917;width:1054;height:2" coordorigin="2204,10917" coordsize="1054,0" path="m2204,10917l3257,10917e" filled="false" stroked="true" strokeweight=".47998pt" strokecolor="#000000">
                <v:path arrowok="t"/>
              </v:shape>
            </v:group>
            <v:group style="position:absolute;left:3267;top:10917;width:1055;height:2" coordorigin="3267,10917" coordsize="1055,2">
              <v:shape style="position:absolute;left:3267;top:10917;width:1055;height:2" coordorigin="3267,10917" coordsize="1055,0" path="m3267,10917l4321,10917e" filled="false" stroked="true" strokeweight=".47998pt" strokecolor="#000000">
                <v:path arrowok="t"/>
              </v:shape>
            </v:group>
            <v:group style="position:absolute;left:4331;top:10917;width:1054;height:2" coordorigin="4331,10917" coordsize="1054,2">
              <v:shape style="position:absolute;left:4331;top:10917;width:1054;height:2" coordorigin="4331,10917" coordsize="1054,0" path="m4331,10917l5384,10917e" filled="false" stroked="true" strokeweight=".47998pt" strokecolor="#000000">
                <v:path arrowok="t"/>
              </v:shape>
            </v:group>
            <v:group style="position:absolute;left:5394;top:10917;width:1052;height:2" coordorigin="5394,10917" coordsize="1052,2">
              <v:shape style="position:absolute;left:5394;top:10917;width:1052;height:2" coordorigin="5394,10917" coordsize="1052,0" path="m5394,10917l6445,10917e" filled="false" stroked="true" strokeweight=".47998pt" strokecolor="#000000">
                <v:path arrowok="t"/>
              </v:shape>
            </v:group>
            <v:group style="position:absolute;left:6455;top:10917;width:1054;height:2" coordorigin="6455,10917" coordsize="1054,2">
              <v:shape style="position:absolute;left:6455;top:10917;width:1054;height:2" coordorigin="6455,10917" coordsize="1054,0" path="m6455,10917l7509,10917e" filled="false" stroked="true" strokeweight=".47998pt" strokecolor="#000000">
                <v:path arrowok="t"/>
              </v:shape>
            </v:group>
            <v:group style="position:absolute;left:7518;top:10917;width:1054;height:2" coordorigin="7518,10917" coordsize="1054,2">
              <v:shape style="position:absolute;left:7518;top:10917;width:1054;height:2" coordorigin="7518,10917" coordsize="1054,0" path="m7518,10917l8572,10917e" filled="false" stroked="true" strokeweight=".47998pt" strokecolor="#000000">
                <v:path arrowok="t"/>
              </v:shape>
            </v:group>
            <v:group style="position:absolute;left:8581;top:10917;width:1055;height:2" coordorigin="8581,10917" coordsize="1055,2">
              <v:shape style="position:absolute;left:8581;top:10917;width:1055;height:2" coordorigin="8581,10917" coordsize="1055,0" path="m8581,10917l9635,10917e" filled="false" stroked="true" strokeweight=".47998pt" strokecolor="#000000">
                <v:path arrowok="t"/>
              </v:shape>
            </v:group>
            <v:group style="position:absolute;left:9645;top:10917;width:1054;height:2" coordorigin="9645,10917" coordsize="1054,2">
              <v:shape style="position:absolute;left:9645;top:10917;width:1054;height:2" coordorigin="9645,10917" coordsize="1054,0" path="m9645,10917l10699,10917e" filled="false" stroked="true" strokeweight=".47998pt" strokecolor="#000000">
                <v:path arrowok="t"/>
              </v:shape>
            </v:group>
            <v:group style="position:absolute;left:2172;top:12258;width:22;height:394" coordorigin="2172,12258" coordsize="22,394">
              <v:shape style="position:absolute;left:2172;top:12258;width:22;height:394" coordorigin="2172,12258" coordsize="22,394" path="m2172,12652l2194,12652,2194,12258,2172,12258,2172,12652xe" filled="true" fillcolor="#d2d2d2" stroked="false">
                <v:path arrowok="t"/>
                <v:fill type="solid"/>
              </v:shape>
            </v:group>
            <v:group style="position:absolute;left:1140;top:12258;width:22;height:394" coordorigin="1140,12258" coordsize="22,394">
              <v:shape style="position:absolute;left:1140;top:12258;width:22;height:394" coordorigin="1140,12258" coordsize="22,394" path="m1140,12652l1162,12652,1162,12258,1140,12258,1140,12652xe" filled="true" fillcolor="#d2d2d2" stroked="false">
                <v:path arrowok="t"/>
                <v:fill type="solid"/>
              </v:shape>
            </v:group>
            <v:group style="position:absolute;left:1162;top:12258;width:1011;height:394" coordorigin="1162,12258" coordsize="1011,394">
              <v:shape style="position:absolute;left:1162;top:12258;width:1011;height:394" coordorigin="1162,12258" coordsize="1011,394" path="m1162,12652l2172,12652,2172,12258,1162,12258,1162,12652xe" filled="true" fillcolor="#d2d2d2" stroked="false">
                <v:path arrowok="t"/>
                <v:fill type="solid"/>
              </v:shape>
            </v:group>
            <v:group style="position:absolute;left:3233;top:12258;width:24;height:394" coordorigin="3233,12258" coordsize="24,394">
              <v:shape style="position:absolute;left:3233;top:12258;width:24;height:394" coordorigin="3233,12258" coordsize="24,394" path="m3233,12652l3257,12652,3257,12258,3233,12258,3233,12652xe" filled="true" fillcolor="#d2d2d2" stroked="false">
                <v:path arrowok="t"/>
                <v:fill type="solid"/>
              </v:shape>
            </v:group>
            <v:group style="position:absolute;left:2204;top:12258;width:24;height:394" coordorigin="2204,12258" coordsize="24,394">
              <v:shape style="position:absolute;left:2204;top:12258;width:24;height:394" coordorigin="2204,12258" coordsize="24,394" path="m2204,12652l2228,12652,2228,12258,2204,12258,2204,12652xe" filled="true" fillcolor="#d2d2d2" stroked="false">
                <v:path arrowok="t"/>
                <v:fill type="solid"/>
              </v:shape>
            </v:group>
            <v:group style="position:absolute;left:2228;top:12258;width:1006;height:394" coordorigin="2228,12258" coordsize="1006,394">
              <v:shape style="position:absolute;left:2228;top:12258;width:1006;height:394" coordorigin="2228,12258" coordsize="1006,394" path="m2228,12652l3233,12652,3233,12258,2228,12258,2228,12652xe" filled="true" fillcolor="#d2d2d2" stroked="false">
                <v:path arrowok="t"/>
                <v:fill type="solid"/>
              </v:shape>
            </v:group>
            <v:group style="position:absolute;left:4297;top:12258;width:24;height:394" coordorigin="4297,12258" coordsize="24,394">
              <v:shape style="position:absolute;left:4297;top:12258;width:24;height:394" coordorigin="4297,12258" coordsize="24,394" path="m4297,12652l4321,12652,4321,12258,4297,12258,4297,12652xe" filled="true" fillcolor="#d2d2d2" stroked="false">
                <v:path arrowok="t"/>
                <v:fill type="solid"/>
              </v:shape>
            </v:group>
            <v:group style="position:absolute;left:3267;top:12258;width:24;height:394" coordorigin="3267,12258" coordsize="24,394">
              <v:shape style="position:absolute;left:3267;top:12258;width:24;height:394" coordorigin="3267,12258" coordsize="24,394" path="m3267,12652l3291,12652,3291,12258,3267,12258,3267,12652xe" filled="true" fillcolor="#d2d2d2" stroked="false">
                <v:path arrowok="t"/>
                <v:fill type="solid"/>
              </v:shape>
            </v:group>
            <v:group style="position:absolute;left:3291;top:12258;width:1007;height:394" coordorigin="3291,12258" coordsize="1007,394">
              <v:shape style="position:absolute;left:3291;top:12258;width:1007;height:394" coordorigin="3291,12258" coordsize="1007,394" path="m3291,12652l4297,12652,4297,12258,3291,12258,3291,12652xe" filled="true" fillcolor="#d2d2d2" stroked="false">
                <v:path arrowok="t"/>
                <v:fill type="solid"/>
              </v:shape>
            </v:group>
            <v:group style="position:absolute;left:5360;top:12258;width:24;height:394" coordorigin="5360,12258" coordsize="24,394">
              <v:shape style="position:absolute;left:5360;top:12258;width:24;height:394" coordorigin="5360,12258" coordsize="24,394" path="m5360,12652l5384,12652,5384,12258,5360,12258,5360,12652xe" filled="true" fillcolor="#d2d2d2" stroked="false">
                <v:path arrowok="t"/>
                <v:fill type="solid"/>
              </v:shape>
            </v:group>
            <v:group style="position:absolute;left:4331;top:12258;width:24;height:394" coordorigin="4331,12258" coordsize="24,394">
              <v:shape style="position:absolute;left:4331;top:12258;width:24;height:394" coordorigin="4331,12258" coordsize="24,394" path="m4331,12652l4355,12652,4355,12258,4331,12258,4331,12652xe" filled="true" fillcolor="#d2d2d2" stroked="false">
                <v:path arrowok="t"/>
                <v:fill type="solid"/>
              </v:shape>
            </v:group>
            <v:group style="position:absolute;left:4355;top:12258;width:1006;height:394" coordorigin="4355,12258" coordsize="1006,394">
              <v:shape style="position:absolute;left:4355;top:12258;width:1006;height:394" coordorigin="4355,12258" coordsize="1006,394" path="m4355,12652l5360,12652,5360,12258,4355,12258,4355,12652xe" filled="true" fillcolor="#d2d2d2" stroked="false">
                <v:path arrowok="t"/>
                <v:fill type="solid"/>
              </v:shape>
            </v:group>
            <v:group style="position:absolute;left:6424;top:12258;width:24;height:394" coordorigin="6424,12258" coordsize="24,394">
              <v:shape style="position:absolute;left:6424;top:12258;width:24;height:394" coordorigin="6424,12258" coordsize="24,394" path="m6424,12652l6448,12652,6448,12258,6424,12258,6424,12652xe" filled="true" fillcolor="#d2d2d2" stroked="false">
                <v:path arrowok="t"/>
                <v:fill type="solid"/>
              </v:shape>
            </v:group>
            <v:group style="position:absolute;left:5394;top:12258;width:24;height:394" coordorigin="5394,12258" coordsize="24,394">
              <v:shape style="position:absolute;left:5394;top:12258;width:24;height:394" coordorigin="5394,12258" coordsize="24,394" path="m5394,12652l5418,12652,5418,12258,5394,12258,5394,12652xe" filled="true" fillcolor="#d2d2d2" stroked="false">
                <v:path arrowok="t"/>
                <v:fill type="solid"/>
              </v:shape>
            </v:group>
            <v:group style="position:absolute;left:5418;top:12258;width:1007;height:394" coordorigin="5418,12258" coordsize="1007,394">
              <v:shape style="position:absolute;left:5418;top:12258;width:1007;height:394" coordorigin="5418,12258" coordsize="1007,394" path="m5418,12652l6424,12652,6424,12258,5418,12258,5418,12652xe" filled="true" fillcolor="#d2d2d2" stroked="false">
                <v:path arrowok="t"/>
                <v:fill type="solid"/>
              </v:shape>
            </v:group>
            <v:group style="position:absolute;left:7487;top:12258;width:24;height:394" coordorigin="7487,12258" coordsize="24,394">
              <v:shape style="position:absolute;left:7487;top:12258;width:24;height:394" coordorigin="7487,12258" coordsize="24,394" path="m7487,12652l7511,12652,7511,12258,7487,12258,7487,12652xe" filled="true" fillcolor="#d2d2d2" stroked="false">
                <v:path arrowok="t"/>
                <v:fill type="solid"/>
              </v:shape>
            </v:group>
            <v:group style="position:absolute;left:6457;top:12258;width:24;height:394" coordorigin="6457,12258" coordsize="24,394">
              <v:shape style="position:absolute;left:6457;top:12258;width:24;height:394" coordorigin="6457,12258" coordsize="24,394" path="m6457,12652l6481,12652,6481,12258,6457,12258,6457,12652xe" filled="true" fillcolor="#d2d2d2" stroked="false">
                <v:path arrowok="t"/>
                <v:fill type="solid"/>
              </v:shape>
            </v:group>
            <v:group style="position:absolute;left:6481;top:12258;width:1006;height:394" coordorigin="6481,12258" coordsize="1006,394">
              <v:shape style="position:absolute;left:6481;top:12258;width:1006;height:394" coordorigin="6481,12258" coordsize="1006,394" path="m6481,12652l7487,12652,7487,12258,6481,12258,6481,12652xe" filled="true" fillcolor="#d2d2d2" stroked="false">
                <v:path arrowok="t"/>
                <v:fill type="solid"/>
              </v:shape>
            </v:group>
            <v:group style="position:absolute;left:10677;top:12258;width:22;height:394" coordorigin="10677,12258" coordsize="22,394">
              <v:shape style="position:absolute;left:10677;top:12258;width:22;height:394" coordorigin="10677,12258" coordsize="22,394" path="m10677,12652l10699,12652,10699,12258,10677,12258,10677,12652xe" filled="true" fillcolor="#d2d2d2" stroked="false">
                <v:path arrowok="t"/>
                <v:fill type="solid"/>
              </v:shape>
            </v:group>
            <v:group style="position:absolute;left:9648;top:12258;width:22;height:394" coordorigin="9648,12258" coordsize="22,394">
              <v:shape style="position:absolute;left:9648;top:12258;width:22;height:394" coordorigin="9648,12258" coordsize="22,394" path="m9648,12652l9669,12652,9669,12258,9648,12258,9648,12652xe" filled="true" fillcolor="#d2d2d2" stroked="false">
                <v:path arrowok="t"/>
                <v:fill type="solid"/>
              </v:shape>
            </v:group>
            <v:group style="position:absolute;left:9669;top:12258;width:1008;height:394" coordorigin="9669,12258" coordsize="1008,394">
              <v:shape style="position:absolute;left:9669;top:12258;width:1008;height:394" coordorigin="9669,12258" coordsize="1008,394" path="m9669,12652l10677,12652,10677,12258,9669,12258,9669,12652xe" filled="true" fillcolor="#d2d2d2" stroked="false">
                <v:path arrowok="t"/>
                <v:fill type="solid"/>
              </v:shape>
            </v:group>
            <v:group style="position:absolute;left:1138;top:12253;width:1057;height:2" coordorigin="1138,12253" coordsize="1057,2">
              <v:shape style="position:absolute;left:1138;top:12253;width:1057;height:2" coordorigin="1138,12253" coordsize="1057,0" path="m1138,12253l2194,12253e" filled="false" stroked="true" strokeweight=".48004pt" strokecolor="#000000">
                <v:path arrowok="t"/>
              </v:shape>
            </v:group>
            <v:group style="position:absolute;left:2204;top:12253;width:1054;height:2" coordorigin="2204,12253" coordsize="1054,2">
              <v:shape style="position:absolute;left:2204;top:12253;width:1054;height:2" coordorigin="2204,12253" coordsize="1054,0" path="m2204,12253l3257,12253e" filled="false" stroked="true" strokeweight=".48004pt" strokecolor="#000000">
                <v:path arrowok="t"/>
              </v:shape>
            </v:group>
            <v:group style="position:absolute;left:3267;top:12253;width:1055;height:2" coordorigin="3267,12253" coordsize="1055,2">
              <v:shape style="position:absolute;left:3267;top:12253;width:1055;height:2" coordorigin="3267,12253" coordsize="1055,0" path="m3267,12253l4321,12253e" filled="false" stroked="true" strokeweight=".48004pt" strokecolor="#000000">
                <v:path arrowok="t"/>
              </v:shape>
            </v:group>
            <v:group style="position:absolute;left:4331;top:12253;width:1054;height:2" coordorigin="4331,12253" coordsize="1054,2">
              <v:shape style="position:absolute;left:4331;top:12253;width:1054;height:2" coordorigin="4331,12253" coordsize="1054,0" path="m4331,12253l5384,12253e" filled="false" stroked="true" strokeweight=".48004pt" strokecolor="#000000">
                <v:path arrowok="t"/>
              </v:shape>
            </v:group>
            <v:group style="position:absolute;left:5394;top:12253;width:1052;height:2" coordorigin="5394,12253" coordsize="1052,2">
              <v:shape style="position:absolute;left:5394;top:12253;width:1052;height:2" coordorigin="5394,12253" coordsize="1052,0" path="m5394,12253l6445,12253e" filled="false" stroked="true" strokeweight=".48004pt" strokecolor="#000000">
                <v:path arrowok="t"/>
              </v:shape>
            </v:group>
            <v:group style="position:absolute;left:6455;top:12253;width:1054;height:2" coordorigin="6455,12253" coordsize="1054,2">
              <v:shape style="position:absolute;left:6455;top:12253;width:1054;height:2" coordorigin="6455,12253" coordsize="1054,0" path="m6455,12253l7509,12253e" filled="false" stroked="true" strokeweight=".48004pt" strokecolor="#000000">
                <v:path arrowok="t"/>
              </v:shape>
            </v:group>
            <v:group style="position:absolute;left:7518;top:12253;width:1054;height:2" coordorigin="7518,12253" coordsize="1054,2">
              <v:shape style="position:absolute;left:7518;top:12253;width:1054;height:2" coordorigin="7518,12253" coordsize="1054,0" path="m7518,12253l8572,12253e" filled="false" stroked="true" strokeweight=".48004pt" strokecolor="#000000">
                <v:path arrowok="t"/>
              </v:shape>
            </v:group>
            <v:group style="position:absolute;left:8581;top:12253;width:1055;height:2" coordorigin="8581,12253" coordsize="1055,2">
              <v:shape style="position:absolute;left:8581;top:12253;width:1055;height:2" coordorigin="8581,12253" coordsize="1055,0" path="m8581,12253l9635,12253e" filled="false" stroked="true" strokeweight=".48004pt" strokecolor="#000000">
                <v:path arrowok="t"/>
              </v:shape>
            </v:group>
            <v:group style="position:absolute;left:9645;top:12253;width:1054;height:2" coordorigin="9645,12253" coordsize="1054,2">
              <v:shape style="position:absolute;left:9645;top:12253;width:1054;height:2" coordorigin="9645,12253" coordsize="1054,0" path="m9645,12253l10699,12253e" filled="false" stroked="true" strokeweight=".48004pt" strokecolor="#000000">
                <v:path arrowok="t"/>
              </v:shape>
            </v:group>
            <v:group style="position:absolute;left:1133;top:23;width:2;height:12638" coordorigin="1133,23" coordsize="2,12638">
              <v:shape style="position:absolute;left:1133;top:23;width:2;height:12638" coordorigin="1133,23" coordsize="0,12638" path="m1133,23l1133,12661e" filled="false" stroked="true" strokeweight=".48pt" strokecolor="#000000">
                <v:path arrowok="t"/>
              </v:shape>
            </v:group>
            <v:group style="position:absolute;left:1138;top:12657;width:1057;height:2" coordorigin="1138,12657" coordsize="1057,2">
              <v:shape style="position:absolute;left:1138;top:12657;width:1057;height:2" coordorigin="1138,12657" coordsize="1057,0" path="m1138,12657l2194,12657e" filled="false" stroked="true" strokeweight=".47998pt" strokecolor="#000000">
                <v:path arrowok="t"/>
              </v:shape>
            </v:group>
            <v:group style="position:absolute;left:2199;top:23;width:2;height:12638" coordorigin="2199,23" coordsize="2,12638">
              <v:shape style="position:absolute;left:2199;top:23;width:2;height:12638" coordorigin="2199,23" coordsize="0,12638" path="m2199,23l2199,12661e" filled="false" stroked="true" strokeweight=".48pt" strokecolor="#000000">
                <v:path arrowok="t"/>
              </v:shape>
            </v:group>
            <v:group style="position:absolute;left:2204;top:12657;width:1054;height:2" coordorigin="2204,12657" coordsize="1054,2">
              <v:shape style="position:absolute;left:2204;top:12657;width:1054;height:2" coordorigin="2204,12657" coordsize="1054,0" path="m2204,12657l3257,12657e" filled="false" stroked="true" strokeweight=".47998pt" strokecolor="#000000">
                <v:path arrowok="t"/>
              </v:shape>
            </v:group>
            <v:group style="position:absolute;left:3262;top:23;width:2;height:12638" coordorigin="3262,23" coordsize="2,12638">
              <v:shape style="position:absolute;left:3262;top:23;width:2;height:12638" coordorigin="3262,23" coordsize="0,12638" path="m3262,23l3262,12661e" filled="false" stroked="true" strokeweight=".48pt" strokecolor="#000000">
                <v:path arrowok="t"/>
              </v:shape>
            </v:group>
            <v:group style="position:absolute;left:3267;top:12657;width:1055;height:2" coordorigin="3267,12657" coordsize="1055,2">
              <v:shape style="position:absolute;left:3267;top:12657;width:1055;height:2" coordorigin="3267,12657" coordsize="1055,0" path="m3267,12657l4321,12657e" filled="false" stroked="true" strokeweight=".47998pt" strokecolor="#000000">
                <v:path arrowok="t"/>
              </v:shape>
            </v:group>
            <v:group style="position:absolute;left:4326;top:23;width:2;height:12638" coordorigin="4326,23" coordsize="2,12638">
              <v:shape style="position:absolute;left:4326;top:23;width:2;height:12638" coordorigin="4326,23" coordsize="0,12638" path="m4326,23l4326,12661e" filled="false" stroked="true" strokeweight=".48pt" strokecolor="#000000">
                <v:path arrowok="t"/>
              </v:shape>
            </v:group>
            <v:group style="position:absolute;left:4331;top:12657;width:1054;height:2" coordorigin="4331,12657" coordsize="1054,2">
              <v:shape style="position:absolute;left:4331;top:12657;width:1054;height:2" coordorigin="4331,12657" coordsize="1054,0" path="m4331,12657l5384,12657e" filled="false" stroked="true" strokeweight=".47998pt" strokecolor="#000000">
                <v:path arrowok="t"/>
              </v:shape>
            </v:group>
            <v:group style="position:absolute;left:5389;top:23;width:2;height:12638" coordorigin="5389,23" coordsize="2,12638">
              <v:shape style="position:absolute;left:5389;top:23;width:2;height:12638" coordorigin="5389,23" coordsize="0,12638" path="m5389,23l5389,12661e" filled="false" stroked="true" strokeweight=".47998pt" strokecolor="#000000">
                <v:path arrowok="t"/>
              </v:shape>
            </v:group>
            <v:group style="position:absolute;left:5394;top:12657;width:1052;height:2" coordorigin="5394,12657" coordsize="1052,2">
              <v:shape style="position:absolute;left:5394;top:12657;width:1052;height:2" coordorigin="5394,12657" coordsize="1052,0" path="m5394,12657l6445,12657e" filled="false" stroked="true" strokeweight=".47998pt" strokecolor="#000000">
                <v:path arrowok="t"/>
              </v:shape>
            </v:group>
            <v:group style="position:absolute;left:6450;top:23;width:2;height:12638" coordorigin="6450,23" coordsize="2,12638">
              <v:shape style="position:absolute;left:6450;top:23;width:2;height:12638" coordorigin="6450,23" coordsize="0,12638" path="m6450,23l6450,12661e" filled="false" stroked="true" strokeweight=".48001pt" strokecolor="#000000">
                <v:path arrowok="t"/>
              </v:shape>
            </v:group>
            <v:group style="position:absolute;left:6455;top:12657;width:1054;height:2" coordorigin="6455,12657" coordsize="1054,2">
              <v:shape style="position:absolute;left:6455;top:12657;width:1054;height:2" coordorigin="6455,12657" coordsize="1054,0" path="m6455,12657l7509,12657e" filled="false" stroked="true" strokeweight=".47998pt" strokecolor="#000000">
                <v:path arrowok="t"/>
              </v:shape>
            </v:group>
            <v:group style="position:absolute;left:7513;top:23;width:2;height:12638" coordorigin="7513,23" coordsize="2,12638">
              <v:shape style="position:absolute;left:7513;top:23;width:2;height:12638" coordorigin="7513,23" coordsize="0,12638" path="m7513,23l7513,12661e" filled="false" stroked="true" strokeweight=".48001pt" strokecolor="#000000">
                <v:path arrowok="t"/>
              </v:shape>
            </v:group>
            <v:group style="position:absolute;left:7518;top:12657;width:1054;height:2" coordorigin="7518,12657" coordsize="1054,2">
              <v:shape style="position:absolute;left:7518;top:12657;width:1054;height:2" coordorigin="7518,12657" coordsize="1054,0" path="m7518,12657l8572,12657e" filled="false" stroked="true" strokeweight=".47998pt" strokecolor="#000000">
                <v:path arrowok="t"/>
              </v:shape>
            </v:group>
            <v:group style="position:absolute;left:8577;top:23;width:2;height:12638" coordorigin="8577,23" coordsize="2,12638">
              <v:shape style="position:absolute;left:8577;top:23;width:2;height:12638" coordorigin="8577,23" coordsize="0,12638" path="m8577,23l8577,12661e" filled="false" stroked="true" strokeweight=".47998pt" strokecolor="#000000">
                <v:path arrowok="t"/>
              </v:shape>
            </v:group>
            <v:group style="position:absolute;left:8581;top:12657;width:1055;height:2" coordorigin="8581,12657" coordsize="1055,2">
              <v:shape style="position:absolute;left:8581;top:12657;width:1055;height:2" coordorigin="8581,12657" coordsize="1055,0" path="m8581,12657l9635,12657e" filled="false" stroked="true" strokeweight=".47998pt" strokecolor="#000000">
                <v:path arrowok="t"/>
              </v:shape>
            </v:group>
            <v:group style="position:absolute;left:9640;top:23;width:2;height:12638" coordorigin="9640,23" coordsize="2,12638">
              <v:shape style="position:absolute;left:9640;top:23;width:2;height:12638" coordorigin="9640,23" coordsize="0,12638" path="m9640,23l9640,12661e" filled="false" stroked="true" strokeweight=".48001pt" strokecolor="#000000">
                <v:path arrowok="t"/>
              </v:shape>
            </v:group>
            <v:group style="position:absolute;left:9645;top:12657;width:1054;height:2" coordorigin="9645,12657" coordsize="1054,2">
              <v:shape style="position:absolute;left:9645;top:12657;width:1054;height:2" coordorigin="9645,12657" coordsize="1054,0" path="m9645,12657l10699,12657e" filled="false" stroked="true" strokeweight=".47998pt" strokecolor="#000000">
                <v:path arrowok="t"/>
              </v:shape>
            </v:group>
            <v:group style="position:absolute;left:10704;top:23;width:2;height:12638" coordorigin="10704,23" coordsize="2,12638">
              <v:shape style="position:absolute;left:10704;top:23;width:2;height:12638" coordorigin="10704,23" coordsize="0,12638" path="m10704,23l10704,12661e" filled="false" stroked="true" strokeweight=".47998pt" strokecolor="#000000">
                <v:path arrowok="t"/>
              </v:shape>
            </v:group>
            <w10:wrap type="none"/>
          </v:group>
        </w:pict>
      </w:r>
      <w:r>
        <w:rPr>
          <w:rFonts w:ascii="宋体" w:hAnsi="宋体" w:cs="宋体" w:eastAsia="宋体" w:hint="default"/>
          <w:sz w:val="18"/>
          <w:szCs w:val="18"/>
        </w:rPr>
        <w:t>务的数字化 会议移动应 用平台</w:t>
      </w:r>
    </w:p>
    <w:p>
      <w:pPr>
        <w:tabs>
          <w:tab w:pos="2252" w:val="left" w:leader="none"/>
        </w:tabs>
        <w:spacing w:line="316" w:lineRule="auto" w:before="44"/>
        <w:ind w:left="2252" w:right="5669" w:hanging="2127"/>
        <w:jc w:val="both"/>
        <w:rPr>
          <w:rFonts w:ascii="宋体" w:hAnsi="宋体" w:cs="宋体" w:eastAsia="宋体" w:hint="default"/>
          <w:sz w:val="18"/>
          <w:szCs w:val="18"/>
        </w:rPr>
      </w:pPr>
      <w:r>
        <w:rPr/>
        <w:br w:type="column"/>
      </w:r>
      <w:r>
        <w:rPr>
          <w:rFonts w:ascii="宋体" w:hAnsi="宋体" w:cs="宋体" w:eastAsia="宋体" w:hint="default"/>
          <w:sz w:val="18"/>
          <w:szCs w:val="18"/>
        </w:rPr>
        <w:t>都市新区</w:t>
        <w:tab/>
        <w:t>技术更新及 改造等获得 的补助</w:t>
      </w:r>
    </w:p>
    <w:p>
      <w:pPr>
        <w:spacing w:after="0" w:line="316" w:lineRule="auto"/>
        <w:jc w:val="both"/>
        <w:rPr>
          <w:rFonts w:ascii="宋体" w:hAnsi="宋体" w:cs="宋体" w:eastAsia="宋体" w:hint="default"/>
          <w:sz w:val="18"/>
          <w:szCs w:val="18"/>
        </w:rPr>
        <w:sectPr>
          <w:type w:val="continuous"/>
          <w:pgSz w:w="11910" w:h="16840"/>
          <w:pgMar w:top="1060" w:bottom="280" w:left="980" w:right="980"/>
          <w:cols w:num="2" w:equalWidth="0">
            <w:col w:w="1082" w:space="40"/>
            <w:col w:w="8828"/>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中科院专项 拨款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中国科学院</w:t>
      </w:r>
      <w:r>
        <w:rPr>
          <w:rFonts w:ascii="宋体" w:hAnsi="宋体" w:cs="宋体" w:eastAsia="宋体" w:hint="default"/>
          <w:spacing w:val="73"/>
          <w:sz w:val="18"/>
          <w:szCs w:val="18"/>
        </w:rPr>
        <w:t> </w:t>
      </w:r>
      <w:r>
        <w:rPr>
          <w:rFonts w:ascii="宋体" w:hAnsi="宋体" w:cs="宋体" w:eastAsia="宋体" w:hint="default"/>
          <w:sz w:val="18"/>
          <w:szCs w:val="18"/>
        </w:rPr>
        <w:t>补助</w:t>
      </w:r>
    </w:p>
    <w:p>
      <w:pPr>
        <w:spacing w:line="310" w:lineRule="atLeast" w:before="3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565" w:val="left" w:leader="none"/>
          <w:tab w:pos="4629"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668,000.00</w:t>
        <w:tab/>
        <w:t>592,400.00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28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2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积分曲线可 信计算的理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96" w:lineRule="exact" w:before="118"/>
        <w:ind w:left="125" w:right="-19" w:firstLine="0"/>
        <w:jc w:val="left"/>
        <w:rPr>
          <w:rFonts w:ascii="宋体" w:hAnsi="宋体" w:cs="宋体" w:eastAsia="宋体" w:hint="default"/>
          <w:sz w:val="18"/>
          <w:szCs w:val="18"/>
        </w:rPr>
      </w:pPr>
      <w:r>
        <w:rPr>
          <w:rFonts w:ascii="宋体" w:hAnsi="宋体" w:cs="宋体" w:eastAsia="宋体" w:hint="default"/>
          <w:sz w:val="18"/>
          <w:szCs w:val="18"/>
        </w:rPr>
        <w:t>国家自然科</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316" w:lineRule="auto" w:before="44"/>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p>
      <w:pPr>
        <w:spacing w:line="212" w:lineRule="exact" w:before="19"/>
        <w:ind w:left="181" w:right="0" w:firstLine="0"/>
        <w:jc w:val="both"/>
        <w:rPr>
          <w:rFonts w:ascii="宋体" w:hAnsi="宋体" w:cs="宋体" w:eastAsia="宋体" w:hint="default"/>
          <w:sz w:val="18"/>
          <w:szCs w:val="18"/>
        </w:rPr>
      </w:pPr>
      <w:r>
        <w:rPr>
          <w:rFonts w:ascii="宋体" w:hAnsi="宋体" w:cs="宋体" w:eastAsia="宋体" w:hint="default"/>
          <w:sz w:val="18"/>
          <w:szCs w:val="18"/>
        </w:rPr>
        <w:t>业而获得的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tabs>
          <w:tab w:pos="1078" w:val="left" w:leader="none"/>
          <w:tab w:pos="3399" w:val="left" w:leader="none"/>
        </w:tabs>
        <w:spacing w:line="212" w:lineRule="exact"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after="0" w:line="212" w:lineRule="exact"/>
        <w:jc w:val="left"/>
        <w:rPr>
          <w:rFonts w:ascii="宋体" w:hAnsi="宋体" w:cs="宋体" w:eastAsia="宋体" w:hint="default"/>
          <w:sz w:val="18"/>
          <w:szCs w:val="18"/>
        </w:rPr>
        <w:sectPr>
          <w:type w:val="continuous"/>
          <w:pgSz w:w="11910" w:h="16840"/>
          <w:pgMar w:top="1060" w:bottom="280" w:left="980" w:right="980"/>
          <w:cols w:num="4" w:equalWidth="0">
            <w:col w:w="1082" w:space="40"/>
            <w:col w:w="1550" w:space="522"/>
            <w:col w:w="1190" w:space="40"/>
            <w:col w:w="5526"/>
          </w:cols>
        </w:sectPr>
      </w:pPr>
    </w:p>
    <w:p>
      <w:pPr>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pacing w:val="-12"/>
          <w:sz w:val="18"/>
          <w:szCs w:val="18"/>
        </w:rPr>
        <w:t>论、算法及其</w:t>
      </w:r>
      <w:r>
        <w:rPr>
          <w:rFonts w:ascii="宋体" w:hAnsi="宋体" w:cs="宋体" w:eastAsia="宋体" w:hint="default"/>
          <w:spacing w:val="-32"/>
          <w:sz w:val="18"/>
          <w:szCs w:val="18"/>
        </w:rPr>
        <w:t> </w:t>
      </w:r>
      <w:r>
        <w:rPr>
          <w:rFonts w:ascii="宋体" w:hAnsi="宋体" w:cs="宋体" w:eastAsia="宋体" w:hint="default"/>
          <w:sz w:val="18"/>
          <w:szCs w:val="18"/>
        </w:rPr>
        <w:t>学基金委</w:t>
      </w:r>
    </w:p>
    <w:p>
      <w:pPr>
        <w:spacing w:before="76"/>
        <w:ind w:left="181" w:right="-20" w:firstLine="0"/>
        <w:jc w:val="left"/>
        <w:rPr>
          <w:rFonts w:ascii="宋体" w:hAnsi="宋体" w:cs="宋体" w:eastAsia="宋体" w:hint="default"/>
          <w:sz w:val="18"/>
          <w:szCs w:val="18"/>
        </w:rPr>
      </w:pPr>
      <w:r>
        <w:rPr>
          <w:rFonts w:ascii="宋体" w:hAnsi="宋体" w:cs="宋体" w:eastAsia="宋体" w:hint="default"/>
          <w:sz w:val="18"/>
          <w:szCs w:val="18"/>
        </w:rPr>
        <w:t>应用项目</w:t>
      </w:r>
    </w:p>
    <w:p>
      <w:pPr>
        <w:spacing w:line="316" w:lineRule="auto" w:before="100"/>
        <w:ind w:left="181" w:right="5544" w:firstLine="0"/>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p>
      <w:pPr>
        <w:spacing w:after="0" w:line="316" w:lineRule="auto"/>
        <w:jc w:val="left"/>
        <w:rPr>
          <w:rFonts w:ascii="宋体" w:hAnsi="宋体" w:cs="宋体" w:eastAsia="宋体" w:hint="default"/>
          <w:sz w:val="18"/>
          <w:szCs w:val="18"/>
        </w:rPr>
        <w:sectPr>
          <w:type w:val="continuous"/>
          <w:pgSz w:w="11910" w:h="16840"/>
          <w:pgMar w:top="1060" w:bottom="280" w:left="980" w:right="980"/>
          <w:cols w:num="2" w:equalWidth="0">
            <w:col w:w="1968" w:space="1225"/>
            <w:col w:w="6757"/>
          </w:cols>
        </w:sectPr>
      </w:pPr>
    </w:p>
    <w:p>
      <w:pPr>
        <w:spacing w:line="240" w:lineRule="auto" w:before="4"/>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新型跨语种 机器翻译检 索系统研究</w:t>
      </w:r>
    </w:p>
    <w:p>
      <w:pPr>
        <w:spacing w:line="240" w:lineRule="auto" w:before="4"/>
        <w:rPr>
          <w:rFonts w:ascii="宋体" w:hAnsi="宋体" w:cs="宋体" w:eastAsia="宋体" w:hint="default"/>
          <w:sz w:val="20"/>
          <w:szCs w:val="20"/>
        </w:rPr>
      </w:pPr>
      <w:r>
        <w:rPr/>
        <w:br w:type="column"/>
      </w:r>
      <w:r>
        <w:rPr>
          <w:rFonts w:ascii="宋体"/>
          <w:sz w:val="20"/>
        </w:rPr>
      </w:r>
    </w:p>
    <w:p>
      <w:pPr>
        <w:spacing w:line="316" w:lineRule="auto"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四川省人力 资源和社会</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保障厅</w:t>
      </w:r>
    </w:p>
    <w:p>
      <w:pPr>
        <w:spacing w:line="310" w:lineRule="atLeast" w:before="3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4629"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28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280" w:left="980" w:right="980"/>
        </w:sectPr>
      </w:pPr>
    </w:p>
    <w:p>
      <w:pPr>
        <w:spacing w:line="312" w:lineRule="auto" w:before="44"/>
        <w:ind w:left="181" w:right="-18" w:firstLine="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技 术的多源融 合主动式精 准定位系统</w:t>
      </w:r>
    </w:p>
    <w:p>
      <w:pPr>
        <w:spacing w:line="240" w:lineRule="auto" w:before="0"/>
        <w:rPr>
          <w:rFonts w:ascii="宋体" w:hAnsi="宋体" w:cs="宋体" w:eastAsia="宋体" w:hint="default"/>
          <w:sz w:val="18"/>
          <w:szCs w:val="18"/>
        </w:rPr>
      </w:pPr>
      <w:r>
        <w:rPr/>
        <w:br w:type="column"/>
      </w:r>
      <w:r>
        <w:rPr>
          <w:rFonts w:ascii="宋体"/>
          <w:sz w:val="18"/>
        </w:rPr>
      </w:r>
    </w:p>
    <w:p>
      <w:pPr>
        <w:spacing w:line="196" w:lineRule="exact" w:before="121"/>
        <w:ind w:left="19" w:right="0" w:firstLine="0"/>
        <w:jc w:val="left"/>
        <w:rPr>
          <w:rFonts w:ascii="宋体" w:hAnsi="宋体" w:cs="宋体" w:eastAsia="宋体" w:hint="default"/>
          <w:sz w:val="18"/>
          <w:szCs w:val="18"/>
        </w:rPr>
      </w:pPr>
      <w:r>
        <w:rPr>
          <w:rFonts w:ascii="宋体" w:hAnsi="宋体" w:cs="宋体" w:eastAsia="宋体" w:hint="default"/>
          <w:sz w:val="18"/>
          <w:szCs w:val="18"/>
        </w:rPr>
        <w:t>成都市科技</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9" w:right="0" w:firstLine="0"/>
        <w:jc w:val="left"/>
        <w:rPr>
          <w:rFonts w:ascii="宋体" w:hAnsi="宋体" w:cs="宋体" w:eastAsia="宋体" w:hint="default"/>
          <w:sz w:val="18"/>
          <w:szCs w:val="18"/>
        </w:rPr>
      </w:pPr>
      <w:r>
        <w:rPr>
          <w:rFonts w:ascii="宋体" w:hAnsi="宋体" w:cs="宋体" w:eastAsia="宋体" w:hint="default"/>
          <w:sz w:val="18"/>
          <w:szCs w:val="18"/>
        </w:rPr>
        <w:t>局</w:t>
      </w:r>
    </w:p>
    <w:p>
      <w:pPr>
        <w:spacing w:line="312" w:lineRule="exact" w:before="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4629"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280" w:left="980" w:right="980"/>
          <w:cols w:num="3" w:equalWidth="0">
            <w:col w:w="1188" w:space="40"/>
            <w:col w:w="1444" w:space="522"/>
            <w:col w:w="675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稳岗补贴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四川省人力 资源和社会</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保障厅</w:t>
      </w:r>
    </w:p>
    <w:p>
      <w:pPr>
        <w:spacing w:line="316" w:lineRule="auto" w:before="113"/>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tabs>
          <w:tab w:pos="1078" w:val="left" w:leader="none"/>
          <w:tab w:pos="2336" w:val="left" w:leader="none"/>
          <w:tab w:pos="3399" w:val="left" w:leader="none"/>
        </w:tabs>
        <w:spacing w:before="0"/>
        <w:ind w:left="15"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133,842.87</w:t>
        <w:tab/>
        <w:t>458,969.29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280" w:left="980" w:right="980"/>
          <w:cols w:num="4" w:equalWidth="0">
            <w:col w:w="902" w:space="164"/>
            <w:col w:w="1605" w:space="522"/>
            <w:col w:w="1190" w:space="40"/>
            <w:col w:w="5527"/>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196" w:lineRule="exact" w:before="0"/>
        <w:ind w:left="1247" w:right="0" w:firstLine="0"/>
        <w:jc w:val="left"/>
        <w:rPr>
          <w:rFonts w:ascii="宋体" w:hAnsi="宋体" w:cs="宋体" w:eastAsia="宋体" w:hint="default"/>
          <w:sz w:val="18"/>
          <w:szCs w:val="18"/>
        </w:rPr>
      </w:pPr>
      <w:r>
        <w:rPr>
          <w:rFonts w:ascii="宋体" w:hAnsi="宋体" w:cs="宋体" w:eastAsia="宋体" w:hint="default"/>
          <w:sz w:val="18"/>
          <w:szCs w:val="18"/>
        </w:rPr>
        <w:t>成都市科技</w:t>
      </w:r>
    </w:p>
    <w:p>
      <w:pPr>
        <w:tabs>
          <w:tab w:pos="2310" w:val="left" w:leader="none"/>
        </w:tabs>
        <w:spacing w:line="156" w:lineRule="exact" w:before="0"/>
        <w:ind w:left="181" w:right="0" w:firstLine="0"/>
        <w:jc w:val="center"/>
        <w:rPr>
          <w:rFonts w:ascii="宋体" w:hAnsi="宋体" w:cs="宋体" w:eastAsia="宋体" w:hint="default"/>
          <w:sz w:val="18"/>
          <w:szCs w:val="18"/>
        </w:rPr>
      </w:pPr>
      <w:r>
        <w:rPr>
          <w:rFonts w:ascii="宋体" w:hAnsi="宋体" w:cs="宋体" w:eastAsia="宋体" w:hint="default"/>
          <w:sz w:val="18"/>
          <w:szCs w:val="18"/>
        </w:rPr>
        <w:t>其他</w:t>
        <w:tab/>
        <w:t>补助</w:t>
      </w:r>
    </w:p>
    <w:p>
      <w:pPr>
        <w:spacing w:line="196" w:lineRule="exact" w:before="0"/>
        <w:ind w:left="4" w:right="0" w:firstLine="0"/>
        <w:jc w:val="center"/>
        <w:rPr>
          <w:rFonts w:ascii="宋体" w:hAnsi="宋体" w:cs="宋体" w:eastAsia="宋体" w:hint="default"/>
          <w:sz w:val="18"/>
          <w:szCs w:val="18"/>
        </w:rPr>
      </w:pPr>
      <w:r>
        <w:rPr>
          <w:rFonts w:ascii="宋体" w:hAnsi="宋体" w:cs="宋体" w:eastAsia="宋体" w:hint="default"/>
          <w:sz w:val="18"/>
          <w:szCs w:val="18"/>
        </w:rPr>
        <w:t>局</w:t>
      </w:r>
    </w:p>
    <w:p>
      <w:pPr>
        <w:spacing w:line="310" w:lineRule="atLeast" w:before="33"/>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657" w:val="left" w:leader="none"/>
          <w:tab w:pos="4720" w:val="left" w:leader="none"/>
        </w:tabs>
        <w:spacing w:line="123"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pacing w:val="-1"/>
          <w:sz w:val="18"/>
          <w:szCs w:val="18"/>
        </w:rPr>
        <w:t>53,600.00</w:t>
        <w:tab/>
        <w:t>31,389.00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2671" w:space="522"/>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280" w:left="980" w:right="980"/>
        </w:sectPr>
      </w:pPr>
    </w:p>
    <w:p>
      <w:pPr>
        <w:spacing w:line="240" w:lineRule="auto" w:before="0"/>
        <w:rPr>
          <w:rFonts w:ascii="宋体" w:hAnsi="宋体" w:cs="宋体" w:eastAsia="宋体" w:hint="default"/>
          <w:sz w:val="18"/>
          <w:szCs w:val="18"/>
        </w:rPr>
      </w:pPr>
    </w:p>
    <w:p>
      <w:pPr>
        <w:spacing w:line="316"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递延收益转 入</w:t>
      </w:r>
    </w:p>
    <w:p>
      <w:pPr>
        <w:spacing w:line="240" w:lineRule="auto" w:before="0"/>
        <w:rPr>
          <w:rFonts w:ascii="宋体" w:hAnsi="宋体" w:cs="宋体" w:eastAsia="宋体" w:hint="default"/>
          <w:sz w:val="18"/>
          <w:szCs w:val="18"/>
        </w:rPr>
      </w:pPr>
      <w:r>
        <w:rPr/>
        <w:br w:type="column"/>
      </w:r>
      <w:r>
        <w:rPr>
          <w:rFonts w:ascii="宋体"/>
          <w:sz w:val="18"/>
        </w:rPr>
      </w:r>
    </w:p>
    <w:p>
      <w:pPr>
        <w:spacing w:line="196" w:lineRule="exact" w:before="121"/>
        <w:ind w:left="125" w:right="-19" w:firstLine="0"/>
        <w:jc w:val="left"/>
        <w:rPr>
          <w:rFonts w:ascii="宋体" w:hAnsi="宋体" w:cs="宋体" w:eastAsia="宋体" w:hint="default"/>
          <w:sz w:val="18"/>
          <w:szCs w:val="18"/>
        </w:rPr>
      </w:pPr>
      <w:r>
        <w:rPr>
          <w:rFonts w:ascii="宋体" w:hAnsi="宋体" w:cs="宋体" w:eastAsia="宋体" w:hint="default"/>
          <w:sz w:val="18"/>
          <w:szCs w:val="18"/>
        </w:rPr>
        <w:t>四川省科学</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补助</w:t>
      </w:r>
    </w:p>
    <w:p>
      <w:pPr>
        <w:spacing w:line="196" w:lineRule="exact" w:before="0"/>
        <w:ind w:left="125" w:right="-19" w:firstLine="0"/>
        <w:jc w:val="left"/>
        <w:rPr>
          <w:rFonts w:ascii="宋体" w:hAnsi="宋体" w:cs="宋体" w:eastAsia="宋体" w:hint="default"/>
          <w:sz w:val="18"/>
          <w:szCs w:val="18"/>
        </w:rPr>
      </w:pPr>
      <w:r>
        <w:rPr>
          <w:rFonts w:ascii="宋体" w:hAnsi="宋体" w:cs="宋体" w:eastAsia="宋体" w:hint="default"/>
          <w:sz w:val="18"/>
          <w:szCs w:val="18"/>
        </w:rPr>
        <w:t>技术厅</w:t>
      </w:r>
    </w:p>
    <w:p>
      <w:pPr>
        <w:spacing w:line="312" w:lineRule="exact" w:before="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8" w:val="left" w:leader="none"/>
          <w:tab w:pos="3431" w:val="left" w:leader="none"/>
        </w:tabs>
        <w:spacing w:line="86"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Times New Roman" w:hAnsi="Times New Roman" w:cs="Times New Roman" w:eastAsia="Times New Roman" w:hint="default"/>
          <w:sz w:val="18"/>
          <w:szCs w:val="18"/>
        </w:rPr>
        <w:t>3,310,795.32   3,045,039.41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与收益相关</w:t>
      </w:r>
    </w:p>
    <w:p>
      <w:pPr>
        <w:spacing w:line="189"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28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tabs>
          <w:tab w:pos="1691" w:val="left" w:leader="none"/>
          <w:tab w:pos="2754" w:val="left" w:leader="none"/>
          <w:tab w:pos="3818" w:val="left" w:leader="none"/>
          <w:tab w:pos="4881" w:val="left" w:leader="none"/>
          <w:tab w:pos="5945" w:val="left" w:leader="none"/>
          <w:tab w:pos="6624" w:val="left" w:leader="none"/>
          <w:tab w:pos="9133" w:val="left" w:leader="none"/>
        </w:tabs>
        <w:spacing w:before="44"/>
        <w:ind w:left="181" w:right="15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tab/>
        <w:t>--</w:t>
        <w:tab/>
        <w:t>--</w:t>
        <w:tab/>
        <w:t>--</w:t>
        <w:tab/>
        <w:t>9,636,150.28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4,527,797.70</w:t>
        <w:tab/>
        <w:t>--</w:t>
      </w:r>
    </w:p>
    <w:p>
      <w:pPr>
        <w:spacing w:line="240" w:lineRule="auto" w:before="6"/>
        <w:rPr>
          <w:rFonts w:ascii="Times New Roman" w:hAnsi="Times New Roman" w:cs="Times New Roman" w:eastAsia="Times New Roman" w:hint="default"/>
          <w:sz w:val="9"/>
          <w:szCs w:val="9"/>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3" w:right="153"/>
        <w:jc w:val="left"/>
        <w:rPr>
          <w:rFonts w:ascii="宋体" w:hAnsi="宋体" w:cs="宋体" w:eastAsia="宋体" w:hint="default"/>
        </w:rPr>
      </w:pPr>
      <w:r>
        <w:rPr/>
        <w:t>递延收益转入的政府补助详见本附注“递延收益”</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28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36</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2,613.70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65,313.91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2,613.70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2,613.70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65,313.91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2,613.70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意外伤亡赔偿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962,571.02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962,571.02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965,184.72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65,313.91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965,184.72</w:t>
            </w:r>
          </w:p>
        </w:tc>
      </w:tr>
    </w:tbl>
    <w:p>
      <w:pPr>
        <w:spacing w:before="52"/>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37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8,994,828.15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4,501,879.72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-2,471,329.66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-499,139.51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6,523,498.49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4,002,740.21</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48,935,861.79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7,340,379.27</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1,241,357.34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-594,244.59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-890,923.47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232,187.84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加计扣除税收优惠的影响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-892,017.90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合并未实现利润的影响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86,760.00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6,523,498.49</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1,187,459.96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1,569,368.38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18,274,242.87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1,482,758.29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72,074.78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3,613,765.61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19,533,777.61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6,665,892.28</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14,456,931.86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12,590,549.55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4,749,061.11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1,626,318.32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项目间接费用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5,760,334.50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2,807,904.16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2,462,608.96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2,107,287.62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4,015,180.25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3,039,262.11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咨询及中介费用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2,682,644.08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919,493.31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运输及车辆费用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3,623,827.92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2,167,157.17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1,265,059.39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873,253.41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3,187,948.30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4,801,839.65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42,203,596.37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30,933,065.30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企业间资金拆借款及利息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8,500,000.00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r>
        <w:rPr/>
        <w:pict>
          <v:shape style="position:absolute;margin-left:190.100006pt;margin-top:545.469971pt;width:185.6pt;height:19.6pt;mso-position-horizontal-relative:page;mso-position-vertical-relative:page;z-index:-72556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申报费用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企业间资金拆借款及利息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8,683,485.40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10,063,485.40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42,412,363.30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38,151,945.44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11,787,427.61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6,299,175.10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1,400,605.83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1,263,942.21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575,323.48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514,712.12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2,040.00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65,313.91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2,613.70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183,485.40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-5,939,489.83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-2,471,329.66</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-499,139.51</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-826,285.34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1,589,417.22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-79,364,458.09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-20,963,733.52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44,473,515.74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-33,007,244.19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12,052,326.74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-20,974,759.17</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8" w:right="0"/>
              <w:jc w:val="left"/>
              <w:rPr>
                <w:rFonts w:ascii="Times New Roman" w:hAnsi="Times New Roman" w:cs="Times New Roman" w:eastAsia="Times New Roman" w:hint="default"/>
                <w:sz w:val="18"/>
                <w:szCs w:val="18"/>
              </w:rPr>
            </w:pPr>
            <w:r>
              <w:rPr>
                <w:rFonts w:ascii="Times New Roman"/>
                <w:sz w:val="18"/>
              </w:rPr>
              <w:t>123,862,450.27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106,792,325.16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106,792,325.16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135,356,295.19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17,070,125.11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-28,563,970.03</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123,862,450.27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106,792,325.16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778.00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123,861,055.06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106,790,151.95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1,395.21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1,395.21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123,862,450.27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106,792,325.16</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40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6,665,083.23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6,665,083.23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2"/>
          <w:szCs w:val="12"/>
        </w:rPr>
      </w:pPr>
    </w:p>
    <w:p>
      <w:pPr>
        <w:pStyle w:val="BodyText"/>
        <w:spacing w:line="408" w:lineRule="auto" w:before="0"/>
        <w:ind w:right="148" w:firstLine="355"/>
        <w:jc w:val="both"/>
      </w:pPr>
      <w:r>
        <w:rPr>
          <w:spacing w:val="-3"/>
        </w:rPr>
        <w:t>本公司于</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月投资设立全资子公司中科金华，注册资本人民币</w:t>
      </w:r>
      <w:r>
        <w:rPr>
          <w:rFonts w:ascii="宋体" w:hAnsi="宋体" w:cs="宋体" w:eastAsia="宋体" w:hint="default"/>
          <w:spacing w:val="-3"/>
        </w:rPr>
        <w:t>500</w:t>
      </w:r>
      <w:r>
        <w:rPr>
          <w:spacing w:val="-3"/>
        </w:rPr>
        <w:t>万元，经营范围：计算机信息</w:t>
      </w:r>
      <w:r>
        <w:rPr>
          <w:w w:val="100"/>
        </w:rPr>
        <w:t> </w:t>
      </w:r>
      <w:r>
        <w:rPr/>
        <w:t>技术开发、技术服务；技术咨询；信息系统集成服务、计算机软硬件产品销售。中科金华于</w:t>
      </w:r>
      <w:r>
        <w:rPr>
          <w:rFonts w:ascii="宋体" w:hAnsi="宋体" w:cs="宋体" w:eastAsia="宋体" w:hint="default"/>
        </w:rPr>
        <w:t>2017</w:t>
      </w:r>
      <w:r>
        <w:rPr/>
        <w:t>年</w:t>
      </w:r>
      <w:r>
        <w:rPr>
          <w:rFonts w:ascii="宋体" w:hAnsi="宋体" w:cs="宋体" w:eastAsia="宋体" w:hint="default"/>
        </w:rPr>
        <w:t>1</w:t>
      </w:r>
      <w:r>
        <w:rPr/>
        <w:t>月正</w:t>
      </w:r>
      <w:r>
        <w:rPr>
          <w:spacing w:val="-24"/>
        </w:rPr>
        <w:t> </w:t>
      </w:r>
      <w:r>
        <w:rPr/>
        <w:t>式开展经营活动，故本公司自</w:t>
      </w:r>
      <w:r>
        <w:rPr>
          <w:rFonts w:ascii="宋体" w:hAnsi="宋体" w:cs="宋体" w:eastAsia="宋体" w:hint="default"/>
        </w:rPr>
        <w:t>2017</w:t>
      </w:r>
      <w:r>
        <w:rPr/>
        <w:t>年</w:t>
      </w:r>
      <w:r>
        <w:rPr>
          <w:rFonts w:ascii="宋体" w:hAnsi="宋体" w:cs="宋体" w:eastAsia="宋体" w:hint="default"/>
        </w:rPr>
        <w:t>1</w:t>
      </w:r>
      <w:r>
        <w:rPr/>
        <w:t>月起将其纳入合并范围。</w:t>
      </w:r>
    </w:p>
    <w:p>
      <w:pPr>
        <w:spacing w:line="240" w:lineRule="auto" w:before="11"/>
        <w:rPr>
          <w:rFonts w:ascii="宋体" w:hAnsi="宋体" w:cs="宋体" w:eastAsia="宋体" w:hint="default"/>
          <w:sz w:val="18"/>
          <w:szCs w:val="18"/>
        </w:rPr>
      </w:pPr>
    </w:p>
    <w:p>
      <w:pPr>
        <w:pStyle w:val="Heading2"/>
        <w:spacing w:line="240" w:lineRule="auto"/>
        <w:ind w:right="153"/>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浙江金华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52" w:right="185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7"/>
        <w:ind w:left="152" w:right="671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0" w:right="0"/>
              <w:jc w:val="left"/>
              <w:rPr>
                <w:rFonts w:ascii="Times New Roman" w:hAnsi="Times New Roman" w:cs="Times New Roman" w:eastAsia="Times New Roman" w:hint="default"/>
                <w:sz w:val="18"/>
                <w:szCs w:val="18"/>
              </w:rPr>
            </w:pPr>
            <w:r>
              <w:rPr>
                <w:rFonts w:ascii="Times New Roman"/>
                <w:sz w:val="18"/>
              </w:rPr>
              <w:t>-123,967.57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-71,171.13</w:t>
            </w:r>
          </w:p>
        </w:tc>
      </w:tr>
    </w:tbl>
    <w:p>
      <w:pPr>
        <w:spacing w:line="360" w:lineRule="auto" w:before="51"/>
        <w:ind w:left="152" w:right="545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中科石 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5,105,41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673,921.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5,779,34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5,937,49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5,937,49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3,131,72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817,745.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3,949,47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3,832,14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3,832,14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8.39</w:t>
            </w:r>
          </w:p>
        </w:tc>
      </w:tr>
    </w:tbl>
    <w:p>
      <w:pPr>
        <w:spacing w:before="5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11,074,378.6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-275,483.48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-275,483.48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-1,218,322.65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5,891,320.76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-1,353,475.07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-1,353,475.07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1,097,474.45</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8"/>
        <w:ind w:left="152" w:right="15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292,628,897.12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306,002,357.59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185,293,394.04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187,124,485.54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1,512,632.98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1,155,937.79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294,141,530.10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307,158,295.38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46,556,945.55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64,422,435.41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46,556,945.55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64,422,435.41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247,584,584.55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242,735,859.97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99,033,833.81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97,094,343.99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99,033,833.81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97,094,343.98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115,231,717.92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180,283,462.91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-2,266,782.19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-1,297,781.03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1,013,010.87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5,130,663.97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14,848,724.58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36,431,583.38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14,848,724.58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36,431,583.38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244" w:right="153" w:firstLine="439"/>
        <w:jc w:val="left"/>
      </w:pPr>
      <w:r>
        <w:rPr/>
        <w:t>本集团的主要金融工具包括货币资金、应收款项、应付款项等，各项金融工具的详细情况说明见本</w:t>
      </w:r>
      <w:r>
        <w:rPr>
          <w:w w:val="100"/>
        </w:rPr>
        <w:t> </w:t>
      </w:r>
      <w:r>
        <w:rPr/>
        <w:t>附注六。与这些金融工具有关的风险，以及本集团为降低这些风险所采取的风险管理政策如下所述。本</w:t>
      </w:r>
    </w:p>
    <w:p>
      <w:pPr>
        <w:spacing w:after="0" w:line="408" w:lineRule="auto"/>
        <w:jc w:val="left"/>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244" w:right="0"/>
        <w:jc w:val="both"/>
        <w:rPr>
          <w:rFonts w:ascii="宋体" w:hAnsi="宋体" w:cs="宋体" w:eastAsia="宋体" w:hint="default"/>
        </w:rPr>
      </w:pPr>
      <w:r>
        <w:rPr/>
        <w:t>集团管理层对这些风险敞口进行管理和监控以确保将上述风险控制在限定的范围之内。</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683" w:right="0" w:hanging="111"/>
        <w:jc w:val="left"/>
      </w:pPr>
      <w:r>
        <w:rPr/>
        <w:t>（一）各类风险管理目标和政策</w:t>
      </w:r>
      <w:r>
        <w:rPr>
          <w:rFonts w:ascii="宋体" w:hAnsi="宋体" w:cs="宋体" w:eastAsia="宋体" w:hint="default"/>
          <w:w w:val="100"/>
        </w:rPr>
        <w:t> </w:t>
      </w:r>
      <w:r>
        <w:rPr/>
        <w:t>本集团从事风险管理的目标是在风险和收益之间取得适当的平衡，将风险对本集团经营业绩的负面</w:t>
      </w:r>
    </w:p>
    <w:p>
      <w:pPr>
        <w:pStyle w:val="BodyText"/>
        <w:spacing w:line="408" w:lineRule="auto"/>
        <w:ind w:left="244" w:right="209"/>
        <w:jc w:val="both"/>
        <w:rPr>
          <w:rFonts w:ascii="宋体" w:hAnsi="宋体" w:cs="宋体" w:eastAsia="宋体" w:hint="default"/>
        </w:rPr>
      </w:pPr>
      <w:r>
        <w:rPr/>
        <w:t>影响降低到最低水平，使股东及其它权益投资者的利益最大化。基于该风险管理目标，本公司风险管理</w:t>
      </w:r>
      <w:r>
        <w:rPr>
          <w:spacing w:val="-8"/>
        </w:rPr>
        <w:t> </w:t>
      </w:r>
      <w:r>
        <w:rPr>
          <w:spacing w:val="-8"/>
        </w:rPr>
      </w:r>
      <w:r>
        <w:rPr/>
        <w:t>的基本策略是确定和分析本集团所面临的各种风险，建立适当的风险承受底线并进行风险管理，并及时</w:t>
      </w:r>
      <w:r>
        <w:rPr>
          <w:spacing w:val="-12"/>
        </w:rPr>
        <w:t> </w:t>
      </w:r>
      <w:r>
        <w:rPr>
          <w:spacing w:val="-12"/>
        </w:rPr>
      </w:r>
      <w:r>
        <w:rPr/>
        <w:t>可靠地对各种风险进行监督，将风险控制在限定的范围之内。</w:t>
      </w:r>
      <w:r>
        <w:rPr>
          <w:rFonts w:ascii="宋体" w:hAnsi="宋体" w:cs="宋体" w:eastAsia="宋体" w:hint="default"/>
        </w:rPr>
        <w:t> </w:t>
      </w:r>
    </w:p>
    <w:p>
      <w:pPr>
        <w:pStyle w:val="BodyText"/>
        <w:spacing w:line="240" w:lineRule="auto"/>
        <w:ind w:left="683" w:right="0"/>
        <w:jc w:val="left"/>
        <w:rPr>
          <w:rFonts w:ascii="宋体" w:hAnsi="宋体" w:cs="宋体" w:eastAsia="宋体" w:hint="default"/>
        </w:rPr>
      </w:pPr>
      <w:r>
        <w:rPr>
          <w:rFonts w:ascii="宋体" w:hAnsi="宋体" w:cs="宋体" w:eastAsia="宋体" w:hint="default"/>
        </w:rPr>
        <w:t>1.</w:t>
      </w:r>
      <w:r>
        <w:rPr/>
        <w:t>信用风险</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before="0"/>
        <w:ind w:left="244" w:right="0" w:firstLine="439"/>
        <w:jc w:val="left"/>
        <w:rPr>
          <w:rFonts w:ascii="宋体" w:hAnsi="宋体" w:cs="宋体" w:eastAsia="宋体" w:hint="default"/>
        </w:rPr>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日，可能引起本集团财务损失的最大信用风险敞口主要来自于合同另一方未能履行</w:t>
      </w:r>
      <w:r>
        <w:rPr>
          <w:w w:val="100"/>
        </w:rPr>
        <w:t> </w:t>
      </w:r>
      <w:r>
        <w:rPr/>
        <w:t>义务而导致本公司金融资产产生的损失。</w:t>
      </w:r>
      <w:r>
        <w:rPr>
          <w:rFonts w:ascii="宋体" w:hAnsi="宋体" w:cs="宋体" w:eastAsia="宋体" w:hint="default"/>
        </w:rPr>
        <w:t> </w:t>
      </w:r>
    </w:p>
    <w:p>
      <w:pPr>
        <w:pStyle w:val="BodyText"/>
        <w:spacing w:line="408" w:lineRule="auto"/>
        <w:ind w:left="244" w:right="211" w:firstLine="439"/>
        <w:jc w:val="both"/>
        <w:rPr>
          <w:rFonts w:ascii="宋体" w:hAnsi="宋体" w:cs="宋体" w:eastAsia="宋体" w:hint="default"/>
        </w:rPr>
      </w:pPr>
      <w:r>
        <w:rPr/>
        <w:t>为降低信用风险，本集团成立专门部门，对客户的选择、项目承接、不同客户项目款支付进度进行</w:t>
      </w:r>
      <w:r>
        <w:rPr>
          <w:w w:val="100"/>
        </w:rPr>
        <w:t> </w:t>
      </w:r>
      <w:r>
        <w:rPr/>
        <w:t>评审，已保证项目款的收回，并执行其它监控程序以确保采取必要的措施回收过期债权。此外，本集团</w:t>
      </w:r>
      <w:r>
        <w:rPr>
          <w:spacing w:val="-11"/>
        </w:rPr>
        <w:t> </w:t>
      </w:r>
      <w:r>
        <w:rPr>
          <w:spacing w:val="-11"/>
        </w:rPr>
      </w:r>
      <w:r>
        <w:rPr/>
        <w:t>于每个资产负债表日审核应收款的回收情况，以确保就无法回收的款项计提充分的坏账准备。因此，本</w:t>
      </w:r>
      <w:r>
        <w:rPr>
          <w:spacing w:val="-15"/>
        </w:rPr>
        <w:t> </w:t>
      </w:r>
      <w:r>
        <w:rPr>
          <w:spacing w:val="-15"/>
        </w:rPr>
      </w:r>
      <w:r>
        <w:rPr/>
        <w:t>集团管理层认为本集团所承担的信用风险已经大为降低。</w:t>
      </w:r>
      <w:r>
        <w:rPr>
          <w:rFonts w:ascii="宋体" w:hAnsi="宋体" w:cs="宋体" w:eastAsia="宋体" w:hint="default"/>
        </w:rPr>
        <w:t> </w:t>
      </w:r>
    </w:p>
    <w:p>
      <w:pPr>
        <w:pStyle w:val="BodyText"/>
        <w:spacing w:line="408" w:lineRule="auto"/>
        <w:ind w:left="683" w:right="0"/>
        <w:jc w:val="left"/>
      </w:pPr>
      <w:r>
        <w:rPr/>
        <w:t>本集团的流动资金存放在信用评级较高的银行，故流动资金的信用风险较低。</w:t>
      </w:r>
      <w:r>
        <w:rPr>
          <w:rFonts w:ascii="宋体" w:hAnsi="宋体" w:cs="宋体" w:eastAsia="宋体" w:hint="default"/>
          <w:w w:val="100"/>
        </w:rPr>
        <w:t> </w:t>
      </w:r>
      <w:r>
        <w:rPr>
          <w:spacing w:val="19"/>
        </w:rPr>
        <w:t>除应收账款金额前五名外，</w:t>
      </w:r>
      <w:r>
        <w:rPr>
          <w:spacing w:val="-52"/>
        </w:rPr>
        <w:t> </w:t>
      </w:r>
      <w:r>
        <w:rPr>
          <w:spacing w:val="19"/>
        </w:rPr>
        <w:t>本集团无其他重大信用集</w:t>
      </w:r>
      <w:r>
        <w:rPr>
          <w:spacing w:val="-45"/>
        </w:rPr>
        <w:t> </w:t>
      </w:r>
      <w:r>
        <w:rPr>
          <w:spacing w:val="16"/>
        </w:rPr>
        <w:t>中风险。</w:t>
      </w:r>
      <w:r>
        <w:rPr>
          <w:spacing w:val="-52"/>
        </w:rPr>
        <w:t> </w:t>
      </w:r>
      <w:r>
        <w:rPr>
          <w:spacing w:val="19"/>
        </w:rPr>
        <w:t>应收账款前五名金额合计：</w:t>
      </w:r>
    </w:p>
    <w:p>
      <w:pPr>
        <w:pStyle w:val="BodyText"/>
        <w:spacing w:line="240" w:lineRule="auto"/>
        <w:ind w:left="244" w:right="0"/>
        <w:jc w:val="both"/>
        <w:rPr>
          <w:rFonts w:ascii="宋体" w:hAnsi="宋体" w:cs="宋体" w:eastAsia="宋体" w:hint="default"/>
        </w:rPr>
      </w:pPr>
      <w:r>
        <w:rPr>
          <w:rFonts w:ascii="宋体" w:hAnsi="宋体" w:cs="宋体" w:eastAsia="宋体" w:hint="default"/>
        </w:rPr>
        <w:t>103,130,960.74</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244" w:right="0" w:firstLine="439"/>
        <w:jc w:val="left"/>
        <w:rPr>
          <w:rFonts w:ascii="宋体" w:hAnsi="宋体" w:cs="宋体" w:eastAsia="宋体" w:hint="default"/>
        </w:rPr>
      </w:pPr>
      <w:r>
        <w:rPr>
          <w:rFonts w:ascii="宋体" w:hAnsi="宋体" w:cs="宋体" w:eastAsia="宋体" w:hint="default"/>
        </w:rPr>
        <w:t>2.</w:t>
      </w:r>
      <w:r>
        <w:rPr/>
        <w:t>流动风险</w:t>
      </w:r>
      <w:r>
        <w:rPr>
          <w:rFonts w:ascii="宋体" w:hAnsi="宋体" w:cs="宋体" w:eastAsia="宋体" w:hint="default"/>
          <w:w w:val="100"/>
        </w:rPr>
        <w:t> </w:t>
      </w:r>
      <w:r>
        <w:rPr/>
        <w:t>流动风险为本集团在到期日无法履行其财务义务的风险。本集团管理流动性风险的方法是确保有足够的</w:t>
      </w:r>
      <w:r>
        <w:rPr>
          <w:spacing w:val="-11"/>
        </w:rPr>
        <w:t> </w:t>
      </w:r>
      <w:r>
        <w:rPr>
          <w:spacing w:val="-11"/>
        </w:rPr>
      </w:r>
      <w:r>
        <w:rPr/>
        <w:t>资金流动性来履行到期债务，而不至于造成不可接受的损失或对企业信誉造成损害。本集团定期分析负</w:t>
      </w:r>
      <w:r>
        <w:rPr>
          <w:spacing w:val="-8"/>
        </w:rPr>
        <w:t> </w:t>
      </w:r>
      <w:r>
        <w:rPr>
          <w:spacing w:val="-8"/>
        </w:rPr>
      </w:r>
      <w:r>
        <w:rPr>
          <w:spacing w:val="-2"/>
        </w:rPr>
        <w:t>债结构和期限，以确保有充裕的资金。本公司管理层与金融机构进行融资磋商，以保持一定的授信额度，</w:t>
      </w:r>
      <w:r>
        <w:rPr>
          <w:spacing w:val="-28"/>
        </w:rPr>
        <w:t> </w:t>
      </w:r>
      <w:r>
        <w:rPr>
          <w:spacing w:val="-28"/>
        </w:rPr>
      </w:r>
      <w:r>
        <w:rPr/>
        <w:t>减低流动性风险。</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十一、关联方及关联交易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中国科学院国有资 产经营有限责任公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5,067,030,000.00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33.51%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33.51%</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
        <w:rPr>
          <w:rFonts w:ascii="宋体" w:hAnsi="宋体" w:cs="宋体" w:eastAsia="宋体" w:hint="default"/>
          <w:sz w:val="13"/>
          <w:szCs w:val="13"/>
        </w:rPr>
      </w:pPr>
    </w:p>
    <w:p>
      <w:pPr>
        <w:pStyle w:val="BodyText"/>
        <w:spacing w:line="240" w:lineRule="auto" w:before="0"/>
        <w:ind w:left="657" w:right="0"/>
        <w:jc w:val="left"/>
      </w:pPr>
      <w:r>
        <w:rPr/>
        <w:t>中国科学院控股有限公司简称国科控股是经国务院批准，由中科院于</w:t>
      </w:r>
      <w:r>
        <w:rPr>
          <w:rFonts w:ascii="宋体" w:hAnsi="宋体" w:cs="宋体" w:eastAsia="宋体" w:hint="default"/>
        </w:rPr>
        <w:t>2002</w:t>
      </w:r>
      <w:r>
        <w:rPr/>
        <w:t>年</w:t>
      </w:r>
      <w:r>
        <w:rPr>
          <w:rFonts w:ascii="宋体" w:hAnsi="宋体" w:cs="宋体" w:eastAsia="宋体" w:hint="default"/>
        </w:rPr>
        <w:t>4</w:t>
      </w:r>
      <w:r>
        <w:rPr/>
        <w:t>月</w:t>
      </w:r>
      <w:r>
        <w:rPr>
          <w:rFonts w:ascii="宋体" w:hAnsi="宋体" w:cs="宋体" w:eastAsia="宋体" w:hint="default"/>
        </w:rPr>
        <w:t>12</w:t>
      </w:r>
      <w:r>
        <w:rPr/>
        <w:t>日设立的国有独资</w:t>
      </w:r>
    </w:p>
    <w:p>
      <w:pPr>
        <w:spacing w:after="0" w:line="240" w:lineRule="auto"/>
        <w:jc w:val="left"/>
        <w:sectPr>
          <w:pgSz w:w="11910" w:h="16840"/>
          <w:pgMar w:header="880" w:footer="974" w:top="1100" w:bottom="11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146"/>
        <w:jc w:val="both"/>
        <w:rPr>
          <w:rFonts w:ascii="宋体" w:hAnsi="宋体" w:cs="宋体" w:eastAsia="宋体" w:hint="default"/>
        </w:rPr>
      </w:pPr>
      <w:r>
        <w:rPr/>
        <w:t>公司，注册资本</w:t>
      </w:r>
      <w:r>
        <w:rPr>
          <w:rFonts w:ascii="宋体" w:hAnsi="宋体" w:cs="宋体" w:eastAsia="宋体" w:hint="default"/>
        </w:rPr>
        <w:t>50.67</w:t>
      </w:r>
      <w:r>
        <w:rPr/>
        <w:t>亿元。根据《中国科学院章程》，中国科学院设立国有资产经营有限责任公司，授</w:t>
      </w:r>
      <w:r>
        <w:rPr>
          <w:spacing w:val="-30"/>
        </w:rPr>
        <w:t> </w:t>
      </w:r>
      <w:r>
        <w:rPr>
          <w:spacing w:val="-30"/>
        </w:rPr>
      </w:r>
      <w:r>
        <w:rPr>
          <w:spacing w:val="-2"/>
        </w:rPr>
        <w:t>权其管理院经营性国有资产，对院属单位经营性国有资产管理进行监督和指导；对院直接投资的企业中有</w:t>
      </w:r>
      <w:r>
        <w:rPr>
          <w:spacing w:val="-44"/>
        </w:rPr>
        <w:t> </w:t>
      </w:r>
      <w:r>
        <w:rPr>
          <w:spacing w:val="-44"/>
        </w:rPr>
      </w:r>
      <w:r>
        <w:rPr>
          <w:spacing w:val="-2"/>
        </w:rPr>
        <w:t>关国有资产依法行使出资人权利，并承担相应的保值增值责任。作为中科院设立的国有独资公司，国科控</w:t>
      </w:r>
      <w:r>
        <w:rPr>
          <w:spacing w:val="-42"/>
        </w:rPr>
        <w:t> </w:t>
      </w:r>
      <w:r>
        <w:rPr>
          <w:spacing w:val="-42"/>
        </w:rPr>
      </w:r>
      <w:r>
        <w:rPr/>
        <w:t>股主要按照上述章程的规定行使相关权利和义务。</w:t>
      </w:r>
      <w:r>
        <w:rPr>
          <w:rFonts w:ascii="宋体" w:hAnsi="宋体" w:cs="宋体" w:eastAsia="宋体" w:hint="default"/>
        </w:rPr>
        <w:t> </w:t>
      </w:r>
    </w:p>
    <w:p>
      <w:pPr>
        <w:pStyle w:val="BodyText"/>
        <w:spacing w:line="240" w:lineRule="auto"/>
        <w:ind w:left="573" w:right="153"/>
        <w:jc w:val="left"/>
        <w:rPr>
          <w:rFonts w:ascii="宋体" w:hAnsi="宋体" w:cs="宋体" w:eastAsia="宋体" w:hint="default"/>
        </w:rPr>
      </w:pPr>
      <w:r>
        <w:rPr/>
        <w:t>本企业最终控制方是中国科学院控股有限公司。</w:t>
      </w:r>
      <w:r>
        <w:rPr>
          <w:rFonts w:ascii="宋体" w:hAnsi="宋体" w:cs="宋体" w:eastAsia="宋体" w:hint="default"/>
        </w:rPr>
        <w:t> </w:t>
      </w:r>
    </w:p>
    <w:p>
      <w:pPr>
        <w:spacing w:line="240" w:lineRule="auto" w:before="10"/>
        <w:rPr>
          <w:rFonts w:ascii="宋体" w:hAnsi="宋体" w:cs="宋体" w:eastAsia="宋体" w:hint="default"/>
          <w:sz w:val="13"/>
          <w:szCs w:val="1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46" w:firstLine="463"/>
        <w:jc w:val="both"/>
      </w:pPr>
      <w:r>
        <w:rPr>
          <w:spacing w:val="-3"/>
        </w:rPr>
        <w:t>控股股东所持股份年末较年初减少</w:t>
      </w:r>
      <w:r>
        <w:rPr>
          <w:rFonts w:ascii="宋体" w:hAnsi="宋体" w:cs="宋体" w:eastAsia="宋体" w:hint="default"/>
          <w:spacing w:val="-3"/>
        </w:rPr>
        <w:t>14.37%</w:t>
      </w:r>
      <w:r>
        <w:rPr>
          <w:spacing w:val="-3"/>
        </w:rPr>
        <w:t>，原因系根据财务部、国务院国有资产监督管理委员会、中</w:t>
      </w:r>
      <w:r>
        <w:rPr>
          <w:w w:val="100"/>
        </w:rPr>
        <w:t> </w:t>
      </w:r>
      <w:r>
        <w:rPr>
          <w:spacing w:val="-2"/>
        </w:rPr>
        <w:t>国证券监督管理委员会、全国社会保障基金理事会联合下发的《境内证券市场转持部分国有股充实全国社</w:t>
      </w:r>
      <w:r>
        <w:rPr>
          <w:spacing w:val="-42"/>
        </w:rPr>
        <w:t> </w:t>
      </w:r>
      <w:r>
        <w:rPr>
          <w:spacing w:val="-42"/>
        </w:rPr>
      </w:r>
      <w:r>
        <w:rPr>
          <w:spacing w:val="-2"/>
        </w:rPr>
        <w:t>会保障基金实施办法》（财企</w:t>
      </w:r>
      <w:r>
        <w:rPr>
          <w:rFonts w:ascii="宋体" w:hAnsi="宋体" w:cs="宋体" w:eastAsia="宋体" w:hint="default"/>
          <w:spacing w:val="-2"/>
        </w:rPr>
        <w:t>[2009]94</w:t>
      </w:r>
      <w:r>
        <w:rPr>
          <w:spacing w:val="-2"/>
        </w:rPr>
        <w:t>号）有关规定，经财政部《财政部关于中科院成都信息技术股份有</w:t>
      </w:r>
      <w:r>
        <w:rPr>
          <w:spacing w:val="-36"/>
        </w:rPr>
        <w:t> </w:t>
      </w:r>
      <w:r>
        <w:rPr>
          <w:spacing w:val="-36"/>
        </w:rPr>
      </w:r>
      <w:r>
        <w:rPr>
          <w:spacing w:val="-2"/>
        </w:rPr>
        <w:t>限公司部分国有股权转让由全国社会保障基金理事会持有的函》（财资函</w:t>
      </w:r>
      <w:r>
        <w:rPr>
          <w:rFonts w:ascii="宋体" w:hAnsi="宋体" w:cs="宋体" w:eastAsia="宋体" w:hint="default"/>
          <w:spacing w:val="-2"/>
        </w:rPr>
        <w:t>[2014]37</w:t>
      </w:r>
      <w:r>
        <w:rPr>
          <w:spacing w:val="-2"/>
        </w:rPr>
        <w:t>号）批复，中国科学院</w:t>
      </w:r>
      <w:r>
        <w:rPr>
          <w:spacing w:val="-38"/>
        </w:rPr>
        <w:t> </w:t>
      </w:r>
      <w:r>
        <w:rPr>
          <w:spacing w:val="-38"/>
        </w:rPr>
      </w:r>
      <w:r>
        <w:rPr/>
        <w:t>国有资产经营有限责任公司将持有的本公司</w:t>
      </w:r>
      <w:r>
        <w:rPr>
          <w:rFonts w:ascii="宋体" w:hAnsi="宋体" w:cs="宋体" w:eastAsia="宋体" w:hint="default"/>
        </w:rPr>
        <w:t>239.9759</w:t>
      </w:r>
      <w:r>
        <w:rPr/>
        <w:t>万股划转给全国社会保障基金理事会持有。</w:t>
      </w:r>
    </w:p>
    <w:p>
      <w:pPr>
        <w:spacing w:line="240" w:lineRule="auto" w:before="8"/>
        <w:rPr>
          <w:rFonts w:ascii="宋体" w:hAnsi="宋体" w:cs="宋体" w:eastAsia="宋体" w:hint="default"/>
          <w:sz w:val="20"/>
          <w:szCs w:val="20"/>
        </w:rPr>
      </w:pPr>
    </w:p>
    <w:p>
      <w:pPr>
        <w:spacing w:line="571" w:lineRule="auto" w:before="0"/>
        <w:ind w:left="573" w:right="329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）企业集团的构成。</w:t>
      </w:r>
      <w:r>
        <w:rPr>
          <w:rFonts w:ascii="宋体" w:hAnsi="宋体" w:cs="宋体" w:eastAsia="宋体" w:hint="default"/>
          <w:sz w:val="21"/>
          <w:szCs w:val="21"/>
        </w:rPr>
        <w:t> </w:t>
      </w:r>
    </w:p>
    <w:p>
      <w:pPr>
        <w:pStyle w:val="Heading4"/>
        <w:spacing w:line="240" w:lineRule="auto" w:before="127"/>
        <w:ind w:right="0"/>
        <w:jc w:val="both"/>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53"/>
        <w:jc w:val="left"/>
      </w:pPr>
      <w:r>
        <w:rPr/>
        <w:t>本企业重要的合营或联营企业详见附注九、</w:t>
      </w:r>
      <w:r>
        <w:rPr>
          <w:rFonts w:ascii="宋体" w:hAnsi="宋体" w:cs="宋体" w:eastAsia="宋体" w:hint="default"/>
        </w:rPr>
        <w:t>3.</w:t>
      </w:r>
      <w:r>
        <w:rPr/>
        <w:t>（</w:t>
      </w:r>
      <w:r>
        <w:rPr>
          <w:rFonts w:ascii="宋体" w:hAnsi="宋体" w:cs="宋体" w:eastAsia="宋体" w:hint="default"/>
        </w:rPr>
        <w:t>1</w:t>
      </w:r>
      <w:r>
        <w:rPr/>
        <w:t>）重要的合营企业或联营企业。</w:t>
      </w:r>
    </w:p>
    <w:p>
      <w:pPr>
        <w:spacing w:line="240" w:lineRule="auto" w:before="10"/>
        <w:rPr>
          <w:rFonts w:ascii="宋体" w:hAnsi="宋体" w:cs="宋体" w:eastAsia="宋体" w:hint="default"/>
          <w:sz w:val="13"/>
          <w:szCs w:val="1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四川计算机应用杂志社有限责任公司（以下简称杂志社）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公司关键管理人的家庭成员对之有重大影响的企业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成都瑞拓科技股份有限公司（以下简称瑞拓科技）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四川园丁房地产开发有限公司（以下简称园丁房地产）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6"/>
              <w:jc w:val="left"/>
              <w:rPr>
                <w:rFonts w:ascii="宋体" w:hAnsi="宋体" w:cs="宋体" w:eastAsia="宋体" w:hint="default"/>
                <w:sz w:val="18"/>
                <w:szCs w:val="18"/>
              </w:rPr>
            </w:pPr>
            <w:r>
              <w:rPr>
                <w:rFonts w:ascii="宋体" w:hAnsi="宋体" w:cs="宋体" w:eastAsia="宋体" w:hint="default"/>
                <w:sz w:val="18"/>
                <w:szCs w:val="18"/>
              </w:rPr>
              <w:t>直接或间接持股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以上股份股东关系密切的家庭成员直接 或者间接控制的企业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四川名著房地产开发有限公司（以下简称名著房地产）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46"/>
              <w:jc w:val="left"/>
              <w:rPr>
                <w:rFonts w:ascii="宋体" w:hAnsi="宋体" w:cs="宋体" w:eastAsia="宋体" w:hint="default"/>
                <w:sz w:val="18"/>
                <w:szCs w:val="18"/>
              </w:rPr>
            </w:pPr>
            <w:r>
              <w:rPr>
                <w:rFonts w:ascii="宋体" w:hAnsi="宋体" w:cs="宋体" w:eastAsia="宋体" w:hint="default"/>
                <w:sz w:val="18"/>
                <w:szCs w:val="18"/>
              </w:rPr>
              <w:t>直接或间接持股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以上股份股东关系密切的家庭成员直接 或者间接控制的企业</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园丁房地产</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42,090.09</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名著房地产</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17,117.12</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瑞拓科技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191,509.43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1,596,698.12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1,788,207.55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59,207.21</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13"/>
          <w:szCs w:val="13"/>
        </w:rPr>
      </w:pPr>
    </w:p>
    <w:p>
      <w:pPr>
        <w:pStyle w:val="BodyText"/>
        <w:spacing w:line="240" w:lineRule="auto" w:before="0"/>
        <w:ind w:left="573" w:right="153"/>
        <w:jc w:val="left"/>
      </w:pPr>
      <w:r>
        <w:rPr/>
        <w:t>本公司向关联方销售商品、提供劳务按市场原则协议作价。</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1,743,085.71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1,743,085.71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杂志社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82,285.71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1,743,085.71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1,825,371.42</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2" w:right="15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153"/>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3,823,519.24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3,081,240.32</w:t>
            </w:r>
          </w:p>
        </w:tc>
      </w:tr>
    </w:tbl>
    <w:p>
      <w:pPr>
        <w:spacing w:line="240" w:lineRule="auto" w:before="3"/>
        <w:rPr>
          <w:rFonts w:ascii="宋体" w:hAnsi="宋体" w:cs="宋体" w:eastAsia="宋体" w:hint="default"/>
          <w:sz w:val="19"/>
          <w:szCs w:val="19"/>
        </w:rPr>
      </w:pPr>
    </w:p>
    <w:p>
      <w:pPr>
        <w:spacing w:line="571" w:lineRule="auto" w:before="36"/>
        <w:ind w:left="573" w:right="798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z w:val="21"/>
          <w:szCs w:val="21"/>
        </w:rPr>
        <w:t>员工借用</w:t>
      </w:r>
      <w:r>
        <w:rPr>
          <w:rFonts w:ascii="宋体" w:hAnsi="宋体" w:cs="宋体" w:eastAsia="宋体" w:hint="default"/>
          <w:sz w:val="21"/>
          <w:szCs w:val="21"/>
        </w:rPr>
        <w:t> </w:t>
      </w:r>
    </w:p>
    <w:p>
      <w:pPr>
        <w:spacing w:after="0" w:line="571" w:lineRule="auto"/>
        <w:jc w:val="left"/>
        <w:rPr>
          <w:rFonts w:ascii="宋体" w:hAnsi="宋体" w:cs="宋体" w:eastAsia="宋体" w:hint="default"/>
          <w:sz w:val="21"/>
          <w:szCs w:val="21"/>
        </w:rPr>
        <w:sectPr>
          <w:pgSz w:w="11910" w:h="16840"/>
          <w:pgMar w:header="880" w:footer="974" w:top="1100" w:bottom="11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146" w:firstLine="420"/>
        <w:jc w:val="both"/>
        <w:rPr>
          <w:rFonts w:ascii="宋体" w:hAnsi="宋体" w:cs="宋体" w:eastAsia="宋体" w:hint="default"/>
        </w:rPr>
      </w:pPr>
      <w:r>
        <w:rPr>
          <w:spacing w:val="-2"/>
        </w:rPr>
        <w:t>高速机器视觉技术是联营企业中钞科信业务开展的技术基础，鉴于本公司在机器视觉领域具有强大的</w:t>
      </w:r>
      <w:r>
        <w:rPr>
          <w:w w:val="100"/>
        </w:rPr>
        <w:t> </w:t>
      </w:r>
      <w:r>
        <w:rPr>
          <w:spacing w:val="-2"/>
        </w:rPr>
        <w:t>技术实力，为支持联营企业的业务发展，本公司自中钞科信设立以来一直以员工借用的方式为中钞科信提</w:t>
      </w:r>
      <w:r>
        <w:rPr>
          <w:spacing w:val="-42"/>
        </w:rPr>
        <w:t> </w:t>
      </w:r>
      <w:r>
        <w:rPr>
          <w:spacing w:val="-42"/>
        </w:rPr>
      </w:r>
      <w:r>
        <w:rPr/>
        <w:t>供支持。</w:t>
      </w:r>
      <w:r>
        <w:rPr>
          <w:rFonts w:ascii="宋体" w:hAnsi="宋体" w:cs="宋体" w:eastAsia="宋体" w:hint="default"/>
        </w:rPr>
        <w:t> </w:t>
      </w:r>
    </w:p>
    <w:p>
      <w:pPr>
        <w:pStyle w:val="BodyText"/>
        <w:spacing w:line="408" w:lineRule="auto"/>
        <w:ind w:right="146" w:firstLine="420"/>
        <w:jc w:val="both"/>
        <w:rPr>
          <w:rFonts w:ascii="宋体" w:hAnsi="宋体" w:cs="宋体" w:eastAsia="宋体" w:hint="default"/>
        </w:rPr>
      </w:pPr>
      <w:r>
        <w:rPr>
          <w:spacing w:val="-2"/>
        </w:rPr>
        <w:t>本年度本公司与中钞科信签订了《员工借用协议》，借用的员工主要从事技术研发、产品开发、技术</w:t>
      </w:r>
      <w:r>
        <w:rPr>
          <w:w w:val="100"/>
        </w:rPr>
        <w:t> </w:t>
      </w:r>
      <w:r>
        <w:rPr>
          <w:spacing w:val="-2"/>
        </w:rPr>
        <w:t>服务、经营管理等工作；中钞科信承担借用员工在借用期间发生的职工薪酬、社会保险等费用，并支付给</w:t>
      </w:r>
      <w:r>
        <w:rPr>
          <w:spacing w:val="-44"/>
        </w:rPr>
        <w:t> </w:t>
      </w:r>
      <w:r>
        <w:rPr>
          <w:spacing w:val="-44"/>
        </w:rPr>
      </w:r>
      <w:r>
        <w:rPr/>
        <w:t>本公司，由本公司向相关员工发放工资及缴纳社会保险等。</w:t>
      </w:r>
      <w:r>
        <w:rPr>
          <w:rFonts w:ascii="宋体" w:hAnsi="宋体" w:cs="宋体" w:eastAsia="宋体" w:hint="default"/>
        </w:rPr>
        <w:t> </w:t>
      </w:r>
    </w:p>
    <w:p>
      <w:pPr>
        <w:pStyle w:val="BodyText"/>
        <w:spacing w:line="240" w:lineRule="auto"/>
        <w:ind w:left="573" w:right="153"/>
        <w:jc w:val="left"/>
      </w:pPr>
      <w:r>
        <w:rPr/>
        <w:t>本年度内员工借用涉及人数</w:t>
      </w:r>
      <w:r>
        <w:rPr>
          <w:rFonts w:ascii="宋体" w:hAnsi="宋体" w:cs="宋体" w:eastAsia="宋体" w:hint="default"/>
        </w:rPr>
        <w:t>83</w:t>
      </w:r>
      <w:r>
        <w:rPr/>
        <w:t>人，金额</w:t>
      </w:r>
      <w:r>
        <w:rPr>
          <w:rFonts w:ascii="宋体" w:hAnsi="宋体" w:cs="宋体" w:eastAsia="宋体" w:hint="default"/>
        </w:rPr>
        <w:t>10,239,252.59</w:t>
      </w:r>
      <w:r>
        <w:rPr/>
        <w:t>元。</w:t>
      </w:r>
    </w:p>
    <w:p>
      <w:pPr>
        <w:spacing w:line="240" w:lineRule="auto" w:before="0"/>
        <w:rPr>
          <w:rFonts w:ascii="宋体" w:hAnsi="宋体" w:cs="宋体" w:eastAsia="宋体" w:hint="default"/>
          <w:sz w:val="20"/>
          <w:szCs w:val="20"/>
        </w:rPr>
      </w:pPr>
    </w:p>
    <w:p>
      <w:pPr>
        <w:pStyle w:val="Heading4"/>
        <w:spacing w:line="240" w:lineRule="auto" w:before="155"/>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852,500.00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82,975.80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杂志社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404,042.11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470,094.81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1,256,827.73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553,070.61</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瑞拓科技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90,300.00</w:t>
            </w:r>
          </w:p>
        </w:tc>
      </w:tr>
    </w:tbl>
    <w:p>
      <w:pPr>
        <w:spacing w:line="240" w:lineRule="auto" w:before="3"/>
        <w:rPr>
          <w:rFonts w:ascii="宋体" w:hAnsi="宋体" w:cs="宋体" w:eastAsia="宋体" w:hint="default"/>
          <w:sz w:val="18"/>
          <w:szCs w:val="18"/>
        </w:rPr>
      </w:pPr>
    </w:p>
    <w:p>
      <w:pPr>
        <w:spacing w:line="506" w:lineRule="auto" w:before="26"/>
        <w:ind w:left="152" w:right="7365"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4" w:lineRule="exact" w:before="0"/>
        <w:ind w:left="573" w:right="153"/>
        <w:jc w:val="left"/>
        <w:rPr>
          <w:rFonts w:ascii="宋体" w:hAnsi="宋体" w:cs="宋体" w:eastAsia="宋体" w:hint="default"/>
        </w:rPr>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日，本集团无重大承诺事项。</w:t>
      </w:r>
      <w:r>
        <w:rPr>
          <w:rFonts w:ascii="宋体" w:hAnsi="宋体" w:cs="宋体" w:eastAsia="宋体" w:hint="default"/>
        </w:rPr>
        <w:t> </w:t>
      </w:r>
    </w:p>
    <w:p>
      <w:pPr>
        <w:spacing w:after="0" w:line="244" w:lineRule="exact"/>
        <w:jc w:val="left"/>
        <w:rPr>
          <w:rFonts w:ascii="宋体" w:hAnsi="宋体" w:cs="宋体" w:eastAsia="宋体" w:hint="default"/>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32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z w:val="21"/>
          <w:szCs w:val="21"/>
        </w:rPr>
        <w:t>截至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日，本集团无重大或有事项。</w:t>
      </w:r>
      <w:r>
        <w:rPr>
          <w:rFonts w:ascii="宋体" w:hAnsi="宋体" w:cs="宋体" w:eastAsia="宋体" w:hint="default"/>
          <w:sz w:val="21"/>
          <w:szCs w:val="21"/>
        </w:rPr>
        <w:t> </w:t>
      </w:r>
    </w:p>
    <w:p>
      <w:pPr>
        <w:spacing w:line="571" w:lineRule="auto" w:before="128"/>
        <w:ind w:left="573" w:right="1134"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集团不存在需要披露的重要或有事项。</w:t>
      </w:r>
      <w:r>
        <w:rPr>
          <w:rFonts w:ascii="宋体" w:hAnsi="宋体" w:cs="宋体" w:eastAsia="宋体" w:hint="default"/>
          <w:sz w:val="21"/>
          <w:szCs w:val="21"/>
        </w:rPr>
        <w:t> </w:t>
      </w:r>
    </w:p>
    <w:p>
      <w:pPr>
        <w:pStyle w:val="Heading2"/>
        <w:spacing w:line="240" w:lineRule="auto" w:before="104"/>
        <w:ind w:right="153"/>
        <w:jc w:val="left"/>
        <w:rPr>
          <w:b w:val="0"/>
          <w:bCs w:val="0"/>
        </w:rPr>
      </w:pPr>
      <w:r>
        <w:rPr/>
        <w:t>十三、资产负债表日后事项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571" w:lineRule="auto" w:before="36"/>
        <w:ind w:left="573" w:right="113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z w:val="21"/>
          <w:szCs w:val="21"/>
        </w:rPr>
        <w:t>截至本财务报告报出日，本集团无重大资产负债表日后事项。</w:t>
      </w:r>
      <w:r>
        <w:rPr>
          <w:rFonts w:ascii="宋体" w:hAnsi="宋体" w:cs="宋体" w:eastAsia="宋体" w:hint="default"/>
          <w:sz w:val="21"/>
          <w:szCs w:val="21"/>
        </w:rPr>
        <w:t> </w:t>
      </w:r>
    </w:p>
    <w:p>
      <w:pPr>
        <w:pStyle w:val="Heading2"/>
        <w:spacing w:line="240" w:lineRule="auto" w:before="103"/>
        <w:ind w:right="153"/>
        <w:jc w:val="left"/>
        <w:rPr>
          <w:b w:val="0"/>
          <w:bCs w:val="0"/>
        </w:rPr>
      </w:pPr>
      <w:r>
        <w:rPr/>
        <w:t>十四、其他重要事项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153"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）公司无报告分部的，或者不能披露各报告分部的资产总额和负债总额的，应说明原因</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z w:val="21"/>
          <w:szCs w:val="21"/>
        </w:rPr>
        <w:t>本集团规模较小，业务较为单一，无报告分部。</w:t>
      </w:r>
      <w:r>
        <w:rPr>
          <w:rFonts w:ascii="宋体" w:hAnsi="宋体" w:cs="宋体" w:eastAsia="宋体" w:hint="default"/>
          <w:sz w:val="21"/>
          <w:szCs w:val="21"/>
        </w:rPr>
        <w:t> </w:t>
      </w:r>
    </w:p>
    <w:p>
      <w:pPr>
        <w:pStyle w:val="Heading2"/>
        <w:spacing w:line="240" w:lineRule="auto" w:before="106"/>
        <w:ind w:right="153"/>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203,233,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897.14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36,093,2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167,140,6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127,648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,022.75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25,600,04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102,047,97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203,233,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897.14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36,093,2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167,140,6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30.34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127,648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,022.75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25,600,04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102,047,97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4.28</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98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141,104,415.30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7,055,220.77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141,104,415.30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7,055,220.77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32,413,134.45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6,482,626.89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14,073,936.50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7,036,968.25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15,518,450.89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15,518,450.89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203,109,937.14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36,093,266.80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280" w:left="980" w:right="980"/>
        </w:sectPr>
      </w:pPr>
    </w:p>
    <w:p>
      <w:pPr>
        <w:spacing w:line="340" w:lineRule="auto" w:before="44"/>
        <w:ind w:left="152"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10,493,218.33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6548" w:space="228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408" w:lineRule="auto" w:before="65"/>
        <w:ind w:right="153" w:firstLine="420"/>
        <w:jc w:val="left"/>
        <w:rPr>
          <w:rFonts w:ascii="宋体" w:hAnsi="宋体" w:cs="宋体" w:eastAsia="宋体" w:hint="default"/>
        </w:rPr>
      </w:pPr>
      <w:r>
        <w:rPr>
          <w:spacing w:val="-2"/>
        </w:rPr>
        <w:t>本公司因收入增加及部分客户回款较慢，导致应收账款总额增加及应收账款账龄增加，本年度应收账</w:t>
      </w:r>
      <w:r>
        <w:rPr>
          <w:w w:val="100"/>
        </w:rPr>
        <w:t> </w:t>
      </w:r>
      <w:r>
        <w:rPr/>
        <w:t>款计提坏账准备金额</w:t>
      </w:r>
      <w:r>
        <w:rPr>
          <w:rFonts w:ascii="宋体" w:hAnsi="宋体" w:cs="宋体" w:eastAsia="宋体" w:hint="default"/>
        </w:rPr>
        <w:t>10,493,218.33</w:t>
      </w:r>
      <w:r>
        <w:rPr/>
        <w:t>元。</w:t>
      </w:r>
      <w:r>
        <w:rPr>
          <w:rFonts w:ascii="宋体" w:hAnsi="宋体" w:cs="宋体" w:eastAsia="宋体" w:hint="default"/>
        </w:rPr>
        <w:t> </w:t>
      </w:r>
    </w:p>
    <w:p>
      <w:pPr>
        <w:spacing w:line="240" w:lineRule="auto" w:before="8"/>
        <w:rPr>
          <w:rFonts w:ascii="宋体" w:hAnsi="宋体" w:cs="宋体" w:eastAsia="宋体" w:hint="default"/>
          <w:sz w:val="20"/>
          <w:szCs w:val="20"/>
        </w:rPr>
      </w:pPr>
    </w:p>
    <w:p>
      <w:pPr>
        <w:spacing w:line="568" w:lineRule="auto" w:before="0"/>
        <w:ind w:left="573" w:right="15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本公司按欠款方归集的年末余额前五名应收账款汇总金额</w:t>
      </w:r>
      <w:r>
        <w:rPr>
          <w:rFonts w:ascii="宋体" w:hAnsi="宋体" w:cs="宋体" w:eastAsia="宋体" w:hint="default"/>
          <w:spacing w:val="-2"/>
          <w:sz w:val="21"/>
          <w:szCs w:val="21"/>
        </w:rPr>
        <w:t>103,130,960.74</w:t>
      </w:r>
      <w:r>
        <w:rPr>
          <w:rFonts w:ascii="宋体" w:hAnsi="宋体" w:cs="宋体" w:eastAsia="宋体" w:hint="default"/>
          <w:spacing w:val="-2"/>
          <w:sz w:val="21"/>
          <w:szCs w:val="21"/>
        </w:rPr>
        <w:t>元，占应收账款余额合计数</w:t>
      </w:r>
    </w:p>
    <w:p>
      <w:pPr>
        <w:spacing w:after="0" w:line="568" w:lineRule="auto"/>
        <w:jc w:val="left"/>
        <w:rPr>
          <w:rFonts w:ascii="宋体" w:hAnsi="宋体" w:cs="宋体" w:eastAsia="宋体" w:hint="default"/>
          <w:sz w:val="21"/>
          <w:szCs w:val="21"/>
        </w:rPr>
        <w:sectPr>
          <w:type w:val="continuous"/>
          <w:pgSz w:w="11910" w:h="16840"/>
          <w:pgMar w:top="1060" w:bottom="28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153"/>
        <w:jc w:val="left"/>
        <w:rPr>
          <w:rFonts w:ascii="宋体" w:hAnsi="宋体" w:cs="宋体" w:eastAsia="宋体" w:hint="default"/>
        </w:rPr>
      </w:pPr>
      <w:r>
        <w:rPr/>
        <w:t>的比例为</w:t>
      </w:r>
      <w:r>
        <w:rPr>
          <w:rFonts w:ascii="宋体" w:hAnsi="宋体" w:cs="宋体" w:eastAsia="宋体" w:hint="default"/>
        </w:rPr>
        <w:t>50.74%</w:t>
      </w:r>
      <w:r>
        <w:rPr/>
        <w:t>，相应计提的坏账准备汇总金额</w:t>
      </w:r>
      <w:r>
        <w:rPr>
          <w:rFonts w:ascii="宋体" w:hAnsi="宋体" w:cs="宋体" w:eastAsia="宋体" w:hint="default"/>
        </w:rPr>
        <w:t>9,407,757.53</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54"/>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41,570,1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24.30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5,998,61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35,571,50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36,514,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131.24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4,624,028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31,890,103.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41,570,1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24.30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5,998,61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35,571,50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36,514,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131.24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4,624,028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31,890,103.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280" w:left="980" w:right="980"/>
          <w:cols w:num="2" w:equalWidth="0">
            <w:col w:w="4473" w:space="4356"/>
            <w:col w:w="112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11,893,763.70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594,688.19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11,893,763.70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594,688.19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8,864,393.10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1,772,878.62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2,640,650.69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1,320,325.35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1,941,001.40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1,941,001.40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25,339,808.89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5,628,893.56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53" w:firstLine="420"/>
        <w:jc w:val="left"/>
        <w:rPr>
          <w:rFonts w:ascii="宋体" w:hAnsi="宋体" w:cs="宋体" w:eastAsia="宋体" w:hint="default"/>
        </w:rPr>
      </w:pPr>
      <w:r>
        <w:rPr>
          <w:spacing w:val="-2"/>
        </w:rPr>
        <w:t>按交易对象关系对合并范围内关联方计提坏账准备的其他应收款，期末余额为</w:t>
      </w:r>
      <w:r>
        <w:rPr>
          <w:rFonts w:ascii="宋体" w:hAnsi="宋体" w:cs="宋体" w:eastAsia="宋体" w:hint="default"/>
          <w:spacing w:val="-2"/>
        </w:rPr>
        <w:t>8,835,861.60</w:t>
      </w:r>
      <w:r>
        <w:rPr>
          <w:spacing w:val="-2"/>
        </w:rPr>
        <w:t>元，坏账</w:t>
      </w:r>
      <w:r>
        <w:rPr>
          <w:w w:val="100"/>
        </w:rPr>
        <w:t> </w:t>
      </w:r>
      <w:r>
        <w:rPr/>
        <w:t>准备期末余额为零，不计提。</w:t>
      </w:r>
      <w:r>
        <w:rPr>
          <w:rFonts w:ascii="宋体" w:hAnsi="宋体" w:cs="宋体" w:eastAsia="宋体" w:hint="default"/>
        </w:rPr>
        <w:t> </w:t>
      </w:r>
    </w:p>
    <w:p>
      <w:pPr>
        <w:spacing w:after="0" w:line="408" w:lineRule="auto"/>
        <w:jc w:val="left"/>
        <w:rPr>
          <w:rFonts w:ascii="宋体" w:hAnsi="宋体" w:cs="宋体" w:eastAsia="宋体" w:hint="default"/>
        </w:rPr>
        <w:sectPr>
          <w:type w:val="continuous"/>
          <w:pgSz w:w="11910" w:h="16840"/>
          <w:pgMar w:top="1060" w:bottom="28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146" w:firstLine="420"/>
        <w:jc w:val="both"/>
        <w:rPr>
          <w:rFonts w:ascii="宋体" w:hAnsi="宋体" w:cs="宋体" w:eastAsia="宋体" w:hint="default"/>
        </w:rPr>
      </w:pPr>
      <w:r>
        <w:rPr>
          <w:spacing w:val="-2"/>
        </w:rPr>
        <w:t>按款项性质对未逾期大额保证金计提坏账准备的其他应收款，期末余额为</w:t>
      </w:r>
      <w:r>
        <w:rPr>
          <w:rFonts w:ascii="宋体" w:hAnsi="宋体" w:cs="宋体" w:eastAsia="宋体" w:hint="default"/>
          <w:spacing w:val="-2"/>
        </w:rPr>
        <w:t>7,394,453.81</w:t>
      </w:r>
      <w:r>
        <w:rPr>
          <w:spacing w:val="-2"/>
        </w:rPr>
        <w:t>元，坏账准备</w:t>
      </w:r>
      <w:r>
        <w:rPr>
          <w:w w:val="100"/>
        </w:rPr>
        <w:t> </w:t>
      </w:r>
      <w:r>
        <w:rPr/>
        <w:t>期末余额为</w:t>
      </w:r>
      <w:r>
        <w:rPr>
          <w:rFonts w:ascii="宋体" w:hAnsi="宋体" w:cs="宋体" w:eastAsia="宋体" w:hint="default"/>
        </w:rPr>
        <w:t>369,722.69</w:t>
      </w:r>
      <w:r>
        <w:rPr/>
        <w:t>元，计提比例为</w:t>
      </w:r>
      <w:r>
        <w:rPr>
          <w:rFonts w:ascii="宋体" w:hAnsi="宋体" w:cs="宋体" w:eastAsia="宋体" w:hint="default"/>
        </w:rPr>
        <w:t>5%</w:t>
      </w:r>
      <w:r>
        <w:rPr/>
        <w:t>。未逾期大额保证金指公司对单个客户</w:t>
      </w:r>
      <w:r>
        <w:rPr>
          <w:rFonts w:ascii="宋体" w:hAnsi="宋体" w:cs="宋体" w:eastAsia="宋体" w:hint="default"/>
        </w:rPr>
        <w:t>100</w:t>
      </w:r>
      <w:r>
        <w:rPr/>
        <w:t>万以上的未逾期保证</w:t>
      </w:r>
      <w:r>
        <w:rPr>
          <w:spacing w:val="-24"/>
        </w:rPr>
        <w:t> </w:t>
      </w:r>
      <w:r>
        <w:rPr>
          <w:spacing w:val="-24"/>
        </w:rPr>
      </w:r>
      <w:r>
        <w:rPr/>
        <w:t>金。</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Heading4"/>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2"/>
          <w:szCs w:val="32"/>
        </w:rPr>
      </w:pPr>
    </w:p>
    <w:p>
      <w:pPr>
        <w:spacing w:before="0"/>
        <w:ind w:left="152" w:right="15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1,374,588.13</w:t>
      </w:r>
      <w:r>
        <w:rPr>
          <w:rFonts w:ascii="宋体" w:hAnsi="宋体" w:cs="宋体" w:eastAsia="宋体" w:hint="default"/>
          <w:sz w:val="18"/>
          <w:szCs w:val="18"/>
        </w:rPr>
        <w:t>元；本期收回或转回坏账准备金额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p>
      <w:pPr>
        <w:spacing w:line="240" w:lineRule="auto" w:before="5"/>
        <w:rPr>
          <w:rFonts w:ascii="宋体" w:hAnsi="宋体" w:cs="宋体" w:eastAsia="宋体" w:hint="default"/>
          <w:sz w:val="10"/>
          <w:szCs w:val="10"/>
        </w:rPr>
      </w:pPr>
    </w:p>
    <w:p>
      <w:pPr>
        <w:spacing w:before="44"/>
        <w:ind w:left="152" w:right="15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27,085,168.74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26,525,486.05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备用金及项目周转金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5,007,270.36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3,883,571.75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应收关联方款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9,240,189.33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5,882,770.75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237,495.87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222,302.69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41,570,124.30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36,514,131.24</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成都中科信息技术有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7,561,483.35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四川省内江监狱</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3,047,527.25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152,376.36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河南中烟工业有限责 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2,840,306.00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217,524.55</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成都中科石油技术股 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1,274,378.25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成都市教育技术装备 管理所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1,227,642.56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61,382.13</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15,951,337.41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431,283.04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6,708,000.00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6,708,000.00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99,033,833.81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99,033,833.81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97,094,343.98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97,094,343.98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109,241,833.81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109,241,833.81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103,802,343.98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103,802,343.98</w:t>
            </w: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中科石油</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2,708,000.00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2,708,000.00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成都中科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中科金华</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1,500,000.00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7" w:right="0"/>
              <w:jc w:val="left"/>
              <w:rPr>
                <w:rFonts w:ascii="Times New Roman" w:hAnsi="Times New Roman" w:cs="Times New Roman" w:eastAsia="Times New Roman" w:hint="default"/>
                <w:sz w:val="18"/>
                <w:szCs w:val="18"/>
              </w:rPr>
            </w:pPr>
            <w:r>
              <w:rPr>
                <w:rFonts w:ascii="Times New Roman"/>
                <w:sz w:val="18"/>
              </w:rPr>
              <w:t>6,708,000.00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8" w:right="0"/>
              <w:jc w:val="left"/>
              <w:rPr>
                <w:rFonts w:ascii="Times New Roman" w:hAnsi="Times New Roman" w:cs="Times New Roman" w:eastAsia="Times New Roman" w:hint="default"/>
                <w:sz w:val="18"/>
                <w:szCs w:val="18"/>
              </w:rPr>
            </w:pPr>
            <w:r>
              <w:rPr>
                <w:rFonts w:ascii="Times New Roman"/>
                <w:sz w:val="18"/>
              </w:rPr>
              <w:t>10,208,000.00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中钞科信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97,094,34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99,033,83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4"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264,563,435.29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183,732,457.27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234,604,390.59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167,438,120.61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3,846,091.40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362,897.24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3,894,129.47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549,563.82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268,409,526.69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184,095,354.51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238,498,520.06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167,987,684.43</w:t>
            </w:r>
          </w:p>
        </w:tc>
      </w:tr>
    </w:tbl>
    <w:p>
      <w:pPr>
        <w:spacing w:before="51"/>
        <w:ind w:left="152" w:right="15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14,572,633.35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5,939,489.83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14,572,633.35</w:t>
            </w:r>
          </w:p>
        </w:tc>
      </w:tr>
    </w:tbl>
    <w:p>
      <w:pPr>
        <w:spacing w:line="240" w:lineRule="auto" w:before="3"/>
        <w:rPr>
          <w:rFonts w:ascii="宋体" w:hAnsi="宋体" w:cs="宋体" w:eastAsia="宋体" w:hint="default"/>
          <w:sz w:val="18"/>
          <w:szCs w:val="18"/>
        </w:rPr>
      </w:pPr>
    </w:p>
    <w:p>
      <w:pPr>
        <w:pStyle w:val="Heading2"/>
        <w:spacing w:line="240" w:lineRule="auto" w:before="26"/>
        <w:ind w:right="153"/>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-4,653.70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14,636,150.28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-901,771.02</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其他营业外收入和支出主要系子公司中 科石油支付并计提的劳务工意外交通事 故赔偿款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962,571.02 </w:t>
            </w:r>
            <w:r>
              <w:rPr>
                <w:rFonts w:ascii="宋体" w:hAnsi="宋体" w:cs="宋体" w:eastAsia="宋体" w:hint="default"/>
                <w:sz w:val="18"/>
                <w:szCs w:val="18"/>
              </w:rPr>
              <w:t>元。</w:t>
            </w:r>
          </w:p>
        </w:tc>
      </w:tr>
      <w:tr>
        <w:trPr>
          <w:trHeight w:val="394"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36,004.14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2,478,558.73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-257,367.72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11,544,538.69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4"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0.4980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0.3628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980"/>
        </w:sectPr>
      </w:pPr>
    </w:p>
    <w:p>
      <w:pPr>
        <w:spacing w:line="11908" w:lineRule="exact"/>
        <w:ind w:left="0" w:right="-41" w:firstLine="0"/>
        <w:rPr>
          <w:rFonts w:ascii="宋体" w:hAnsi="宋体" w:cs="宋体" w:eastAsia="宋体" w:hint="default"/>
          <w:sz w:val="20"/>
          <w:szCs w:val="20"/>
        </w:rPr>
      </w:pPr>
      <w:r>
        <w:rPr>
          <w:rFonts w:ascii="宋体" w:hAnsi="宋体" w:cs="宋体" w:eastAsia="宋体" w:hint="default"/>
          <w:position w:val="-237"/>
          <w:sz w:val="20"/>
          <w:szCs w:val="20"/>
        </w:rPr>
        <w:drawing>
          <wp:inline distT="0" distB="0" distL="0" distR="0">
            <wp:extent cx="10693907" cy="7562088"/>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31" cstate="print"/>
                    <a:stretch>
                      <a:fillRect/>
                    </a:stretch>
                  </pic:blipFill>
                  <pic:spPr>
                    <a:xfrm>
                      <a:off x="0" y="0"/>
                      <a:ext cx="10693907" cy="7562088"/>
                    </a:xfrm>
                    <a:prstGeom prst="rect">
                      <a:avLst/>
                    </a:prstGeom>
                  </pic:spPr>
                </pic:pic>
              </a:graphicData>
            </a:graphic>
          </wp:inline>
        </w:drawing>
      </w:r>
      <w:r>
        <w:rPr>
          <w:rFonts w:ascii="宋体" w:hAnsi="宋体" w:cs="宋体" w:eastAsia="宋体" w:hint="default"/>
          <w:position w:val="-237"/>
          <w:sz w:val="20"/>
          <w:szCs w:val="20"/>
        </w:rPr>
      </w:r>
    </w:p>
    <w:sectPr>
      <w:headerReference w:type="default" r:id="rId29"/>
      <w:footerReference w:type="default" r:id="rId30"/>
      <w:pgSz w:w="16850" w:h="11910" w:orient="landscape"/>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72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2.197937pt;width:17.3pt;height:11pt;mso-position-horizontal-relative:page;mso-position-vertical-relative:page;z-index:-72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2.197937pt;width:17.3pt;height:11pt;mso-position-horizontal-relative:page;mso-position-vertical-relative:page;z-index:-72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72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72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573914pt;width:13.15pt;height:11pt;mso-position-horizontal-relative:page;mso-position-vertical-relative:page;z-index:-72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726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2.197937pt;width:13.15pt;height:11pt;mso-position-horizontal-relative:page;mso-position-vertical-relative:page;z-index:-72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2.197937pt;width:15.7pt;height:11pt;mso-position-horizontal-relative:page;mso-position-vertical-relative:page;z-index:-726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72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72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2.197937pt;width:17.3pt;height:11pt;mso-position-horizontal-relative:page;mso-position-vertical-relative:page;z-index:-72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726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265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985607pt;width:222.75pt;height:11.5pt;mso-position-horizontal-relative:page;mso-position-vertical-relative:page;z-index:-726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985634pt;width:222.75pt;height:11.5pt;mso-position-horizontal-relative:page;mso-position-vertical-relative:page;z-index:-72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26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985607pt;width:222.75pt;height:11.5pt;mso-position-horizontal-relative:page;mso-position-vertical-relative:page;z-index:-726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中科院成都信息技术股份有限公司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164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2"/>
      <w:szCs w:val="22"/>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hyperlink" Target="http://www.casit.com.cn/" TargetMode="External"/><Relationship Id="rId12" Type="http://schemas.openxmlformats.org/officeDocument/2006/relationships/hyperlink" Target="mailto:dsh@casit.com.cn"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jpeg"/><Relationship Id="rId20" Type="http://schemas.openxmlformats.org/officeDocument/2006/relationships/footer" Target="footer5.xml"/><Relationship Id="rId21" Type="http://schemas.openxmlformats.org/officeDocument/2006/relationships/hyperlink" Target="http://www.cninfo.com.cn/cninfo-new/index"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5.xml"/><Relationship Id="rId30" Type="http://schemas.openxmlformats.org/officeDocument/2006/relationships/footer" Target="footer13.xml"/><Relationship Id="rId3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中科院成都信息技术股份有限公司</dc:creator>
  <dc:title>中科院成都信息技术股份有限公司2017年年度报告全文</dc:title>
  <dcterms:created xsi:type="dcterms:W3CDTF">2020-05-03T01:19:11Z</dcterms:created>
  <dcterms:modified xsi:type="dcterms:W3CDTF">2020-05-03T01:19:11Z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2016</vt:lpwstr>
  </property>
  <property fmtid="{D5CDD505-2E9C-101B-9397-08002B2CF9AE}" pid="4" name="LastSaved">
    <vt:filetime>2020-05-02T00:00:00Z</vt:filetime>
  </property>
</Properties>
</file>